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FF0000"/>
          <w:sz w:val="48"/>
        </w:rPr>
        <w:t>Institutional HR Framework: Service Rules, Conduct, Leave Policies, and Administrative Governance</w:t>
      </w:r>
    </w:p>
    <w:p/>
    <w:p/>
    <w:p/>
    <w:p/>
    <w:p>
      <w:pPr>
        <w:jc w:val="center"/>
      </w:pPr>
      <w:r>
        <w:rPr>
          <w:rFonts w:ascii="Cambria" w:hAnsi="Cambria"/>
          <w:b/>
          <w:i w:val="0"/>
          <w:sz w:val="22"/>
        </w:rPr>
        <w:t>Dr Venkata Rama Krishna Tottempudi</w:t>
      </w:r>
    </w:p>
    <w:p>
      <w:pPr>
        <w:jc w:val="center"/>
      </w:pPr>
      <w:r>
        <w:rPr>
          <w:rFonts w:ascii="Cambria" w:hAnsi="Cambria"/>
          <w:b/>
          <w:i w:val="0"/>
          <w:sz w:val="22"/>
        </w:rPr>
        <w:t>Professor, Avanthi Institute of Engineering &amp; Technology</w:t>
      </w:r>
    </w:p>
    <w:p/>
    <w:p>
      <w:pPr>
        <w:jc w:val="center"/>
      </w:pPr>
      <w:r>
        <w:rPr>
          <w:rFonts w:ascii="Cambria" w:hAnsi="Cambria"/>
          <w:b/>
          <w:i w:val="0"/>
          <w:sz w:val="22"/>
        </w:rPr>
        <w:t>Sai Saran Tottempudi</w:t>
      </w:r>
    </w:p>
    <w:p>
      <w:pPr>
        <w:jc w:val="center"/>
      </w:pPr>
      <w:r>
        <w:rPr>
          <w:rFonts w:ascii="Cambria" w:hAnsi="Cambria"/>
          <w:b/>
          <w:i w:val="0"/>
          <w:sz w:val="22"/>
        </w:rPr>
        <w:t>Lecturer, Avanthi Institute of Engineering &amp; Technology</w:t>
      </w:r>
    </w:p>
    <w:p>
      <w:r>
        <w:br w:type="page"/>
      </w:r>
    </w:p>
    <w:p>
      <w:pPr>
        <w:keepNext/>
        <w:spacing w:before="280" w:after="160"/>
      </w:pPr>
      <w:r>
        <w:rPr>
          <w:rFonts w:ascii="Cambria" w:hAnsi="Cambria"/>
          <w:b/>
          <w:color w:val="1F3A5F"/>
          <w:sz w:val="32"/>
        </w:rPr>
        <w:t>ACKNOWLEDGEMENT</w:t>
      </w:r>
    </w:p>
    <w:p>
      <w:pPr>
        <w:jc w:val="both"/>
      </w:pPr>
      <w:r>
        <w:rPr>
          <w:rFonts w:ascii="Cambria" w:hAnsi="Cambria"/>
          <w:i w:val="0"/>
          <w:sz w:val="22"/>
        </w:rPr>
        <w:t>I express my sincere gratitude to the Board of Management, whose vision, leadership, and unwavering commitment to institutional excellence made the development of this comprehensive HR framework possible. Their guidance and policy direction have played a central role in shaping the structure, clarity, and depth of this document.</w:t>
      </w:r>
    </w:p>
    <w:p>
      <w:pPr>
        <w:jc w:val="both"/>
      </w:pPr>
      <w:r>
        <w:rPr>
          <w:rFonts w:ascii="Cambria" w:hAnsi="Cambria"/>
          <w:i w:val="0"/>
          <w:sz w:val="22"/>
        </w:rPr>
        <w:t>I extend my heartfelt thanks to the Vice Chancellor, Registrar, Deans, Heads of Departments, and Administrative Officers for their valuable insights, continuous support, and constructive suggestions that greatly contributed to refining the rules, procedures, and governance mechanisms presented in this manual. Their practical experience and administrative perspectives ensured that the policies remain aligned with the operational needs of Higher Education Institutions.</w:t>
      </w:r>
    </w:p>
    <w:p>
      <w:pPr>
        <w:jc w:val="both"/>
      </w:pPr>
      <w:r>
        <w:rPr>
          <w:rFonts w:ascii="Cambria" w:hAnsi="Cambria"/>
          <w:i w:val="0"/>
          <w:sz w:val="22"/>
        </w:rPr>
        <w:t>My appreciation also goes to the Teaching and Non-Teaching Staff, whose day-to-day contributions, feedback, and commitment to institutional progress inspired the creation of a transparent, fair, and supportive HR policy system. Their dedication to maintaining academic and administrative standards motivated the inclusion of clear service rules and employee-centric provisions.</w:t>
      </w:r>
    </w:p>
    <w:p>
      <w:pPr>
        <w:jc w:val="both"/>
      </w:pPr>
      <w:r>
        <w:rPr>
          <w:rFonts w:ascii="Cambria" w:hAnsi="Cambria"/>
          <w:i w:val="0"/>
          <w:sz w:val="22"/>
        </w:rPr>
        <w:t>I would also like to acknowledge the support of the Legal Advisors, HR Experts, and Policy Consultants whose expertise helped ensure that the framework adheres to statutory guidelines, regulatory requirements, and best practices prescribed by UGC, AICTE, NAAC, and other governing bodies in higher education.</w:t>
      </w:r>
    </w:p>
    <w:p>
      <w:pPr>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i w:val="0"/>
          <w:sz w:val="22"/>
        </w:rPr>
        <w:t>Finally, I express my deep gratitude to my family and well-wishers for their continuous encouragement and moral support throughout this endeavor.</w:t>
      </w:r>
    </w:p>
    <w:p>
      <w:pPr>
        <w:jc w:val="both"/>
      </w:pPr>
      <w:r>
        <w:rPr>
          <w:rFonts w:ascii="Cambria" w:hAnsi="Cambria"/>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80" w:after="160"/>
      </w:pPr>
      <w:r>
        <w:rPr>
          <w:rFonts w:ascii="Cambria" w:hAnsi="Cambria"/>
          <w:b/>
          <w:color w:val="1F3A5F"/>
          <w:sz w:val="32"/>
        </w:rPr>
        <w:t>ABSTRACT</w:t>
      </w:r>
    </w:p>
    <w:p>
      <w:pPr>
        <w:jc w:val="both"/>
      </w:pPr>
      <w:r>
        <w:rPr>
          <w:rFonts w:ascii="Cambria" w:hAnsi="Cambria"/>
          <w:i w:val="0"/>
          <w:sz w:val="22"/>
        </w:rPr>
        <w:t>The book Institutional HR Framework: Service Rules, Conduct, Leave Policies, and Administrative Governance presents a comprehensive and integrated Human Resource governance structure designed specifically for Higher Education Institutions. It brings together all essential HR components—service rules, employee conduct standards, leave regulations, disciplinary mechanisms, and administrative governance—into a single, cohesive framework. The document outlines clear guidelines on recruitment, appointments, probation, confirmation, seniority, promotions, career advancement, and performance appraisal, ensuring fairness, transparency, and accountability across both teaching and non-teaching staff. It details the expected professional behaviour, ethical standards, conflict-of-interest norms, and discipline applicable to employees, thereby strengthening the institutional work culture. Further, the framework provides a complete leave administration system, defining eligibility, types of leave, procedural norms, and conditions for sanction to ensure uniformity in practice. Administrative governance structures—such as the powers of the Board of Management, Chairman, Appointing Authority, Competent Authority, and Disciplinary Authorities—are clearly explained to establish operational clarity. The book also elaborates on disciplinary rules, penalties, suspension procedures, inquiry processes, and the rights of employees to appeal as per principles of natural justice. In addition, modern HR dimensions such as employee welfare, research incentives, professional development, intellectual property rights, and POSH compliance are incorporated to align the institution with contemporary higher education standards. Overall, this framework serves as a foundational governance document that enhances institutional efficiency, regulatory compliance, ethical functioning, and the creation of a safe, inclusive, and professionally enriching environment for all employees.</w:t>
      </w:r>
    </w:p>
    <w:p>
      <w:r>
        <w:br w:type="page"/>
      </w:r>
    </w:p>
    <w:p>
      <w:pPr>
        <w:keepNext/>
        <w:spacing w:before="280" w:after="160"/>
      </w:pPr>
      <w:r>
        <w:rPr>
          <w:rFonts w:ascii="Cambria" w:hAnsi="Cambria"/>
          <w:b/>
          <w:color w:val="1F3A5F"/>
          <w:sz w:val="32"/>
        </w:rPr>
        <w:t>Table of Contents</w:t>
      </w:r>
    </w:p>
    <w:tbl>
      <w:tblPr>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jc w:val="center"/>
            </w:pPr>
            <w:r/>
            <w:r>
              <w:rPr>
                <w:rFonts w:ascii="Cambria" w:hAnsi="Cambria"/>
                <w:b/>
                <w:i w:val="0"/>
                <w:color w:val="FFFFFF"/>
                <w:sz w:val="22"/>
              </w:rPr>
              <w:t>S. No</w:t>
            </w:r>
          </w:p>
        </w:tc>
        <w:tc>
          <w:tcPr>
            <w:tcW w:type="dxa" w:w="7541"/>
            <w:shd w:val="clear" w:color="auto" w:fill="1F3A5F"/>
          </w:tcPr>
          <w:p>
            <w:pPr>
              <w:spacing w:after="40" w:before="40"/>
              <w:jc w:val="center"/>
            </w:pPr>
            <w:r/>
            <w:r>
              <w:rPr>
                <w:rFonts w:ascii="Cambria" w:hAnsi="Cambria"/>
                <w:b/>
                <w:i w:val="0"/>
                <w:color w:val="FFFFFF"/>
                <w:sz w:val="22"/>
              </w:rPr>
              <w:t>Content</w:t>
            </w:r>
          </w:p>
        </w:tc>
        <w:tc>
          <w:tcPr>
            <w:tcW w:type="dxa" w:w="1020"/>
            <w:shd w:val="clear" w:color="auto" w:fill="1F3A5F"/>
          </w:tcPr>
          <w:p>
            <w:pPr>
              <w:spacing w:after="40" w:before="40"/>
              <w:jc w:val="center"/>
            </w:pPr>
            <w:r/>
            <w:r>
              <w:rPr>
                <w:rFonts w:ascii="Cambria" w:hAnsi="Cambria"/>
                <w:b/>
                <w:i w:val="0"/>
                <w:color w:val="FFFFFF"/>
                <w:sz w:val="22"/>
              </w:rPr>
              <w:t>Pg. No</w:t>
            </w:r>
          </w:p>
        </w:tc>
      </w:tr>
      <w:tr>
        <w:tc>
          <w:tcPr>
            <w:tcW w:type="dxa" w:w="850"/>
          </w:tcPr>
          <w:p>
            <w:pPr>
              <w:spacing w:after="40" w:before="40"/>
              <w:jc w:val="center"/>
            </w:pPr>
            <w:r/>
            <w:r>
              <w:rPr>
                <w:rFonts w:ascii="Cambria" w:hAnsi="Cambria"/>
                <w:b w:val="0"/>
                <w:i w:val="0"/>
                <w:sz w:val="22"/>
              </w:rPr>
              <w:t>1</w:t>
            </w:r>
          </w:p>
        </w:tc>
        <w:tc>
          <w:tcPr>
            <w:tcW w:type="dxa" w:w="7541"/>
          </w:tcPr>
          <w:p>
            <w:pPr>
              <w:spacing w:after="40" w:before="40"/>
            </w:pPr>
            <w:r/>
            <w:r>
              <w:rPr>
                <w:rFonts w:ascii="Cambria" w:hAnsi="Cambria"/>
                <w:b w:val="0"/>
                <w:i w:val="0"/>
                <w:sz w:val="22"/>
              </w:rPr>
              <w:t>INTRODUCTION</w:t>
            </w:r>
          </w:p>
        </w:tc>
        <w:tc>
          <w:tcPr>
            <w:tcW w:type="dxa" w:w="1020"/>
          </w:tcPr>
          <w:p>
            <w:pPr>
              <w:spacing w:after="40" w:before="40"/>
              <w:jc w:val="center"/>
            </w:pPr>
            <w:r/>
            <w:r>
              <w:rPr>
                <w:rFonts w:ascii="Cambria" w:hAnsi="Cambria"/>
                <w:b w:val="0"/>
                <w:i w:val="0"/>
                <w:sz w:val="22"/>
              </w:rPr>
              <w:t>001</w:t>
            </w:r>
          </w:p>
        </w:tc>
      </w:tr>
      <w:tr>
        <w:tc>
          <w:tcPr>
            <w:tcW w:type="dxa" w:w="850"/>
            <w:shd w:val="clear" w:color="auto" w:fill="F0F2F5"/>
          </w:tcPr>
          <w:p>
            <w:pPr>
              <w:spacing w:after="40" w:before="40"/>
              <w:jc w:val="center"/>
            </w:pPr>
            <w:r/>
            <w:r>
              <w:rPr>
                <w:rFonts w:ascii="Cambria" w:hAnsi="Cambria"/>
                <w:b w:val="0"/>
                <w:i w:val="0"/>
                <w:sz w:val="22"/>
              </w:rPr>
              <w:t>2</w:t>
            </w:r>
          </w:p>
        </w:tc>
        <w:tc>
          <w:tcPr>
            <w:tcW w:type="dxa" w:w="7541"/>
            <w:shd w:val="clear" w:color="auto" w:fill="F0F2F5"/>
          </w:tcPr>
          <w:p>
            <w:pPr>
              <w:spacing w:after="40" w:before="40"/>
            </w:pPr>
            <w:r/>
            <w:r>
              <w:rPr>
                <w:rFonts w:ascii="Cambria" w:hAnsi="Cambria"/>
                <w:b w:val="0"/>
                <w:i w:val="0"/>
                <w:sz w:val="22"/>
              </w:rPr>
              <w:t>INSTITUTIONAL HR FRAMEWORK</w:t>
            </w:r>
          </w:p>
        </w:tc>
        <w:tc>
          <w:tcPr>
            <w:tcW w:type="dxa" w:w="1020"/>
            <w:shd w:val="clear" w:color="auto" w:fill="F0F2F5"/>
          </w:tcPr>
          <w:p>
            <w:pPr>
              <w:spacing w:after="40" w:before="40"/>
              <w:jc w:val="center"/>
            </w:pPr>
            <w:r/>
            <w:r>
              <w:rPr>
                <w:rFonts w:ascii="Cambria" w:hAnsi="Cambria"/>
                <w:b w:val="0"/>
                <w:i w:val="0"/>
                <w:sz w:val="22"/>
              </w:rPr>
              <w:t>003</w:t>
            </w:r>
          </w:p>
        </w:tc>
      </w:tr>
      <w:tr>
        <w:tc>
          <w:tcPr>
            <w:tcW w:type="dxa" w:w="850"/>
          </w:tcPr>
          <w:p>
            <w:pPr>
              <w:spacing w:after="40" w:before="40"/>
              <w:jc w:val="center"/>
            </w:pPr>
            <w:r/>
            <w:r>
              <w:rPr>
                <w:rFonts w:ascii="Cambria" w:hAnsi="Cambria"/>
                <w:b w:val="0"/>
                <w:i w:val="0"/>
                <w:sz w:val="22"/>
              </w:rPr>
              <w:t>3</w:t>
            </w:r>
          </w:p>
        </w:tc>
        <w:tc>
          <w:tcPr>
            <w:tcW w:type="dxa" w:w="7541"/>
          </w:tcPr>
          <w:p>
            <w:pPr>
              <w:spacing w:after="40" w:before="40"/>
            </w:pPr>
            <w:r/>
            <w:r>
              <w:rPr>
                <w:rFonts w:ascii="Cambria" w:hAnsi="Cambria"/>
                <w:b w:val="0"/>
                <w:i w:val="0"/>
                <w:sz w:val="22"/>
              </w:rPr>
              <w:t>EXTENT OF APPLICATION OF SERVICE RULES</w:t>
            </w:r>
          </w:p>
        </w:tc>
        <w:tc>
          <w:tcPr>
            <w:tcW w:type="dxa" w:w="1020"/>
          </w:tcPr>
          <w:p>
            <w:pPr>
              <w:spacing w:after="40" w:before="40"/>
              <w:jc w:val="center"/>
            </w:pPr>
            <w:r/>
            <w:r>
              <w:rPr>
                <w:rFonts w:ascii="Cambria" w:hAnsi="Cambria"/>
                <w:b w:val="0"/>
                <w:i w:val="0"/>
                <w:sz w:val="22"/>
              </w:rPr>
              <w:t>006</w:t>
            </w:r>
          </w:p>
        </w:tc>
      </w:tr>
      <w:tr>
        <w:tc>
          <w:tcPr>
            <w:tcW w:type="dxa" w:w="850"/>
            <w:shd w:val="clear" w:color="auto" w:fill="F0F2F5"/>
          </w:tcPr>
          <w:p>
            <w:pPr>
              <w:spacing w:after="40" w:before="40"/>
              <w:jc w:val="center"/>
            </w:pPr>
            <w:r/>
            <w:r>
              <w:rPr>
                <w:rFonts w:ascii="Cambria" w:hAnsi="Cambria"/>
                <w:b w:val="0"/>
                <w:i w:val="0"/>
                <w:sz w:val="22"/>
              </w:rPr>
              <w:t>4</w:t>
            </w:r>
          </w:p>
        </w:tc>
        <w:tc>
          <w:tcPr>
            <w:tcW w:type="dxa" w:w="7541"/>
            <w:shd w:val="clear" w:color="auto" w:fill="F0F2F5"/>
          </w:tcPr>
          <w:p>
            <w:pPr>
              <w:spacing w:after="40" w:before="40"/>
            </w:pPr>
            <w:r/>
            <w:r>
              <w:rPr>
                <w:rFonts w:ascii="Cambria" w:hAnsi="Cambria"/>
                <w:b w:val="0"/>
                <w:i w:val="0"/>
                <w:sz w:val="22"/>
              </w:rPr>
              <w:t>DEFINITIONS OF INSTITUTIONAL AUTHORITIES AND GOVERNANCE ENTITIES</w:t>
            </w:r>
          </w:p>
        </w:tc>
        <w:tc>
          <w:tcPr>
            <w:tcW w:type="dxa" w:w="1020"/>
            <w:shd w:val="clear" w:color="auto" w:fill="F0F2F5"/>
          </w:tcPr>
          <w:p>
            <w:pPr>
              <w:spacing w:after="40" w:before="40"/>
              <w:jc w:val="center"/>
            </w:pPr>
            <w:r/>
            <w:r>
              <w:rPr>
                <w:rFonts w:ascii="Cambria" w:hAnsi="Cambria"/>
                <w:b w:val="0"/>
                <w:i w:val="0"/>
                <w:sz w:val="22"/>
              </w:rPr>
              <w:t>008</w:t>
            </w:r>
          </w:p>
        </w:tc>
      </w:tr>
      <w:tr>
        <w:tc>
          <w:tcPr>
            <w:tcW w:type="dxa" w:w="850"/>
          </w:tcPr>
          <w:p>
            <w:pPr>
              <w:spacing w:after="40" w:before="40"/>
              <w:jc w:val="center"/>
            </w:pPr>
            <w:r/>
            <w:r>
              <w:rPr>
                <w:rFonts w:ascii="Cambria" w:hAnsi="Cambria"/>
                <w:b w:val="0"/>
                <w:i w:val="0"/>
                <w:sz w:val="22"/>
              </w:rPr>
              <w:t>5</w:t>
            </w:r>
          </w:p>
        </w:tc>
        <w:tc>
          <w:tcPr>
            <w:tcW w:type="dxa" w:w="7541"/>
          </w:tcPr>
          <w:p>
            <w:pPr>
              <w:spacing w:after="40" w:before="40"/>
            </w:pPr>
            <w:r/>
            <w:r>
              <w:rPr>
                <w:rFonts w:ascii="Cambria" w:hAnsi="Cambria"/>
                <w:b w:val="0"/>
                <w:i w:val="0"/>
                <w:sz w:val="22"/>
              </w:rPr>
              <w:t>DEFINITIONS OF KEY ADMINISTRATIVE TERMS</w:t>
            </w:r>
          </w:p>
        </w:tc>
        <w:tc>
          <w:tcPr>
            <w:tcW w:type="dxa" w:w="1020"/>
          </w:tcPr>
          <w:p>
            <w:pPr>
              <w:spacing w:after="40" w:before="40"/>
              <w:jc w:val="center"/>
            </w:pPr>
            <w:r/>
            <w:r>
              <w:rPr>
                <w:rFonts w:ascii="Cambria" w:hAnsi="Cambria"/>
                <w:b w:val="0"/>
                <w:i w:val="0"/>
                <w:sz w:val="22"/>
              </w:rPr>
              <w:t>010</w:t>
            </w:r>
          </w:p>
        </w:tc>
      </w:tr>
      <w:tr>
        <w:tc>
          <w:tcPr>
            <w:tcW w:type="dxa" w:w="850"/>
            <w:shd w:val="clear" w:color="auto" w:fill="F0F2F5"/>
          </w:tcPr>
          <w:p>
            <w:pPr>
              <w:spacing w:after="40" w:before="40"/>
              <w:jc w:val="center"/>
            </w:pPr>
            <w:r/>
            <w:r>
              <w:rPr>
                <w:rFonts w:ascii="Cambria" w:hAnsi="Cambria"/>
                <w:b w:val="0"/>
                <w:i w:val="0"/>
                <w:sz w:val="22"/>
              </w:rPr>
              <w:t>6</w:t>
            </w:r>
          </w:p>
        </w:tc>
        <w:tc>
          <w:tcPr>
            <w:tcW w:type="dxa" w:w="7541"/>
            <w:shd w:val="clear" w:color="auto" w:fill="F0F2F5"/>
          </w:tcPr>
          <w:p>
            <w:pPr>
              <w:spacing w:after="40" w:before="40"/>
            </w:pPr>
            <w:r/>
            <w:r>
              <w:rPr>
                <w:rFonts w:ascii="Cambria" w:hAnsi="Cambria"/>
                <w:b w:val="0"/>
                <w:i w:val="0"/>
                <w:sz w:val="22"/>
              </w:rPr>
              <w:t>APPOINTMENT CLASSIFICATIONS AND DEFINITIONS</w:t>
            </w:r>
          </w:p>
        </w:tc>
        <w:tc>
          <w:tcPr>
            <w:tcW w:type="dxa" w:w="1020"/>
            <w:shd w:val="clear" w:color="auto" w:fill="F0F2F5"/>
          </w:tcPr>
          <w:p>
            <w:pPr>
              <w:spacing w:after="40" w:before="40"/>
              <w:jc w:val="center"/>
            </w:pPr>
            <w:r/>
            <w:r>
              <w:rPr>
                <w:rFonts w:ascii="Cambria" w:hAnsi="Cambria"/>
                <w:b w:val="0"/>
                <w:i w:val="0"/>
                <w:sz w:val="22"/>
              </w:rPr>
              <w:t>012</w:t>
            </w:r>
          </w:p>
        </w:tc>
      </w:tr>
      <w:tr>
        <w:tc>
          <w:tcPr>
            <w:tcW w:type="dxa" w:w="850"/>
          </w:tcPr>
          <w:p>
            <w:pPr>
              <w:spacing w:after="40" w:before="40"/>
              <w:jc w:val="center"/>
            </w:pPr>
            <w:r/>
            <w:r>
              <w:rPr>
                <w:rFonts w:ascii="Cambria" w:hAnsi="Cambria"/>
                <w:b w:val="0"/>
                <w:i w:val="0"/>
                <w:sz w:val="22"/>
              </w:rPr>
              <w:t>7</w:t>
            </w:r>
          </w:p>
        </w:tc>
        <w:tc>
          <w:tcPr>
            <w:tcW w:type="dxa" w:w="7541"/>
          </w:tcPr>
          <w:p>
            <w:pPr>
              <w:spacing w:after="40" w:before="40"/>
            </w:pPr>
            <w:r/>
            <w:r>
              <w:rPr>
                <w:rFonts w:ascii="Cambria" w:hAnsi="Cambria"/>
                <w:b w:val="0"/>
                <w:i w:val="0"/>
                <w:sz w:val="22"/>
              </w:rPr>
              <w:t>DEFINITION OF “DUTY”</w:t>
            </w:r>
          </w:p>
        </w:tc>
        <w:tc>
          <w:tcPr>
            <w:tcW w:type="dxa" w:w="1020"/>
          </w:tcPr>
          <w:p>
            <w:pPr>
              <w:spacing w:after="40" w:before="40"/>
              <w:jc w:val="center"/>
            </w:pPr>
            <w:r/>
            <w:r>
              <w:rPr>
                <w:rFonts w:ascii="Cambria" w:hAnsi="Cambria"/>
                <w:b w:val="0"/>
                <w:i w:val="0"/>
                <w:sz w:val="22"/>
              </w:rPr>
              <w:t>014</w:t>
            </w:r>
          </w:p>
        </w:tc>
      </w:tr>
      <w:tr>
        <w:tc>
          <w:tcPr>
            <w:tcW w:type="dxa" w:w="850"/>
            <w:shd w:val="clear" w:color="auto" w:fill="F0F2F5"/>
          </w:tcPr>
          <w:p>
            <w:pPr>
              <w:spacing w:after="40" w:before="40"/>
              <w:jc w:val="center"/>
            </w:pPr>
            <w:r/>
            <w:r>
              <w:rPr>
                <w:rFonts w:ascii="Cambria" w:hAnsi="Cambria"/>
                <w:b w:val="0"/>
                <w:i w:val="0"/>
                <w:sz w:val="22"/>
              </w:rPr>
              <w:t>8</w:t>
            </w:r>
          </w:p>
        </w:tc>
        <w:tc>
          <w:tcPr>
            <w:tcW w:type="dxa" w:w="7541"/>
            <w:shd w:val="clear" w:color="auto" w:fill="F0F2F5"/>
          </w:tcPr>
          <w:p>
            <w:pPr>
              <w:spacing w:after="40" w:before="40"/>
            </w:pPr>
            <w:r/>
            <w:r>
              <w:rPr>
                <w:rFonts w:ascii="Cambria" w:hAnsi="Cambria"/>
                <w:b w:val="0"/>
                <w:i w:val="0"/>
                <w:sz w:val="22"/>
              </w:rPr>
              <w:t>SERVICE STATUS TERMINOLOGY: LIEN AND OFFICIATING</w:t>
            </w:r>
          </w:p>
        </w:tc>
        <w:tc>
          <w:tcPr>
            <w:tcW w:type="dxa" w:w="1020"/>
            <w:shd w:val="clear" w:color="auto" w:fill="F0F2F5"/>
          </w:tcPr>
          <w:p>
            <w:pPr>
              <w:spacing w:after="40" w:before="40"/>
              <w:jc w:val="center"/>
            </w:pPr>
            <w:r/>
            <w:r>
              <w:rPr>
                <w:rFonts w:ascii="Cambria" w:hAnsi="Cambria"/>
                <w:b w:val="0"/>
                <w:i w:val="0"/>
                <w:sz w:val="22"/>
              </w:rPr>
              <w:t>016</w:t>
            </w:r>
          </w:p>
        </w:tc>
      </w:tr>
      <w:tr>
        <w:tc>
          <w:tcPr>
            <w:tcW w:type="dxa" w:w="850"/>
          </w:tcPr>
          <w:p>
            <w:pPr>
              <w:spacing w:after="40" w:before="40"/>
              <w:jc w:val="center"/>
            </w:pPr>
            <w:r/>
            <w:r>
              <w:rPr>
                <w:rFonts w:ascii="Cambria" w:hAnsi="Cambria"/>
                <w:b w:val="0"/>
                <w:i w:val="0"/>
                <w:sz w:val="22"/>
              </w:rPr>
              <w:t>9</w:t>
            </w:r>
          </w:p>
        </w:tc>
        <w:tc>
          <w:tcPr>
            <w:tcW w:type="dxa" w:w="7541"/>
          </w:tcPr>
          <w:p>
            <w:pPr>
              <w:spacing w:after="40" w:before="40"/>
            </w:pPr>
            <w:r/>
            <w:r>
              <w:rPr>
                <w:rFonts w:ascii="Cambria" w:hAnsi="Cambria"/>
                <w:b w:val="0"/>
                <w:i w:val="0"/>
                <w:sz w:val="22"/>
              </w:rPr>
              <w:t>DEFINITIONS RELATING TO PAY STRUCTURE</w:t>
            </w:r>
          </w:p>
        </w:tc>
        <w:tc>
          <w:tcPr>
            <w:tcW w:type="dxa" w:w="1020"/>
          </w:tcPr>
          <w:p>
            <w:pPr>
              <w:spacing w:after="40" w:before="40"/>
              <w:jc w:val="center"/>
            </w:pPr>
            <w:r/>
            <w:r>
              <w:rPr>
                <w:rFonts w:ascii="Cambria" w:hAnsi="Cambria"/>
                <w:b w:val="0"/>
                <w:i w:val="0"/>
                <w:sz w:val="22"/>
              </w:rPr>
              <w:t>018</w:t>
            </w:r>
          </w:p>
        </w:tc>
      </w:tr>
      <w:tr>
        <w:tc>
          <w:tcPr>
            <w:tcW w:type="dxa" w:w="850"/>
            <w:shd w:val="clear" w:color="auto" w:fill="F0F2F5"/>
          </w:tcPr>
          <w:p>
            <w:pPr>
              <w:spacing w:after="40" w:before="40"/>
              <w:jc w:val="center"/>
            </w:pPr>
            <w:r/>
            <w:r>
              <w:rPr>
                <w:rFonts w:ascii="Cambria" w:hAnsi="Cambria"/>
                <w:b w:val="0"/>
                <w:i w:val="0"/>
                <w:sz w:val="22"/>
              </w:rPr>
              <w:t>10</w:t>
            </w:r>
          </w:p>
        </w:tc>
        <w:tc>
          <w:tcPr>
            <w:tcW w:type="dxa" w:w="7541"/>
            <w:shd w:val="clear" w:color="auto" w:fill="F0F2F5"/>
          </w:tcPr>
          <w:p>
            <w:pPr>
              <w:spacing w:after="40" w:before="40"/>
            </w:pPr>
            <w:r/>
            <w:r>
              <w:rPr>
                <w:rFonts w:ascii="Cambria" w:hAnsi="Cambria"/>
                <w:b w:val="0"/>
                <w:i w:val="0"/>
                <w:sz w:val="22"/>
              </w:rPr>
              <w:t>DEFINITION OF “PERMANENT PAY”</w:t>
            </w:r>
          </w:p>
        </w:tc>
        <w:tc>
          <w:tcPr>
            <w:tcW w:type="dxa" w:w="1020"/>
            <w:shd w:val="clear" w:color="auto" w:fill="F0F2F5"/>
          </w:tcPr>
          <w:p>
            <w:pPr>
              <w:spacing w:after="40" w:before="40"/>
              <w:jc w:val="center"/>
            </w:pPr>
            <w:r/>
            <w:r>
              <w:rPr>
                <w:rFonts w:ascii="Cambria" w:hAnsi="Cambria"/>
                <w:b w:val="0"/>
                <w:i w:val="0"/>
                <w:sz w:val="22"/>
              </w:rPr>
              <w:t>020</w:t>
            </w:r>
          </w:p>
        </w:tc>
      </w:tr>
      <w:tr>
        <w:tc>
          <w:tcPr>
            <w:tcW w:type="dxa" w:w="850"/>
          </w:tcPr>
          <w:p>
            <w:pPr>
              <w:spacing w:after="40" w:before="40"/>
              <w:jc w:val="center"/>
            </w:pPr>
            <w:r/>
            <w:r>
              <w:rPr>
                <w:rFonts w:ascii="Cambria" w:hAnsi="Cambria"/>
                <w:b w:val="0"/>
                <w:i w:val="0"/>
                <w:sz w:val="22"/>
              </w:rPr>
              <w:t>11</w:t>
            </w:r>
          </w:p>
        </w:tc>
        <w:tc>
          <w:tcPr>
            <w:tcW w:type="dxa" w:w="7541"/>
          </w:tcPr>
          <w:p>
            <w:pPr>
              <w:spacing w:after="40" w:before="40"/>
            </w:pPr>
            <w:r/>
            <w:r>
              <w:rPr>
                <w:rFonts w:ascii="Cambria" w:hAnsi="Cambria"/>
                <w:b w:val="0"/>
                <w:i w:val="0"/>
                <w:sz w:val="22"/>
              </w:rPr>
              <w:t>DEFINITION OF “PERIOD OF PROBATION”</w:t>
            </w:r>
          </w:p>
        </w:tc>
        <w:tc>
          <w:tcPr>
            <w:tcW w:type="dxa" w:w="1020"/>
          </w:tcPr>
          <w:p>
            <w:pPr>
              <w:spacing w:after="40" w:before="40"/>
              <w:jc w:val="center"/>
            </w:pPr>
            <w:r/>
            <w:r>
              <w:rPr>
                <w:rFonts w:ascii="Cambria" w:hAnsi="Cambria"/>
                <w:b w:val="0"/>
                <w:i w:val="0"/>
                <w:sz w:val="22"/>
              </w:rPr>
              <w:t>021</w:t>
            </w:r>
          </w:p>
        </w:tc>
      </w:tr>
      <w:tr>
        <w:tc>
          <w:tcPr>
            <w:tcW w:type="dxa" w:w="850"/>
            <w:shd w:val="clear" w:color="auto" w:fill="F0F2F5"/>
          </w:tcPr>
          <w:p>
            <w:pPr>
              <w:spacing w:after="40" w:before="40"/>
              <w:jc w:val="center"/>
            </w:pPr>
            <w:r/>
            <w:r>
              <w:rPr>
                <w:rFonts w:ascii="Cambria" w:hAnsi="Cambria"/>
                <w:b w:val="0"/>
                <w:i w:val="0"/>
                <w:sz w:val="22"/>
              </w:rPr>
              <w:t>12</w:t>
            </w:r>
          </w:p>
        </w:tc>
        <w:tc>
          <w:tcPr>
            <w:tcW w:type="dxa" w:w="7541"/>
            <w:shd w:val="clear" w:color="auto" w:fill="F0F2F5"/>
          </w:tcPr>
          <w:p>
            <w:pPr>
              <w:spacing w:after="40" w:before="40"/>
            </w:pPr>
            <w:r/>
            <w:r>
              <w:rPr>
                <w:rFonts w:ascii="Cambria" w:hAnsi="Cambria"/>
                <w:b w:val="0"/>
                <w:i w:val="0"/>
                <w:sz w:val="22"/>
              </w:rPr>
              <w:t>DEFINITION OF “PROBATIONER”</w:t>
            </w:r>
          </w:p>
        </w:tc>
        <w:tc>
          <w:tcPr>
            <w:tcW w:type="dxa" w:w="1020"/>
            <w:shd w:val="clear" w:color="auto" w:fill="F0F2F5"/>
          </w:tcPr>
          <w:p>
            <w:pPr>
              <w:spacing w:after="40" w:before="40"/>
              <w:jc w:val="center"/>
            </w:pPr>
            <w:r/>
            <w:r>
              <w:rPr>
                <w:rFonts w:ascii="Cambria" w:hAnsi="Cambria"/>
                <w:b w:val="0"/>
                <w:i w:val="0"/>
                <w:sz w:val="22"/>
              </w:rPr>
              <w:t>023</w:t>
            </w:r>
          </w:p>
        </w:tc>
      </w:tr>
      <w:tr>
        <w:tc>
          <w:tcPr>
            <w:tcW w:type="dxa" w:w="850"/>
          </w:tcPr>
          <w:p>
            <w:pPr>
              <w:spacing w:after="40" w:before="40"/>
              <w:jc w:val="center"/>
            </w:pPr>
            <w:r/>
            <w:r>
              <w:rPr>
                <w:rFonts w:ascii="Cambria" w:hAnsi="Cambria"/>
                <w:b w:val="0"/>
                <w:i w:val="0"/>
                <w:sz w:val="22"/>
              </w:rPr>
              <w:t>13</w:t>
            </w:r>
          </w:p>
        </w:tc>
        <w:tc>
          <w:tcPr>
            <w:tcW w:type="dxa" w:w="7541"/>
          </w:tcPr>
          <w:p>
            <w:pPr>
              <w:spacing w:after="40" w:before="40"/>
            </w:pPr>
            <w:r/>
            <w:r>
              <w:rPr>
                <w:rFonts w:ascii="Cambria" w:hAnsi="Cambria"/>
                <w:b w:val="0"/>
                <w:i w:val="0"/>
                <w:sz w:val="22"/>
              </w:rPr>
              <w:t>DEFINITION OF “SUBSISTENCE GRANT”</w:t>
            </w:r>
          </w:p>
        </w:tc>
        <w:tc>
          <w:tcPr>
            <w:tcW w:type="dxa" w:w="1020"/>
          </w:tcPr>
          <w:p>
            <w:pPr>
              <w:spacing w:after="40" w:before="40"/>
              <w:jc w:val="center"/>
            </w:pPr>
            <w:r/>
            <w:r>
              <w:rPr>
                <w:rFonts w:ascii="Cambria" w:hAnsi="Cambria"/>
                <w:b w:val="0"/>
                <w:i w:val="0"/>
                <w:sz w:val="22"/>
              </w:rPr>
              <w:t>025</w:t>
            </w:r>
          </w:p>
        </w:tc>
      </w:tr>
      <w:tr>
        <w:tc>
          <w:tcPr>
            <w:tcW w:type="dxa" w:w="850"/>
            <w:shd w:val="clear" w:color="auto" w:fill="F0F2F5"/>
          </w:tcPr>
          <w:p>
            <w:pPr>
              <w:spacing w:after="40" w:before="40"/>
              <w:jc w:val="center"/>
            </w:pPr>
            <w:r/>
            <w:r>
              <w:rPr>
                <w:rFonts w:ascii="Cambria" w:hAnsi="Cambria"/>
                <w:b w:val="0"/>
                <w:i w:val="0"/>
                <w:sz w:val="22"/>
              </w:rPr>
              <w:t>14</w:t>
            </w:r>
          </w:p>
        </w:tc>
        <w:tc>
          <w:tcPr>
            <w:tcW w:type="dxa" w:w="7541"/>
            <w:shd w:val="clear" w:color="auto" w:fill="F0F2F5"/>
          </w:tcPr>
          <w:p>
            <w:pPr>
              <w:spacing w:after="40" w:before="40"/>
            </w:pPr>
            <w:r/>
            <w:r>
              <w:rPr>
                <w:rFonts w:ascii="Cambria" w:hAnsi="Cambria"/>
                <w:b w:val="0"/>
                <w:i w:val="0"/>
                <w:sz w:val="22"/>
              </w:rPr>
              <w:t>DEFINITION OF “MEMBERS OF THE FAMILY”</w:t>
            </w:r>
          </w:p>
        </w:tc>
        <w:tc>
          <w:tcPr>
            <w:tcW w:type="dxa" w:w="1020"/>
            <w:shd w:val="clear" w:color="auto" w:fill="F0F2F5"/>
          </w:tcPr>
          <w:p>
            <w:pPr>
              <w:spacing w:after="40" w:before="40"/>
              <w:jc w:val="center"/>
            </w:pPr>
            <w:r/>
            <w:r>
              <w:rPr>
                <w:rFonts w:ascii="Cambria" w:hAnsi="Cambria"/>
                <w:b w:val="0"/>
                <w:i w:val="0"/>
                <w:sz w:val="22"/>
              </w:rPr>
              <w:t>027</w:t>
            </w:r>
          </w:p>
        </w:tc>
      </w:tr>
      <w:tr>
        <w:tc>
          <w:tcPr>
            <w:tcW w:type="dxa" w:w="850"/>
          </w:tcPr>
          <w:p>
            <w:pPr>
              <w:spacing w:after="40" w:before="40"/>
              <w:jc w:val="center"/>
            </w:pPr>
            <w:r/>
            <w:r>
              <w:rPr>
                <w:rFonts w:ascii="Cambria" w:hAnsi="Cambria"/>
                <w:b w:val="0"/>
                <w:i w:val="0"/>
                <w:sz w:val="22"/>
              </w:rPr>
              <w:t>15</w:t>
            </w:r>
          </w:p>
        </w:tc>
        <w:tc>
          <w:tcPr>
            <w:tcW w:type="dxa" w:w="7541"/>
          </w:tcPr>
          <w:p>
            <w:pPr>
              <w:spacing w:after="40" w:before="40"/>
            </w:pPr>
            <w:r/>
            <w:r>
              <w:rPr>
                <w:rFonts w:ascii="Cambria" w:hAnsi="Cambria"/>
                <w:b w:val="0"/>
                <w:i w:val="0"/>
                <w:sz w:val="22"/>
              </w:rPr>
              <w:t>DEFINITION OF “SERVICE”</w:t>
            </w:r>
          </w:p>
        </w:tc>
        <w:tc>
          <w:tcPr>
            <w:tcW w:type="dxa" w:w="1020"/>
          </w:tcPr>
          <w:p>
            <w:pPr>
              <w:spacing w:after="40" w:before="40"/>
              <w:jc w:val="center"/>
            </w:pPr>
            <w:r/>
            <w:r>
              <w:rPr>
                <w:rFonts w:ascii="Cambria" w:hAnsi="Cambria"/>
                <w:b w:val="0"/>
                <w:i w:val="0"/>
                <w:sz w:val="22"/>
              </w:rPr>
              <w:t>029</w:t>
            </w:r>
          </w:p>
        </w:tc>
      </w:tr>
      <w:tr>
        <w:tc>
          <w:tcPr>
            <w:tcW w:type="dxa" w:w="850"/>
            <w:shd w:val="clear" w:color="auto" w:fill="F0F2F5"/>
          </w:tcPr>
          <w:p>
            <w:pPr>
              <w:spacing w:after="40" w:before="40"/>
              <w:jc w:val="center"/>
            </w:pPr>
            <w:r/>
            <w:r>
              <w:rPr>
                <w:rFonts w:ascii="Cambria" w:hAnsi="Cambria"/>
                <w:b w:val="0"/>
                <w:i w:val="0"/>
                <w:sz w:val="22"/>
              </w:rPr>
              <w:t>16</w:t>
            </w:r>
          </w:p>
        </w:tc>
        <w:tc>
          <w:tcPr>
            <w:tcW w:type="dxa" w:w="7541"/>
            <w:shd w:val="clear" w:color="auto" w:fill="F0F2F5"/>
          </w:tcPr>
          <w:p>
            <w:pPr>
              <w:spacing w:after="40" w:before="40"/>
            </w:pPr>
            <w:r/>
            <w:r>
              <w:rPr>
                <w:rFonts w:ascii="Cambria" w:hAnsi="Cambria"/>
                <w:b w:val="0"/>
                <w:i w:val="0"/>
                <w:sz w:val="22"/>
              </w:rPr>
              <w:t>CLASSIFICATION OF POSTS</w:t>
            </w:r>
          </w:p>
        </w:tc>
        <w:tc>
          <w:tcPr>
            <w:tcW w:type="dxa" w:w="1020"/>
            <w:shd w:val="clear" w:color="auto" w:fill="F0F2F5"/>
          </w:tcPr>
          <w:p>
            <w:pPr>
              <w:spacing w:after="40" w:before="40"/>
              <w:jc w:val="center"/>
            </w:pPr>
            <w:r/>
            <w:r>
              <w:rPr>
                <w:rFonts w:ascii="Cambria" w:hAnsi="Cambria"/>
                <w:b w:val="0"/>
                <w:i w:val="0"/>
                <w:sz w:val="22"/>
              </w:rPr>
              <w:t>031</w:t>
            </w:r>
          </w:p>
        </w:tc>
      </w:tr>
      <w:tr>
        <w:tc>
          <w:tcPr>
            <w:tcW w:type="dxa" w:w="850"/>
          </w:tcPr>
          <w:p>
            <w:pPr>
              <w:spacing w:after="40" w:before="40"/>
              <w:jc w:val="center"/>
            </w:pPr>
            <w:r/>
            <w:r>
              <w:rPr>
                <w:rFonts w:ascii="Cambria" w:hAnsi="Cambria"/>
                <w:b w:val="0"/>
                <w:i w:val="0"/>
                <w:sz w:val="22"/>
              </w:rPr>
              <w:t>17</w:t>
            </w:r>
          </w:p>
        </w:tc>
        <w:tc>
          <w:tcPr>
            <w:tcW w:type="dxa" w:w="7541"/>
          </w:tcPr>
          <w:p>
            <w:pPr>
              <w:spacing w:after="40" w:before="40"/>
            </w:pPr>
            <w:r/>
            <w:r>
              <w:rPr>
                <w:rFonts w:ascii="Cambria" w:hAnsi="Cambria"/>
                <w:b w:val="0"/>
                <w:i w:val="0"/>
                <w:sz w:val="22"/>
              </w:rPr>
              <w:t>GENERAL CONDITIONS OF SERVICE</w:t>
            </w:r>
          </w:p>
        </w:tc>
        <w:tc>
          <w:tcPr>
            <w:tcW w:type="dxa" w:w="1020"/>
          </w:tcPr>
          <w:p>
            <w:pPr>
              <w:spacing w:after="40" w:before="40"/>
              <w:jc w:val="center"/>
            </w:pPr>
            <w:r/>
            <w:r>
              <w:rPr>
                <w:rFonts w:ascii="Cambria" w:hAnsi="Cambria"/>
                <w:b w:val="0"/>
                <w:i w:val="0"/>
                <w:sz w:val="22"/>
              </w:rPr>
              <w:t>096</w:t>
            </w:r>
          </w:p>
        </w:tc>
      </w:tr>
      <w:tr>
        <w:tc>
          <w:tcPr>
            <w:tcW w:type="dxa" w:w="850"/>
            <w:shd w:val="clear" w:color="auto" w:fill="F0F2F5"/>
          </w:tcPr>
          <w:p>
            <w:pPr>
              <w:spacing w:after="40" w:before="40"/>
              <w:jc w:val="center"/>
            </w:pPr>
            <w:r/>
            <w:r>
              <w:rPr>
                <w:rFonts w:ascii="Cambria" w:hAnsi="Cambria"/>
                <w:b w:val="0"/>
                <w:i w:val="0"/>
                <w:sz w:val="22"/>
              </w:rPr>
              <w:t>18</w:t>
            </w:r>
          </w:p>
        </w:tc>
        <w:tc>
          <w:tcPr>
            <w:tcW w:type="dxa" w:w="7541"/>
            <w:shd w:val="clear" w:color="auto" w:fill="F0F2F5"/>
          </w:tcPr>
          <w:p>
            <w:pPr>
              <w:spacing w:after="40" w:before="40"/>
            </w:pPr>
            <w:r/>
            <w:r>
              <w:rPr>
                <w:rFonts w:ascii="Cambria" w:hAnsi="Cambria"/>
                <w:b w:val="0"/>
                <w:i w:val="0"/>
                <w:sz w:val="22"/>
              </w:rPr>
              <w:t>PROBATION POLICY</w:t>
            </w:r>
          </w:p>
        </w:tc>
        <w:tc>
          <w:tcPr>
            <w:tcW w:type="dxa" w:w="1020"/>
            <w:shd w:val="clear" w:color="auto" w:fill="F0F2F5"/>
          </w:tcPr>
          <w:p>
            <w:pPr>
              <w:spacing w:after="40" w:before="40"/>
              <w:jc w:val="center"/>
            </w:pPr>
            <w:r/>
            <w:r>
              <w:rPr>
                <w:rFonts w:ascii="Cambria" w:hAnsi="Cambria"/>
                <w:b w:val="0"/>
                <w:i w:val="0"/>
                <w:sz w:val="22"/>
              </w:rPr>
              <w:t>099</w:t>
            </w:r>
          </w:p>
        </w:tc>
      </w:tr>
      <w:tr>
        <w:tc>
          <w:tcPr>
            <w:tcW w:type="dxa" w:w="850"/>
          </w:tcPr>
          <w:p>
            <w:pPr>
              <w:spacing w:after="40" w:before="40"/>
              <w:jc w:val="center"/>
            </w:pPr>
            <w:r/>
            <w:r>
              <w:rPr>
                <w:rFonts w:ascii="Cambria" w:hAnsi="Cambria"/>
                <w:b w:val="0"/>
                <w:i w:val="0"/>
                <w:sz w:val="22"/>
              </w:rPr>
              <w:t>19</w:t>
            </w:r>
          </w:p>
        </w:tc>
        <w:tc>
          <w:tcPr>
            <w:tcW w:type="dxa" w:w="7541"/>
          </w:tcPr>
          <w:p>
            <w:pPr>
              <w:spacing w:after="40" w:before="40"/>
            </w:pPr>
            <w:r/>
            <w:r>
              <w:rPr>
                <w:rFonts w:ascii="Cambria" w:hAnsi="Cambria"/>
                <w:b w:val="0"/>
                <w:i w:val="0"/>
                <w:sz w:val="22"/>
              </w:rPr>
              <w:t>EXTENSION OF PROBATION</w:t>
            </w:r>
          </w:p>
        </w:tc>
        <w:tc>
          <w:tcPr>
            <w:tcW w:type="dxa" w:w="1020"/>
          </w:tcPr>
          <w:p>
            <w:pPr>
              <w:spacing w:after="40" w:before="40"/>
              <w:jc w:val="center"/>
            </w:pPr>
            <w:r/>
            <w:r>
              <w:rPr>
                <w:rFonts w:ascii="Cambria" w:hAnsi="Cambria"/>
                <w:b w:val="0"/>
                <w:i w:val="0"/>
                <w:sz w:val="22"/>
              </w:rPr>
              <w:t>102</w:t>
            </w:r>
          </w:p>
        </w:tc>
      </w:tr>
      <w:tr>
        <w:tc>
          <w:tcPr>
            <w:tcW w:type="dxa" w:w="850"/>
            <w:shd w:val="clear" w:color="auto" w:fill="F0F2F5"/>
          </w:tcPr>
          <w:p>
            <w:pPr>
              <w:spacing w:after="40" w:before="40"/>
              <w:jc w:val="center"/>
            </w:pPr>
            <w:r/>
            <w:r>
              <w:rPr>
                <w:rFonts w:ascii="Cambria" w:hAnsi="Cambria"/>
                <w:b w:val="0"/>
                <w:i w:val="0"/>
                <w:sz w:val="22"/>
              </w:rPr>
              <w:t>20</w:t>
            </w:r>
          </w:p>
        </w:tc>
        <w:tc>
          <w:tcPr>
            <w:tcW w:type="dxa" w:w="7541"/>
            <w:shd w:val="clear" w:color="auto" w:fill="F0F2F5"/>
          </w:tcPr>
          <w:p>
            <w:pPr>
              <w:spacing w:after="40" w:before="40"/>
            </w:pPr>
            <w:r/>
            <w:r>
              <w:rPr>
                <w:rFonts w:ascii="Cambria" w:hAnsi="Cambria"/>
                <w:b w:val="0"/>
                <w:i w:val="0"/>
                <w:sz w:val="22"/>
              </w:rPr>
              <w:t>CONFIRMATION POLICY</w:t>
            </w:r>
          </w:p>
        </w:tc>
        <w:tc>
          <w:tcPr>
            <w:tcW w:type="dxa" w:w="1020"/>
            <w:shd w:val="clear" w:color="auto" w:fill="F0F2F5"/>
          </w:tcPr>
          <w:p>
            <w:pPr>
              <w:spacing w:after="40" w:before="40"/>
              <w:jc w:val="center"/>
            </w:pPr>
            <w:r/>
            <w:r>
              <w:rPr>
                <w:rFonts w:ascii="Cambria" w:hAnsi="Cambria"/>
                <w:b w:val="0"/>
                <w:i w:val="0"/>
                <w:sz w:val="22"/>
              </w:rPr>
              <w:t>104</w:t>
            </w:r>
          </w:p>
        </w:tc>
      </w:tr>
      <w:tr>
        <w:tc>
          <w:tcPr>
            <w:tcW w:type="dxa" w:w="850"/>
          </w:tcPr>
          <w:p>
            <w:pPr>
              <w:spacing w:after="40" w:before="40"/>
              <w:jc w:val="center"/>
            </w:pPr>
            <w:r/>
            <w:r>
              <w:rPr>
                <w:rFonts w:ascii="Cambria" w:hAnsi="Cambria"/>
                <w:b w:val="0"/>
                <w:i w:val="0"/>
                <w:sz w:val="22"/>
              </w:rPr>
              <w:t>21</w:t>
            </w:r>
          </w:p>
        </w:tc>
        <w:tc>
          <w:tcPr>
            <w:tcW w:type="dxa" w:w="7541"/>
          </w:tcPr>
          <w:p>
            <w:pPr>
              <w:spacing w:after="40" w:before="40"/>
            </w:pPr>
            <w:r/>
            <w:r>
              <w:rPr>
                <w:rFonts w:ascii="Cambria" w:hAnsi="Cambria"/>
                <w:b w:val="0"/>
                <w:i w:val="0"/>
                <w:sz w:val="22"/>
              </w:rPr>
              <w:t>TERMINATION OF SERVICE POLICY</w:t>
            </w:r>
          </w:p>
        </w:tc>
        <w:tc>
          <w:tcPr>
            <w:tcW w:type="dxa" w:w="1020"/>
          </w:tcPr>
          <w:p>
            <w:pPr>
              <w:spacing w:after="40" w:before="40"/>
              <w:jc w:val="center"/>
            </w:pPr>
            <w:r/>
            <w:r>
              <w:rPr>
                <w:rFonts w:ascii="Cambria" w:hAnsi="Cambria"/>
                <w:b w:val="0"/>
                <w:i w:val="0"/>
                <w:sz w:val="22"/>
              </w:rPr>
              <w:t>106</w:t>
            </w:r>
          </w:p>
        </w:tc>
      </w:tr>
      <w:tr>
        <w:tc>
          <w:tcPr>
            <w:tcW w:type="dxa" w:w="850"/>
            <w:shd w:val="clear" w:color="auto" w:fill="F0F2F5"/>
          </w:tcPr>
          <w:p>
            <w:pPr>
              <w:spacing w:after="40" w:before="40"/>
              <w:jc w:val="center"/>
            </w:pPr>
            <w:r/>
            <w:r>
              <w:rPr>
                <w:rFonts w:ascii="Cambria" w:hAnsi="Cambria"/>
                <w:b w:val="0"/>
                <w:i w:val="0"/>
                <w:sz w:val="22"/>
              </w:rPr>
              <w:t>22</w:t>
            </w:r>
          </w:p>
        </w:tc>
        <w:tc>
          <w:tcPr>
            <w:tcW w:type="dxa" w:w="7541"/>
            <w:shd w:val="clear" w:color="auto" w:fill="F0F2F5"/>
          </w:tcPr>
          <w:p>
            <w:pPr>
              <w:spacing w:after="40" w:before="40"/>
            </w:pPr>
            <w:r/>
            <w:r>
              <w:rPr>
                <w:rFonts w:ascii="Cambria" w:hAnsi="Cambria"/>
                <w:b w:val="0"/>
                <w:i w:val="0"/>
                <w:sz w:val="22"/>
              </w:rPr>
              <w:t>NON-CONFIRMATION AFTER PROBATION POLICY</w:t>
            </w:r>
          </w:p>
        </w:tc>
        <w:tc>
          <w:tcPr>
            <w:tcW w:type="dxa" w:w="1020"/>
            <w:shd w:val="clear" w:color="auto" w:fill="F0F2F5"/>
          </w:tcPr>
          <w:p>
            <w:pPr>
              <w:spacing w:after="40" w:before="40"/>
              <w:jc w:val="center"/>
            </w:pPr>
            <w:r/>
            <w:r>
              <w:rPr>
                <w:rFonts w:ascii="Cambria" w:hAnsi="Cambria"/>
                <w:b w:val="0"/>
                <w:i w:val="0"/>
                <w:sz w:val="22"/>
              </w:rPr>
              <w:t>108</w:t>
            </w:r>
          </w:p>
        </w:tc>
      </w:tr>
      <w:tr>
        <w:tc>
          <w:tcPr>
            <w:tcW w:type="dxa" w:w="850"/>
          </w:tcPr>
          <w:p>
            <w:pPr>
              <w:spacing w:after="40" w:before="40"/>
              <w:jc w:val="center"/>
            </w:pPr>
            <w:r/>
            <w:r>
              <w:rPr>
                <w:rFonts w:ascii="Cambria" w:hAnsi="Cambria"/>
                <w:b w:val="0"/>
                <w:i w:val="0"/>
                <w:sz w:val="22"/>
              </w:rPr>
              <w:t>23</w:t>
            </w:r>
          </w:p>
        </w:tc>
        <w:tc>
          <w:tcPr>
            <w:tcW w:type="dxa" w:w="7541"/>
          </w:tcPr>
          <w:p>
            <w:pPr>
              <w:spacing w:after="40" w:before="40"/>
            </w:pPr>
            <w:r/>
            <w:r>
              <w:rPr>
                <w:rFonts w:ascii="Cambria" w:hAnsi="Cambria"/>
                <w:b w:val="0"/>
                <w:i w:val="0"/>
                <w:sz w:val="22"/>
              </w:rPr>
              <w:t>TERMINATION OF SERVICE ON MEDICAL GROUNDS POLICY</w:t>
            </w:r>
          </w:p>
        </w:tc>
        <w:tc>
          <w:tcPr>
            <w:tcW w:type="dxa" w:w="1020"/>
          </w:tcPr>
          <w:p>
            <w:pPr>
              <w:spacing w:after="40" w:before="40"/>
              <w:jc w:val="center"/>
            </w:pPr>
            <w:r/>
            <w:r>
              <w:rPr>
                <w:rFonts w:ascii="Cambria" w:hAnsi="Cambria"/>
                <w:b w:val="0"/>
                <w:i w:val="0"/>
                <w:sz w:val="22"/>
              </w:rPr>
              <w:t>110</w:t>
            </w:r>
          </w:p>
        </w:tc>
      </w:tr>
      <w:tr>
        <w:tc>
          <w:tcPr>
            <w:tcW w:type="dxa" w:w="850"/>
            <w:shd w:val="clear" w:color="auto" w:fill="F0F2F5"/>
          </w:tcPr>
          <w:p>
            <w:pPr>
              <w:spacing w:after="40" w:before="40"/>
              <w:jc w:val="center"/>
            </w:pPr>
            <w:r/>
            <w:r>
              <w:rPr>
                <w:rFonts w:ascii="Cambria" w:hAnsi="Cambria"/>
                <w:b w:val="0"/>
                <w:i w:val="0"/>
                <w:sz w:val="22"/>
              </w:rPr>
              <w:t>24</w:t>
            </w:r>
          </w:p>
        </w:tc>
        <w:tc>
          <w:tcPr>
            <w:tcW w:type="dxa" w:w="7541"/>
            <w:shd w:val="clear" w:color="auto" w:fill="F0F2F5"/>
          </w:tcPr>
          <w:p>
            <w:pPr>
              <w:spacing w:after="40" w:before="40"/>
            </w:pPr>
            <w:r/>
            <w:r>
              <w:rPr>
                <w:rFonts w:ascii="Cambria" w:hAnsi="Cambria"/>
                <w:b w:val="0"/>
                <w:i w:val="0"/>
                <w:sz w:val="22"/>
              </w:rPr>
              <w:t>TERMINATION OF SERVICE ON GROUNDS OF RETRENCHMENT OR ECONOMY POLICY</w:t>
            </w:r>
          </w:p>
        </w:tc>
        <w:tc>
          <w:tcPr>
            <w:tcW w:type="dxa" w:w="1020"/>
            <w:shd w:val="clear" w:color="auto" w:fill="F0F2F5"/>
          </w:tcPr>
          <w:p>
            <w:pPr>
              <w:spacing w:after="40" w:before="40"/>
              <w:jc w:val="center"/>
            </w:pPr>
            <w:r/>
            <w:r>
              <w:rPr>
                <w:rFonts w:ascii="Cambria" w:hAnsi="Cambria"/>
                <w:b w:val="0"/>
                <w:i w:val="0"/>
                <w:sz w:val="22"/>
              </w:rPr>
              <w:t>112</w:t>
            </w:r>
          </w:p>
        </w:tc>
      </w:tr>
      <w:tr>
        <w:tc>
          <w:tcPr>
            <w:tcW w:type="dxa" w:w="850"/>
          </w:tcPr>
          <w:p>
            <w:pPr>
              <w:spacing w:after="40" w:before="40"/>
              <w:jc w:val="center"/>
            </w:pPr>
            <w:r/>
            <w:r>
              <w:rPr>
                <w:rFonts w:ascii="Cambria" w:hAnsi="Cambria"/>
                <w:b w:val="0"/>
                <w:i w:val="0"/>
                <w:sz w:val="22"/>
              </w:rPr>
              <w:t>25</w:t>
            </w:r>
          </w:p>
        </w:tc>
        <w:tc>
          <w:tcPr>
            <w:tcW w:type="dxa" w:w="7541"/>
          </w:tcPr>
          <w:p>
            <w:pPr>
              <w:spacing w:after="40" w:before="40"/>
            </w:pPr>
            <w:r/>
            <w:r>
              <w:rPr>
                <w:rFonts w:ascii="Cambria" w:hAnsi="Cambria"/>
                <w:b w:val="0"/>
                <w:i w:val="0"/>
                <w:sz w:val="22"/>
              </w:rPr>
              <w:t>TERMINATION OF SERVICE ON DISCIPLINARY GROUNDS POLICY</w:t>
            </w:r>
          </w:p>
        </w:tc>
        <w:tc>
          <w:tcPr>
            <w:tcW w:type="dxa" w:w="1020"/>
          </w:tcPr>
          <w:p>
            <w:pPr>
              <w:spacing w:after="40" w:before="40"/>
              <w:jc w:val="center"/>
            </w:pPr>
            <w:r/>
            <w:r>
              <w:rPr>
                <w:rFonts w:ascii="Cambria" w:hAnsi="Cambria"/>
                <w:b w:val="0"/>
                <w:i w:val="0"/>
                <w:sz w:val="22"/>
              </w:rPr>
              <w:t>115</w:t>
            </w:r>
          </w:p>
        </w:tc>
      </w:tr>
      <w:tr>
        <w:tc>
          <w:tcPr>
            <w:tcW w:type="dxa" w:w="850"/>
            <w:shd w:val="clear" w:color="auto" w:fill="F0F2F5"/>
          </w:tcPr>
          <w:p>
            <w:pPr>
              <w:spacing w:after="40" w:before="40"/>
              <w:jc w:val="center"/>
            </w:pPr>
            <w:r/>
            <w:r>
              <w:rPr>
                <w:rFonts w:ascii="Cambria" w:hAnsi="Cambria"/>
                <w:b w:val="0"/>
                <w:i w:val="0"/>
                <w:sz w:val="22"/>
              </w:rPr>
              <w:t>26</w:t>
            </w:r>
          </w:p>
        </w:tc>
        <w:tc>
          <w:tcPr>
            <w:tcW w:type="dxa" w:w="7541"/>
            <w:shd w:val="clear" w:color="auto" w:fill="F0F2F5"/>
          </w:tcPr>
          <w:p>
            <w:pPr>
              <w:spacing w:after="40" w:before="40"/>
            </w:pPr>
            <w:r/>
            <w:r>
              <w:rPr>
                <w:rFonts w:ascii="Cambria" w:hAnsi="Cambria"/>
                <w:b w:val="0"/>
                <w:i w:val="0"/>
                <w:sz w:val="22"/>
              </w:rPr>
              <w:t>RESIGNATION, NOTICE, AND RELIEVING POLICY</w:t>
            </w:r>
          </w:p>
        </w:tc>
        <w:tc>
          <w:tcPr>
            <w:tcW w:type="dxa" w:w="1020"/>
            <w:shd w:val="clear" w:color="auto" w:fill="F0F2F5"/>
          </w:tcPr>
          <w:p>
            <w:pPr>
              <w:spacing w:after="40" w:before="40"/>
              <w:jc w:val="center"/>
            </w:pPr>
            <w:r/>
            <w:r>
              <w:rPr>
                <w:rFonts w:ascii="Cambria" w:hAnsi="Cambria"/>
                <w:b w:val="0"/>
                <w:i w:val="0"/>
                <w:sz w:val="22"/>
              </w:rPr>
              <w:t>118</w:t>
            </w:r>
          </w:p>
        </w:tc>
      </w:tr>
      <w:tr>
        <w:tc>
          <w:tcPr>
            <w:tcW w:type="dxa" w:w="850"/>
          </w:tcPr>
          <w:p>
            <w:pPr>
              <w:spacing w:after="40" w:before="40"/>
              <w:jc w:val="center"/>
            </w:pPr>
            <w:r/>
            <w:r>
              <w:rPr>
                <w:rFonts w:ascii="Cambria" w:hAnsi="Cambria"/>
                <w:b w:val="0"/>
                <w:i w:val="0"/>
                <w:sz w:val="22"/>
              </w:rPr>
              <w:t>27</w:t>
            </w:r>
          </w:p>
        </w:tc>
        <w:tc>
          <w:tcPr>
            <w:tcW w:type="dxa" w:w="7541"/>
          </w:tcPr>
          <w:p>
            <w:pPr>
              <w:spacing w:after="40" w:before="40"/>
            </w:pPr>
            <w:r/>
            <w:r>
              <w:rPr>
                <w:rFonts w:ascii="Cambria" w:hAnsi="Cambria"/>
                <w:b w:val="0"/>
                <w:i w:val="0"/>
                <w:sz w:val="22"/>
              </w:rPr>
              <w:t>SERVICE AGREEMENT / BOND POLICY FOR EMPLOYEES GRANTED HIGHER START IN PAY</w:t>
            </w:r>
          </w:p>
        </w:tc>
        <w:tc>
          <w:tcPr>
            <w:tcW w:type="dxa" w:w="1020"/>
          </w:tcPr>
          <w:p>
            <w:pPr>
              <w:spacing w:after="40" w:before="40"/>
              <w:jc w:val="center"/>
            </w:pPr>
            <w:r/>
            <w:r>
              <w:rPr>
                <w:rFonts w:ascii="Cambria" w:hAnsi="Cambria"/>
                <w:b w:val="0"/>
                <w:i w:val="0"/>
                <w:sz w:val="22"/>
              </w:rPr>
              <w:t>121</w:t>
            </w:r>
          </w:p>
        </w:tc>
      </w:tr>
      <w:tr>
        <w:tc>
          <w:tcPr>
            <w:tcW w:type="dxa" w:w="850"/>
            <w:shd w:val="clear" w:color="auto" w:fill="F0F2F5"/>
          </w:tcPr>
          <w:p>
            <w:pPr>
              <w:spacing w:after="40" w:before="40"/>
              <w:jc w:val="center"/>
            </w:pPr>
            <w:r/>
            <w:r>
              <w:rPr>
                <w:rFonts w:ascii="Cambria" w:hAnsi="Cambria"/>
                <w:b w:val="0"/>
                <w:i w:val="0"/>
                <w:sz w:val="22"/>
              </w:rPr>
              <w:t>28</w:t>
            </w:r>
          </w:p>
        </w:tc>
        <w:tc>
          <w:tcPr>
            <w:tcW w:type="dxa" w:w="7541"/>
            <w:shd w:val="clear" w:color="auto" w:fill="F0F2F5"/>
          </w:tcPr>
          <w:p>
            <w:pPr>
              <w:spacing w:after="40" w:before="40"/>
            </w:pPr>
            <w:r/>
            <w:r>
              <w:rPr>
                <w:rFonts w:ascii="Cambria" w:hAnsi="Cambria"/>
                <w:b w:val="0"/>
                <w:i w:val="0"/>
                <w:sz w:val="22"/>
              </w:rPr>
              <w:t>AUTOMATIC TERMINATION DUE TO UNAUTHORIZED ABSENCE POLICY</w:t>
            </w:r>
          </w:p>
        </w:tc>
        <w:tc>
          <w:tcPr>
            <w:tcW w:type="dxa" w:w="1020"/>
            <w:shd w:val="clear" w:color="auto" w:fill="F0F2F5"/>
          </w:tcPr>
          <w:p>
            <w:pPr>
              <w:spacing w:after="40" w:before="40"/>
              <w:jc w:val="center"/>
            </w:pPr>
            <w:r/>
            <w:r>
              <w:rPr>
                <w:rFonts w:ascii="Cambria" w:hAnsi="Cambria"/>
                <w:b w:val="0"/>
                <w:i w:val="0"/>
                <w:sz w:val="22"/>
              </w:rPr>
              <w:t>124</w:t>
            </w:r>
          </w:p>
        </w:tc>
      </w:tr>
      <w:tr>
        <w:tc>
          <w:tcPr>
            <w:tcW w:type="dxa" w:w="850"/>
          </w:tcPr>
          <w:p>
            <w:pPr>
              <w:spacing w:after="40" w:before="40"/>
              <w:jc w:val="center"/>
            </w:pPr>
            <w:r/>
            <w:r>
              <w:rPr>
                <w:rFonts w:ascii="Cambria" w:hAnsi="Cambria"/>
                <w:b w:val="0"/>
                <w:i w:val="0"/>
                <w:sz w:val="22"/>
              </w:rPr>
              <w:t>29</w:t>
            </w:r>
          </w:p>
        </w:tc>
        <w:tc>
          <w:tcPr>
            <w:tcW w:type="dxa" w:w="7541"/>
          </w:tcPr>
          <w:p>
            <w:pPr>
              <w:spacing w:after="40" w:before="40"/>
            </w:pPr>
            <w:r/>
            <w:r>
              <w:rPr>
                <w:rFonts w:ascii="Cambria" w:hAnsi="Cambria"/>
                <w:b w:val="0"/>
                <w:i w:val="0"/>
                <w:sz w:val="22"/>
              </w:rPr>
              <w:t>APPLICATION FOR OUTSIDE APPOINTMENTS POLICY</w:t>
            </w:r>
          </w:p>
        </w:tc>
        <w:tc>
          <w:tcPr>
            <w:tcW w:type="dxa" w:w="1020"/>
          </w:tcPr>
          <w:p>
            <w:pPr>
              <w:spacing w:after="40" w:before="40"/>
              <w:jc w:val="center"/>
            </w:pPr>
            <w:r/>
            <w:r>
              <w:rPr>
                <w:rFonts w:ascii="Cambria" w:hAnsi="Cambria"/>
                <w:b w:val="0"/>
                <w:i w:val="0"/>
                <w:sz w:val="22"/>
              </w:rPr>
              <w:t>127</w:t>
            </w:r>
          </w:p>
        </w:tc>
      </w:tr>
      <w:tr>
        <w:tc>
          <w:tcPr>
            <w:tcW w:type="dxa" w:w="850"/>
            <w:shd w:val="clear" w:color="auto" w:fill="F0F2F5"/>
          </w:tcPr>
          <w:p>
            <w:pPr>
              <w:spacing w:after="40" w:before="40"/>
              <w:jc w:val="center"/>
            </w:pPr>
            <w:r/>
            <w:r>
              <w:rPr>
                <w:rFonts w:ascii="Cambria" w:hAnsi="Cambria"/>
                <w:b w:val="0"/>
                <w:i w:val="0"/>
                <w:sz w:val="22"/>
              </w:rPr>
              <w:t>30</w:t>
            </w:r>
          </w:p>
        </w:tc>
        <w:tc>
          <w:tcPr>
            <w:tcW w:type="dxa" w:w="7541"/>
            <w:shd w:val="clear" w:color="auto" w:fill="F0F2F5"/>
          </w:tcPr>
          <w:p>
            <w:pPr>
              <w:spacing w:after="40" w:before="40"/>
            </w:pPr>
            <w:r/>
            <w:r>
              <w:rPr>
                <w:rFonts w:ascii="Cambria" w:hAnsi="Cambria"/>
                <w:b w:val="0"/>
                <w:i w:val="0"/>
                <w:sz w:val="22"/>
              </w:rPr>
              <w:t>SUPERANNUATION, RETIREMENT, AND RE-EMPLOYMENT POLICY</w:t>
            </w:r>
          </w:p>
        </w:tc>
        <w:tc>
          <w:tcPr>
            <w:tcW w:type="dxa" w:w="1020"/>
            <w:shd w:val="clear" w:color="auto" w:fill="F0F2F5"/>
          </w:tcPr>
          <w:p>
            <w:pPr>
              <w:spacing w:after="40" w:before="40"/>
              <w:jc w:val="center"/>
            </w:pPr>
            <w:r/>
            <w:r>
              <w:rPr>
                <w:rFonts w:ascii="Cambria" w:hAnsi="Cambria"/>
                <w:b w:val="0"/>
                <w:i w:val="0"/>
                <w:sz w:val="22"/>
              </w:rPr>
              <w:t>130</w:t>
            </w:r>
          </w:p>
        </w:tc>
      </w:tr>
      <w:tr>
        <w:tc>
          <w:tcPr>
            <w:tcW w:type="dxa" w:w="850"/>
          </w:tcPr>
          <w:p>
            <w:pPr>
              <w:spacing w:after="40" w:before="40"/>
              <w:jc w:val="center"/>
            </w:pPr>
            <w:r/>
            <w:r>
              <w:rPr>
                <w:rFonts w:ascii="Cambria" w:hAnsi="Cambria"/>
                <w:b w:val="0"/>
                <w:i w:val="0"/>
                <w:sz w:val="22"/>
              </w:rPr>
              <w:t>31</w:t>
            </w:r>
          </w:p>
        </w:tc>
        <w:tc>
          <w:tcPr>
            <w:tcW w:type="dxa" w:w="7541"/>
          </w:tcPr>
          <w:p>
            <w:pPr>
              <w:spacing w:after="40" w:before="40"/>
            </w:pPr>
            <w:r/>
            <w:r>
              <w:rPr>
                <w:rFonts w:ascii="Cambria" w:hAnsi="Cambria"/>
                <w:b w:val="0"/>
                <w:i w:val="0"/>
                <w:sz w:val="22"/>
              </w:rPr>
              <w:t>SENIORITY POLICY</w:t>
            </w:r>
          </w:p>
        </w:tc>
        <w:tc>
          <w:tcPr>
            <w:tcW w:type="dxa" w:w="1020"/>
          </w:tcPr>
          <w:p>
            <w:pPr>
              <w:spacing w:after="40" w:before="40"/>
              <w:jc w:val="center"/>
            </w:pPr>
            <w:r/>
            <w:r>
              <w:rPr>
                <w:rFonts w:ascii="Cambria" w:hAnsi="Cambria"/>
                <w:b w:val="0"/>
                <w:i w:val="0"/>
                <w:sz w:val="22"/>
              </w:rPr>
              <w:t>133</w:t>
            </w:r>
          </w:p>
        </w:tc>
      </w:tr>
      <w:tr>
        <w:tc>
          <w:tcPr>
            <w:tcW w:type="dxa" w:w="850"/>
            <w:shd w:val="clear" w:color="auto" w:fill="F0F2F5"/>
          </w:tcPr>
          <w:p>
            <w:pPr>
              <w:spacing w:after="40" w:before="40"/>
              <w:jc w:val="center"/>
            </w:pPr>
            <w:r/>
            <w:r>
              <w:rPr>
                <w:rFonts w:ascii="Cambria" w:hAnsi="Cambria"/>
                <w:b w:val="0"/>
                <w:i w:val="0"/>
                <w:sz w:val="22"/>
              </w:rPr>
              <w:t>32</w:t>
            </w:r>
          </w:p>
        </w:tc>
        <w:tc>
          <w:tcPr>
            <w:tcW w:type="dxa" w:w="7541"/>
            <w:shd w:val="clear" w:color="auto" w:fill="F0F2F5"/>
          </w:tcPr>
          <w:p>
            <w:pPr>
              <w:spacing w:after="40" w:before="40"/>
            </w:pPr>
            <w:r/>
            <w:r>
              <w:rPr>
                <w:rFonts w:ascii="Cambria" w:hAnsi="Cambria"/>
                <w:b w:val="0"/>
                <w:i w:val="0"/>
                <w:sz w:val="22"/>
              </w:rPr>
              <w:t>INTER-SE SENIORITY AMONG CANDIDATES SELECTED IN THE SAME SELECTION COMMITTEE POLICY</w:t>
            </w:r>
          </w:p>
        </w:tc>
        <w:tc>
          <w:tcPr>
            <w:tcW w:type="dxa" w:w="1020"/>
            <w:shd w:val="clear" w:color="auto" w:fill="F0F2F5"/>
          </w:tcPr>
          <w:p>
            <w:pPr>
              <w:spacing w:after="40" w:before="40"/>
              <w:jc w:val="center"/>
            </w:pPr>
            <w:r/>
            <w:r>
              <w:rPr>
                <w:rFonts w:ascii="Cambria" w:hAnsi="Cambria"/>
                <w:b w:val="0"/>
                <w:i w:val="0"/>
                <w:sz w:val="22"/>
              </w:rPr>
              <w:t>135</w:t>
            </w:r>
          </w:p>
        </w:tc>
      </w:tr>
      <w:tr>
        <w:tc>
          <w:tcPr>
            <w:tcW w:type="dxa" w:w="850"/>
          </w:tcPr>
          <w:p>
            <w:pPr>
              <w:spacing w:after="40" w:before="40"/>
              <w:jc w:val="center"/>
            </w:pPr>
            <w:r/>
            <w:r>
              <w:rPr>
                <w:rFonts w:ascii="Cambria" w:hAnsi="Cambria"/>
                <w:b w:val="0"/>
                <w:i w:val="0"/>
                <w:sz w:val="22"/>
              </w:rPr>
              <w:t>33</w:t>
            </w:r>
          </w:p>
        </w:tc>
        <w:tc>
          <w:tcPr>
            <w:tcW w:type="dxa" w:w="7541"/>
          </w:tcPr>
          <w:p>
            <w:pPr>
              <w:spacing w:after="40" w:before="40"/>
            </w:pPr>
            <w:r/>
            <w:r>
              <w:rPr>
                <w:rFonts w:ascii="Cambria" w:hAnsi="Cambria"/>
                <w:b w:val="0"/>
                <w:i w:val="0"/>
                <w:sz w:val="22"/>
              </w:rPr>
              <w:t>PROVIDENT FUND (PF) RULES POLICY</w:t>
            </w:r>
          </w:p>
        </w:tc>
        <w:tc>
          <w:tcPr>
            <w:tcW w:type="dxa" w:w="1020"/>
          </w:tcPr>
          <w:p>
            <w:pPr>
              <w:spacing w:after="40" w:before="40"/>
              <w:jc w:val="center"/>
            </w:pPr>
            <w:r/>
            <w:r>
              <w:rPr>
                <w:rFonts w:ascii="Cambria" w:hAnsi="Cambria"/>
                <w:b w:val="0"/>
                <w:i w:val="0"/>
                <w:sz w:val="22"/>
              </w:rPr>
              <w:t>137</w:t>
            </w:r>
          </w:p>
        </w:tc>
      </w:tr>
      <w:tr>
        <w:tc>
          <w:tcPr>
            <w:tcW w:type="dxa" w:w="850"/>
            <w:shd w:val="clear" w:color="auto" w:fill="F0F2F5"/>
          </w:tcPr>
          <w:p>
            <w:pPr>
              <w:spacing w:after="40" w:before="40"/>
              <w:jc w:val="center"/>
            </w:pPr>
            <w:r/>
            <w:r>
              <w:rPr>
                <w:rFonts w:ascii="Cambria" w:hAnsi="Cambria"/>
                <w:b w:val="0"/>
                <w:i w:val="0"/>
                <w:sz w:val="22"/>
              </w:rPr>
              <w:t>34</w:t>
            </w:r>
          </w:p>
        </w:tc>
        <w:tc>
          <w:tcPr>
            <w:tcW w:type="dxa" w:w="7541"/>
            <w:shd w:val="clear" w:color="auto" w:fill="F0F2F5"/>
          </w:tcPr>
          <w:p>
            <w:pPr>
              <w:spacing w:after="40" w:before="40"/>
            </w:pPr>
            <w:r/>
            <w:r>
              <w:rPr>
                <w:rFonts w:ascii="Cambria" w:hAnsi="Cambria"/>
                <w:b w:val="0"/>
                <w:i w:val="0"/>
                <w:sz w:val="22"/>
              </w:rPr>
              <w:t>ALLOWANCES AND ENTITLEMENTS POLICY</w:t>
            </w:r>
          </w:p>
        </w:tc>
        <w:tc>
          <w:tcPr>
            <w:tcW w:type="dxa" w:w="1020"/>
            <w:shd w:val="clear" w:color="auto" w:fill="F0F2F5"/>
          </w:tcPr>
          <w:p>
            <w:pPr>
              <w:spacing w:after="40" w:before="40"/>
              <w:jc w:val="center"/>
            </w:pPr>
            <w:r/>
            <w:r>
              <w:rPr>
                <w:rFonts w:ascii="Cambria" w:hAnsi="Cambria"/>
                <w:b w:val="0"/>
                <w:i w:val="0"/>
                <w:sz w:val="22"/>
              </w:rPr>
              <w:t>140</w:t>
            </w:r>
          </w:p>
        </w:tc>
      </w:tr>
      <w:tr>
        <w:tc>
          <w:tcPr>
            <w:tcW w:type="dxa" w:w="850"/>
          </w:tcPr>
          <w:p>
            <w:pPr>
              <w:spacing w:after="40" w:before="40"/>
              <w:jc w:val="center"/>
            </w:pPr>
            <w:r/>
            <w:r>
              <w:rPr>
                <w:rFonts w:ascii="Cambria" w:hAnsi="Cambria"/>
                <w:b w:val="0"/>
                <w:i w:val="0"/>
                <w:sz w:val="22"/>
              </w:rPr>
              <w:t>35</w:t>
            </w:r>
          </w:p>
        </w:tc>
        <w:tc>
          <w:tcPr>
            <w:tcW w:type="dxa" w:w="7541"/>
          </w:tcPr>
          <w:p>
            <w:pPr>
              <w:spacing w:after="40" w:before="40"/>
            </w:pPr>
            <w:r/>
            <w:r>
              <w:rPr>
                <w:rFonts w:ascii="Cambria" w:hAnsi="Cambria"/>
                <w:b w:val="0"/>
                <w:i w:val="0"/>
                <w:sz w:val="22"/>
              </w:rPr>
              <w:t>GRATUITY AND LEAVE ENCASHMENT POLICY</w:t>
            </w:r>
          </w:p>
        </w:tc>
        <w:tc>
          <w:tcPr>
            <w:tcW w:type="dxa" w:w="1020"/>
          </w:tcPr>
          <w:p>
            <w:pPr>
              <w:spacing w:after="40" w:before="40"/>
              <w:jc w:val="center"/>
            </w:pPr>
            <w:r/>
            <w:r>
              <w:rPr>
                <w:rFonts w:ascii="Cambria" w:hAnsi="Cambria"/>
                <w:b w:val="0"/>
                <w:i w:val="0"/>
                <w:sz w:val="22"/>
              </w:rPr>
              <w:t>143</w:t>
            </w:r>
          </w:p>
        </w:tc>
      </w:tr>
      <w:tr>
        <w:tc>
          <w:tcPr>
            <w:tcW w:type="dxa" w:w="850"/>
            <w:shd w:val="clear" w:color="auto" w:fill="F0F2F5"/>
          </w:tcPr>
          <w:p>
            <w:pPr>
              <w:spacing w:after="40" w:before="40"/>
              <w:jc w:val="center"/>
            </w:pPr>
            <w:r/>
            <w:r>
              <w:rPr>
                <w:rFonts w:ascii="Cambria" w:hAnsi="Cambria"/>
                <w:b w:val="0"/>
                <w:i w:val="0"/>
                <w:sz w:val="22"/>
              </w:rPr>
              <w:t>36</w:t>
            </w:r>
          </w:p>
        </w:tc>
        <w:tc>
          <w:tcPr>
            <w:tcW w:type="dxa" w:w="7541"/>
            <w:shd w:val="clear" w:color="auto" w:fill="F0F2F5"/>
          </w:tcPr>
          <w:p>
            <w:pPr>
              <w:spacing w:after="40" w:before="40"/>
            </w:pPr>
            <w:r/>
            <w:r>
              <w:rPr>
                <w:rFonts w:ascii="Cambria" w:hAnsi="Cambria"/>
                <w:b w:val="0"/>
                <w:i w:val="0"/>
                <w:sz w:val="22"/>
              </w:rPr>
              <w:t>PENSION / POST-RETIREMENT BENEFITS POLICY</w:t>
            </w:r>
          </w:p>
        </w:tc>
        <w:tc>
          <w:tcPr>
            <w:tcW w:type="dxa" w:w="1020"/>
            <w:shd w:val="clear" w:color="auto" w:fill="F0F2F5"/>
          </w:tcPr>
          <w:p>
            <w:pPr>
              <w:spacing w:after="40" w:before="40"/>
              <w:jc w:val="center"/>
            </w:pPr>
            <w:r/>
            <w:r>
              <w:rPr>
                <w:rFonts w:ascii="Cambria" w:hAnsi="Cambria"/>
                <w:b w:val="0"/>
                <w:i w:val="0"/>
                <w:sz w:val="22"/>
              </w:rPr>
              <w:t>146</w:t>
            </w:r>
          </w:p>
        </w:tc>
      </w:tr>
      <w:tr>
        <w:tc>
          <w:tcPr>
            <w:tcW w:type="dxa" w:w="850"/>
          </w:tcPr>
          <w:p>
            <w:pPr>
              <w:spacing w:after="40" w:before="40"/>
              <w:jc w:val="center"/>
            </w:pPr>
            <w:r/>
            <w:r>
              <w:rPr>
                <w:rFonts w:ascii="Cambria" w:hAnsi="Cambria"/>
                <w:b w:val="0"/>
                <w:i w:val="0"/>
                <w:sz w:val="22"/>
              </w:rPr>
              <w:t>37</w:t>
            </w:r>
          </w:p>
        </w:tc>
        <w:tc>
          <w:tcPr>
            <w:tcW w:type="dxa" w:w="7541"/>
          </w:tcPr>
          <w:p>
            <w:pPr>
              <w:spacing w:after="40" w:before="40"/>
            </w:pPr>
            <w:r/>
            <w:r>
              <w:rPr>
                <w:rFonts w:ascii="Cambria" w:hAnsi="Cambria"/>
                <w:b w:val="0"/>
                <w:i w:val="0"/>
                <w:sz w:val="22"/>
              </w:rPr>
              <w:t>EMPLOYEE INSURANCE AND MEDICAL REIMBURSEMENT POLICY</w:t>
            </w:r>
          </w:p>
        </w:tc>
        <w:tc>
          <w:tcPr>
            <w:tcW w:type="dxa" w:w="1020"/>
          </w:tcPr>
          <w:p>
            <w:pPr>
              <w:spacing w:after="40" w:before="40"/>
              <w:jc w:val="center"/>
            </w:pPr>
            <w:r/>
            <w:r>
              <w:rPr>
                <w:rFonts w:ascii="Cambria" w:hAnsi="Cambria"/>
                <w:b w:val="0"/>
                <w:i w:val="0"/>
                <w:sz w:val="22"/>
              </w:rPr>
              <w:t>149</w:t>
            </w:r>
          </w:p>
        </w:tc>
      </w:tr>
      <w:tr>
        <w:tc>
          <w:tcPr>
            <w:tcW w:type="dxa" w:w="850"/>
            <w:shd w:val="clear" w:color="auto" w:fill="F0F2F5"/>
          </w:tcPr>
          <w:p>
            <w:pPr>
              <w:spacing w:after="40" w:before="40"/>
              <w:jc w:val="center"/>
            </w:pPr>
            <w:r/>
            <w:r>
              <w:rPr>
                <w:rFonts w:ascii="Cambria" w:hAnsi="Cambria"/>
                <w:b w:val="0"/>
                <w:i w:val="0"/>
                <w:sz w:val="22"/>
              </w:rPr>
              <w:t>38</w:t>
            </w:r>
          </w:p>
        </w:tc>
        <w:tc>
          <w:tcPr>
            <w:tcW w:type="dxa" w:w="7541"/>
            <w:shd w:val="clear" w:color="auto" w:fill="F0F2F5"/>
          </w:tcPr>
          <w:p>
            <w:pPr>
              <w:spacing w:after="40" w:before="40"/>
            </w:pPr>
            <w:r/>
            <w:r>
              <w:rPr>
                <w:rFonts w:ascii="Cambria" w:hAnsi="Cambria"/>
                <w:b w:val="0"/>
                <w:i w:val="0"/>
                <w:sz w:val="22"/>
              </w:rPr>
              <w:t>TRAVEL, LEAVE TRAVEL CONCESSION (LTC), AND CONVEYANCE POLICY</w:t>
            </w:r>
          </w:p>
        </w:tc>
        <w:tc>
          <w:tcPr>
            <w:tcW w:type="dxa" w:w="1020"/>
            <w:shd w:val="clear" w:color="auto" w:fill="F0F2F5"/>
          </w:tcPr>
          <w:p>
            <w:pPr>
              <w:spacing w:after="40" w:before="40"/>
              <w:jc w:val="center"/>
            </w:pPr>
            <w:r/>
            <w:r>
              <w:rPr>
                <w:rFonts w:ascii="Cambria" w:hAnsi="Cambria"/>
                <w:b w:val="0"/>
                <w:i w:val="0"/>
                <w:sz w:val="22"/>
              </w:rPr>
              <w:t>152</w:t>
            </w:r>
          </w:p>
        </w:tc>
      </w:tr>
      <w:tr>
        <w:tc>
          <w:tcPr>
            <w:tcW w:type="dxa" w:w="850"/>
          </w:tcPr>
          <w:p>
            <w:pPr>
              <w:spacing w:after="40" w:before="40"/>
              <w:jc w:val="center"/>
            </w:pPr>
            <w:r/>
            <w:r>
              <w:rPr>
                <w:rFonts w:ascii="Cambria" w:hAnsi="Cambria"/>
                <w:b w:val="0"/>
                <w:i w:val="0"/>
                <w:sz w:val="22"/>
              </w:rPr>
              <w:t>39</w:t>
            </w:r>
          </w:p>
        </w:tc>
        <w:tc>
          <w:tcPr>
            <w:tcW w:type="dxa" w:w="7541"/>
          </w:tcPr>
          <w:p>
            <w:pPr>
              <w:spacing w:after="40" w:before="40"/>
            </w:pPr>
            <w:r/>
            <w:r>
              <w:rPr>
                <w:rFonts w:ascii="Cambria" w:hAnsi="Cambria"/>
                <w:b w:val="0"/>
                <w:i w:val="0"/>
                <w:sz w:val="22"/>
              </w:rPr>
              <w:t>HOUSING, TRANSPORT, AND CAMPUS FACILITY POLICY</w:t>
            </w:r>
          </w:p>
        </w:tc>
        <w:tc>
          <w:tcPr>
            <w:tcW w:type="dxa" w:w="1020"/>
          </w:tcPr>
          <w:p>
            <w:pPr>
              <w:spacing w:after="40" w:before="40"/>
              <w:jc w:val="center"/>
            </w:pPr>
            <w:r/>
            <w:r>
              <w:rPr>
                <w:rFonts w:ascii="Cambria" w:hAnsi="Cambria"/>
                <w:b w:val="0"/>
                <w:i w:val="0"/>
                <w:sz w:val="22"/>
              </w:rPr>
              <w:t>155</w:t>
            </w:r>
          </w:p>
        </w:tc>
      </w:tr>
      <w:tr>
        <w:tc>
          <w:tcPr>
            <w:tcW w:type="dxa" w:w="850"/>
            <w:shd w:val="clear" w:color="auto" w:fill="F0F2F5"/>
          </w:tcPr>
          <w:p>
            <w:pPr>
              <w:spacing w:after="40" w:before="40"/>
              <w:jc w:val="center"/>
            </w:pPr>
            <w:r/>
            <w:r>
              <w:rPr>
                <w:rFonts w:ascii="Cambria" w:hAnsi="Cambria"/>
                <w:b w:val="0"/>
                <w:i w:val="0"/>
                <w:sz w:val="22"/>
              </w:rPr>
              <w:t>40</w:t>
            </w:r>
          </w:p>
        </w:tc>
        <w:tc>
          <w:tcPr>
            <w:tcW w:type="dxa" w:w="7541"/>
            <w:shd w:val="clear" w:color="auto" w:fill="F0F2F5"/>
          </w:tcPr>
          <w:p>
            <w:pPr>
              <w:spacing w:after="40" w:before="40"/>
            </w:pPr>
            <w:r/>
            <w:r>
              <w:rPr>
                <w:rFonts w:ascii="Cambria" w:hAnsi="Cambria"/>
                <w:b w:val="0"/>
                <w:i w:val="0"/>
                <w:sz w:val="22"/>
              </w:rPr>
              <w:t>FIXATION OF PAY POLICY</w:t>
            </w:r>
          </w:p>
        </w:tc>
        <w:tc>
          <w:tcPr>
            <w:tcW w:type="dxa" w:w="1020"/>
            <w:shd w:val="clear" w:color="auto" w:fill="F0F2F5"/>
          </w:tcPr>
          <w:p>
            <w:pPr>
              <w:spacing w:after="40" w:before="40"/>
              <w:jc w:val="center"/>
            </w:pPr>
            <w:r/>
            <w:r>
              <w:rPr>
                <w:rFonts w:ascii="Cambria" w:hAnsi="Cambria"/>
                <w:b w:val="0"/>
                <w:i w:val="0"/>
                <w:sz w:val="22"/>
              </w:rPr>
              <w:t>159</w:t>
            </w:r>
          </w:p>
        </w:tc>
      </w:tr>
      <w:tr>
        <w:tc>
          <w:tcPr>
            <w:tcW w:type="dxa" w:w="850"/>
          </w:tcPr>
          <w:p>
            <w:pPr>
              <w:spacing w:after="40" w:before="40"/>
              <w:jc w:val="center"/>
            </w:pPr>
            <w:r/>
            <w:r>
              <w:rPr>
                <w:rFonts w:ascii="Cambria" w:hAnsi="Cambria"/>
                <w:b w:val="0"/>
                <w:i w:val="0"/>
                <w:sz w:val="22"/>
              </w:rPr>
              <w:t>41</w:t>
            </w:r>
          </w:p>
        </w:tc>
        <w:tc>
          <w:tcPr>
            <w:tcW w:type="dxa" w:w="7541"/>
          </w:tcPr>
          <w:p>
            <w:pPr>
              <w:spacing w:after="40" w:before="40"/>
            </w:pPr>
            <w:r/>
            <w:r>
              <w:rPr>
                <w:rFonts w:ascii="Cambria" w:hAnsi="Cambria"/>
                <w:b w:val="0"/>
                <w:i w:val="0"/>
                <w:sz w:val="22"/>
              </w:rPr>
              <w:t>FIXATION OF PAY ON PROMOTION POLICY</w:t>
            </w:r>
          </w:p>
        </w:tc>
        <w:tc>
          <w:tcPr>
            <w:tcW w:type="dxa" w:w="1020"/>
          </w:tcPr>
          <w:p>
            <w:pPr>
              <w:spacing w:after="40" w:before="40"/>
              <w:jc w:val="center"/>
            </w:pPr>
            <w:r/>
            <w:r>
              <w:rPr>
                <w:rFonts w:ascii="Cambria" w:hAnsi="Cambria"/>
                <w:b w:val="0"/>
                <w:i w:val="0"/>
                <w:sz w:val="22"/>
              </w:rPr>
              <w:t>162</w:t>
            </w:r>
          </w:p>
        </w:tc>
      </w:tr>
      <w:tr>
        <w:tc>
          <w:tcPr>
            <w:tcW w:type="dxa" w:w="850"/>
            <w:shd w:val="clear" w:color="auto" w:fill="F0F2F5"/>
          </w:tcPr>
          <w:p>
            <w:pPr>
              <w:spacing w:after="40" w:before="40"/>
              <w:jc w:val="center"/>
            </w:pPr>
            <w:r/>
            <w:r>
              <w:rPr>
                <w:rFonts w:ascii="Cambria" w:hAnsi="Cambria"/>
                <w:b w:val="0"/>
                <w:i w:val="0"/>
                <w:sz w:val="22"/>
              </w:rPr>
              <w:t>42</w:t>
            </w:r>
          </w:p>
        </w:tc>
        <w:tc>
          <w:tcPr>
            <w:tcW w:type="dxa" w:w="7541"/>
            <w:shd w:val="clear" w:color="auto" w:fill="F0F2F5"/>
          </w:tcPr>
          <w:p>
            <w:pPr>
              <w:spacing w:after="40" w:before="40"/>
            </w:pPr>
            <w:r/>
            <w:r>
              <w:rPr>
                <w:rFonts w:ascii="Cambria" w:hAnsi="Cambria"/>
                <w:b w:val="0"/>
                <w:i w:val="0"/>
                <w:sz w:val="22"/>
              </w:rPr>
              <w:t>INCREMENT AND ANNUAL SALARY PROGRESSION POLICY</w:t>
            </w:r>
          </w:p>
        </w:tc>
        <w:tc>
          <w:tcPr>
            <w:tcW w:type="dxa" w:w="1020"/>
            <w:shd w:val="clear" w:color="auto" w:fill="F0F2F5"/>
          </w:tcPr>
          <w:p>
            <w:pPr>
              <w:spacing w:after="40" w:before="40"/>
              <w:jc w:val="center"/>
            </w:pPr>
            <w:r/>
            <w:r>
              <w:rPr>
                <w:rFonts w:ascii="Cambria" w:hAnsi="Cambria"/>
                <w:b w:val="0"/>
                <w:i w:val="0"/>
                <w:sz w:val="22"/>
              </w:rPr>
              <w:t>165</w:t>
            </w:r>
          </w:p>
        </w:tc>
      </w:tr>
      <w:tr>
        <w:tc>
          <w:tcPr>
            <w:tcW w:type="dxa" w:w="850"/>
          </w:tcPr>
          <w:p>
            <w:pPr>
              <w:spacing w:after="40" w:before="40"/>
              <w:jc w:val="center"/>
            </w:pPr>
            <w:r/>
            <w:r>
              <w:rPr>
                <w:rFonts w:ascii="Cambria" w:hAnsi="Cambria"/>
                <w:b w:val="0"/>
                <w:i w:val="0"/>
                <w:sz w:val="22"/>
              </w:rPr>
              <w:t>43</w:t>
            </w:r>
          </w:p>
        </w:tc>
        <w:tc>
          <w:tcPr>
            <w:tcW w:type="dxa" w:w="7541"/>
          </w:tcPr>
          <w:p>
            <w:pPr>
              <w:spacing w:after="40" w:before="40"/>
            </w:pPr>
            <w:r/>
            <w:r>
              <w:rPr>
                <w:rFonts w:ascii="Cambria" w:hAnsi="Cambria"/>
                <w:b w:val="0"/>
                <w:i w:val="0"/>
                <w:sz w:val="22"/>
              </w:rPr>
              <w:t>WITHHOLDING OF INCREMENT POLICY</w:t>
            </w:r>
          </w:p>
        </w:tc>
        <w:tc>
          <w:tcPr>
            <w:tcW w:type="dxa" w:w="1020"/>
          </w:tcPr>
          <w:p>
            <w:pPr>
              <w:spacing w:after="40" w:before="40"/>
              <w:jc w:val="center"/>
            </w:pPr>
            <w:r/>
            <w:r>
              <w:rPr>
                <w:rFonts w:ascii="Cambria" w:hAnsi="Cambria"/>
                <w:b w:val="0"/>
                <w:i w:val="0"/>
                <w:sz w:val="22"/>
              </w:rPr>
              <w:t>168</w:t>
            </w:r>
          </w:p>
        </w:tc>
      </w:tr>
      <w:tr>
        <w:tc>
          <w:tcPr>
            <w:tcW w:type="dxa" w:w="850"/>
            <w:shd w:val="clear" w:color="auto" w:fill="F0F2F5"/>
          </w:tcPr>
          <w:p>
            <w:pPr>
              <w:spacing w:after="40" w:before="40"/>
              <w:jc w:val="center"/>
            </w:pPr>
            <w:r/>
            <w:r>
              <w:rPr>
                <w:rFonts w:ascii="Cambria" w:hAnsi="Cambria"/>
                <w:b w:val="0"/>
                <w:i w:val="0"/>
                <w:sz w:val="22"/>
              </w:rPr>
              <w:t>44</w:t>
            </w:r>
          </w:p>
        </w:tc>
        <w:tc>
          <w:tcPr>
            <w:tcW w:type="dxa" w:w="7541"/>
            <w:shd w:val="clear" w:color="auto" w:fill="F0F2F5"/>
          </w:tcPr>
          <w:p>
            <w:pPr>
              <w:spacing w:after="40" w:before="40"/>
            </w:pPr>
            <w:r/>
            <w:r>
              <w:rPr>
                <w:rFonts w:ascii="Cambria" w:hAnsi="Cambria"/>
                <w:b w:val="0"/>
                <w:i w:val="0"/>
                <w:sz w:val="22"/>
              </w:rPr>
              <w:t>REDUCTION OF PAY IN A TIME-SCALE POLICY</w:t>
            </w:r>
          </w:p>
        </w:tc>
        <w:tc>
          <w:tcPr>
            <w:tcW w:type="dxa" w:w="1020"/>
            <w:shd w:val="clear" w:color="auto" w:fill="F0F2F5"/>
          </w:tcPr>
          <w:p>
            <w:pPr>
              <w:spacing w:after="40" w:before="40"/>
              <w:jc w:val="center"/>
            </w:pPr>
            <w:r/>
            <w:r>
              <w:rPr>
                <w:rFonts w:ascii="Cambria" w:hAnsi="Cambria"/>
                <w:b w:val="0"/>
                <w:i w:val="0"/>
                <w:sz w:val="22"/>
              </w:rPr>
              <w:t>171</w:t>
            </w:r>
          </w:p>
        </w:tc>
      </w:tr>
      <w:tr>
        <w:tc>
          <w:tcPr>
            <w:tcW w:type="dxa" w:w="850"/>
          </w:tcPr>
          <w:p>
            <w:pPr>
              <w:spacing w:after="40" w:before="40"/>
              <w:jc w:val="center"/>
            </w:pPr>
            <w:r/>
            <w:r>
              <w:rPr>
                <w:rFonts w:ascii="Cambria" w:hAnsi="Cambria"/>
                <w:b w:val="0"/>
                <w:i w:val="0"/>
                <w:sz w:val="22"/>
              </w:rPr>
              <w:t>45</w:t>
            </w:r>
          </w:p>
        </w:tc>
        <w:tc>
          <w:tcPr>
            <w:tcW w:type="dxa" w:w="7541"/>
          </w:tcPr>
          <w:p>
            <w:pPr>
              <w:spacing w:after="40" w:before="40"/>
            </w:pPr>
            <w:r/>
            <w:r>
              <w:rPr>
                <w:rFonts w:ascii="Cambria" w:hAnsi="Cambria"/>
                <w:b w:val="0"/>
                <w:i w:val="0"/>
                <w:sz w:val="22"/>
              </w:rPr>
              <w:t>ADVANCED INCREMENT POLICY</w:t>
            </w:r>
          </w:p>
        </w:tc>
        <w:tc>
          <w:tcPr>
            <w:tcW w:type="dxa" w:w="1020"/>
          </w:tcPr>
          <w:p>
            <w:pPr>
              <w:spacing w:after="40" w:before="40"/>
              <w:jc w:val="center"/>
            </w:pPr>
            <w:r/>
            <w:r>
              <w:rPr>
                <w:rFonts w:ascii="Cambria" w:hAnsi="Cambria"/>
                <w:b w:val="0"/>
                <w:i w:val="0"/>
                <w:sz w:val="22"/>
              </w:rPr>
              <w:t>174</w:t>
            </w:r>
          </w:p>
        </w:tc>
      </w:tr>
      <w:tr>
        <w:tc>
          <w:tcPr>
            <w:tcW w:type="dxa" w:w="850"/>
            <w:shd w:val="clear" w:color="auto" w:fill="F0F2F5"/>
          </w:tcPr>
          <w:p>
            <w:pPr>
              <w:spacing w:after="40" w:before="40"/>
              <w:jc w:val="center"/>
            </w:pPr>
            <w:r/>
            <w:r>
              <w:rPr>
                <w:rFonts w:ascii="Cambria" w:hAnsi="Cambria"/>
                <w:b w:val="0"/>
                <w:i w:val="0"/>
                <w:sz w:val="22"/>
              </w:rPr>
              <w:t>46</w:t>
            </w:r>
          </w:p>
        </w:tc>
        <w:tc>
          <w:tcPr>
            <w:tcW w:type="dxa" w:w="7541"/>
            <w:shd w:val="clear" w:color="auto" w:fill="F0F2F5"/>
          </w:tcPr>
          <w:p>
            <w:pPr>
              <w:spacing w:after="40" w:before="40"/>
            </w:pPr>
            <w:r/>
            <w:r>
              <w:rPr>
                <w:rFonts w:ascii="Cambria" w:hAnsi="Cambria"/>
                <w:b w:val="0"/>
                <w:i w:val="0"/>
                <w:sz w:val="22"/>
              </w:rPr>
              <w:t>PRIVATE WORK AND PRIVATE PRACTICE POLICY</w:t>
            </w:r>
          </w:p>
        </w:tc>
        <w:tc>
          <w:tcPr>
            <w:tcW w:type="dxa" w:w="1020"/>
            <w:shd w:val="clear" w:color="auto" w:fill="F0F2F5"/>
          </w:tcPr>
          <w:p>
            <w:pPr>
              <w:spacing w:after="40" w:before="40"/>
              <w:jc w:val="center"/>
            </w:pPr>
            <w:r/>
            <w:r>
              <w:rPr>
                <w:rFonts w:ascii="Cambria" w:hAnsi="Cambria"/>
                <w:b w:val="0"/>
                <w:i w:val="0"/>
                <w:sz w:val="22"/>
              </w:rPr>
              <w:t>177</w:t>
            </w:r>
          </w:p>
        </w:tc>
      </w:tr>
      <w:tr>
        <w:tc>
          <w:tcPr>
            <w:tcW w:type="dxa" w:w="850"/>
          </w:tcPr>
          <w:p>
            <w:pPr>
              <w:spacing w:after="40" w:before="40"/>
              <w:jc w:val="center"/>
            </w:pPr>
            <w:r/>
            <w:r>
              <w:rPr>
                <w:rFonts w:ascii="Cambria" w:hAnsi="Cambria"/>
                <w:b w:val="0"/>
                <w:i w:val="0"/>
                <w:sz w:val="22"/>
              </w:rPr>
              <w:t>47</w:t>
            </w:r>
          </w:p>
        </w:tc>
        <w:tc>
          <w:tcPr>
            <w:tcW w:type="dxa" w:w="7541"/>
          </w:tcPr>
          <w:p>
            <w:pPr>
              <w:spacing w:after="40" w:before="40"/>
            </w:pPr>
            <w:r/>
            <w:r>
              <w:rPr>
                <w:rFonts w:ascii="Cambria" w:hAnsi="Cambria"/>
                <w:b w:val="0"/>
                <w:i w:val="0"/>
                <w:sz w:val="22"/>
              </w:rPr>
              <w:t>MINOR PENALTIES POLICY</w:t>
            </w:r>
          </w:p>
        </w:tc>
        <w:tc>
          <w:tcPr>
            <w:tcW w:type="dxa" w:w="1020"/>
          </w:tcPr>
          <w:p>
            <w:pPr>
              <w:spacing w:after="40" w:before="40"/>
              <w:jc w:val="center"/>
            </w:pPr>
            <w:r/>
            <w:r>
              <w:rPr>
                <w:rFonts w:ascii="Cambria" w:hAnsi="Cambria"/>
                <w:b w:val="0"/>
                <w:i w:val="0"/>
                <w:sz w:val="22"/>
              </w:rPr>
              <w:t>180</w:t>
            </w:r>
          </w:p>
        </w:tc>
      </w:tr>
      <w:tr>
        <w:tc>
          <w:tcPr>
            <w:tcW w:type="dxa" w:w="850"/>
            <w:shd w:val="clear" w:color="auto" w:fill="F0F2F5"/>
          </w:tcPr>
          <w:p>
            <w:pPr>
              <w:spacing w:after="40" w:before="40"/>
              <w:jc w:val="center"/>
            </w:pPr>
            <w:r/>
            <w:r>
              <w:rPr>
                <w:rFonts w:ascii="Cambria" w:hAnsi="Cambria"/>
                <w:b w:val="0"/>
                <w:i w:val="0"/>
                <w:sz w:val="22"/>
              </w:rPr>
              <w:t>48</w:t>
            </w:r>
          </w:p>
        </w:tc>
        <w:tc>
          <w:tcPr>
            <w:tcW w:type="dxa" w:w="7541"/>
            <w:shd w:val="clear" w:color="auto" w:fill="F0F2F5"/>
          </w:tcPr>
          <w:p>
            <w:pPr>
              <w:spacing w:after="40" w:before="40"/>
            </w:pPr>
            <w:r/>
            <w:r>
              <w:rPr>
                <w:rFonts w:ascii="Cambria" w:hAnsi="Cambria"/>
                <w:b w:val="0"/>
                <w:i w:val="0"/>
                <w:sz w:val="22"/>
              </w:rPr>
              <w:t>MAJOR PENALTIES POLICY</w:t>
            </w:r>
          </w:p>
        </w:tc>
        <w:tc>
          <w:tcPr>
            <w:tcW w:type="dxa" w:w="1020"/>
            <w:shd w:val="clear" w:color="auto" w:fill="F0F2F5"/>
          </w:tcPr>
          <w:p>
            <w:pPr>
              <w:spacing w:after="40" w:before="40"/>
              <w:jc w:val="center"/>
            </w:pPr>
            <w:r/>
            <w:r>
              <w:rPr>
                <w:rFonts w:ascii="Cambria" w:hAnsi="Cambria"/>
                <w:b w:val="0"/>
                <w:i w:val="0"/>
                <w:sz w:val="22"/>
              </w:rPr>
              <w:t>183</w:t>
            </w:r>
          </w:p>
        </w:tc>
      </w:tr>
      <w:tr>
        <w:tc>
          <w:tcPr>
            <w:tcW w:type="dxa" w:w="850"/>
          </w:tcPr>
          <w:p>
            <w:pPr>
              <w:spacing w:after="40" w:before="40"/>
              <w:jc w:val="center"/>
            </w:pPr>
            <w:r/>
            <w:r>
              <w:rPr>
                <w:rFonts w:ascii="Cambria" w:hAnsi="Cambria"/>
                <w:b w:val="0"/>
                <w:i w:val="0"/>
                <w:sz w:val="22"/>
              </w:rPr>
              <w:t>49</w:t>
            </w:r>
          </w:p>
        </w:tc>
        <w:tc>
          <w:tcPr>
            <w:tcW w:type="dxa" w:w="7541"/>
          </w:tcPr>
          <w:p>
            <w:pPr>
              <w:spacing w:after="40" w:before="40"/>
            </w:pPr>
            <w:r/>
            <w:r>
              <w:rPr>
                <w:rFonts w:ascii="Cambria" w:hAnsi="Cambria"/>
                <w:b w:val="0"/>
                <w:i w:val="0"/>
                <w:sz w:val="22"/>
              </w:rPr>
              <w:t>EXPLANATORY PROVISIONS ON DISCIPLINARY AND SERVICE ACTIONS</w:t>
            </w:r>
          </w:p>
        </w:tc>
        <w:tc>
          <w:tcPr>
            <w:tcW w:type="dxa" w:w="1020"/>
          </w:tcPr>
          <w:p>
            <w:pPr>
              <w:spacing w:after="40" w:before="40"/>
              <w:jc w:val="center"/>
            </w:pPr>
            <w:r/>
            <w:r>
              <w:rPr>
                <w:rFonts w:ascii="Cambria" w:hAnsi="Cambria"/>
                <w:b w:val="0"/>
                <w:i w:val="0"/>
                <w:sz w:val="22"/>
              </w:rPr>
              <w:t>186</w:t>
            </w:r>
          </w:p>
        </w:tc>
      </w:tr>
      <w:tr>
        <w:tc>
          <w:tcPr>
            <w:tcW w:type="dxa" w:w="850"/>
            <w:shd w:val="clear" w:color="auto" w:fill="F0F2F5"/>
          </w:tcPr>
          <w:p>
            <w:pPr>
              <w:spacing w:after="40" w:before="40"/>
              <w:jc w:val="center"/>
            </w:pPr>
            <w:r/>
            <w:r>
              <w:rPr>
                <w:rFonts w:ascii="Cambria" w:hAnsi="Cambria"/>
                <w:b w:val="0"/>
                <w:i w:val="0"/>
                <w:sz w:val="22"/>
              </w:rPr>
              <w:t>50</w:t>
            </w:r>
          </w:p>
        </w:tc>
        <w:tc>
          <w:tcPr>
            <w:tcW w:type="dxa" w:w="7541"/>
            <w:shd w:val="clear" w:color="auto" w:fill="F0F2F5"/>
          </w:tcPr>
          <w:p>
            <w:pPr>
              <w:spacing w:after="40" w:before="40"/>
            </w:pPr>
            <w:r/>
            <w:r>
              <w:rPr>
                <w:rFonts w:ascii="Cambria" w:hAnsi="Cambria"/>
                <w:b w:val="0"/>
                <w:i w:val="0"/>
                <w:sz w:val="22"/>
              </w:rPr>
              <w:t>TERMINATION OF SERVICES POLICY</w:t>
            </w:r>
          </w:p>
        </w:tc>
        <w:tc>
          <w:tcPr>
            <w:tcW w:type="dxa" w:w="1020"/>
            <w:shd w:val="clear" w:color="auto" w:fill="F0F2F5"/>
          </w:tcPr>
          <w:p>
            <w:pPr>
              <w:spacing w:after="40" w:before="40"/>
              <w:jc w:val="center"/>
            </w:pPr>
            <w:r/>
            <w:r>
              <w:rPr>
                <w:rFonts w:ascii="Cambria" w:hAnsi="Cambria"/>
                <w:b w:val="0"/>
                <w:i w:val="0"/>
                <w:sz w:val="22"/>
              </w:rPr>
              <w:t>189</w:t>
            </w:r>
          </w:p>
        </w:tc>
      </w:tr>
      <w:tr>
        <w:tc>
          <w:tcPr>
            <w:tcW w:type="dxa" w:w="850"/>
          </w:tcPr>
          <w:p>
            <w:pPr>
              <w:spacing w:after="40" w:before="40"/>
              <w:jc w:val="center"/>
            </w:pPr>
            <w:r/>
            <w:r>
              <w:rPr>
                <w:rFonts w:ascii="Cambria" w:hAnsi="Cambria"/>
                <w:b w:val="0"/>
                <w:i w:val="0"/>
                <w:sz w:val="22"/>
              </w:rPr>
              <w:t>51</w:t>
            </w:r>
          </w:p>
        </w:tc>
        <w:tc>
          <w:tcPr>
            <w:tcW w:type="dxa" w:w="7541"/>
          </w:tcPr>
          <w:p>
            <w:pPr>
              <w:spacing w:after="40" w:before="40"/>
            </w:pPr>
            <w:r/>
            <w:r>
              <w:rPr>
                <w:rFonts w:ascii="Cambria" w:hAnsi="Cambria"/>
                <w:b w:val="0"/>
                <w:i w:val="0"/>
                <w:sz w:val="22"/>
              </w:rPr>
              <w:t>AUTHORITY FOR IMPOSITION OF PENALTIES AND APPEALS POLICY</w:t>
            </w:r>
          </w:p>
        </w:tc>
        <w:tc>
          <w:tcPr>
            <w:tcW w:type="dxa" w:w="1020"/>
          </w:tcPr>
          <w:p>
            <w:pPr>
              <w:spacing w:after="40" w:before="40"/>
              <w:jc w:val="center"/>
            </w:pPr>
            <w:r/>
            <w:r>
              <w:rPr>
                <w:rFonts w:ascii="Cambria" w:hAnsi="Cambria"/>
                <w:b w:val="0"/>
                <w:i w:val="0"/>
                <w:sz w:val="22"/>
              </w:rPr>
              <w:t>192</w:t>
            </w:r>
          </w:p>
        </w:tc>
      </w:tr>
      <w:tr>
        <w:tc>
          <w:tcPr>
            <w:tcW w:type="dxa" w:w="850"/>
            <w:shd w:val="clear" w:color="auto" w:fill="F0F2F5"/>
          </w:tcPr>
          <w:p>
            <w:pPr>
              <w:spacing w:after="40" w:before="40"/>
              <w:jc w:val="center"/>
            </w:pPr>
            <w:r/>
            <w:r>
              <w:rPr>
                <w:rFonts w:ascii="Cambria" w:hAnsi="Cambria"/>
                <w:b w:val="0"/>
                <w:i w:val="0"/>
                <w:sz w:val="22"/>
              </w:rPr>
              <w:t>52</w:t>
            </w:r>
          </w:p>
        </w:tc>
        <w:tc>
          <w:tcPr>
            <w:tcW w:type="dxa" w:w="7541"/>
            <w:shd w:val="clear" w:color="auto" w:fill="F0F2F5"/>
          </w:tcPr>
          <w:p>
            <w:pPr>
              <w:spacing w:after="40" w:before="40"/>
            </w:pPr>
            <w:r/>
            <w:r>
              <w:rPr>
                <w:rFonts w:ascii="Cambria" w:hAnsi="Cambria"/>
                <w:b w:val="0"/>
                <w:i w:val="0"/>
                <w:sz w:val="22"/>
              </w:rPr>
              <w:t>PROCEDURE FOR IMPOSITION OF PENALTIES (ENQUIRY AND OPPORTUNITY TO BE HEARD)</w:t>
            </w:r>
          </w:p>
        </w:tc>
        <w:tc>
          <w:tcPr>
            <w:tcW w:type="dxa" w:w="1020"/>
            <w:shd w:val="clear" w:color="auto" w:fill="F0F2F5"/>
          </w:tcPr>
          <w:p>
            <w:pPr>
              <w:spacing w:after="40" w:before="40"/>
              <w:jc w:val="center"/>
            </w:pPr>
            <w:r/>
            <w:r>
              <w:rPr>
                <w:rFonts w:ascii="Cambria" w:hAnsi="Cambria"/>
                <w:b w:val="0"/>
                <w:i w:val="0"/>
                <w:sz w:val="22"/>
              </w:rPr>
              <w:t>194</w:t>
            </w:r>
          </w:p>
        </w:tc>
      </w:tr>
      <w:tr>
        <w:tc>
          <w:tcPr>
            <w:tcW w:type="dxa" w:w="850"/>
          </w:tcPr>
          <w:p>
            <w:pPr>
              <w:spacing w:after="40" w:before="40"/>
              <w:jc w:val="center"/>
            </w:pPr>
            <w:r/>
            <w:r>
              <w:rPr>
                <w:rFonts w:ascii="Cambria" w:hAnsi="Cambria"/>
                <w:b w:val="0"/>
                <w:i w:val="0"/>
                <w:sz w:val="22"/>
              </w:rPr>
              <w:t>53</w:t>
            </w:r>
          </w:p>
        </w:tc>
        <w:tc>
          <w:tcPr>
            <w:tcW w:type="dxa" w:w="7541"/>
          </w:tcPr>
          <w:p>
            <w:pPr>
              <w:spacing w:after="40" w:before="40"/>
            </w:pPr>
            <w:r/>
            <w:r>
              <w:rPr>
                <w:rFonts w:ascii="Cambria" w:hAnsi="Cambria"/>
                <w:b w:val="0"/>
                <w:i w:val="0"/>
                <w:sz w:val="22"/>
              </w:rPr>
              <w:t>APPEAL AND REVIEW POLICY IN DISCIPLINARY MATTERS</w:t>
            </w:r>
          </w:p>
        </w:tc>
        <w:tc>
          <w:tcPr>
            <w:tcW w:type="dxa" w:w="1020"/>
          </w:tcPr>
          <w:p>
            <w:pPr>
              <w:spacing w:after="40" w:before="40"/>
              <w:jc w:val="center"/>
            </w:pPr>
            <w:r/>
            <w:r>
              <w:rPr>
                <w:rFonts w:ascii="Cambria" w:hAnsi="Cambria"/>
                <w:b w:val="0"/>
                <w:i w:val="0"/>
                <w:sz w:val="22"/>
              </w:rPr>
              <w:t>197</w:t>
            </w:r>
          </w:p>
        </w:tc>
      </w:tr>
      <w:tr>
        <w:tc>
          <w:tcPr>
            <w:tcW w:type="dxa" w:w="850"/>
            <w:shd w:val="clear" w:color="auto" w:fill="F0F2F5"/>
          </w:tcPr>
          <w:p>
            <w:pPr>
              <w:spacing w:after="40" w:before="40"/>
              <w:jc w:val="center"/>
            </w:pPr>
            <w:r/>
            <w:r>
              <w:rPr>
                <w:rFonts w:ascii="Cambria" w:hAnsi="Cambria"/>
                <w:b w:val="0"/>
                <w:i w:val="0"/>
                <w:sz w:val="22"/>
              </w:rPr>
              <w:t>54</w:t>
            </w:r>
          </w:p>
        </w:tc>
        <w:tc>
          <w:tcPr>
            <w:tcW w:type="dxa" w:w="7541"/>
            <w:shd w:val="clear" w:color="auto" w:fill="F0F2F5"/>
          </w:tcPr>
          <w:p>
            <w:pPr>
              <w:spacing w:after="40" w:before="40"/>
            </w:pPr>
            <w:r/>
            <w:r>
              <w:rPr>
                <w:rFonts w:ascii="Cambria" w:hAnsi="Cambria"/>
                <w:b w:val="0"/>
                <w:i w:val="0"/>
                <w:sz w:val="22"/>
              </w:rPr>
              <w:t>SUSPENSION, SUBSISTENCE ALLOWANCE, AND REINSTATEMENT POLICY</w:t>
            </w:r>
          </w:p>
        </w:tc>
        <w:tc>
          <w:tcPr>
            <w:tcW w:type="dxa" w:w="1020"/>
            <w:shd w:val="clear" w:color="auto" w:fill="F0F2F5"/>
          </w:tcPr>
          <w:p>
            <w:pPr>
              <w:spacing w:after="40" w:before="40"/>
              <w:jc w:val="center"/>
            </w:pPr>
            <w:r/>
            <w:r>
              <w:rPr>
                <w:rFonts w:ascii="Cambria" w:hAnsi="Cambria"/>
                <w:b w:val="0"/>
                <w:i w:val="0"/>
                <w:sz w:val="22"/>
              </w:rPr>
              <w:t>200</w:t>
            </w:r>
          </w:p>
        </w:tc>
      </w:tr>
      <w:tr>
        <w:tc>
          <w:tcPr>
            <w:tcW w:type="dxa" w:w="850"/>
          </w:tcPr>
          <w:p>
            <w:pPr>
              <w:spacing w:after="40" w:before="40"/>
              <w:jc w:val="center"/>
            </w:pPr>
            <w:r/>
            <w:r>
              <w:rPr>
                <w:rFonts w:ascii="Cambria" w:hAnsi="Cambria"/>
                <w:b w:val="0"/>
                <w:i w:val="0"/>
                <w:sz w:val="22"/>
              </w:rPr>
              <w:t>55</w:t>
            </w:r>
          </w:p>
        </w:tc>
        <w:tc>
          <w:tcPr>
            <w:tcW w:type="dxa" w:w="7541"/>
          </w:tcPr>
          <w:p>
            <w:pPr>
              <w:spacing w:after="40" w:before="40"/>
            </w:pPr>
            <w:r/>
            <w:r>
              <w:rPr>
                <w:rFonts w:ascii="Cambria" w:hAnsi="Cambria"/>
                <w:b w:val="0"/>
                <w:i w:val="0"/>
                <w:sz w:val="22"/>
              </w:rPr>
              <w:t>EXCEPTIONS TO ENQUIRY PROCEDURE IN DISCIPLINARY CASES</w:t>
            </w:r>
          </w:p>
        </w:tc>
        <w:tc>
          <w:tcPr>
            <w:tcW w:type="dxa" w:w="1020"/>
          </w:tcPr>
          <w:p>
            <w:pPr>
              <w:spacing w:after="40" w:before="40"/>
              <w:jc w:val="center"/>
            </w:pPr>
            <w:r/>
            <w:r>
              <w:rPr>
                <w:rFonts w:ascii="Cambria" w:hAnsi="Cambria"/>
                <w:b w:val="0"/>
                <w:i w:val="0"/>
                <w:sz w:val="22"/>
              </w:rPr>
              <w:t>203</w:t>
            </w:r>
          </w:p>
        </w:tc>
      </w:tr>
      <w:tr>
        <w:tc>
          <w:tcPr>
            <w:tcW w:type="dxa" w:w="850"/>
            <w:shd w:val="clear" w:color="auto" w:fill="F0F2F5"/>
          </w:tcPr>
          <w:p>
            <w:pPr>
              <w:spacing w:after="40" w:before="40"/>
              <w:jc w:val="center"/>
            </w:pPr>
            <w:r/>
            <w:r>
              <w:rPr>
                <w:rFonts w:ascii="Cambria" w:hAnsi="Cambria"/>
                <w:b w:val="0"/>
                <w:i w:val="0"/>
                <w:sz w:val="22"/>
              </w:rPr>
              <w:t>56</w:t>
            </w:r>
          </w:p>
        </w:tc>
        <w:tc>
          <w:tcPr>
            <w:tcW w:type="dxa" w:w="7541"/>
            <w:shd w:val="clear" w:color="auto" w:fill="F0F2F5"/>
          </w:tcPr>
          <w:p>
            <w:pPr>
              <w:spacing w:after="40" w:before="40"/>
            </w:pPr>
            <w:r/>
            <w:r>
              <w:rPr>
                <w:rFonts w:ascii="Cambria" w:hAnsi="Cambria"/>
                <w:b w:val="0"/>
                <w:i w:val="0"/>
                <w:sz w:val="22"/>
              </w:rPr>
              <w:t>JOB RESPONSIBILITIES AND WORKLOAD POLICY FOR FACULTY MEMBERS</w:t>
            </w:r>
          </w:p>
        </w:tc>
        <w:tc>
          <w:tcPr>
            <w:tcW w:type="dxa" w:w="1020"/>
            <w:shd w:val="clear" w:color="auto" w:fill="F0F2F5"/>
          </w:tcPr>
          <w:p>
            <w:pPr>
              <w:spacing w:after="40" w:before="40"/>
              <w:jc w:val="center"/>
            </w:pPr>
            <w:r/>
            <w:r>
              <w:rPr>
                <w:rFonts w:ascii="Cambria" w:hAnsi="Cambria"/>
                <w:b w:val="0"/>
                <w:i w:val="0"/>
                <w:sz w:val="22"/>
              </w:rPr>
              <w:t>205</w:t>
            </w:r>
          </w:p>
        </w:tc>
      </w:tr>
      <w:tr>
        <w:tc>
          <w:tcPr>
            <w:tcW w:type="dxa" w:w="850"/>
          </w:tcPr>
          <w:p>
            <w:pPr>
              <w:spacing w:after="40" w:before="40"/>
              <w:jc w:val="center"/>
            </w:pPr>
            <w:r/>
            <w:r>
              <w:rPr>
                <w:rFonts w:ascii="Cambria" w:hAnsi="Cambria"/>
                <w:b w:val="0"/>
                <w:i w:val="0"/>
                <w:sz w:val="22"/>
              </w:rPr>
              <w:t>57</w:t>
            </w:r>
          </w:p>
        </w:tc>
        <w:tc>
          <w:tcPr>
            <w:tcW w:type="dxa" w:w="7541"/>
          </w:tcPr>
          <w:p>
            <w:pPr>
              <w:spacing w:after="40" w:before="40"/>
            </w:pPr>
            <w:r/>
            <w:r>
              <w:rPr>
                <w:rFonts w:ascii="Cambria" w:hAnsi="Cambria"/>
                <w:b w:val="0"/>
                <w:i w:val="0"/>
                <w:sz w:val="22"/>
              </w:rPr>
              <w:t>JOB RESPONSIBILITIES – NON-TEACHING AND TECHNICAL STAFF</w:t>
            </w:r>
          </w:p>
        </w:tc>
        <w:tc>
          <w:tcPr>
            <w:tcW w:type="dxa" w:w="1020"/>
          </w:tcPr>
          <w:p>
            <w:pPr>
              <w:spacing w:after="40" w:before="40"/>
              <w:jc w:val="center"/>
            </w:pPr>
            <w:r/>
            <w:r>
              <w:rPr>
                <w:rFonts w:ascii="Cambria" w:hAnsi="Cambria"/>
                <w:b w:val="0"/>
                <w:i w:val="0"/>
                <w:sz w:val="22"/>
              </w:rPr>
              <w:t>209</w:t>
            </w:r>
          </w:p>
        </w:tc>
      </w:tr>
      <w:tr>
        <w:tc>
          <w:tcPr>
            <w:tcW w:type="dxa" w:w="850"/>
            <w:shd w:val="clear" w:color="auto" w:fill="F0F2F5"/>
          </w:tcPr>
          <w:p>
            <w:pPr>
              <w:spacing w:after="40" w:before="40"/>
              <w:jc w:val="center"/>
            </w:pPr>
            <w:r/>
            <w:r>
              <w:rPr>
                <w:rFonts w:ascii="Cambria" w:hAnsi="Cambria"/>
                <w:b w:val="0"/>
                <w:i w:val="0"/>
                <w:sz w:val="22"/>
              </w:rPr>
              <w:t>58</w:t>
            </w:r>
          </w:p>
        </w:tc>
        <w:tc>
          <w:tcPr>
            <w:tcW w:type="dxa" w:w="7541"/>
            <w:shd w:val="clear" w:color="auto" w:fill="F0F2F5"/>
          </w:tcPr>
          <w:p>
            <w:pPr>
              <w:spacing w:after="40" w:before="40"/>
            </w:pPr>
            <w:r/>
            <w:r>
              <w:rPr>
                <w:rFonts w:ascii="Cambria" w:hAnsi="Cambria"/>
                <w:b w:val="0"/>
                <w:i w:val="0"/>
                <w:sz w:val="22"/>
              </w:rPr>
              <w:t>LEAVE RULES – GENERAL CONDITIONS</w:t>
            </w:r>
          </w:p>
        </w:tc>
        <w:tc>
          <w:tcPr>
            <w:tcW w:type="dxa" w:w="1020"/>
            <w:shd w:val="clear" w:color="auto" w:fill="F0F2F5"/>
          </w:tcPr>
          <w:p>
            <w:pPr>
              <w:spacing w:after="40" w:before="40"/>
              <w:jc w:val="center"/>
            </w:pPr>
            <w:r/>
            <w:r>
              <w:rPr>
                <w:rFonts w:ascii="Cambria" w:hAnsi="Cambria"/>
                <w:b w:val="0"/>
                <w:i w:val="0"/>
                <w:sz w:val="22"/>
              </w:rPr>
              <w:t>212</w:t>
            </w:r>
          </w:p>
        </w:tc>
      </w:tr>
      <w:tr>
        <w:tc>
          <w:tcPr>
            <w:tcW w:type="dxa" w:w="850"/>
          </w:tcPr>
          <w:p>
            <w:pPr>
              <w:spacing w:after="40" w:before="40"/>
              <w:jc w:val="center"/>
            </w:pPr>
            <w:r/>
            <w:r>
              <w:rPr>
                <w:rFonts w:ascii="Cambria" w:hAnsi="Cambria"/>
                <w:b w:val="0"/>
                <w:i w:val="0"/>
                <w:sz w:val="22"/>
              </w:rPr>
              <w:t>59</w:t>
            </w:r>
          </w:p>
        </w:tc>
        <w:tc>
          <w:tcPr>
            <w:tcW w:type="dxa" w:w="7541"/>
          </w:tcPr>
          <w:p>
            <w:pPr>
              <w:spacing w:after="40" w:before="40"/>
            </w:pPr>
            <w:r/>
            <w:r>
              <w:rPr>
                <w:rFonts w:ascii="Cambria" w:hAnsi="Cambria"/>
                <w:b w:val="0"/>
                <w:i w:val="0"/>
                <w:sz w:val="22"/>
              </w:rPr>
              <w:t>LEAVE SANCTIONING AUTHORITY – APPROVAL MATRIX</w:t>
            </w:r>
          </w:p>
        </w:tc>
        <w:tc>
          <w:tcPr>
            <w:tcW w:type="dxa" w:w="1020"/>
          </w:tcPr>
          <w:p>
            <w:pPr>
              <w:spacing w:after="40" w:before="40"/>
              <w:jc w:val="center"/>
            </w:pPr>
            <w:r/>
            <w:r>
              <w:rPr>
                <w:rFonts w:ascii="Cambria" w:hAnsi="Cambria"/>
                <w:b w:val="0"/>
                <w:i w:val="0"/>
                <w:sz w:val="22"/>
              </w:rPr>
              <w:t>215</w:t>
            </w:r>
          </w:p>
        </w:tc>
      </w:tr>
      <w:tr>
        <w:tc>
          <w:tcPr>
            <w:tcW w:type="dxa" w:w="850"/>
            <w:shd w:val="clear" w:color="auto" w:fill="F0F2F5"/>
          </w:tcPr>
          <w:p>
            <w:pPr>
              <w:spacing w:after="40" w:before="40"/>
              <w:jc w:val="center"/>
            </w:pPr>
            <w:r/>
            <w:r>
              <w:rPr>
                <w:rFonts w:ascii="Cambria" w:hAnsi="Cambria"/>
                <w:b w:val="0"/>
                <w:i w:val="0"/>
                <w:sz w:val="22"/>
              </w:rPr>
              <w:t>60</w:t>
            </w:r>
          </w:p>
        </w:tc>
        <w:tc>
          <w:tcPr>
            <w:tcW w:type="dxa" w:w="7541"/>
            <w:shd w:val="clear" w:color="auto" w:fill="F0F2F5"/>
          </w:tcPr>
          <w:p>
            <w:pPr>
              <w:spacing w:after="40" w:before="40"/>
            </w:pPr>
            <w:r/>
            <w:r>
              <w:rPr>
                <w:rFonts w:ascii="Cambria" w:hAnsi="Cambria"/>
                <w:b w:val="0"/>
                <w:i w:val="0"/>
                <w:sz w:val="22"/>
              </w:rPr>
              <w:t>TYPES OF LEAVE AND ELIGIBILITY CRITERIA</w:t>
            </w:r>
          </w:p>
        </w:tc>
        <w:tc>
          <w:tcPr>
            <w:tcW w:type="dxa" w:w="1020"/>
            <w:shd w:val="clear" w:color="auto" w:fill="F0F2F5"/>
          </w:tcPr>
          <w:p>
            <w:pPr>
              <w:spacing w:after="40" w:before="40"/>
              <w:jc w:val="center"/>
            </w:pPr>
            <w:r/>
            <w:r>
              <w:rPr>
                <w:rFonts w:ascii="Cambria" w:hAnsi="Cambria"/>
                <w:b w:val="0"/>
                <w:i w:val="0"/>
                <w:sz w:val="22"/>
              </w:rPr>
              <w:t>216</w:t>
            </w:r>
          </w:p>
        </w:tc>
      </w:tr>
      <w:tr>
        <w:tc>
          <w:tcPr>
            <w:tcW w:type="dxa" w:w="850"/>
          </w:tcPr>
          <w:p>
            <w:pPr>
              <w:spacing w:after="40" w:before="40"/>
              <w:jc w:val="center"/>
            </w:pPr>
            <w:r/>
            <w:r>
              <w:rPr>
                <w:rFonts w:ascii="Cambria" w:hAnsi="Cambria"/>
                <w:b w:val="0"/>
                <w:i w:val="0"/>
                <w:sz w:val="22"/>
              </w:rPr>
              <w:t>61</w:t>
            </w:r>
          </w:p>
        </w:tc>
        <w:tc>
          <w:tcPr>
            <w:tcW w:type="dxa" w:w="7541"/>
          </w:tcPr>
          <w:p>
            <w:pPr>
              <w:spacing w:after="40" w:before="40"/>
            </w:pPr>
            <w:r/>
            <w:r>
              <w:rPr>
                <w:rFonts w:ascii="Cambria" w:hAnsi="Cambria"/>
                <w:b w:val="0"/>
                <w:i w:val="0"/>
                <w:sz w:val="22"/>
              </w:rPr>
              <w:t>DUTIES AND RESPONSIBILITIES OF THE HEAD OF THE INSTITUTION</w:t>
            </w:r>
          </w:p>
        </w:tc>
        <w:tc>
          <w:tcPr>
            <w:tcW w:type="dxa" w:w="1020"/>
          </w:tcPr>
          <w:p>
            <w:pPr>
              <w:spacing w:after="40" w:before="40"/>
              <w:jc w:val="center"/>
            </w:pPr>
            <w:r/>
            <w:r>
              <w:rPr>
                <w:rFonts w:ascii="Cambria" w:hAnsi="Cambria"/>
                <w:b w:val="0"/>
                <w:i w:val="0"/>
                <w:sz w:val="22"/>
              </w:rPr>
              <w:t>226</w:t>
            </w:r>
          </w:p>
        </w:tc>
      </w:tr>
      <w:tr>
        <w:tc>
          <w:tcPr>
            <w:tcW w:type="dxa" w:w="850"/>
            <w:shd w:val="clear" w:color="auto" w:fill="F0F2F5"/>
          </w:tcPr>
          <w:p>
            <w:pPr>
              <w:spacing w:after="40" w:before="40"/>
              <w:jc w:val="center"/>
            </w:pPr>
            <w:r/>
            <w:r>
              <w:rPr>
                <w:rFonts w:ascii="Cambria" w:hAnsi="Cambria"/>
                <w:b w:val="0"/>
                <w:i w:val="0"/>
                <w:sz w:val="22"/>
              </w:rPr>
              <w:t>62</w:t>
            </w:r>
          </w:p>
        </w:tc>
        <w:tc>
          <w:tcPr>
            <w:tcW w:type="dxa" w:w="7541"/>
            <w:shd w:val="clear" w:color="auto" w:fill="F0F2F5"/>
          </w:tcPr>
          <w:p>
            <w:pPr>
              <w:spacing w:after="40" w:before="40"/>
            </w:pPr>
            <w:r/>
            <w:r>
              <w:rPr>
                <w:rFonts w:ascii="Cambria" w:hAnsi="Cambria"/>
                <w:b w:val="0"/>
                <w:i w:val="0"/>
                <w:sz w:val="22"/>
              </w:rPr>
              <w:t>DUTIES AND RESPONSIBILITIES OF TEACHING STAFF</w:t>
            </w:r>
          </w:p>
        </w:tc>
        <w:tc>
          <w:tcPr>
            <w:tcW w:type="dxa" w:w="1020"/>
            <w:shd w:val="clear" w:color="auto" w:fill="F0F2F5"/>
          </w:tcPr>
          <w:p>
            <w:pPr>
              <w:spacing w:after="40" w:before="40"/>
              <w:jc w:val="center"/>
            </w:pPr>
            <w:r/>
            <w:r>
              <w:rPr>
                <w:rFonts w:ascii="Cambria" w:hAnsi="Cambria"/>
                <w:b w:val="0"/>
                <w:i w:val="0"/>
                <w:sz w:val="22"/>
              </w:rPr>
              <w:t>229</w:t>
            </w:r>
          </w:p>
        </w:tc>
      </w:tr>
      <w:tr>
        <w:tc>
          <w:tcPr>
            <w:tcW w:type="dxa" w:w="850"/>
          </w:tcPr>
          <w:p>
            <w:pPr>
              <w:spacing w:after="40" w:before="40"/>
              <w:jc w:val="center"/>
            </w:pPr>
            <w:r/>
            <w:r>
              <w:rPr>
                <w:rFonts w:ascii="Cambria" w:hAnsi="Cambria"/>
                <w:b w:val="0"/>
                <w:i w:val="0"/>
                <w:sz w:val="22"/>
              </w:rPr>
              <w:t>63</w:t>
            </w:r>
          </w:p>
        </w:tc>
        <w:tc>
          <w:tcPr>
            <w:tcW w:type="dxa" w:w="7541"/>
          </w:tcPr>
          <w:p>
            <w:pPr>
              <w:spacing w:after="40" w:before="40"/>
            </w:pPr>
            <w:r/>
            <w:r>
              <w:rPr>
                <w:rFonts w:ascii="Cambria" w:hAnsi="Cambria"/>
                <w:b w:val="0"/>
                <w:i w:val="0"/>
                <w:sz w:val="22"/>
              </w:rPr>
              <w:t>GENERAL CONDUCT AND PROFESSIONAL BEHAVIOUR OF TEACHERS</w:t>
            </w:r>
          </w:p>
        </w:tc>
        <w:tc>
          <w:tcPr>
            <w:tcW w:type="dxa" w:w="1020"/>
          </w:tcPr>
          <w:p>
            <w:pPr>
              <w:spacing w:after="40" w:before="40"/>
              <w:jc w:val="center"/>
            </w:pPr>
            <w:r/>
            <w:r>
              <w:rPr>
                <w:rFonts w:ascii="Cambria" w:hAnsi="Cambria"/>
                <w:b w:val="0"/>
                <w:i w:val="0"/>
                <w:sz w:val="22"/>
              </w:rPr>
              <w:t>232</w:t>
            </w:r>
          </w:p>
        </w:tc>
      </w:tr>
      <w:tr>
        <w:tc>
          <w:tcPr>
            <w:tcW w:type="dxa" w:w="850"/>
            <w:shd w:val="clear" w:color="auto" w:fill="F0F2F5"/>
          </w:tcPr>
          <w:p>
            <w:pPr>
              <w:spacing w:after="40" w:before="40"/>
              <w:jc w:val="center"/>
            </w:pPr>
            <w:r/>
            <w:r>
              <w:rPr>
                <w:rFonts w:ascii="Cambria" w:hAnsi="Cambria"/>
                <w:b w:val="0"/>
                <w:i w:val="0"/>
                <w:sz w:val="22"/>
              </w:rPr>
              <w:t>64</w:t>
            </w:r>
          </w:p>
        </w:tc>
        <w:tc>
          <w:tcPr>
            <w:tcW w:type="dxa" w:w="7541"/>
            <w:shd w:val="clear" w:color="auto" w:fill="F0F2F5"/>
          </w:tcPr>
          <w:p>
            <w:pPr>
              <w:spacing w:after="40" w:before="40"/>
            </w:pPr>
            <w:r/>
            <w:r>
              <w:rPr>
                <w:rFonts w:ascii="Cambria" w:hAnsi="Cambria"/>
                <w:b w:val="0"/>
                <w:i w:val="0"/>
                <w:sz w:val="22"/>
              </w:rPr>
              <w:t>PROFESSIONAL NORMS AND ETHICAL STANDARDS FOR TEACHERS</w:t>
            </w:r>
          </w:p>
        </w:tc>
        <w:tc>
          <w:tcPr>
            <w:tcW w:type="dxa" w:w="1020"/>
            <w:shd w:val="clear" w:color="auto" w:fill="F0F2F5"/>
          </w:tcPr>
          <w:p>
            <w:pPr>
              <w:spacing w:after="40" w:before="40"/>
              <w:jc w:val="center"/>
            </w:pPr>
            <w:r/>
            <w:r>
              <w:rPr>
                <w:rFonts w:ascii="Cambria" w:hAnsi="Cambria"/>
                <w:b w:val="0"/>
                <w:i w:val="0"/>
                <w:sz w:val="22"/>
              </w:rPr>
              <w:t>235</w:t>
            </w:r>
          </w:p>
        </w:tc>
      </w:tr>
      <w:tr>
        <w:tc>
          <w:tcPr>
            <w:tcW w:type="dxa" w:w="850"/>
          </w:tcPr>
          <w:p>
            <w:pPr>
              <w:spacing w:after="40" w:before="40"/>
              <w:jc w:val="center"/>
            </w:pPr>
            <w:r/>
            <w:r>
              <w:rPr>
                <w:rFonts w:ascii="Cambria" w:hAnsi="Cambria"/>
                <w:b w:val="0"/>
                <w:i w:val="0"/>
                <w:sz w:val="22"/>
              </w:rPr>
              <w:t>65</w:t>
            </w:r>
          </w:p>
        </w:tc>
        <w:tc>
          <w:tcPr>
            <w:tcW w:type="dxa" w:w="7541"/>
          </w:tcPr>
          <w:p>
            <w:pPr>
              <w:spacing w:after="40" w:before="40"/>
            </w:pPr>
            <w:r/>
            <w:r>
              <w:rPr>
                <w:rFonts w:ascii="Cambria" w:hAnsi="Cambria"/>
                <w:b w:val="0"/>
                <w:i w:val="0"/>
                <w:sz w:val="22"/>
              </w:rPr>
              <w:t>MAINTENANCE OF DISCIPLINE AND CONDUCT NORMS FOR EMPLOYEES</w:t>
            </w:r>
          </w:p>
        </w:tc>
        <w:tc>
          <w:tcPr>
            <w:tcW w:type="dxa" w:w="1020"/>
          </w:tcPr>
          <w:p>
            <w:pPr>
              <w:spacing w:after="40" w:before="40"/>
              <w:jc w:val="center"/>
            </w:pPr>
            <w:r/>
            <w:r>
              <w:rPr>
                <w:rFonts w:ascii="Cambria" w:hAnsi="Cambria"/>
                <w:b w:val="0"/>
                <w:i w:val="0"/>
                <w:sz w:val="22"/>
              </w:rPr>
              <w:t>238</w:t>
            </w:r>
          </w:p>
        </w:tc>
      </w:tr>
      <w:tr>
        <w:tc>
          <w:tcPr>
            <w:tcW w:type="dxa" w:w="850"/>
            <w:shd w:val="clear" w:color="auto" w:fill="F0F2F5"/>
          </w:tcPr>
          <w:p>
            <w:pPr>
              <w:spacing w:after="40" w:before="40"/>
              <w:jc w:val="center"/>
            </w:pPr>
            <w:r/>
            <w:r>
              <w:rPr>
                <w:rFonts w:ascii="Cambria" w:hAnsi="Cambria"/>
                <w:b w:val="0"/>
                <w:i w:val="0"/>
                <w:sz w:val="22"/>
              </w:rPr>
              <w:t>66</w:t>
            </w:r>
          </w:p>
        </w:tc>
        <w:tc>
          <w:tcPr>
            <w:tcW w:type="dxa" w:w="7541"/>
            <w:shd w:val="clear" w:color="auto" w:fill="F0F2F5"/>
          </w:tcPr>
          <w:p>
            <w:pPr>
              <w:spacing w:after="40" w:before="40"/>
            </w:pPr>
            <w:r/>
            <w:r>
              <w:rPr>
                <w:rFonts w:ascii="Cambria" w:hAnsi="Cambria"/>
                <w:b w:val="0"/>
                <w:i w:val="0"/>
                <w:sz w:val="22"/>
              </w:rPr>
              <w:t>CONDUCT RULES</w:t>
            </w:r>
          </w:p>
        </w:tc>
        <w:tc>
          <w:tcPr>
            <w:tcW w:type="dxa" w:w="1020"/>
            <w:shd w:val="clear" w:color="auto" w:fill="F0F2F5"/>
          </w:tcPr>
          <w:p>
            <w:pPr>
              <w:spacing w:after="40" w:before="40"/>
              <w:jc w:val="center"/>
            </w:pPr>
            <w:r/>
            <w:r>
              <w:rPr>
                <w:rFonts w:ascii="Cambria" w:hAnsi="Cambria"/>
                <w:b w:val="0"/>
                <w:i w:val="0"/>
                <w:sz w:val="22"/>
              </w:rPr>
              <w:t>240</w:t>
            </w:r>
          </w:p>
        </w:tc>
      </w:tr>
      <w:tr>
        <w:tc>
          <w:tcPr>
            <w:tcW w:type="dxa" w:w="850"/>
          </w:tcPr>
          <w:p>
            <w:pPr>
              <w:spacing w:after="40" w:before="40"/>
              <w:jc w:val="center"/>
            </w:pPr>
            <w:r/>
            <w:r>
              <w:rPr>
                <w:rFonts w:ascii="Cambria" w:hAnsi="Cambria"/>
                <w:b w:val="0"/>
                <w:i w:val="0"/>
                <w:sz w:val="22"/>
              </w:rPr>
              <w:t>67</w:t>
            </w:r>
          </w:p>
        </w:tc>
        <w:tc>
          <w:tcPr>
            <w:tcW w:type="dxa" w:w="7541"/>
          </w:tcPr>
          <w:p>
            <w:pPr>
              <w:spacing w:after="40" w:before="40"/>
            </w:pPr>
            <w:r/>
            <w:r>
              <w:rPr>
                <w:rFonts w:ascii="Cambria" w:hAnsi="Cambria"/>
                <w:b w:val="0"/>
                <w:i w:val="0"/>
                <w:sz w:val="22"/>
              </w:rPr>
              <w:t>MISCONDUCT</w:t>
            </w:r>
          </w:p>
        </w:tc>
        <w:tc>
          <w:tcPr>
            <w:tcW w:type="dxa" w:w="1020"/>
          </w:tcPr>
          <w:p>
            <w:pPr>
              <w:spacing w:after="40" w:before="40"/>
              <w:jc w:val="center"/>
            </w:pPr>
            <w:r/>
            <w:r>
              <w:rPr>
                <w:rFonts w:ascii="Cambria" w:hAnsi="Cambria"/>
                <w:b w:val="0"/>
                <w:i w:val="0"/>
                <w:sz w:val="22"/>
              </w:rPr>
              <w:t>303</w:t>
            </w:r>
          </w:p>
        </w:tc>
      </w:tr>
      <w:tr>
        <w:tc>
          <w:tcPr>
            <w:tcW w:type="dxa" w:w="850"/>
            <w:shd w:val="clear" w:color="auto" w:fill="F0F2F5"/>
          </w:tcPr>
          <w:p>
            <w:pPr>
              <w:spacing w:after="40" w:before="40"/>
              <w:jc w:val="center"/>
            </w:pPr>
            <w:r/>
            <w:r>
              <w:rPr>
                <w:rFonts w:ascii="Cambria" w:hAnsi="Cambria"/>
                <w:b w:val="0"/>
                <w:i w:val="0"/>
                <w:sz w:val="22"/>
              </w:rPr>
              <w:t>68</w:t>
            </w:r>
          </w:p>
        </w:tc>
        <w:tc>
          <w:tcPr>
            <w:tcW w:type="dxa" w:w="7541"/>
            <w:shd w:val="clear" w:color="auto" w:fill="F0F2F5"/>
          </w:tcPr>
          <w:p>
            <w:pPr>
              <w:spacing w:after="40" w:before="40"/>
            </w:pPr>
            <w:r/>
            <w:r>
              <w:rPr>
                <w:rFonts w:ascii="Cambria" w:hAnsi="Cambria"/>
                <w:b w:val="0"/>
                <w:i w:val="0"/>
                <w:sz w:val="22"/>
              </w:rPr>
              <w:t>References</w:t>
            </w:r>
          </w:p>
        </w:tc>
        <w:tc>
          <w:tcPr>
            <w:tcW w:type="dxa" w:w="1020"/>
            <w:shd w:val="clear" w:color="auto" w:fill="F0F2F5"/>
          </w:tcPr>
          <w:p>
            <w:pPr>
              <w:spacing w:after="40" w:before="40"/>
              <w:jc w:val="center"/>
            </w:pPr>
            <w:r/>
            <w:r>
              <w:rPr>
                <w:rFonts w:ascii="Cambria" w:hAnsi="Cambria"/>
                <w:b w:val="0"/>
                <w:i w:val="0"/>
                <w:sz w:val="22"/>
              </w:rPr>
              <w:t>350</w:t>
            </w:r>
          </w:p>
        </w:tc>
      </w:tr>
    </w:tbl>
    <w:p>
      <w:r>
        <w:br w:type="page"/>
      </w:r>
    </w:p>
    <w:p>
      <w:pPr>
        <w:keepNext/>
        <w:spacing w:before="280" w:after="160"/>
      </w:pPr>
      <w:r>
        <w:rPr>
          <w:rFonts w:ascii="Cambria" w:hAnsi="Cambria"/>
          <w:b/>
          <w:color w:val="1F3A5F"/>
          <w:sz w:val="32"/>
        </w:rPr>
        <w:t>1. Introduction</w:t>
      </w:r>
    </w:p>
    <w:p>
      <w:pPr>
        <w:jc w:val="both"/>
      </w:pPr>
      <w:r>
        <w:rPr>
          <w:rFonts w:ascii="Cambria" w:hAnsi="Cambria"/>
          <w:b w:val="0"/>
          <w:i w:val="0"/>
          <w:sz w:val="22"/>
        </w:rPr>
        <w:t>T</w:t>
      </w:r>
      <w:r>
        <w:rPr>
          <w:rFonts w:ascii="Cambria" w:hAnsi="Cambria"/>
          <w:b w:val="0"/>
          <w:i/>
          <w:sz w:val="22"/>
        </w:rPr>
        <w:t>Institutional HR Framework: Service Rules, Conduct, Leave Policies, and Administrative Governance</w:t>
      </w:r>
      <w:r>
        <w:rPr>
          <w:rFonts w:ascii="Cambria" w:hAnsi="Cambria"/>
          <w:b w:val="0"/>
          <w:i w:val="0"/>
          <w:sz w:val="22"/>
        </w:rPr>
        <w:t>, is developed to serve as a comprehensive reference manual that codifies these essential elements into an organized and transparent system. It provides a unified structure that supports institutional governance, ensures procedural consistency, and aligns with regulatory expectations set by statutory bodies such as the University Grants Commission (UGC), All India Council for Technical Education (AICTE), National Assessment and Accreditation Council (NAAC), and the National Board of Accreditation (NBA).</w:t>
      </w:r>
    </w:p>
    <w:p>
      <w:pPr>
        <w:jc w:val="both"/>
      </w:pPr>
      <w:r>
        <w:rPr>
          <w:rFonts w:ascii="Cambria" w:hAnsi="Cambria"/>
          <w:i w:val="0"/>
          <w:sz w:val="22"/>
        </w:rPr>
        <w:t>In higher education, the role of HR governance goes beyond basic administrative compliance. It influences the institutional climate, promotes a culture of accountability, and enhances employee satisfaction and productivity. As universities grow in scale and complexity, managing faculty, administrative staff, and technical personnel requires clearly defined rules, streamlined processes, and a well-structured service framework. This book provides a comprehensive consolidation of all such rules and policies, making them accessible, consistent, and applicable to all teaching and non-teaching employees.</w:t>
      </w:r>
    </w:p>
    <w:p>
      <w:pPr>
        <w:jc w:val="both"/>
      </w:pPr>
      <w:r>
        <w:rPr>
          <w:rFonts w:ascii="Cambria" w:hAnsi="Cambria"/>
          <w:i w:val="0"/>
          <w:sz w:val="22"/>
        </w:rPr>
        <w:t>The Service Rules section outlines the fundamental norms governing appointments, recruitment methods, probation, confirmation, seniority, promotions, increment regulations, and retirement. It clearly distinguishes between regular, contractual, temporary, and outsourced modes of employment to eliminate ambiguity and ensure fair treatment. These rules help define the lifecycle of an employee within the institution—from appointment to retirement—while ensuring that procedural fairness, transparency, and objectivity are maintained at every stage. By establishing uniform standards, the institution reinforces trust and credibility in its HR practices.</w:t>
      </w:r>
    </w:p>
    <w:p>
      <w:pPr>
        <w:jc w:val="both"/>
      </w:pPr>
      <w:r>
        <w:rPr>
          <w:rFonts w:ascii="Cambria" w:hAnsi="Cambria"/>
          <w:i w:val="0"/>
          <w:sz w:val="22"/>
        </w:rPr>
        <w:t>The Conduct Rules provide a detailed framework for professional behaviour, ethical expectations, discipline, and integrity. They guide employees on acceptable conduct, responsibilities towards students, peers, and the institution, and adherence to institutional values. The conduct guidelines cover a wide range of areas, including attendance, respect for authority, conflict of interest, prohibition of private tuition, academic integrity, responsible use of institutional resources, political neutrality, and professional ethics. The inclusion of these rules highlights the institution’s commitment to maintaining a respectful, ethical, and dignified working environment essential for academic excellence.</w:t>
      </w:r>
    </w:p>
    <w:p>
      <w:pPr>
        <w:jc w:val="both"/>
      </w:pPr>
      <w:r>
        <w:rPr>
          <w:rFonts w:ascii="Cambria" w:hAnsi="Cambria"/>
          <w:i w:val="0"/>
          <w:sz w:val="22"/>
        </w:rPr>
        <w:t>Leave administration is an integral aspect of institutional HR management, as it ensures employee well-being, work-life balance, and efficient workforce planning. This book provides comprehensive rules for various types of leave, including Casual Leave, Earned Leave, Half Pay Leave, Maternity Leave, Duty Leave, Vacation Rules, Leave Without Pay, and Special Leave categories. The leave policy clearly defines eligibility, conditions, limitations, approval mechanisms, and the responsibilities of employees and sanctioning authorities. By offering clarity on leave entitlements and procedures, the framework minimizes ambiguity and ensures uniformity in decision-making across all departments.</w:t>
      </w:r>
    </w:p>
    <w:p>
      <w:pPr>
        <w:jc w:val="both"/>
      </w:pPr>
      <w:r>
        <w:rPr>
          <w:rFonts w:ascii="Cambria" w:hAnsi="Cambria"/>
          <w:i w:val="0"/>
          <w:sz w:val="22"/>
        </w:rPr>
        <w:t>Administrative Governance forms the backbone of institutional functioning. The book outlines the roles, powers, and responsibilities of the Board of Management (BoM), Chairman, Appointing Authority, Competent Authority, Disciplinary Authority, and Appellate Authority. It describes the institutional hierarchy, channels of communication, delegation of powers, and mechanisms for policy implementation. By clearly defining administrative authority, the framework ensures efficient decision-making, reduces procedural delays, and provides accountability at all levels. The authority structure, as detailed in this document, reinforces institutional order and governance discipline necessary for smooth functioning.</w:t>
      </w:r>
    </w:p>
    <w:p>
      <w:pPr>
        <w:jc w:val="both"/>
      </w:pPr>
      <w:r>
        <w:rPr>
          <w:rFonts w:ascii="Cambria" w:hAnsi="Cambria"/>
          <w:i w:val="0"/>
          <w:sz w:val="22"/>
        </w:rPr>
        <w:t>Another significant component of this framework is the set of Disciplinary Rules. They specify what constitutes minor and major misconduct, procedures for conducting inquiries, penalties that may be imposed, and the rights of employees to defend themselves. The disciplinary framework emphasizes fairness, principles of natural justice, and due process. The aim is not punitive action alone, but maintaining institutional discipline, safeguarding academic integrity, and ensuring responsible behaviour. Suspension rules, subsistence allowance provisions, appeal mechanisms, and reinstatement guidelines further add to the completeness of the disciplinary governance system.</w:t>
      </w:r>
    </w:p>
    <w:p>
      <w:pPr>
        <w:jc w:val="both"/>
      </w:pPr>
      <w:r>
        <w:rPr>
          <w:rFonts w:ascii="Cambria" w:hAnsi="Cambria"/>
          <w:i w:val="0"/>
          <w:sz w:val="22"/>
        </w:rPr>
        <w:t>In addition to service, conduct, and leave rules, the book incorporates modern HR dimensions essential for contemporary higher education. Policies related to employee welfare, health and well-being, training and professional development, performance appraisal, research incentives, consultancy guidelines, sabbatical leave, intellectual property rights (IPR), entrepreneurship support, start-up incubation, and industry collaborations are included to enhance institutional competitiveness and employee growth. These sections promote a culture of continuous learning, innovation, and professional advancement, in alignment with global trends in higher education HR practices.</w:t>
      </w:r>
    </w:p>
    <w:p>
      <w:pPr>
        <w:jc w:val="both"/>
      </w:pPr>
      <w:r>
        <w:rPr>
          <w:rFonts w:ascii="Cambria" w:hAnsi="Cambria"/>
          <w:i w:val="0"/>
          <w:sz w:val="22"/>
        </w:rPr>
        <w:t>A critical component integrated into this HR framework is the Anti-Sexual Harassment and Gender Sensitization Policy (POSH). Ensuring a safe and inclusive work environment is fundamental to institutional excellence. The inclusion of POSH compliance guidelines demonstrates the institution’s commitment to safeguarding dignity, preventing sexual harassment, and promoting gender equity. It outlines the role of the Internal Complaints Committee (ICC), complaint procedures, inquiry mechanisms, and support systems in compliance with statutory obligations under the POSH Act, 2013.</w:t>
      </w:r>
    </w:p>
    <w:p>
      <w:pPr>
        <w:jc w:val="both"/>
      </w:pPr>
      <w:r>
        <w:rPr>
          <w:rFonts w:ascii="Cambria" w:hAnsi="Cambria"/>
          <w:i w:val="0"/>
          <w:sz w:val="22"/>
        </w:rPr>
        <w:t>This book also addresses grievance redressal mechanisms that enable employees to seek remedies for workplace issues through proper channels. Transparent and efficient grievance procedures contribute to employee satisfaction and prevent escalation of conflicts. The structured system ensures that employees are heard, concerns are reviewed impartially, and suitable resolutions are provided promptly.</w:t>
      </w:r>
    </w:p>
    <w:p>
      <w:pPr>
        <w:jc w:val="both"/>
      </w:pPr>
      <w:r>
        <w:rPr>
          <w:rFonts w:ascii="Cambria" w:hAnsi="Cambria"/>
          <w:b w:val="0"/>
          <w:i w:val="0"/>
          <w:sz w:val="22"/>
        </w:rPr>
        <w:t xml:space="preserve">Overall, the </w:t>
      </w:r>
      <w:r>
        <w:rPr>
          <w:rFonts w:ascii="Cambria" w:hAnsi="Cambria"/>
          <w:b w:val="0"/>
          <w:i/>
          <w:sz w:val="22"/>
        </w:rPr>
        <w:t>Institutional HR Framework</w:t>
      </w:r>
      <w:r>
        <w:rPr>
          <w:rFonts w:ascii="Cambria" w:hAnsi="Cambria"/>
          <w:b w:val="0"/>
          <w:i w:val="0"/>
          <w:sz w:val="22"/>
        </w:rPr>
        <w:t xml:space="preserve"> serves as a foundational governance document aimed at enhancing transparency, accountability, ethical conduct, and administrative efficiency across the University. It reflects the institution’s commitment to a structured HR ecosystem that values professionalism, fairness, employee welfare, and regulatory compliance. This book not only codifies rules and responsibilities but also establishes a culture of disciplined governance and institutional excellence. By harmonizing service policies with modern HR practices, it equips both employees and administrators with the clarity, structure, and guidance required for effective institutional functioning. It stands as a comprehensive reference that will continue to support the University’s mission to foster a collaborative, respectful, and academically vibrant environment.</w:t>
      </w:r>
    </w:p>
    <w:p>
      <w:pPr>
        <w:keepNext/>
        <w:spacing w:before="280" w:after="160"/>
      </w:pPr>
      <w:r>
        <w:rPr>
          <w:rFonts w:ascii="Cambria" w:hAnsi="Cambria"/>
          <w:b/>
          <w:color w:val="1F3A5F"/>
          <w:sz w:val="32"/>
        </w:rPr>
        <w:t>2. Institutional HR Framework</w:t>
      </w:r>
    </w:p>
    <w:p>
      <w:pPr>
        <w:keepNext/>
        <w:spacing w:before="200" w:after="120"/>
      </w:pPr>
      <w:r>
        <w:rPr>
          <w:rFonts w:ascii="Cambria" w:hAnsi="Cambria"/>
          <w:b/>
          <w:color w:val="1F3A5F"/>
          <w:sz w:val="27"/>
        </w:rPr>
        <w:t>1. Concept and Purpose of an Institutional HR Framework</w:t>
      </w:r>
    </w:p>
    <w:p>
      <w:pPr>
        <w:pStyle w:val="ListBullet"/>
        <w:spacing w:line="276" w:lineRule="auto"/>
        <w:ind w:left="510"/>
      </w:pPr>
      <w:r>
        <w:rPr>
          <w:rFonts w:ascii="Cambria" w:hAnsi="Cambria"/>
          <w:b w:val="0"/>
          <w:i w:val="0"/>
          <w:sz w:val="22"/>
        </w:rPr>
        <w:t>A comprehensive set of policies, rules, procedures, and governance mechanisms that manage the entire employee lifecycle within a University or Higher Education Institution (HEI).</w:t>
      </w:r>
    </w:p>
    <w:p>
      <w:pPr>
        <w:pStyle w:val="ListBullet"/>
        <w:spacing w:line="276" w:lineRule="auto"/>
        <w:ind w:left="510"/>
      </w:pPr>
      <w:r>
        <w:rPr>
          <w:rFonts w:ascii="Cambria" w:hAnsi="Cambria"/>
          <w:b w:val="0"/>
          <w:i w:val="0"/>
          <w:sz w:val="22"/>
        </w:rPr>
        <w:t>Ensures systematic, transparent, and compliant HR operations across teaching, non-teaching, technical, administrative, and outsourced staff.</w:t>
      </w:r>
    </w:p>
    <w:p>
      <w:pPr>
        <w:pStyle w:val="ListBullet"/>
        <w:spacing w:line="276" w:lineRule="auto"/>
        <w:ind w:left="510"/>
      </w:pPr>
      <w:r>
        <w:rPr>
          <w:rFonts w:ascii="Cambria" w:hAnsi="Cambria"/>
          <w:b w:val="0"/>
          <w:i w:val="0"/>
          <w:sz w:val="22"/>
        </w:rPr>
        <w:t>Aligns institutional HR practices with statutory guidelines issued by UGC, AICTE, NAAC, NBA, MHRD, POSH Act, EPF Regulations, and Labour Laws.</w:t>
      </w:r>
    </w:p>
    <w:p>
      <w:pPr>
        <w:pStyle w:val="ListBullet"/>
        <w:spacing w:line="276" w:lineRule="auto"/>
        <w:ind w:left="510"/>
      </w:pPr>
      <w:r>
        <w:rPr>
          <w:rFonts w:ascii="Cambria" w:hAnsi="Cambria"/>
          <w:b w:val="0"/>
          <w:i w:val="0"/>
          <w:sz w:val="22"/>
        </w:rPr>
        <w:t>Creates a unified structure that promotes institutional discipline, professionalism, accountability, and employee satisfaction.</w:t>
      </w:r>
    </w:p>
    <w:p>
      <w:pPr>
        <w:pStyle w:val="ListBullet"/>
        <w:spacing w:line="276" w:lineRule="auto"/>
        <w:ind w:left="510"/>
      </w:pPr>
      <w:r>
        <w:rPr>
          <w:rFonts w:ascii="Cambria" w:hAnsi="Cambria"/>
          <w:b w:val="0"/>
          <w:i w:val="0"/>
          <w:sz w:val="22"/>
        </w:rPr>
        <w:t>Supports the institution’s strategic goals, academic excellence, and research output by ensuring a capable and motivated workforce.</w:t>
      </w:r>
    </w:p>
    <w:p>
      <w:pPr>
        <w:keepNext/>
        <w:spacing w:before="200" w:after="120"/>
      </w:pPr>
      <w:r>
        <w:rPr>
          <w:rFonts w:ascii="Cambria" w:hAnsi="Cambria"/>
          <w:b/>
          <w:color w:val="1F3A5F"/>
          <w:sz w:val="27"/>
        </w:rPr>
        <w:t>2. Core Components of the HR Framework</w:t>
      </w:r>
    </w:p>
    <w:p>
      <w:pPr>
        <w:keepNext/>
        <w:spacing w:before="200" w:after="120"/>
      </w:pPr>
      <w:r>
        <w:rPr>
          <w:rFonts w:ascii="Cambria" w:hAnsi="Cambria"/>
          <w:b/>
          <w:color w:val="1F3A5F"/>
          <w:sz w:val="24"/>
        </w:rPr>
        <w:t>A. Service Rules</w:t>
      </w:r>
    </w:p>
    <w:p>
      <w:pPr>
        <w:pStyle w:val="ListBullet"/>
        <w:spacing w:line="276" w:lineRule="auto"/>
        <w:ind w:left="510"/>
      </w:pPr>
      <w:r>
        <w:rPr>
          <w:rFonts w:ascii="Cambria" w:hAnsi="Cambria"/>
          <w:b w:val="0"/>
          <w:i w:val="0"/>
          <w:sz w:val="22"/>
        </w:rPr>
        <w:t>Policies governing appointments, including regular, contractual, temporary, ad-hoc, and deputation-based employment.</w:t>
      </w:r>
    </w:p>
    <w:p>
      <w:pPr>
        <w:pStyle w:val="ListBullet"/>
        <w:spacing w:line="276" w:lineRule="auto"/>
        <w:ind w:left="510"/>
      </w:pPr>
      <w:r>
        <w:rPr>
          <w:rFonts w:ascii="Cambria" w:hAnsi="Cambria"/>
          <w:b w:val="0"/>
          <w:i w:val="0"/>
          <w:sz w:val="22"/>
        </w:rPr>
        <w:t>Clear norms for eligibility, recruitment procedures, selection committees, and approvals.</w:t>
      </w:r>
    </w:p>
    <w:p>
      <w:pPr>
        <w:pStyle w:val="ListBullet"/>
        <w:spacing w:line="276" w:lineRule="auto"/>
        <w:ind w:left="510"/>
      </w:pPr>
      <w:r>
        <w:rPr>
          <w:rFonts w:ascii="Cambria" w:hAnsi="Cambria"/>
          <w:b w:val="0"/>
          <w:i w:val="0"/>
          <w:sz w:val="22"/>
        </w:rPr>
        <w:t>Rules for probation, confirmation, extension of probation, and termination.</w:t>
      </w:r>
    </w:p>
    <w:p>
      <w:pPr>
        <w:pStyle w:val="ListBullet"/>
        <w:spacing w:line="276" w:lineRule="auto"/>
        <w:ind w:left="510"/>
      </w:pPr>
      <w:r>
        <w:rPr>
          <w:rFonts w:ascii="Cambria" w:hAnsi="Cambria"/>
          <w:b w:val="0"/>
          <w:i w:val="0"/>
          <w:sz w:val="22"/>
        </w:rPr>
        <w:t>Definition of seniority, merit ranking, and inter-se position within a cadre.</w:t>
      </w:r>
    </w:p>
    <w:p>
      <w:pPr>
        <w:pStyle w:val="ListBullet"/>
        <w:spacing w:line="276" w:lineRule="auto"/>
        <w:ind w:left="510"/>
      </w:pPr>
      <w:r>
        <w:rPr>
          <w:rFonts w:ascii="Cambria" w:hAnsi="Cambria"/>
          <w:b w:val="0"/>
          <w:i w:val="0"/>
          <w:sz w:val="22"/>
        </w:rPr>
        <w:t>Guidelines for promotion, career progression, and internal mobility.</w:t>
      </w:r>
    </w:p>
    <w:p>
      <w:pPr>
        <w:pStyle w:val="ListBullet"/>
        <w:spacing w:line="276" w:lineRule="auto"/>
        <w:ind w:left="510"/>
      </w:pPr>
      <w:r>
        <w:rPr>
          <w:rFonts w:ascii="Cambria" w:hAnsi="Cambria"/>
          <w:b w:val="0"/>
          <w:i w:val="0"/>
          <w:sz w:val="22"/>
        </w:rPr>
        <w:t>Norms for increments, including performance-linked increments and withholding of increment.</w:t>
      </w:r>
    </w:p>
    <w:p>
      <w:pPr>
        <w:pStyle w:val="ListBullet"/>
        <w:spacing w:line="276" w:lineRule="auto"/>
        <w:ind w:left="510"/>
      </w:pPr>
      <w:r>
        <w:rPr>
          <w:rFonts w:ascii="Cambria" w:hAnsi="Cambria"/>
          <w:b w:val="0"/>
          <w:i w:val="0"/>
          <w:sz w:val="22"/>
        </w:rPr>
        <w:t>Rules for retirement, voluntary retirement (VRS), re-employment, and superannuation.</w:t>
      </w:r>
    </w:p>
    <w:p>
      <w:pPr>
        <w:keepNext/>
        <w:spacing w:before="200" w:after="120"/>
      </w:pPr>
      <w:r>
        <w:rPr>
          <w:rFonts w:ascii="Cambria" w:hAnsi="Cambria"/>
          <w:b/>
          <w:color w:val="1F3A5F"/>
          <w:sz w:val="24"/>
        </w:rPr>
        <w:t>B. Conduct &amp; Ethics Rules</w:t>
      </w:r>
    </w:p>
    <w:p>
      <w:pPr>
        <w:pStyle w:val="ListBullet"/>
        <w:spacing w:line="276" w:lineRule="auto"/>
        <w:ind w:left="510"/>
      </w:pPr>
      <w:r>
        <w:rPr>
          <w:rFonts w:ascii="Cambria" w:hAnsi="Cambria"/>
          <w:b w:val="0"/>
          <w:i w:val="0"/>
          <w:sz w:val="22"/>
        </w:rPr>
        <w:t>Standards of professional behaviour, integrity, discipline, and decorum expected of all employees.</w:t>
      </w:r>
    </w:p>
    <w:p>
      <w:pPr>
        <w:pStyle w:val="ListBullet"/>
        <w:spacing w:line="276" w:lineRule="auto"/>
        <w:ind w:left="510"/>
      </w:pPr>
      <w:r>
        <w:rPr>
          <w:rFonts w:ascii="Cambria" w:hAnsi="Cambria"/>
          <w:b w:val="0"/>
          <w:i w:val="0"/>
          <w:sz w:val="22"/>
        </w:rPr>
        <w:t>Confidentiality obligations regarding University data, internal decisions, and official information.</w:t>
      </w:r>
    </w:p>
    <w:p>
      <w:pPr>
        <w:pStyle w:val="ListBullet"/>
        <w:spacing w:line="276" w:lineRule="auto"/>
        <w:ind w:left="510"/>
      </w:pPr>
      <w:r>
        <w:rPr>
          <w:rFonts w:ascii="Cambria" w:hAnsi="Cambria"/>
          <w:b w:val="0"/>
          <w:i w:val="0"/>
          <w:sz w:val="22"/>
        </w:rPr>
        <w:t>Restrictions on political activity, media interaction, private tuition, external employment, and conflict of interest.</w:t>
      </w:r>
    </w:p>
    <w:p>
      <w:pPr>
        <w:pStyle w:val="ListBullet"/>
        <w:spacing w:line="276" w:lineRule="auto"/>
        <w:ind w:left="510"/>
      </w:pPr>
      <w:r>
        <w:rPr>
          <w:rFonts w:ascii="Cambria" w:hAnsi="Cambria"/>
          <w:b w:val="0"/>
          <w:i w:val="0"/>
          <w:sz w:val="22"/>
        </w:rPr>
        <w:t>Rules addressing academic integrity, dignity of the profession, proper interaction with students, colleagues, and superiors.</w:t>
      </w:r>
    </w:p>
    <w:p>
      <w:pPr>
        <w:pStyle w:val="ListBullet"/>
        <w:spacing w:line="276" w:lineRule="auto"/>
        <w:ind w:left="510"/>
      </w:pPr>
      <w:r>
        <w:rPr>
          <w:rFonts w:ascii="Cambria" w:hAnsi="Cambria"/>
          <w:b w:val="0"/>
          <w:i w:val="0"/>
          <w:sz w:val="22"/>
        </w:rPr>
        <w:t>Prohibition of misconduct including insubordination, negligence, unauthorized absence, harassment, discrimination, and misuse of University property.</w:t>
      </w:r>
    </w:p>
    <w:p>
      <w:pPr>
        <w:pStyle w:val="ListBullet"/>
        <w:spacing w:line="276" w:lineRule="auto"/>
        <w:ind w:left="510"/>
      </w:pPr>
      <w:r>
        <w:rPr>
          <w:rFonts w:ascii="Cambria" w:hAnsi="Cambria"/>
          <w:b w:val="0"/>
          <w:i w:val="0"/>
          <w:sz w:val="22"/>
        </w:rPr>
        <w:t>Guidelines on dress code, communication etiquette, and responsible use of institutional resources.</w:t>
      </w:r>
    </w:p>
    <w:p>
      <w:pPr>
        <w:keepNext/>
        <w:spacing w:before="200" w:after="120"/>
      </w:pPr>
      <w:r>
        <w:rPr>
          <w:rFonts w:ascii="Cambria" w:hAnsi="Cambria"/>
          <w:b/>
          <w:color w:val="1F3A5F"/>
          <w:sz w:val="24"/>
        </w:rPr>
        <w:t>C. Leave Policies</w:t>
      </w:r>
    </w:p>
    <w:p>
      <w:pPr>
        <w:pStyle w:val="ListBullet"/>
        <w:spacing w:line="276" w:lineRule="auto"/>
        <w:ind w:left="510"/>
      </w:pPr>
      <w:r>
        <w:rPr>
          <w:rFonts w:ascii="Cambria" w:hAnsi="Cambria"/>
          <w:b w:val="0"/>
          <w:i w:val="0"/>
          <w:sz w:val="22"/>
        </w:rPr>
        <w:t>Full classification of leave types: Casual Leave, Earned Leave, Half Pay Leave, Maternity Leave, Paternity Leave, Medical Leave, Special Leave, Duty Leave, Vacation Leave, Leave Without Pay, Extraordinary Leave, etc.</w:t>
      </w:r>
    </w:p>
    <w:p>
      <w:pPr>
        <w:pStyle w:val="ListBullet"/>
        <w:spacing w:line="276" w:lineRule="auto"/>
        <w:ind w:left="510"/>
      </w:pPr>
      <w:r>
        <w:rPr>
          <w:rFonts w:ascii="Cambria" w:hAnsi="Cambria"/>
          <w:b w:val="0"/>
          <w:i w:val="0"/>
          <w:sz w:val="22"/>
        </w:rPr>
        <w:t>Clear rules for eligibility, accumulation, encashment, lapsing, and sanctioning authority.</w:t>
      </w:r>
    </w:p>
    <w:p>
      <w:pPr>
        <w:pStyle w:val="ListBullet"/>
        <w:spacing w:line="276" w:lineRule="auto"/>
        <w:ind w:left="510"/>
      </w:pPr>
      <w:r>
        <w:rPr>
          <w:rFonts w:ascii="Cambria" w:hAnsi="Cambria"/>
          <w:b w:val="0"/>
          <w:i w:val="0"/>
          <w:sz w:val="22"/>
        </w:rPr>
        <w:t>Procedures for applying for leave, availing vacation, combining leave, and returning to duty.</w:t>
      </w:r>
    </w:p>
    <w:p>
      <w:pPr>
        <w:pStyle w:val="ListBullet"/>
        <w:spacing w:line="276" w:lineRule="auto"/>
        <w:ind w:left="510"/>
      </w:pPr>
      <w:r>
        <w:rPr>
          <w:rFonts w:ascii="Cambria" w:hAnsi="Cambria"/>
          <w:b w:val="0"/>
          <w:i w:val="0"/>
          <w:sz w:val="22"/>
        </w:rPr>
        <w:t>Norms for medical certificates, joining reports, and consequences for overstaying sanctioned leave.</w:t>
      </w:r>
    </w:p>
    <w:p>
      <w:pPr>
        <w:pStyle w:val="ListBullet"/>
        <w:spacing w:line="276" w:lineRule="auto"/>
        <w:ind w:left="510"/>
      </w:pPr>
      <w:r>
        <w:rPr>
          <w:rFonts w:ascii="Cambria" w:hAnsi="Cambria"/>
          <w:b w:val="0"/>
          <w:i w:val="0"/>
          <w:sz w:val="22"/>
        </w:rPr>
        <w:t>Specific rules for faculty vacation, leave during notice period, and leave restrictions for probationers.</w:t>
      </w:r>
    </w:p>
    <w:p>
      <w:pPr>
        <w:keepNext/>
        <w:spacing w:before="200" w:after="120"/>
      </w:pPr>
      <w:r>
        <w:rPr>
          <w:rFonts w:ascii="Cambria" w:hAnsi="Cambria"/>
          <w:b/>
          <w:color w:val="1F3A5F"/>
          <w:sz w:val="24"/>
        </w:rPr>
        <w:t>D. Administrative Governance</w:t>
      </w:r>
    </w:p>
    <w:p>
      <w:pPr>
        <w:pStyle w:val="ListBullet"/>
        <w:spacing w:line="276" w:lineRule="auto"/>
        <w:ind w:left="510"/>
      </w:pPr>
      <w:r>
        <w:rPr>
          <w:rFonts w:ascii="Cambria" w:hAnsi="Cambria"/>
          <w:b w:val="0"/>
          <w:i w:val="0"/>
          <w:sz w:val="22"/>
        </w:rPr>
        <w:t>Roles, powers, and functions of:</w:t>
      </w:r>
    </w:p>
    <w:p>
      <w:pPr>
        <w:pStyle w:val="ListBullet2"/>
        <w:spacing w:line="276" w:lineRule="auto"/>
        <w:ind w:left="1020"/>
      </w:pPr>
      <w:r>
        <w:rPr>
          <w:rFonts w:ascii="Cambria" w:hAnsi="Cambria"/>
          <w:b w:val="0"/>
          <w:i w:val="0"/>
          <w:sz w:val="22"/>
        </w:rPr>
        <w:t>Board of Management (BoM)</w:t>
      </w:r>
    </w:p>
    <w:p>
      <w:pPr>
        <w:pStyle w:val="ListBullet2"/>
        <w:spacing w:line="276" w:lineRule="auto"/>
        <w:ind w:left="1020"/>
      </w:pPr>
      <w:r>
        <w:rPr>
          <w:rFonts w:ascii="Cambria" w:hAnsi="Cambria"/>
          <w:b w:val="0"/>
          <w:i w:val="0"/>
          <w:sz w:val="22"/>
        </w:rPr>
        <w:t>Chairman</w:t>
      </w:r>
    </w:p>
    <w:p>
      <w:pPr>
        <w:pStyle w:val="ListBullet2"/>
        <w:spacing w:line="276" w:lineRule="auto"/>
        <w:ind w:left="1020"/>
      </w:pPr>
      <w:r>
        <w:rPr>
          <w:rFonts w:ascii="Cambria" w:hAnsi="Cambria"/>
          <w:b w:val="0"/>
          <w:i w:val="0"/>
          <w:sz w:val="22"/>
        </w:rPr>
        <w:t>Vice Chancellor</w:t>
      </w:r>
    </w:p>
    <w:p>
      <w:pPr>
        <w:pStyle w:val="ListBullet2"/>
        <w:spacing w:line="276" w:lineRule="auto"/>
        <w:ind w:left="1020"/>
      </w:pPr>
      <w:r>
        <w:rPr>
          <w:rFonts w:ascii="Cambria" w:hAnsi="Cambria"/>
          <w:b w:val="0"/>
          <w:i w:val="0"/>
          <w:sz w:val="22"/>
        </w:rPr>
        <w:t>Registrar</w:t>
      </w:r>
    </w:p>
    <w:p>
      <w:pPr>
        <w:pStyle w:val="ListBullet2"/>
        <w:spacing w:line="276" w:lineRule="auto"/>
        <w:ind w:left="1020"/>
      </w:pPr>
      <w:r>
        <w:rPr>
          <w:rFonts w:ascii="Cambria" w:hAnsi="Cambria"/>
          <w:b w:val="0"/>
          <w:i w:val="0"/>
          <w:sz w:val="22"/>
        </w:rPr>
        <w:t>Principals/Directors of Institutions</w:t>
      </w:r>
    </w:p>
    <w:p>
      <w:pPr>
        <w:pStyle w:val="ListBullet2"/>
        <w:spacing w:line="276" w:lineRule="auto"/>
        <w:ind w:left="1020"/>
      </w:pPr>
      <w:r>
        <w:rPr>
          <w:rFonts w:ascii="Cambria" w:hAnsi="Cambria"/>
          <w:b w:val="0"/>
          <w:i w:val="0"/>
          <w:sz w:val="22"/>
        </w:rPr>
        <w:t>Head of the Department (HOD)</w:t>
      </w:r>
    </w:p>
    <w:p>
      <w:pPr>
        <w:pStyle w:val="ListBullet2"/>
        <w:spacing w:line="276" w:lineRule="auto"/>
        <w:ind w:left="1020"/>
      </w:pPr>
      <w:r>
        <w:rPr>
          <w:rFonts w:ascii="Cambria" w:hAnsi="Cambria"/>
          <w:b w:val="0"/>
          <w:i w:val="0"/>
          <w:sz w:val="22"/>
        </w:rPr>
        <w:t>Competent Authority</w:t>
      </w:r>
    </w:p>
    <w:p>
      <w:pPr>
        <w:pStyle w:val="ListBullet2"/>
        <w:spacing w:line="276" w:lineRule="auto"/>
        <w:ind w:left="1020"/>
      </w:pPr>
      <w:r>
        <w:rPr>
          <w:rFonts w:ascii="Cambria" w:hAnsi="Cambria"/>
          <w:b w:val="0"/>
          <w:i w:val="0"/>
          <w:sz w:val="22"/>
        </w:rPr>
        <w:t>Appointing Authority</w:t>
      </w:r>
    </w:p>
    <w:p>
      <w:pPr>
        <w:pStyle w:val="ListBullet2"/>
        <w:spacing w:line="276" w:lineRule="auto"/>
        <w:ind w:left="1020"/>
      </w:pPr>
      <w:r>
        <w:rPr>
          <w:rFonts w:ascii="Cambria" w:hAnsi="Cambria"/>
          <w:b w:val="0"/>
          <w:i w:val="0"/>
          <w:sz w:val="22"/>
        </w:rPr>
        <w:t>Disciplinary Authority</w:t>
      </w:r>
    </w:p>
    <w:p>
      <w:pPr>
        <w:pStyle w:val="ListBullet2"/>
        <w:spacing w:line="276" w:lineRule="auto"/>
        <w:ind w:left="1020"/>
      </w:pPr>
      <w:r>
        <w:rPr>
          <w:rFonts w:ascii="Cambria" w:hAnsi="Cambria"/>
          <w:b w:val="0"/>
          <w:i w:val="0"/>
          <w:sz w:val="22"/>
        </w:rPr>
        <w:t>Appellate Authority</w:t>
      </w:r>
    </w:p>
    <w:p>
      <w:pPr>
        <w:pStyle w:val="ListBullet"/>
        <w:spacing w:line="276" w:lineRule="auto"/>
        <w:ind w:left="510"/>
      </w:pPr>
      <w:r>
        <w:rPr>
          <w:rFonts w:ascii="Cambria" w:hAnsi="Cambria"/>
          <w:b w:val="0"/>
          <w:i w:val="0"/>
          <w:sz w:val="22"/>
        </w:rPr>
        <w:t>Delegation of financial and administrative powers.</w:t>
      </w:r>
    </w:p>
    <w:p>
      <w:pPr>
        <w:pStyle w:val="ListBullet"/>
        <w:spacing w:line="276" w:lineRule="auto"/>
        <w:ind w:left="510"/>
      </w:pPr>
      <w:r>
        <w:rPr>
          <w:rFonts w:ascii="Cambria" w:hAnsi="Cambria"/>
          <w:b w:val="0"/>
          <w:i w:val="0"/>
          <w:sz w:val="22"/>
        </w:rPr>
        <w:t>Approval mechanisms for policies, service matters, and disciplinary cases.</w:t>
      </w:r>
    </w:p>
    <w:p>
      <w:pPr>
        <w:pStyle w:val="ListBullet"/>
        <w:spacing w:line="276" w:lineRule="auto"/>
        <w:ind w:left="510"/>
      </w:pPr>
      <w:r>
        <w:rPr>
          <w:rFonts w:ascii="Cambria" w:hAnsi="Cambria"/>
          <w:b w:val="0"/>
          <w:i w:val="0"/>
          <w:sz w:val="22"/>
        </w:rPr>
        <w:t>Reporting hierarchy, communication channels, and administrative accountability.</w:t>
      </w:r>
    </w:p>
    <w:p>
      <w:pPr>
        <w:keepNext/>
        <w:spacing w:before="200" w:after="120"/>
      </w:pPr>
      <w:r>
        <w:rPr>
          <w:rFonts w:ascii="Cambria" w:hAnsi="Cambria"/>
          <w:b/>
          <w:color w:val="1F3A5F"/>
          <w:sz w:val="24"/>
        </w:rPr>
        <w:t>E. Disciplinary Procedures</w:t>
      </w:r>
    </w:p>
    <w:p>
      <w:pPr>
        <w:pStyle w:val="ListBullet"/>
        <w:spacing w:line="276" w:lineRule="auto"/>
        <w:ind w:left="510"/>
      </w:pPr>
      <w:r>
        <w:rPr>
          <w:rFonts w:ascii="Cambria" w:hAnsi="Cambria"/>
          <w:b w:val="0"/>
          <w:i w:val="0"/>
          <w:sz w:val="22"/>
        </w:rPr>
        <w:t>Classification of minor and major penalties, including censure, withholding increments, suspension, reduction in rank, compulsory retirement, removal, and dismissal.</w:t>
      </w:r>
    </w:p>
    <w:p>
      <w:pPr>
        <w:pStyle w:val="ListBullet"/>
        <w:spacing w:line="276" w:lineRule="auto"/>
        <w:ind w:left="510"/>
      </w:pPr>
      <w:r>
        <w:rPr>
          <w:rFonts w:ascii="Cambria" w:hAnsi="Cambria"/>
          <w:b w:val="0"/>
          <w:i w:val="0"/>
          <w:sz w:val="22"/>
        </w:rPr>
        <w:t>Procedure for conducting domestic enquiries following principles of natural justice.</w:t>
      </w:r>
    </w:p>
    <w:p>
      <w:pPr>
        <w:pStyle w:val="ListBullet"/>
        <w:spacing w:line="276" w:lineRule="auto"/>
        <w:ind w:left="510"/>
      </w:pPr>
      <w:r>
        <w:rPr>
          <w:rFonts w:ascii="Cambria" w:hAnsi="Cambria"/>
          <w:b w:val="0"/>
          <w:i w:val="0"/>
          <w:sz w:val="22"/>
        </w:rPr>
        <w:t>Rules governing suspension, subsistence allowance, and review of suspension.</w:t>
      </w:r>
    </w:p>
    <w:p>
      <w:pPr>
        <w:pStyle w:val="ListBullet"/>
        <w:spacing w:line="276" w:lineRule="auto"/>
        <w:ind w:left="510"/>
      </w:pPr>
      <w:r>
        <w:rPr>
          <w:rFonts w:ascii="Cambria" w:hAnsi="Cambria"/>
          <w:b w:val="0"/>
          <w:i w:val="0"/>
          <w:sz w:val="22"/>
        </w:rPr>
        <w:t>Mechanisms for appeals, reviews, and reinstatement after inquiry.</w:t>
      </w:r>
    </w:p>
    <w:p>
      <w:pPr>
        <w:pStyle w:val="ListBullet"/>
        <w:spacing w:line="276" w:lineRule="auto"/>
        <w:ind w:left="510"/>
      </w:pPr>
      <w:r>
        <w:rPr>
          <w:rFonts w:ascii="Cambria" w:hAnsi="Cambria"/>
          <w:b w:val="0"/>
          <w:i w:val="0"/>
          <w:sz w:val="22"/>
        </w:rPr>
        <w:t>Handling of criminal cases, arrest, and custody of employees.</w:t>
      </w:r>
    </w:p>
    <w:p>
      <w:pPr>
        <w:keepNext/>
        <w:spacing w:before="200" w:after="120"/>
      </w:pPr>
      <w:r>
        <w:rPr>
          <w:rFonts w:ascii="Cambria" w:hAnsi="Cambria"/>
          <w:b/>
          <w:color w:val="1F3A5F"/>
          <w:sz w:val="27"/>
        </w:rPr>
        <w:t>3. Advanced HR Policies Integrated into the Framework</w:t>
      </w:r>
    </w:p>
    <w:p>
      <w:pPr>
        <w:keepNext/>
        <w:spacing w:before="200" w:after="120"/>
      </w:pPr>
      <w:r>
        <w:rPr>
          <w:rFonts w:ascii="Cambria" w:hAnsi="Cambria"/>
          <w:b/>
          <w:color w:val="1F3A5F"/>
          <w:sz w:val="24"/>
        </w:rPr>
        <w:t>A. Professional Development &amp; Training</w:t>
      </w:r>
    </w:p>
    <w:p>
      <w:pPr>
        <w:pStyle w:val="ListBullet"/>
        <w:spacing w:line="276" w:lineRule="auto"/>
        <w:ind w:left="510"/>
      </w:pPr>
      <w:r>
        <w:rPr>
          <w:rFonts w:ascii="Cambria" w:hAnsi="Cambria"/>
          <w:b w:val="0"/>
          <w:i w:val="0"/>
          <w:sz w:val="22"/>
        </w:rPr>
        <w:t>Structured programs for faculty development, skill enhancement, and capacity building.</w:t>
      </w:r>
    </w:p>
    <w:p>
      <w:pPr>
        <w:pStyle w:val="ListBullet"/>
        <w:spacing w:line="276" w:lineRule="auto"/>
        <w:ind w:left="510"/>
      </w:pPr>
      <w:r>
        <w:rPr>
          <w:rFonts w:ascii="Cambria" w:hAnsi="Cambria"/>
          <w:b w:val="0"/>
          <w:i w:val="0"/>
          <w:sz w:val="22"/>
        </w:rPr>
        <w:t>Policies for workshops, FDPs, refresher courses, conferences, and training programs.</w:t>
      </w:r>
    </w:p>
    <w:p>
      <w:pPr>
        <w:pStyle w:val="ListBullet"/>
        <w:spacing w:line="276" w:lineRule="auto"/>
        <w:ind w:left="510"/>
      </w:pPr>
      <w:r>
        <w:rPr>
          <w:rFonts w:ascii="Cambria" w:hAnsi="Cambria"/>
          <w:b w:val="0"/>
          <w:i w:val="0"/>
          <w:sz w:val="22"/>
        </w:rPr>
        <w:t>Support for higher education, qualification improvement, and certification.</w:t>
      </w:r>
    </w:p>
    <w:p>
      <w:pPr>
        <w:keepNext/>
        <w:spacing w:before="200" w:after="120"/>
      </w:pPr>
      <w:r>
        <w:rPr>
          <w:rFonts w:ascii="Cambria" w:hAnsi="Cambria"/>
          <w:b/>
          <w:color w:val="1F3A5F"/>
          <w:sz w:val="24"/>
        </w:rPr>
        <w:t>B. Research and Consultancy</w:t>
      </w:r>
    </w:p>
    <w:p>
      <w:pPr>
        <w:pStyle w:val="ListBullet"/>
        <w:spacing w:line="276" w:lineRule="auto"/>
        <w:ind w:left="510"/>
      </w:pPr>
      <w:r>
        <w:rPr>
          <w:rFonts w:ascii="Cambria" w:hAnsi="Cambria"/>
          <w:b w:val="0"/>
          <w:i w:val="0"/>
          <w:sz w:val="22"/>
        </w:rPr>
        <w:t>Policies for research incentives, publication rewards, patent filing support, and grants.</w:t>
      </w:r>
    </w:p>
    <w:p>
      <w:pPr>
        <w:pStyle w:val="ListBullet"/>
        <w:spacing w:line="276" w:lineRule="auto"/>
        <w:ind w:left="510"/>
      </w:pPr>
      <w:r>
        <w:rPr>
          <w:rFonts w:ascii="Cambria" w:hAnsi="Cambria"/>
          <w:b w:val="0"/>
          <w:i w:val="0"/>
          <w:sz w:val="22"/>
        </w:rPr>
        <w:t>Guidelines for industry consultancy, testing services, revenue sharing, and external funding.</w:t>
      </w:r>
    </w:p>
    <w:p>
      <w:pPr>
        <w:pStyle w:val="ListBullet"/>
        <w:spacing w:line="276" w:lineRule="auto"/>
        <w:ind w:left="510"/>
      </w:pPr>
      <w:r>
        <w:rPr>
          <w:rFonts w:ascii="Cambria" w:hAnsi="Cambria"/>
          <w:b w:val="0"/>
          <w:i w:val="0"/>
          <w:sz w:val="22"/>
        </w:rPr>
        <w:t>Ethical and procedural guidelines for research integrity.</w:t>
      </w:r>
    </w:p>
    <w:p>
      <w:pPr>
        <w:keepNext/>
        <w:spacing w:before="200" w:after="120"/>
      </w:pPr>
      <w:r>
        <w:rPr>
          <w:rFonts w:ascii="Cambria" w:hAnsi="Cambria"/>
          <w:b/>
          <w:color w:val="1F3A5F"/>
          <w:sz w:val="24"/>
        </w:rPr>
        <w:t>C. Intellectual Property Rights (IPR)</w:t>
      </w:r>
    </w:p>
    <w:p>
      <w:pPr>
        <w:pStyle w:val="ListBullet"/>
        <w:spacing w:line="276" w:lineRule="auto"/>
        <w:ind w:left="510"/>
      </w:pPr>
      <w:r>
        <w:rPr>
          <w:rFonts w:ascii="Cambria" w:hAnsi="Cambria"/>
          <w:b w:val="0"/>
          <w:i w:val="0"/>
          <w:sz w:val="22"/>
        </w:rPr>
        <w:t>Ownership, licensing, revenue sharing, and filing procedures for patents, copyrights, and commercialization.</w:t>
      </w:r>
    </w:p>
    <w:p>
      <w:pPr>
        <w:pStyle w:val="ListBullet"/>
        <w:spacing w:line="276" w:lineRule="auto"/>
        <w:ind w:left="510"/>
      </w:pPr>
      <w:r>
        <w:rPr>
          <w:rFonts w:ascii="Cambria" w:hAnsi="Cambria"/>
          <w:b w:val="0"/>
          <w:i w:val="0"/>
          <w:sz w:val="22"/>
        </w:rPr>
        <w:t>Roles of IPR cell and responsibilities of inventors.</w:t>
      </w:r>
    </w:p>
    <w:p>
      <w:pPr>
        <w:keepNext/>
        <w:spacing w:before="200" w:after="120"/>
      </w:pPr>
      <w:r>
        <w:rPr>
          <w:rFonts w:ascii="Cambria" w:hAnsi="Cambria"/>
          <w:b/>
          <w:color w:val="1F3A5F"/>
          <w:sz w:val="24"/>
        </w:rPr>
        <w:t>D. Entrepreneurial &amp; Start-up Support</w:t>
      </w:r>
    </w:p>
    <w:p>
      <w:pPr>
        <w:pStyle w:val="ListBullet"/>
        <w:spacing w:line="276" w:lineRule="auto"/>
        <w:ind w:left="510"/>
      </w:pPr>
      <w:r>
        <w:rPr>
          <w:rFonts w:ascii="Cambria" w:hAnsi="Cambria"/>
          <w:b w:val="0"/>
          <w:i w:val="0"/>
          <w:sz w:val="22"/>
        </w:rPr>
        <w:t>Institutional provisions for entrepreneurship incubation, start-up policies, faculty start-up participation, and innovation support.</w:t>
      </w:r>
    </w:p>
    <w:p>
      <w:pPr>
        <w:pStyle w:val="ListBullet"/>
        <w:spacing w:line="276" w:lineRule="auto"/>
        <w:ind w:left="510"/>
      </w:pPr>
      <w:r>
        <w:rPr>
          <w:rFonts w:ascii="Cambria" w:hAnsi="Cambria"/>
          <w:b w:val="0"/>
          <w:i w:val="0"/>
          <w:sz w:val="22"/>
        </w:rPr>
        <w:t>Guidelines for conflict of interest, disclosure norms, and time commitment.</w:t>
      </w:r>
    </w:p>
    <w:p>
      <w:pPr>
        <w:keepNext/>
        <w:spacing w:before="200" w:after="120"/>
      </w:pPr>
      <w:r>
        <w:rPr>
          <w:rFonts w:ascii="Cambria" w:hAnsi="Cambria"/>
          <w:b/>
          <w:color w:val="1F3A5F"/>
          <w:sz w:val="24"/>
        </w:rPr>
        <w:t>E. Employee Welfare &amp; Well-being</w:t>
      </w:r>
    </w:p>
    <w:p>
      <w:pPr>
        <w:pStyle w:val="ListBullet"/>
        <w:spacing w:line="276" w:lineRule="auto"/>
        <w:ind w:left="510"/>
      </w:pPr>
      <w:r>
        <w:rPr>
          <w:rFonts w:ascii="Cambria" w:hAnsi="Cambria"/>
          <w:b w:val="0"/>
          <w:i w:val="0"/>
          <w:sz w:val="22"/>
        </w:rPr>
        <w:t>Medical reimbursement, insurance, PF benefits, gratuity, LTC, and leave encashment.</w:t>
      </w:r>
    </w:p>
    <w:p>
      <w:pPr>
        <w:pStyle w:val="ListBullet"/>
        <w:spacing w:line="276" w:lineRule="auto"/>
        <w:ind w:left="510"/>
      </w:pPr>
      <w:r>
        <w:rPr>
          <w:rFonts w:ascii="Cambria" w:hAnsi="Cambria"/>
          <w:b w:val="0"/>
          <w:i w:val="0"/>
          <w:sz w:val="22"/>
        </w:rPr>
        <w:t>Policies for mental health support, counselling, and safe workplace environment.</w:t>
      </w:r>
    </w:p>
    <w:p>
      <w:pPr>
        <w:pStyle w:val="ListBullet"/>
        <w:spacing w:line="276" w:lineRule="auto"/>
        <w:ind w:left="510"/>
      </w:pPr>
      <w:r>
        <w:rPr>
          <w:rFonts w:ascii="Cambria" w:hAnsi="Cambria"/>
          <w:b w:val="0"/>
          <w:i w:val="0"/>
          <w:sz w:val="22"/>
        </w:rPr>
        <w:t>Facilities like housing, transport, childcare support, staff welfare activities.</w:t>
      </w:r>
    </w:p>
    <w:p>
      <w:pPr>
        <w:keepNext/>
        <w:spacing w:before="200" w:after="120"/>
      </w:pPr>
      <w:r>
        <w:rPr>
          <w:rFonts w:ascii="Cambria" w:hAnsi="Cambria"/>
          <w:b/>
          <w:color w:val="1F3A5F"/>
          <w:sz w:val="24"/>
        </w:rPr>
        <w:t>F. Gender Sensitization &amp; POSH Compliance</w:t>
      </w:r>
    </w:p>
    <w:p>
      <w:pPr>
        <w:pStyle w:val="ListBullet"/>
        <w:spacing w:line="276" w:lineRule="auto"/>
        <w:ind w:left="510"/>
      </w:pPr>
      <w:r>
        <w:rPr>
          <w:rFonts w:ascii="Cambria" w:hAnsi="Cambria"/>
          <w:b w:val="0"/>
          <w:i w:val="0"/>
          <w:sz w:val="22"/>
        </w:rPr>
        <w:t>Complete adherence to The Sexual Harassment of Women at Workplace (Prevention, Prohibition and Redressal) Act, 2013.</w:t>
      </w:r>
    </w:p>
    <w:p>
      <w:pPr>
        <w:pStyle w:val="ListBullet"/>
        <w:spacing w:line="276" w:lineRule="auto"/>
        <w:ind w:left="510"/>
      </w:pPr>
      <w:r>
        <w:rPr>
          <w:rFonts w:ascii="Cambria" w:hAnsi="Cambria"/>
          <w:b w:val="0"/>
          <w:i w:val="0"/>
          <w:sz w:val="22"/>
        </w:rPr>
        <w:t>Formation and role of Internal Complaints Committee (ICC).</w:t>
      </w:r>
    </w:p>
    <w:p>
      <w:pPr>
        <w:pStyle w:val="ListBullet"/>
        <w:spacing w:line="276" w:lineRule="auto"/>
        <w:ind w:left="510"/>
      </w:pPr>
      <w:r>
        <w:rPr>
          <w:rFonts w:ascii="Cambria" w:hAnsi="Cambria"/>
          <w:b w:val="0"/>
          <w:i w:val="0"/>
          <w:sz w:val="22"/>
        </w:rPr>
        <w:t>Awareness, sensitization programs, safeguarding dignity of all employees.</w:t>
      </w:r>
    </w:p>
    <w:p>
      <w:pPr>
        <w:keepNext/>
        <w:spacing w:before="200" w:after="120"/>
      </w:pPr>
      <w:r>
        <w:rPr>
          <w:rFonts w:ascii="Cambria" w:hAnsi="Cambria"/>
          <w:b/>
          <w:color w:val="1F3A5F"/>
          <w:sz w:val="27"/>
        </w:rPr>
        <w:t>4. Importance and Impact of the Institutional HR Framework</w:t>
      </w:r>
    </w:p>
    <w:p>
      <w:pPr>
        <w:pStyle w:val="ListBullet"/>
        <w:spacing w:line="276" w:lineRule="auto"/>
        <w:ind w:left="510"/>
      </w:pPr>
      <w:r>
        <w:rPr>
          <w:rFonts w:ascii="Cambria" w:hAnsi="Cambria"/>
          <w:b w:val="0"/>
          <w:i w:val="0"/>
          <w:sz w:val="22"/>
        </w:rPr>
        <w:t>Creates uniform HR practices, ensuring consistency across departments and campuses.</w:t>
      </w:r>
    </w:p>
    <w:p>
      <w:pPr>
        <w:pStyle w:val="ListBullet"/>
        <w:spacing w:line="276" w:lineRule="auto"/>
        <w:ind w:left="510"/>
      </w:pPr>
      <w:r>
        <w:rPr>
          <w:rFonts w:ascii="Cambria" w:hAnsi="Cambria"/>
          <w:b w:val="0"/>
          <w:i w:val="0"/>
          <w:sz w:val="22"/>
        </w:rPr>
        <w:t>Enhances trust, accountability, and employee morale through clarity and fairness.</w:t>
      </w:r>
    </w:p>
    <w:p>
      <w:pPr>
        <w:pStyle w:val="ListBullet"/>
        <w:spacing w:line="276" w:lineRule="auto"/>
        <w:ind w:left="510"/>
      </w:pPr>
      <w:r>
        <w:rPr>
          <w:rFonts w:ascii="Cambria" w:hAnsi="Cambria"/>
          <w:b w:val="0"/>
          <w:i w:val="0"/>
          <w:sz w:val="22"/>
        </w:rPr>
        <w:t>Strengthens institutional governance and regulatory compliance.</w:t>
      </w:r>
    </w:p>
    <w:p>
      <w:pPr>
        <w:pStyle w:val="ListBullet"/>
        <w:spacing w:line="276" w:lineRule="auto"/>
        <w:ind w:left="510"/>
      </w:pPr>
      <w:r>
        <w:rPr>
          <w:rFonts w:ascii="Cambria" w:hAnsi="Cambria"/>
          <w:b w:val="0"/>
          <w:i w:val="0"/>
          <w:sz w:val="22"/>
        </w:rPr>
        <w:t>Helps achieve NAAC, NBA, QS, and NIRF benchmarks under Governance, Human Resource Management, and Administrative Efficiency criteria.</w:t>
      </w:r>
    </w:p>
    <w:p>
      <w:pPr>
        <w:pStyle w:val="ListBullet"/>
        <w:spacing w:line="276" w:lineRule="auto"/>
        <w:ind w:left="510"/>
      </w:pPr>
      <w:r>
        <w:rPr>
          <w:rFonts w:ascii="Cambria" w:hAnsi="Cambria"/>
          <w:b w:val="0"/>
          <w:i w:val="0"/>
          <w:sz w:val="22"/>
        </w:rPr>
        <w:t>Ensures a safe, inclusive, ethical, and professionally conducive environment for both faculty and staff.</w:t>
      </w:r>
    </w:p>
    <w:p>
      <w:pPr>
        <w:pStyle w:val="ListBullet"/>
        <w:spacing w:line="276" w:lineRule="auto"/>
        <w:ind w:left="510"/>
      </w:pPr>
      <w:r>
        <w:rPr>
          <w:rFonts w:ascii="Cambria" w:hAnsi="Cambria"/>
          <w:b w:val="0"/>
          <w:i w:val="0"/>
          <w:sz w:val="22"/>
        </w:rPr>
        <w:t>Supports long-term institutional growth through clear policy direction, workforce stability, and well-defined responsibilities.</w:t>
      </w:r>
    </w:p>
    <w:p>
      <w:r>
        <w:br w:type="page"/>
      </w:r>
    </w:p>
    <w:p>
      <w:pPr>
        <w:keepNext/>
        <w:spacing w:before="280" w:after="160"/>
      </w:pPr>
      <w:r>
        <w:rPr>
          <w:rFonts w:ascii="Cambria" w:hAnsi="Cambria"/>
          <w:b/>
          <w:color w:val="1F3A5F"/>
          <w:sz w:val="32"/>
        </w:rPr>
        <w:t>3. Extent of Application of Service Rules</w:t>
      </w:r>
    </w:p>
    <w:p>
      <w:pPr>
        <w:keepNext/>
        <w:spacing w:before="200" w:after="120"/>
      </w:pPr>
      <w:r>
        <w:rPr>
          <w:rFonts w:ascii="Cambria" w:hAnsi="Cambria"/>
          <w:b/>
          <w:color w:val="1F3A5F"/>
          <w:sz w:val="27"/>
        </w:rPr>
        <w:t>I. Purpose</w:t>
      </w:r>
    </w:p>
    <w:p>
      <w:pPr>
        <w:jc w:val="both"/>
      </w:pPr>
      <w:r>
        <w:rPr>
          <w:rFonts w:ascii="Cambria" w:hAnsi="Cambria"/>
          <w:i w:val="0"/>
          <w:sz w:val="22"/>
        </w:rPr>
        <w:t>This section defines the scope, applicability, and authority of the Service and Conduct Rules governing employees of the University and its constituent Higher Education Institutions (HEIs).</w:t>
      </w:r>
    </w:p>
    <w:p>
      <w:pPr>
        <w:jc w:val="both"/>
      </w:pPr>
      <w:r>
        <w:rPr>
          <w:rFonts w:ascii="Cambria" w:hAnsi="Cambria"/>
          <w:i w:val="0"/>
          <w:sz w:val="22"/>
        </w:rPr>
        <w:t>It clarifies which categories of personnel are covered, exceptions, and the powers of the Board of Management (BoM) in interpreting and amending these rules.</w:t>
      </w:r>
    </w:p>
    <w:p>
      <w:pPr>
        <w:keepNext/>
        <w:spacing w:before="200" w:after="120"/>
      </w:pPr>
      <w:r>
        <w:rPr>
          <w:rFonts w:ascii="Cambria" w:hAnsi="Cambria"/>
          <w:b/>
          <w:color w:val="1F3A5F"/>
          <w:sz w:val="27"/>
        </w:rPr>
        <w:t>1. Applicability</w:t>
      </w:r>
    </w:p>
    <w:tbl>
      <w:tblPr>
        <w:tblStyle w:val="TableGrid"/>
        <w:tblW w:type="auto" w:w="0"/>
        <w:jc w:val="center"/>
        <w:tblLook w:firstColumn="1" w:firstRow="1" w:lastColumn="0" w:lastRow="0" w:noHBand="0" w:noVBand="1" w:val="04A0"/>
        <w:tblLayout w:type="fixed"/>
      </w:tblPr>
      <w:tblGrid>
        <w:gridCol w:w="4706"/>
        <w:gridCol w:w="4706"/>
      </w:tblGrid>
      <w:tr>
        <w:tc>
          <w:tcPr>
            <w:tcW w:type="dxa" w:w="1247"/>
            <w:shd w:val="clear" w:color="auto" w:fill="1F3A5F"/>
          </w:tcPr>
          <w:p>
            <w:pPr>
              <w:spacing w:after="40" w:before="40"/>
            </w:pPr>
            <w:r/>
            <w:r>
              <w:rPr>
                <w:rFonts w:ascii="Cambria" w:hAnsi="Cambria"/>
                <w:b/>
                <w:i w:val="0"/>
                <w:color w:val="FFFFFF"/>
                <w:sz w:val="22"/>
              </w:rPr>
              <w:t>Clause</w:t>
            </w:r>
          </w:p>
        </w:tc>
        <w:tc>
          <w:tcPr>
            <w:tcW w:type="dxa" w:w="8164"/>
            <w:shd w:val="clear" w:color="auto" w:fill="1F3A5F"/>
          </w:tcPr>
          <w:p>
            <w:pPr>
              <w:spacing w:after="40" w:before="40"/>
            </w:pPr>
            <w:r/>
            <w:r>
              <w:rPr>
                <w:rFonts w:ascii="Cambria" w:hAnsi="Cambria"/>
                <w:b/>
                <w:i w:val="0"/>
                <w:color w:val="FFFFFF"/>
                <w:sz w:val="22"/>
              </w:rPr>
              <w:t>Provision</w:t>
            </w:r>
          </w:p>
        </w:tc>
      </w:tr>
      <w:tr>
        <w:tc>
          <w:tcPr>
            <w:tcW w:type="dxa" w:w="1247"/>
          </w:tcPr>
          <w:p>
            <w:pPr>
              <w:spacing w:after="40" w:before="40"/>
            </w:pPr>
            <w:r/>
            <w:r>
              <w:rPr>
                <w:rFonts w:ascii="Cambria" w:hAnsi="Cambria"/>
                <w:b w:val="0"/>
                <w:i w:val="0"/>
                <w:sz w:val="22"/>
              </w:rPr>
              <w:t>(1)</w:t>
            </w:r>
          </w:p>
        </w:tc>
        <w:tc>
          <w:tcPr>
            <w:tcW w:type="dxa" w:w="8164"/>
          </w:tcPr>
          <w:p>
            <w:pPr>
              <w:spacing w:after="40" w:before="40"/>
            </w:pPr>
            <w:r/>
            <w:r>
              <w:rPr>
                <w:rFonts w:ascii="Cambria" w:hAnsi="Cambria"/>
                <w:b w:val="0"/>
                <w:i w:val="0"/>
                <w:sz w:val="22"/>
              </w:rPr>
              <w:t>These Service Rules shall apply to all categories of employees, both Teaching and Non-Teaching, who are appointed or engaged by the University or any of its constituent or affiliated Higher Education Institutions (HEIs).</w:t>
            </w:r>
          </w:p>
        </w:tc>
      </w:tr>
      <w:tr>
        <w:tc>
          <w:tcPr>
            <w:tcW w:type="dxa" w:w="1247"/>
            <w:shd w:val="clear" w:color="auto" w:fill="F0F2F5"/>
          </w:tcPr>
          <w:p>
            <w:pPr>
              <w:spacing w:after="40" w:before="40"/>
            </w:pPr>
            <w:r/>
            <w:r>
              <w:rPr>
                <w:rFonts w:ascii="Cambria" w:hAnsi="Cambria"/>
                <w:b w:val="0"/>
                <w:i w:val="0"/>
                <w:sz w:val="22"/>
              </w:rPr>
            </w:r>
          </w:p>
        </w:tc>
        <w:tc>
          <w:tcPr>
            <w:tcW w:type="dxa" w:w="8164"/>
            <w:shd w:val="clear" w:color="auto" w:fill="F0F2F5"/>
          </w:tcPr>
          <w:p>
            <w:pPr>
              <w:spacing w:after="40" w:before="40"/>
            </w:pPr>
            <w:r/>
            <w:r>
              <w:rPr>
                <w:rFonts w:ascii="Cambria" w:hAnsi="Cambria"/>
                <w:b w:val="0"/>
                <w:i w:val="0"/>
                <w:sz w:val="22"/>
              </w:rPr>
              <w:t>This includes personnel employed on a permanent, probationary, temporary, contractual, or tenure basis, unless otherwise specified in their terms of appointment.</w:t>
            </w:r>
          </w:p>
        </w:tc>
      </w:tr>
      <w:tr>
        <w:tc>
          <w:tcPr>
            <w:tcW w:type="dxa" w:w="1247"/>
          </w:tcPr>
          <w:p>
            <w:pPr>
              <w:spacing w:after="40" w:before="40"/>
            </w:pPr>
            <w:r/>
            <w:r>
              <w:rPr>
                <w:rFonts w:ascii="Cambria" w:hAnsi="Cambria"/>
                <w:b w:val="0"/>
                <w:i w:val="0"/>
                <w:sz w:val="22"/>
              </w:rPr>
              <w:t>(2)</w:t>
            </w:r>
          </w:p>
        </w:tc>
        <w:tc>
          <w:tcPr>
            <w:tcW w:type="dxa" w:w="8164"/>
          </w:tcPr>
          <w:p>
            <w:pPr>
              <w:spacing w:after="40" w:before="40"/>
            </w:pPr>
            <w:r/>
            <w:r>
              <w:rPr>
                <w:rFonts w:ascii="Cambria" w:hAnsi="Cambria"/>
                <w:b w:val="0"/>
                <w:i w:val="0"/>
                <w:sz w:val="22"/>
              </w:rPr>
              <w:t>These rules do not apply to the following categories:</w:t>
              <w:br/>
              <w:t>a. Legal Advisors,</w:t>
              <w:br/>
              <w:t>b. Part-time Medical Officers,</w:t>
              <w:br/>
              <w:t>c. Consultants or experts engaged for specific assignments,</w:t>
              <w:br/>
              <w:t>d. Any officials or professionals who are not full-time employees but are engaged by the University or HEIs for limited or project-based work,</w:t>
              <w:br/>
              <w:t>e. Persons paid from contingencies,</w:t>
              <w:br/>
              <w:t>f. Persons on deputation to the University from other institutions or government bodies.</w:t>
            </w:r>
          </w:p>
        </w:tc>
      </w:tr>
      <w:tr>
        <w:tc>
          <w:tcPr>
            <w:tcW w:type="dxa" w:w="1247"/>
            <w:shd w:val="clear" w:color="auto" w:fill="F0F2F5"/>
          </w:tcPr>
          <w:p>
            <w:pPr>
              <w:spacing w:after="40" w:before="40"/>
            </w:pPr>
            <w:r/>
            <w:r>
              <w:rPr>
                <w:rFonts w:ascii="Cambria" w:hAnsi="Cambria"/>
                <w:b w:val="0"/>
                <w:i w:val="0"/>
                <w:sz w:val="22"/>
              </w:rPr>
              <w:t>(3)</w:t>
            </w:r>
          </w:p>
        </w:tc>
        <w:tc>
          <w:tcPr>
            <w:tcW w:type="dxa" w:w="8164"/>
            <w:shd w:val="clear" w:color="auto" w:fill="F0F2F5"/>
          </w:tcPr>
          <w:p>
            <w:pPr>
              <w:spacing w:after="40" w:before="40"/>
            </w:pPr>
            <w:r/>
            <w:r>
              <w:rPr>
                <w:rFonts w:ascii="Cambria" w:hAnsi="Cambria"/>
                <w:b w:val="0"/>
                <w:i w:val="0"/>
                <w:sz w:val="22"/>
              </w:rPr>
              <w:t>Matters not expressly covered by these rules or arising out of ambiguity shall be decided by the Board of Management (BoM). The decision of the BoM in such cases shall be final and binding on all employees.</w:t>
            </w:r>
          </w:p>
        </w:tc>
      </w:tr>
      <w:tr>
        <w:tc>
          <w:tcPr>
            <w:tcW w:type="dxa" w:w="1247"/>
          </w:tcPr>
          <w:p>
            <w:pPr>
              <w:spacing w:after="40" w:before="40"/>
            </w:pPr>
            <w:r/>
            <w:r>
              <w:rPr>
                <w:rFonts w:ascii="Cambria" w:hAnsi="Cambria"/>
                <w:b w:val="0"/>
                <w:i w:val="0"/>
                <w:sz w:val="22"/>
              </w:rPr>
              <w:t>(4)</w:t>
            </w:r>
          </w:p>
        </w:tc>
        <w:tc>
          <w:tcPr>
            <w:tcW w:type="dxa" w:w="8164"/>
          </w:tcPr>
          <w:p>
            <w:pPr>
              <w:spacing w:after="40" w:before="40"/>
            </w:pPr>
            <w:r/>
            <w:r>
              <w:rPr>
                <w:rFonts w:ascii="Cambria" w:hAnsi="Cambria"/>
                <w:b w:val="0"/>
                <w:i w:val="0"/>
                <w:sz w:val="22"/>
              </w:rPr>
              <w:t>The Board of Management reserves the right to review, amend, repeal, or modify any part of these Service Rules from time to time, as deemed necessary, in the interest of institutional governance and policy alignment with regulatory authorities (e.g., UGC, AICTE, NAAC, NBA).</w:t>
            </w:r>
          </w:p>
        </w:tc>
      </w:tr>
    </w:tbl>
    <w:p>
      <w:pPr>
        <w:spacing w:after="40"/>
      </w:pPr>
    </w:p>
    <w:p>
      <w:pPr>
        <w:keepNext/>
        <w:spacing w:before="200" w:after="120"/>
      </w:pPr>
      <w:r>
        <w:rPr>
          <w:rFonts w:ascii="Cambria" w:hAnsi="Cambria"/>
          <w:b/>
          <w:color w:val="1F3A5F"/>
          <w:sz w:val="27"/>
        </w:rPr>
        <w:t>2. Interpretation and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2721"/>
            <w:shd w:val="clear" w:color="auto" w:fill="1F3A5F"/>
          </w:tcPr>
          <w:p>
            <w:pPr>
              <w:spacing w:after="40" w:before="40"/>
            </w:pPr>
            <w:r/>
            <w:r>
              <w:rPr>
                <w:rFonts w:ascii="Cambria" w:hAnsi="Cambria"/>
                <w:b/>
                <w:i w:val="0"/>
                <w:color w:val="FFFFFF"/>
                <w:sz w:val="22"/>
              </w:rPr>
              <w:t>Aspect</w:t>
            </w:r>
          </w:p>
        </w:tc>
        <w:tc>
          <w:tcPr>
            <w:tcW w:type="dxa" w:w="6690"/>
            <w:shd w:val="clear" w:color="auto" w:fill="1F3A5F"/>
          </w:tcPr>
          <w:p>
            <w:pPr>
              <w:spacing w:after="40" w:before="40"/>
            </w:pPr>
            <w:r/>
            <w:r>
              <w:rPr>
                <w:rFonts w:ascii="Cambria" w:hAnsi="Cambria"/>
                <w:b/>
                <w:i w:val="0"/>
                <w:color w:val="FFFFFF"/>
                <w:sz w:val="22"/>
              </w:rPr>
              <w:t>Description</w:t>
            </w:r>
          </w:p>
        </w:tc>
      </w:tr>
      <w:tr>
        <w:tc>
          <w:tcPr>
            <w:tcW w:type="dxa" w:w="2721"/>
          </w:tcPr>
          <w:p>
            <w:pPr>
              <w:spacing w:after="40" w:before="40"/>
            </w:pPr>
            <w:r/>
            <w:r>
              <w:rPr>
                <w:rFonts w:ascii="Cambria" w:hAnsi="Cambria"/>
                <w:b w:val="0"/>
                <w:i w:val="0"/>
                <w:sz w:val="22"/>
              </w:rPr>
              <w:t>Final Interpretative Authority</w:t>
            </w:r>
          </w:p>
        </w:tc>
        <w:tc>
          <w:tcPr>
            <w:tcW w:type="dxa" w:w="6690"/>
          </w:tcPr>
          <w:p>
            <w:pPr>
              <w:spacing w:after="40" w:before="40"/>
            </w:pPr>
            <w:r/>
            <w:r>
              <w:rPr>
                <w:rFonts w:ascii="Cambria" w:hAnsi="Cambria"/>
                <w:b w:val="0"/>
                <w:i w:val="0"/>
                <w:sz w:val="22"/>
              </w:rPr>
              <w:t>The Board of Management (BoM) shall serve as the final authority for interpreting any clause, definition, or application of these rules.</w:t>
            </w:r>
          </w:p>
        </w:tc>
      </w:tr>
      <w:tr>
        <w:tc>
          <w:tcPr>
            <w:tcW w:type="dxa" w:w="2721"/>
            <w:shd w:val="clear" w:color="auto" w:fill="F0F2F5"/>
          </w:tcPr>
          <w:p>
            <w:pPr>
              <w:spacing w:after="40" w:before="40"/>
            </w:pPr>
            <w:r/>
            <w:r>
              <w:rPr>
                <w:rFonts w:ascii="Cambria" w:hAnsi="Cambria"/>
                <w:b w:val="0"/>
                <w:i w:val="0"/>
                <w:sz w:val="22"/>
              </w:rPr>
              <w:t>Binding Nature</w:t>
            </w:r>
          </w:p>
        </w:tc>
        <w:tc>
          <w:tcPr>
            <w:tcW w:type="dxa" w:w="6690"/>
            <w:shd w:val="clear" w:color="auto" w:fill="F0F2F5"/>
          </w:tcPr>
          <w:p>
            <w:pPr>
              <w:spacing w:after="40" w:before="40"/>
            </w:pPr>
            <w:r/>
            <w:r>
              <w:rPr>
                <w:rFonts w:ascii="Cambria" w:hAnsi="Cambria"/>
                <w:b w:val="0"/>
                <w:i w:val="0"/>
                <w:sz w:val="22"/>
              </w:rPr>
              <w:t>All employees, once appointed or engaged by the University or HEIs, shall be bound by these rules and any amendments issued thereafter.</w:t>
            </w:r>
          </w:p>
        </w:tc>
      </w:tr>
      <w:tr>
        <w:tc>
          <w:tcPr>
            <w:tcW w:type="dxa" w:w="2721"/>
          </w:tcPr>
          <w:p>
            <w:pPr>
              <w:spacing w:after="40" w:before="40"/>
            </w:pPr>
            <w:r/>
            <w:r>
              <w:rPr>
                <w:rFonts w:ascii="Cambria" w:hAnsi="Cambria"/>
                <w:b w:val="0"/>
                <w:i w:val="0"/>
                <w:sz w:val="22"/>
              </w:rPr>
              <w:t>Delegated Decision-Making</w:t>
            </w:r>
          </w:p>
        </w:tc>
        <w:tc>
          <w:tcPr>
            <w:tcW w:type="dxa" w:w="6690"/>
          </w:tcPr>
          <w:p>
            <w:pPr>
              <w:spacing w:after="40" w:before="40"/>
            </w:pPr>
            <w:r/>
            <w:r>
              <w:rPr>
                <w:rFonts w:ascii="Cambria" w:hAnsi="Cambria"/>
                <w:b w:val="0"/>
                <w:i w:val="0"/>
                <w:sz w:val="22"/>
              </w:rPr>
              <w:t>The BoM may delegate powers of interpretation or enforcement to the Vice Chancellor, Registrar, or other designated officers, whose decisions shall hold unless reviewed by the BoM.</w:t>
            </w:r>
          </w:p>
        </w:tc>
      </w:tr>
      <w:tr>
        <w:tc>
          <w:tcPr>
            <w:tcW w:type="dxa" w:w="2721"/>
            <w:shd w:val="clear" w:color="auto" w:fill="F0F2F5"/>
          </w:tcPr>
          <w:p>
            <w:pPr>
              <w:spacing w:after="40" w:before="40"/>
            </w:pPr>
            <w:r/>
            <w:r>
              <w:rPr>
                <w:rFonts w:ascii="Cambria" w:hAnsi="Cambria"/>
                <w:b w:val="0"/>
                <w:i w:val="0"/>
                <w:sz w:val="22"/>
              </w:rPr>
              <w:t>Integration with Statutes and Policies</w:t>
            </w:r>
          </w:p>
        </w:tc>
        <w:tc>
          <w:tcPr>
            <w:tcW w:type="dxa" w:w="6690"/>
            <w:shd w:val="clear" w:color="auto" w:fill="F0F2F5"/>
          </w:tcPr>
          <w:p>
            <w:pPr>
              <w:spacing w:after="40" w:before="40"/>
            </w:pPr>
            <w:r/>
            <w:r>
              <w:rPr>
                <w:rFonts w:ascii="Cambria" w:hAnsi="Cambria"/>
                <w:b w:val="0"/>
                <w:i w:val="0"/>
                <w:sz w:val="22"/>
              </w:rPr>
              <w:t>These rules shall operate in harmony with University Statutes, Ordinances, Government Orders, and UGC/AICTE Regulations, ensuring compliance with applicable laws and higher education standards.</w:t>
            </w:r>
          </w:p>
        </w:tc>
      </w:tr>
    </w:tbl>
    <w:p>
      <w:pPr>
        <w:spacing w:after="40"/>
      </w:pPr>
    </w:p>
    <w:p>
      <w:pPr>
        <w:keepNext/>
        <w:spacing w:before="200" w:after="120"/>
      </w:pPr>
      <w:r>
        <w:rPr>
          <w:rFonts w:ascii="Cambria" w:hAnsi="Cambria"/>
          <w:b/>
          <w:color w:val="1F3A5F"/>
          <w:sz w:val="27"/>
        </w:rPr>
        <w:t>3. Policy Principles</w:t>
      </w:r>
    </w:p>
    <w:p>
      <w:pPr>
        <w:pStyle w:val="ListBullet"/>
        <w:spacing w:line="276" w:lineRule="auto"/>
        <w:ind w:left="510"/>
      </w:pPr>
      <w:r>
        <w:rPr>
          <w:rFonts w:ascii="Cambria" w:hAnsi="Cambria"/>
          <w:b w:val="0"/>
          <w:i w:val="0"/>
          <w:sz w:val="22"/>
        </w:rPr>
        <w:t>The uniform application of these rules ensures fairness, transparency, and consistency across all HEIs governed by the University.</w:t>
      </w:r>
    </w:p>
    <w:p>
      <w:pPr>
        <w:pStyle w:val="ListBullet"/>
        <w:spacing w:line="276" w:lineRule="auto"/>
        <w:ind w:left="510"/>
      </w:pPr>
      <w:r>
        <w:rPr>
          <w:rFonts w:ascii="Cambria" w:hAnsi="Cambria"/>
          <w:b w:val="0"/>
          <w:i w:val="0"/>
          <w:sz w:val="22"/>
        </w:rPr>
        <w:t>The exceptions under clause (2) are made to respect the professional autonomy of external experts and short-term contractual appointees.</w:t>
      </w:r>
    </w:p>
    <w:p>
      <w:pPr>
        <w:pStyle w:val="ListBullet"/>
        <w:spacing w:line="276" w:lineRule="auto"/>
        <w:ind w:left="510"/>
      </w:pPr>
      <w:r>
        <w:rPr>
          <w:rFonts w:ascii="Cambria" w:hAnsi="Cambria"/>
          <w:b w:val="0"/>
          <w:i w:val="0"/>
          <w:sz w:val="22"/>
        </w:rPr>
        <w:t>The Board of Management retains overriding powers to interpret, revise, or adapt these rules in response to changing academic, administrative, or regulatory requirements.</w:t>
      </w:r>
    </w:p>
    <w:p>
      <w:pPr>
        <w:pStyle w:val="ListBullet"/>
        <w:spacing w:line="276" w:lineRule="auto"/>
        <w:ind w:left="510"/>
      </w:pPr>
      <w:r>
        <w:rPr>
          <w:rFonts w:ascii="Cambria" w:hAnsi="Cambria"/>
          <w:b w:val="0"/>
          <w:i w:val="0"/>
          <w:sz w:val="22"/>
        </w:rPr>
        <w:t>All employees shall be informed in writing of any amendments or revisions that materially affect their terms of service.</w:t>
      </w:r>
    </w:p>
    <w:p>
      <w:r>
        <w:br w:type="page"/>
      </w:r>
    </w:p>
    <w:p>
      <w:pPr>
        <w:keepNext/>
        <w:spacing w:before="280" w:after="160"/>
      </w:pPr>
      <w:r>
        <w:rPr>
          <w:rFonts w:ascii="Cambria" w:hAnsi="Cambria"/>
          <w:b/>
          <w:color w:val="1F3A5F"/>
          <w:sz w:val="32"/>
        </w:rPr>
        <w:t>4. Definitions of Institutional Authorities and Governance Entities</w:t>
      </w:r>
    </w:p>
    <w:p>
      <w:pPr>
        <w:keepNext/>
        <w:spacing w:before="200" w:after="120"/>
      </w:pPr>
      <w:r>
        <w:rPr>
          <w:rFonts w:ascii="Cambria" w:hAnsi="Cambria"/>
          <w:b/>
          <w:color w:val="1F3A5F"/>
          <w:sz w:val="27"/>
        </w:rPr>
        <w:t>I. Purpose</w:t>
      </w:r>
    </w:p>
    <w:p>
      <w:pPr>
        <w:jc w:val="both"/>
      </w:pPr>
      <w:r>
        <w:rPr>
          <w:rFonts w:ascii="Cambria" w:hAnsi="Cambria"/>
          <w:i w:val="0"/>
          <w:sz w:val="22"/>
        </w:rPr>
        <w:t>This section defines the governing authorities, administrative roles, and empowered officials within the University framework, as recognized under its Statutes, Ordinances, and Service Rules.</w:t>
      </w:r>
    </w:p>
    <w:p>
      <w:pPr>
        <w:jc w:val="both"/>
      </w:pPr>
      <w:r>
        <w:rPr>
          <w:rFonts w:ascii="Cambria" w:hAnsi="Cambria"/>
          <w:i w:val="0"/>
          <w:sz w:val="22"/>
        </w:rPr>
        <w:t>These definitions ensure clarity in decision-making, delegation of powers, accountability, and implementation of institutional policies.</w:t>
      </w:r>
    </w:p>
    <w:p>
      <w:pPr>
        <w:keepNext/>
        <w:spacing w:before="200" w:after="120"/>
      </w:pPr>
      <w:r>
        <w:rPr>
          <w:rFonts w:ascii="Cambria" w:hAnsi="Cambria"/>
          <w:b/>
          <w:color w:val="1F3A5F"/>
          <w:sz w:val="27"/>
        </w:rPr>
        <w:t>1. Board</w:t>
      </w:r>
    </w:p>
    <w:tbl>
      <w:tblPr>
        <w:tblStyle w:val="TableGrid"/>
        <w:tblW w:type="auto" w:w="0"/>
        <w:jc w:val="center"/>
        <w:tblLook w:firstColumn="1" w:firstRow="1" w:lastColumn="0" w:lastRow="0" w:noHBand="0" w:noVBand="1" w:val="04A0"/>
        <w:tblLayout w:type="fixed"/>
      </w:tblPr>
      <w:tblGrid>
        <w:gridCol w:w="4706"/>
        <w:gridCol w:w="4706"/>
      </w:tblGrid>
      <w:tr>
        <w:tc>
          <w:tcPr>
            <w:tcW w:type="dxa" w:w="1927"/>
            <w:shd w:val="clear" w:color="auto" w:fill="1F3A5F"/>
          </w:tcPr>
          <w:p>
            <w:pPr>
              <w:spacing w:after="40" w:before="40"/>
            </w:pPr>
            <w:r/>
            <w:r>
              <w:rPr>
                <w:rFonts w:ascii="Cambria" w:hAnsi="Cambria"/>
                <w:b/>
                <w:i w:val="0"/>
                <w:color w:val="FFFFFF"/>
                <w:sz w:val="22"/>
              </w:rPr>
              <w:t>Term</w:t>
            </w:r>
          </w:p>
        </w:tc>
        <w:tc>
          <w:tcPr>
            <w:tcW w:type="dxa" w:w="7484"/>
            <w:shd w:val="clear" w:color="auto" w:fill="1F3A5F"/>
          </w:tcPr>
          <w:p>
            <w:pPr>
              <w:spacing w:after="40" w:before="40"/>
            </w:pPr>
            <w:r/>
            <w:r>
              <w:rPr>
                <w:rFonts w:ascii="Cambria" w:hAnsi="Cambria"/>
                <w:b/>
                <w:i w:val="0"/>
                <w:color w:val="FFFFFF"/>
                <w:sz w:val="22"/>
              </w:rPr>
              <w:t>Definition / Function</w:t>
            </w:r>
          </w:p>
        </w:tc>
      </w:tr>
      <w:tr>
        <w:tc>
          <w:tcPr>
            <w:tcW w:type="dxa" w:w="1927"/>
          </w:tcPr>
          <w:p>
            <w:pPr>
              <w:spacing w:after="40" w:before="40"/>
            </w:pPr>
            <w:r/>
            <w:r>
              <w:rPr>
                <w:rFonts w:ascii="Cambria" w:hAnsi="Cambria"/>
                <w:b w:val="0"/>
                <w:i w:val="0"/>
                <w:sz w:val="22"/>
              </w:rPr>
              <w:t>Board</w:t>
            </w:r>
          </w:p>
        </w:tc>
        <w:tc>
          <w:tcPr>
            <w:tcW w:type="dxa" w:w="7484"/>
          </w:tcPr>
          <w:p>
            <w:pPr>
              <w:spacing w:after="40" w:before="40"/>
            </w:pPr>
            <w:r/>
            <w:r>
              <w:rPr>
                <w:rFonts w:ascii="Cambria" w:hAnsi="Cambria"/>
                <w:b w:val="0"/>
                <w:i w:val="0"/>
                <w:sz w:val="22"/>
              </w:rPr>
              <w:t>The Board of Management (BoM) is the supreme governing and executive body of the University. It includes, in relation to the exercise of its powers, any committee or sub-committee constituted by the Board or any member/officer of the University to whom the Board delegates specific powers or responsibilities.</w:t>
            </w:r>
          </w:p>
        </w:tc>
      </w:tr>
      <w:tr>
        <w:tc>
          <w:tcPr>
            <w:tcW w:type="dxa" w:w="1927"/>
            <w:shd w:val="clear" w:color="auto" w:fill="F0F2F5"/>
          </w:tcPr>
          <w:p>
            <w:pPr>
              <w:spacing w:after="40" w:before="40"/>
            </w:pPr>
            <w:r/>
            <w:r>
              <w:rPr>
                <w:rFonts w:ascii="Cambria" w:hAnsi="Cambria"/>
                <w:b w:val="0"/>
                <w:i w:val="0"/>
                <w:sz w:val="22"/>
              </w:rPr>
              <w:t>Powers of the Board</w:t>
            </w:r>
          </w:p>
        </w:tc>
        <w:tc>
          <w:tcPr>
            <w:tcW w:type="dxa" w:w="7484"/>
            <w:shd w:val="clear" w:color="auto" w:fill="F0F2F5"/>
          </w:tcPr>
          <w:p>
            <w:pPr>
              <w:spacing w:after="40" w:before="40"/>
            </w:pPr>
            <w:r/>
            <w:r>
              <w:rPr>
                <w:rFonts w:ascii="Cambria" w:hAnsi="Cambria"/>
                <w:b w:val="0"/>
                <w:i w:val="0"/>
                <w:sz w:val="22"/>
              </w:rPr>
              <w:t>- The Board has the authority to formulate, implement, and monitor all institutional policies.</w:t>
              <w:br/>
              <w:t>- It may prescribe new rules or amend existing ones, making them binding on all employees of the University.</w:t>
              <w:br/>
              <w:t>- The Board is empowered to approve budgets, appointments, promotions, disciplinary actions, and policy frameworks.</w:t>
              <w:br/>
              <w:t>- It has the final decision-making power in all University matters relating to academics, administration, finance, research, and governance.</w:t>
            </w:r>
          </w:p>
        </w:tc>
      </w:tr>
      <w:tr>
        <w:tc>
          <w:tcPr>
            <w:tcW w:type="dxa" w:w="1927"/>
          </w:tcPr>
          <w:p>
            <w:pPr>
              <w:spacing w:after="40" w:before="40"/>
            </w:pPr>
            <w:r/>
            <w:r>
              <w:rPr>
                <w:rFonts w:ascii="Cambria" w:hAnsi="Cambria"/>
                <w:b w:val="0"/>
                <w:i w:val="0"/>
                <w:sz w:val="22"/>
              </w:rPr>
              <w:t>Delegation of Authority</w:t>
            </w:r>
          </w:p>
        </w:tc>
        <w:tc>
          <w:tcPr>
            <w:tcW w:type="dxa" w:w="7484"/>
          </w:tcPr>
          <w:p>
            <w:pPr>
              <w:spacing w:after="40" w:before="40"/>
            </w:pPr>
            <w:r/>
            <w:r>
              <w:rPr>
                <w:rFonts w:ascii="Cambria" w:hAnsi="Cambria"/>
                <w:b w:val="0"/>
                <w:i w:val="0"/>
                <w:sz w:val="22"/>
              </w:rPr>
              <w:t>The Board may delegate any of its powers to the Chairman, Vice Chancellor, or other designated committees or officers, through a formal resolution or order, to ensure efficient governance and timely decision-making.</w:t>
            </w:r>
          </w:p>
        </w:tc>
      </w:tr>
    </w:tbl>
    <w:p>
      <w:pPr>
        <w:spacing w:after="40"/>
      </w:pPr>
    </w:p>
    <w:p>
      <w:pPr>
        <w:keepNext/>
        <w:spacing w:before="200" w:after="120"/>
      </w:pPr>
      <w:r>
        <w:rPr>
          <w:rFonts w:ascii="Cambria" w:hAnsi="Cambria"/>
          <w:b/>
          <w:color w:val="1F3A5F"/>
          <w:sz w:val="27"/>
        </w:rPr>
        <w:t>2. Chairman</w:t>
      </w:r>
    </w:p>
    <w:tbl>
      <w:tblPr>
        <w:tblStyle w:val="TableGrid"/>
        <w:tblW w:type="auto" w:w="0"/>
        <w:jc w:val="center"/>
        <w:tblLook w:firstColumn="1" w:firstRow="1" w:lastColumn="0" w:lastRow="0" w:noHBand="0" w:noVBand="1" w:val="04A0"/>
        <w:tblLayout w:type="fixed"/>
      </w:tblPr>
      <w:tblGrid>
        <w:gridCol w:w="4706"/>
        <w:gridCol w:w="4706"/>
      </w:tblGrid>
      <w:tr>
        <w:tc>
          <w:tcPr>
            <w:tcW w:type="dxa" w:w="1927"/>
            <w:shd w:val="clear" w:color="auto" w:fill="1F3A5F"/>
          </w:tcPr>
          <w:p>
            <w:pPr>
              <w:spacing w:after="40" w:before="40"/>
            </w:pPr>
            <w:r/>
            <w:r>
              <w:rPr>
                <w:rFonts w:ascii="Cambria" w:hAnsi="Cambria"/>
                <w:b/>
                <w:i w:val="0"/>
                <w:color w:val="FFFFFF"/>
                <w:sz w:val="22"/>
              </w:rPr>
              <w:t>Term</w:t>
            </w:r>
          </w:p>
        </w:tc>
        <w:tc>
          <w:tcPr>
            <w:tcW w:type="dxa" w:w="7484"/>
            <w:shd w:val="clear" w:color="auto" w:fill="1F3A5F"/>
          </w:tcPr>
          <w:p>
            <w:pPr>
              <w:spacing w:after="40" w:before="40"/>
            </w:pPr>
            <w:r/>
            <w:r>
              <w:rPr>
                <w:rFonts w:ascii="Cambria" w:hAnsi="Cambria"/>
                <w:b/>
                <w:i w:val="0"/>
                <w:color w:val="FFFFFF"/>
                <w:sz w:val="22"/>
              </w:rPr>
              <w:t>Definition / Role</w:t>
            </w:r>
          </w:p>
        </w:tc>
      </w:tr>
      <w:tr>
        <w:tc>
          <w:tcPr>
            <w:tcW w:type="dxa" w:w="1927"/>
          </w:tcPr>
          <w:p>
            <w:pPr>
              <w:spacing w:after="40" w:before="40"/>
            </w:pPr>
            <w:r/>
            <w:r>
              <w:rPr>
                <w:rFonts w:ascii="Cambria" w:hAnsi="Cambria"/>
                <w:b w:val="0"/>
                <w:i w:val="0"/>
                <w:sz w:val="22"/>
              </w:rPr>
              <w:t>Chairman</w:t>
            </w:r>
          </w:p>
        </w:tc>
        <w:tc>
          <w:tcPr>
            <w:tcW w:type="dxa" w:w="7484"/>
          </w:tcPr>
          <w:p>
            <w:pPr>
              <w:spacing w:after="40" w:before="40"/>
            </w:pPr>
            <w:r/>
            <w:r>
              <w:rPr>
                <w:rFonts w:ascii="Cambria" w:hAnsi="Cambria"/>
                <w:b w:val="0"/>
                <w:i w:val="0"/>
                <w:sz w:val="22"/>
              </w:rPr>
              <w:t>The Chairman of the Board of Management is the chief executive authority responsible for presiding over Board meetings and overseeing implementation of its resolutions.</w:t>
            </w:r>
          </w:p>
        </w:tc>
      </w:tr>
      <w:tr>
        <w:tc>
          <w:tcPr>
            <w:tcW w:type="dxa" w:w="1927"/>
            <w:shd w:val="clear" w:color="auto" w:fill="F0F2F5"/>
          </w:tcPr>
          <w:p>
            <w:pPr>
              <w:spacing w:after="40" w:before="40"/>
            </w:pPr>
            <w:r/>
            <w:r>
              <w:rPr>
                <w:rFonts w:ascii="Cambria" w:hAnsi="Cambria"/>
                <w:b w:val="0"/>
                <w:i w:val="0"/>
                <w:sz w:val="22"/>
              </w:rPr>
              <w:t>Powers of the Chairman</w:t>
            </w:r>
          </w:p>
        </w:tc>
        <w:tc>
          <w:tcPr>
            <w:tcW w:type="dxa" w:w="7484"/>
            <w:shd w:val="clear" w:color="auto" w:fill="F0F2F5"/>
          </w:tcPr>
          <w:p>
            <w:pPr>
              <w:spacing w:after="40" w:before="40"/>
            </w:pPr>
            <w:r/>
            <w:r>
              <w:rPr>
                <w:rFonts w:ascii="Cambria" w:hAnsi="Cambria"/>
                <w:b w:val="0"/>
                <w:i w:val="0"/>
                <w:sz w:val="22"/>
              </w:rPr>
              <w:t>- The Chairman is authorized to act on behalf of the Board in all matters requiring urgent or emergency decisions.</w:t>
              <w:br/>
              <w:t>- He/She may take necessary actions or decisions in exigent circumstances, provided that such actions are reported and ratified at the next Board meeting.</w:t>
              <w:br/>
              <w:t>- The Chairman serves as the Competent Authority in cases where Board approval is delegated for operational efficiency.</w:t>
            </w:r>
          </w:p>
        </w:tc>
      </w:tr>
    </w:tbl>
    <w:p>
      <w:pPr>
        <w:spacing w:after="40"/>
      </w:pPr>
    </w:p>
    <w:p>
      <w:pPr>
        <w:keepNext/>
        <w:spacing w:before="200" w:after="120"/>
      </w:pPr>
      <w:r>
        <w:rPr>
          <w:rFonts w:ascii="Cambria" w:hAnsi="Cambria"/>
          <w:b/>
          <w:color w:val="1F3A5F"/>
          <w:sz w:val="27"/>
        </w:rPr>
        <w:t>3. Employee</w:t>
      </w:r>
    </w:p>
    <w:tbl>
      <w:tblPr>
        <w:tblStyle w:val="TableGrid"/>
        <w:tblW w:type="auto" w:w="0"/>
        <w:jc w:val="center"/>
        <w:tblLook w:firstColumn="1" w:firstRow="1" w:lastColumn="0" w:lastRow="0" w:noHBand="0" w:noVBand="1" w:val="04A0"/>
        <w:tblLayout w:type="fixed"/>
      </w:tblPr>
      <w:tblGrid>
        <w:gridCol w:w="4706"/>
        <w:gridCol w:w="4706"/>
      </w:tblGrid>
      <w:tr>
        <w:tc>
          <w:tcPr>
            <w:tcW w:type="dxa" w:w="1927"/>
            <w:shd w:val="clear" w:color="auto" w:fill="1F3A5F"/>
          </w:tcPr>
          <w:p>
            <w:pPr>
              <w:spacing w:after="40" w:before="40"/>
            </w:pPr>
            <w:r/>
            <w:r>
              <w:rPr>
                <w:rFonts w:ascii="Cambria" w:hAnsi="Cambria"/>
                <w:b/>
                <w:i w:val="0"/>
                <w:color w:val="FFFFFF"/>
                <w:sz w:val="22"/>
              </w:rPr>
              <w:t>Term</w:t>
            </w:r>
          </w:p>
        </w:tc>
        <w:tc>
          <w:tcPr>
            <w:tcW w:type="dxa" w:w="7484"/>
            <w:shd w:val="clear" w:color="auto" w:fill="1F3A5F"/>
          </w:tcPr>
          <w:p>
            <w:pPr>
              <w:spacing w:after="40" w:before="40"/>
            </w:pPr>
            <w:r/>
            <w:r>
              <w:rPr>
                <w:rFonts w:ascii="Cambria" w:hAnsi="Cambria"/>
                <w:b/>
                <w:i w:val="0"/>
                <w:color w:val="FFFFFF"/>
                <w:sz w:val="22"/>
              </w:rPr>
              <w:t>Definition / Coverage</w:t>
            </w:r>
          </w:p>
        </w:tc>
      </w:tr>
      <w:tr>
        <w:tc>
          <w:tcPr>
            <w:tcW w:type="dxa" w:w="1927"/>
          </w:tcPr>
          <w:p>
            <w:pPr>
              <w:spacing w:after="40" w:before="40"/>
            </w:pPr>
            <w:r/>
            <w:r>
              <w:rPr>
                <w:rFonts w:ascii="Cambria" w:hAnsi="Cambria"/>
                <w:b w:val="0"/>
                <w:i w:val="0"/>
                <w:sz w:val="22"/>
              </w:rPr>
              <w:t>Employee</w:t>
            </w:r>
          </w:p>
        </w:tc>
        <w:tc>
          <w:tcPr>
            <w:tcW w:type="dxa" w:w="7484"/>
          </w:tcPr>
          <w:p>
            <w:pPr>
              <w:spacing w:after="40" w:before="40"/>
            </w:pPr>
            <w:r/>
            <w:r>
              <w:rPr>
                <w:rFonts w:ascii="Cambria" w:hAnsi="Cambria"/>
                <w:b w:val="0"/>
                <w:i w:val="0"/>
                <w:sz w:val="22"/>
              </w:rPr>
              <w:t>An employee means any person who is employed by the Board of Management of the University or by its predecessor institution(s), or engaged through an approved outsourcing agency to perform official duties under the University’s supervision.</w:t>
            </w:r>
          </w:p>
        </w:tc>
      </w:tr>
      <w:tr>
        <w:tc>
          <w:tcPr>
            <w:tcW w:type="dxa" w:w="1927"/>
            <w:shd w:val="clear" w:color="auto" w:fill="F0F2F5"/>
          </w:tcPr>
          <w:p>
            <w:pPr>
              <w:spacing w:after="40" w:before="40"/>
            </w:pPr>
            <w:r/>
            <w:r>
              <w:rPr>
                <w:rFonts w:ascii="Cambria" w:hAnsi="Cambria"/>
                <w:b w:val="0"/>
                <w:i w:val="0"/>
                <w:sz w:val="22"/>
              </w:rPr>
              <w:t>Scope of Employment</w:t>
            </w:r>
          </w:p>
        </w:tc>
        <w:tc>
          <w:tcPr>
            <w:tcW w:type="dxa" w:w="7484"/>
            <w:shd w:val="clear" w:color="auto" w:fill="F0F2F5"/>
          </w:tcPr>
          <w:p>
            <w:pPr>
              <w:spacing w:after="40" w:before="40"/>
            </w:pPr>
            <w:r/>
            <w:r>
              <w:rPr>
                <w:rFonts w:ascii="Cambria" w:hAnsi="Cambria"/>
                <w:b w:val="0"/>
                <w:i w:val="0"/>
                <w:sz w:val="22"/>
              </w:rPr>
              <w:t>Includes teaching faculty, administrative officers, technical staff, and other support personnel, whether appointed on a regular, contractual, temporary, part-time, or outsourced basis.</w:t>
            </w:r>
          </w:p>
        </w:tc>
      </w:tr>
      <w:tr>
        <w:tc>
          <w:tcPr>
            <w:tcW w:type="dxa" w:w="1927"/>
          </w:tcPr>
          <w:p>
            <w:pPr>
              <w:spacing w:after="40" w:before="40"/>
            </w:pPr>
            <w:r/>
            <w:r>
              <w:rPr>
                <w:rFonts w:ascii="Cambria" w:hAnsi="Cambria"/>
                <w:b w:val="0"/>
                <w:i w:val="0"/>
                <w:sz w:val="22"/>
              </w:rPr>
              <w:t>Obligations</w:t>
            </w:r>
          </w:p>
        </w:tc>
        <w:tc>
          <w:tcPr>
            <w:tcW w:type="dxa" w:w="7484"/>
          </w:tcPr>
          <w:p>
            <w:pPr>
              <w:spacing w:after="40" w:before="40"/>
            </w:pPr>
            <w:r/>
            <w:r>
              <w:rPr>
                <w:rFonts w:ascii="Cambria" w:hAnsi="Cambria"/>
                <w:b w:val="0"/>
                <w:i w:val="0"/>
                <w:sz w:val="22"/>
              </w:rPr>
              <w:t>All employees, regardless of mode of employment, are bound by the University’s Service, Conduct, and Disciplinary Rules, and are accountable to their controlling and superior authorities.</w:t>
            </w:r>
          </w:p>
        </w:tc>
      </w:tr>
    </w:tbl>
    <w:p>
      <w:pPr>
        <w:spacing w:after="40"/>
      </w:pPr>
    </w:p>
    <w:p>
      <w:pPr>
        <w:keepNext/>
        <w:spacing w:before="200" w:after="120"/>
      </w:pPr>
      <w:r>
        <w:rPr>
          <w:rFonts w:ascii="Cambria" w:hAnsi="Cambria"/>
          <w:b/>
          <w:color w:val="1F3A5F"/>
          <w:sz w:val="27"/>
        </w:rPr>
        <w:t>4. Competent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1927"/>
            <w:shd w:val="clear" w:color="auto" w:fill="1F3A5F"/>
          </w:tcPr>
          <w:p>
            <w:pPr>
              <w:spacing w:after="40" w:before="40"/>
            </w:pPr>
            <w:r/>
            <w:r>
              <w:rPr>
                <w:rFonts w:ascii="Cambria" w:hAnsi="Cambria"/>
                <w:b/>
                <w:i w:val="0"/>
                <w:color w:val="FFFFFF"/>
                <w:sz w:val="22"/>
              </w:rPr>
              <w:t>Term</w:t>
            </w:r>
          </w:p>
        </w:tc>
        <w:tc>
          <w:tcPr>
            <w:tcW w:type="dxa" w:w="7484"/>
            <w:shd w:val="clear" w:color="auto" w:fill="1F3A5F"/>
          </w:tcPr>
          <w:p>
            <w:pPr>
              <w:spacing w:after="40" w:before="40"/>
            </w:pPr>
            <w:r/>
            <w:r>
              <w:rPr>
                <w:rFonts w:ascii="Cambria" w:hAnsi="Cambria"/>
                <w:b/>
                <w:i w:val="0"/>
                <w:color w:val="FFFFFF"/>
                <w:sz w:val="22"/>
              </w:rPr>
              <w:t>Definition / Function</w:t>
            </w:r>
          </w:p>
        </w:tc>
      </w:tr>
      <w:tr>
        <w:tc>
          <w:tcPr>
            <w:tcW w:type="dxa" w:w="1927"/>
          </w:tcPr>
          <w:p>
            <w:pPr>
              <w:spacing w:after="40" w:before="40"/>
            </w:pPr>
            <w:r/>
            <w:r>
              <w:rPr>
                <w:rFonts w:ascii="Cambria" w:hAnsi="Cambria"/>
                <w:b w:val="0"/>
                <w:i w:val="0"/>
                <w:sz w:val="22"/>
              </w:rPr>
              <w:t>Competent Authority</w:t>
            </w:r>
          </w:p>
        </w:tc>
        <w:tc>
          <w:tcPr>
            <w:tcW w:type="dxa" w:w="7484"/>
          </w:tcPr>
          <w:p>
            <w:pPr>
              <w:spacing w:after="40" w:before="40"/>
            </w:pPr>
            <w:r/>
            <w:r>
              <w:rPr>
                <w:rFonts w:ascii="Cambria" w:hAnsi="Cambria"/>
                <w:b w:val="0"/>
                <w:i w:val="0"/>
                <w:sz w:val="22"/>
              </w:rPr>
              <w:t>Refers to the officer or body empowered by the Board of Management through general or special orders to exercise specific powers or discharge functions under the University’s rules and regulations.</w:t>
            </w:r>
          </w:p>
        </w:tc>
      </w:tr>
      <w:tr>
        <w:tc>
          <w:tcPr>
            <w:tcW w:type="dxa" w:w="1927"/>
            <w:shd w:val="clear" w:color="auto" w:fill="F0F2F5"/>
          </w:tcPr>
          <w:p>
            <w:pPr>
              <w:spacing w:after="40" w:before="40"/>
            </w:pPr>
            <w:r/>
            <w:r>
              <w:rPr>
                <w:rFonts w:ascii="Cambria" w:hAnsi="Cambria"/>
                <w:b w:val="0"/>
                <w:i w:val="0"/>
                <w:sz w:val="22"/>
              </w:rPr>
              <w:t>Levels of Competency</w:t>
            </w:r>
          </w:p>
        </w:tc>
        <w:tc>
          <w:tcPr>
            <w:tcW w:type="dxa" w:w="7484"/>
            <w:shd w:val="clear" w:color="auto" w:fill="F0F2F5"/>
          </w:tcPr>
          <w:p>
            <w:pPr>
              <w:spacing w:after="40" w:before="40"/>
            </w:pPr>
            <w:r/>
            <w:r>
              <w:rPr>
                <w:rFonts w:ascii="Cambria" w:hAnsi="Cambria"/>
                <w:b w:val="0"/>
                <w:i w:val="0"/>
                <w:sz w:val="22"/>
              </w:rPr>
              <w:t>The term “Competent Authority” may, depending on the context, include:</w:t>
              <w:br/>
              <w:t>i. The Board of Management (BoM) – for policy-level and institutional decisions.</w:t>
              <w:br/>
              <w:t>ii. The Chairman of the Board – for executive approvals, appointments, or urgent decisions.</w:t>
              <w:br/>
              <w:t>iii. The Vice Chancellor / Appointing Authority – for day-to-day administrative and academic matters.</w:t>
              <w:br/>
              <w:t>iv. Principals / Directors of Institutions – for institutional-level operations and staff management.</w:t>
              <w:br/>
              <w:t>v. Controlling Officer / Head of Department – for departmental duties, attendance, discipline, and reporting of employees.</w:t>
            </w:r>
          </w:p>
        </w:tc>
      </w:tr>
      <w:tr>
        <w:tc>
          <w:tcPr>
            <w:tcW w:type="dxa" w:w="1927"/>
          </w:tcPr>
          <w:p>
            <w:pPr>
              <w:spacing w:after="40" w:before="40"/>
            </w:pPr>
            <w:r/>
            <w:r>
              <w:rPr>
                <w:rFonts w:ascii="Cambria" w:hAnsi="Cambria"/>
                <w:b w:val="0"/>
                <w:i w:val="0"/>
                <w:sz w:val="22"/>
              </w:rPr>
              <w:t>Delegation of Powers</w:t>
            </w:r>
          </w:p>
        </w:tc>
        <w:tc>
          <w:tcPr>
            <w:tcW w:type="dxa" w:w="7484"/>
          </w:tcPr>
          <w:p>
            <w:pPr>
              <w:spacing w:after="40" w:before="40"/>
            </w:pPr>
            <w:r/>
            <w:r>
              <w:rPr>
                <w:rFonts w:ascii="Cambria" w:hAnsi="Cambria"/>
                <w:b w:val="0"/>
                <w:i w:val="0"/>
                <w:sz w:val="22"/>
              </w:rPr>
              <w:t>The Competent Authority may further delegate powers to subordinate officers, as per University Delegation of Financial and Administrative Powers (DFP), to ensure smooth functioning and accountability.</w:t>
            </w:r>
          </w:p>
        </w:tc>
      </w:tr>
    </w:tbl>
    <w:p>
      <w:pPr>
        <w:spacing w:after="40"/>
      </w:pPr>
    </w:p>
    <w:p>
      <w:pPr>
        <w:keepNext/>
        <w:spacing w:before="200" w:after="120"/>
      </w:pPr>
      <w:r>
        <w:rPr>
          <w:rFonts w:ascii="Cambria" w:hAnsi="Cambria"/>
          <w:b/>
          <w:color w:val="1F3A5F"/>
          <w:sz w:val="27"/>
        </w:rPr>
        <w:t>5. Governance Principles</w:t>
      </w:r>
    </w:p>
    <w:p>
      <w:pPr>
        <w:pStyle w:val="ListBullet"/>
        <w:spacing w:line="276" w:lineRule="auto"/>
        <w:ind w:left="510"/>
      </w:pPr>
      <w:r>
        <w:rPr>
          <w:rFonts w:ascii="Cambria" w:hAnsi="Cambria"/>
          <w:b w:val="0"/>
          <w:i w:val="0"/>
          <w:sz w:val="22"/>
        </w:rPr>
        <w:t>All decisions taken by the Board of Management or Chairman under delegated powers must be recorded, documented, and reported to the Board for ratification.</w:t>
      </w:r>
    </w:p>
    <w:p>
      <w:pPr>
        <w:pStyle w:val="ListBullet"/>
        <w:spacing w:line="276" w:lineRule="auto"/>
        <w:ind w:left="510"/>
      </w:pPr>
      <w:r>
        <w:rPr>
          <w:rFonts w:ascii="Cambria" w:hAnsi="Cambria"/>
          <w:b w:val="0"/>
          <w:i w:val="0"/>
          <w:sz w:val="22"/>
        </w:rPr>
        <w:t>The Competent Authority at each level must act within the scope of delegated powers and maintain transparency, integrity, and procedural fairness.</w:t>
      </w:r>
    </w:p>
    <w:p>
      <w:pPr>
        <w:pStyle w:val="ListBullet"/>
        <w:spacing w:line="276" w:lineRule="auto"/>
        <w:ind w:left="510"/>
      </w:pPr>
      <w:r>
        <w:rPr>
          <w:rFonts w:ascii="Cambria" w:hAnsi="Cambria"/>
          <w:b w:val="0"/>
          <w:i w:val="0"/>
          <w:sz w:val="22"/>
        </w:rPr>
        <w:t>Any ambiguity or conflict of interpretation regarding authority or powers shall be resolved by the Board of Management, whose decision shall be final and binding.</w:t>
      </w:r>
    </w:p>
    <w:p>
      <w:r>
        <w:br w:type="page"/>
      </w:r>
    </w:p>
    <w:p>
      <w:pPr>
        <w:keepNext/>
        <w:spacing w:before="280" w:after="160"/>
      </w:pPr>
      <w:r>
        <w:rPr>
          <w:rFonts w:ascii="Cambria" w:hAnsi="Cambria"/>
          <w:b/>
          <w:color w:val="1F3A5F"/>
          <w:sz w:val="32"/>
        </w:rPr>
        <w:t>5. Definitions of Key Administrative Terms</w:t>
      </w:r>
    </w:p>
    <w:p>
      <w:pPr>
        <w:keepNext/>
        <w:spacing w:before="200" w:after="120"/>
      </w:pPr>
      <w:r>
        <w:rPr>
          <w:rFonts w:ascii="Cambria" w:hAnsi="Cambria"/>
          <w:b/>
          <w:color w:val="1F3A5F"/>
          <w:sz w:val="27"/>
        </w:rPr>
        <w:t>I. Purpose</w:t>
      </w:r>
    </w:p>
    <w:p>
      <w:pPr>
        <w:pStyle w:val="ListBullet"/>
        <w:spacing w:line="276" w:lineRule="auto"/>
        <w:ind w:left="510"/>
      </w:pPr>
      <w:r>
        <w:rPr>
          <w:rFonts w:ascii="Cambria" w:hAnsi="Cambria"/>
          <w:b w:val="0"/>
          <w:i w:val="0"/>
          <w:sz w:val="22"/>
        </w:rPr>
        <w:t>To provide clear definitions and administrative clarity for terms frequently used in the University’s Service, Conduct, and Disciplinary Rules.</w:t>
      </w:r>
    </w:p>
    <w:p>
      <w:pPr>
        <w:pStyle w:val="ListBullet"/>
        <w:spacing w:line="276" w:lineRule="auto"/>
        <w:ind w:left="510"/>
      </w:pPr>
      <w:r>
        <w:rPr>
          <w:rFonts w:ascii="Cambria" w:hAnsi="Cambria"/>
          <w:b w:val="0"/>
          <w:i w:val="0"/>
          <w:sz w:val="22"/>
        </w:rPr>
        <w:t>To ensure consistency and transparency in the interpretation of institutional hierarchy, authority, and tenure-related provisions.</w:t>
      </w:r>
    </w:p>
    <w:p>
      <w:pPr>
        <w:keepNext/>
        <w:spacing w:before="200" w:after="120"/>
      </w:pPr>
      <w:r>
        <w:rPr>
          <w:rFonts w:ascii="Cambria" w:hAnsi="Cambria"/>
          <w:b/>
          <w:color w:val="1F3A5F"/>
          <w:sz w:val="27"/>
        </w:rPr>
        <w:t>1. Definitions</w:t>
      </w:r>
    </w:p>
    <w:tbl>
      <w:tblPr>
        <w:tblStyle w:val="TableGrid"/>
        <w:tblW w:type="auto" w:w="0"/>
        <w:jc w:val="center"/>
        <w:tblLook w:firstColumn="1" w:firstRow="1" w:lastColumn="0" w:lastRow="0" w:noHBand="0" w:noVBand="1" w:val="04A0"/>
        <w:tblLayout w:type="fixed"/>
      </w:tblPr>
      <w:tblGrid>
        <w:gridCol w:w="4706"/>
        <w:gridCol w:w="4706"/>
      </w:tblGrid>
      <w:tr>
        <w:tc>
          <w:tcPr>
            <w:tcW w:type="dxa" w:w="1927"/>
            <w:shd w:val="clear" w:color="auto" w:fill="1F3A5F"/>
          </w:tcPr>
          <w:p>
            <w:pPr>
              <w:spacing w:after="40" w:before="40"/>
            </w:pPr>
            <w:r/>
            <w:r>
              <w:rPr>
                <w:rFonts w:ascii="Cambria" w:hAnsi="Cambria"/>
                <w:b/>
                <w:i w:val="0"/>
                <w:color w:val="FFFFFF"/>
                <w:sz w:val="22"/>
              </w:rPr>
              <w:t>Term</w:t>
            </w:r>
          </w:p>
        </w:tc>
        <w:tc>
          <w:tcPr>
            <w:tcW w:type="dxa" w:w="7484"/>
            <w:shd w:val="clear" w:color="auto" w:fill="1F3A5F"/>
          </w:tcPr>
          <w:p>
            <w:pPr>
              <w:spacing w:after="40" w:before="40"/>
            </w:pPr>
            <w:r/>
            <w:r>
              <w:rPr>
                <w:rFonts w:ascii="Cambria" w:hAnsi="Cambria"/>
                <w:b/>
                <w:i w:val="0"/>
                <w:color w:val="FFFFFF"/>
                <w:sz w:val="22"/>
              </w:rPr>
              <w:t>Definition / Explanation</w:t>
            </w:r>
          </w:p>
        </w:tc>
      </w:tr>
      <w:tr>
        <w:tc>
          <w:tcPr>
            <w:tcW w:type="dxa" w:w="1927"/>
          </w:tcPr>
          <w:p>
            <w:pPr>
              <w:spacing w:after="40" w:before="40"/>
            </w:pPr>
            <w:r/>
            <w:r>
              <w:rPr>
                <w:rFonts w:ascii="Cambria" w:hAnsi="Cambria"/>
                <w:b w:val="0"/>
                <w:i w:val="0"/>
                <w:sz w:val="22"/>
              </w:rPr>
              <w:t>a. “Tenure Post”</w:t>
            </w:r>
          </w:p>
        </w:tc>
        <w:tc>
          <w:tcPr>
            <w:tcW w:type="dxa" w:w="7484"/>
          </w:tcPr>
          <w:p>
            <w:pPr>
              <w:spacing w:after="40" w:before="40"/>
            </w:pPr>
            <w:r/>
            <w:r>
              <w:rPr>
                <w:rFonts w:ascii="Cambria" w:hAnsi="Cambria"/>
                <w:b w:val="0"/>
                <w:i w:val="0"/>
                <w:sz w:val="22"/>
              </w:rPr>
              <w:t>A tenure post means a position within the University that an individual employee may hold for a limited, pre-determined period only, as specified in the appointment order. Upon expiry of the tenure, the appointment automatically ceases unless formally renewed or extended by the competent authority.</w:t>
            </w:r>
          </w:p>
        </w:tc>
      </w:tr>
      <w:tr>
        <w:tc>
          <w:tcPr>
            <w:tcW w:type="dxa" w:w="1927"/>
            <w:shd w:val="clear" w:color="auto" w:fill="F0F2F5"/>
          </w:tcPr>
          <w:p>
            <w:pPr>
              <w:spacing w:after="40" w:before="40"/>
            </w:pPr>
            <w:r/>
            <w:r>
              <w:rPr>
                <w:rFonts w:ascii="Cambria" w:hAnsi="Cambria"/>
                <w:b w:val="0"/>
                <w:i w:val="0"/>
                <w:sz w:val="22"/>
              </w:rPr>
              <w:t>b. “Appointing Authority”</w:t>
            </w:r>
          </w:p>
        </w:tc>
        <w:tc>
          <w:tcPr>
            <w:tcW w:type="dxa" w:w="7484"/>
            <w:shd w:val="clear" w:color="auto" w:fill="F0F2F5"/>
          </w:tcPr>
          <w:p>
            <w:pPr>
              <w:spacing w:after="40" w:before="40"/>
            </w:pPr>
            <w:r/>
            <w:r>
              <w:rPr>
                <w:rFonts w:ascii="Cambria" w:hAnsi="Cambria"/>
                <w:b w:val="0"/>
                <w:i w:val="0"/>
                <w:sz w:val="22"/>
              </w:rPr>
              <w:t>The appointing authority refers to the official or body empowered to make appointments to specific posts under the University, as per the delegation of powers approved by the Board of Management (BoM). This authority may vary based on cadre, post category, or nature of appointment (permanent, temporary, or contractual).</w:t>
            </w:r>
          </w:p>
        </w:tc>
      </w:tr>
      <w:tr>
        <w:tc>
          <w:tcPr>
            <w:tcW w:type="dxa" w:w="1927"/>
          </w:tcPr>
          <w:p>
            <w:pPr>
              <w:spacing w:after="40" w:before="40"/>
            </w:pPr>
            <w:r/>
            <w:r>
              <w:rPr>
                <w:rFonts w:ascii="Cambria" w:hAnsi="Cambria"/>
                <w:b w:val="0"/>
                <w:i w:val="0"/>
                <w:sz w:val="22"/>
              </w:rPr>
              <w:t>c. “Disciplinary Authority”</w:t>
            </w:r>
          </w:p>
        </w:tc>
        <w:tc>
          <w:tcPr>
            <w:tcW w:type="dxa" w:w="7484"/>
          </w:tcPr>
          <w:p>
            <w:pPr>
              <w:spacing w:after="40" w:before="40"/>
            </w:pPr>
            <w:r/>
            <w:r>
              <w:rPr>
                <w:rFonts w:ascii="Cambria" w:hAnsi="Cambria"/>
                <w:b w:val="0"/>
                <w:i w:val="0"/>
                <w:sz w:val="22"/>
              </w:rPr>
              <w:t>The disciplinary authority means the authority designated in the schedule appended to these rules that is empowered to initiate disciplinary proceedings, impose penalties, or take administrative action against an employee for misconduct or violation of service rules. The disciplinary authority may differ for teaching and non-teaching employees.</w:t>
            </w:r>
          </w:p>
        </w:tc>
      </w:tr>
      <w:tr>
        <w:tc>
          <w:tcPr>
            <w:tcW w:type="dxa" w:w="1927"/>
            <w:shd w:val="clear" w:color="auto" w:fill="F0F2F5"/>
          </w:tcPr>
          <w:p>
            <w:pPr>
              <w:spacing w:after="40" w:before="40"/>
            </w:pPr>
            <w:r/>
            <w:r>
              <w:rPr>
                <w:rFonts w:ascii="Cambria" w:hAnsi="Cambria"/>
                <w:b w:val="0"/>
                <w:i w:val="0"/>
                <w:sz w:val="22"/>
              </w:rPr>
              <w:t>d. “Appellate Authority”</w:t>
            </w:r>
          </w:p>
        </w:tc>
        <w:tc>
          <w:tcPr>
            <w:tcW w:type="dxa" w:w="7484"/>
            <w:shd w:val="clear" w:color="auto" w:fill="F0F2F5"/>
          </w:tcPr>
          <w:p>
            <w:pPr>
              <w:spacing w:after="40" w:before="40"/>
            </w:pPr>
            <w:r/>
            <w:r>
              <w:rPr>
                <w:rFonts w:ascii="Cambria" w:hAnsi="Cambria"/>
                <w:b w:val="0"/>
                <w:i w:val="0"/>
                <w:sz w:val="22"/>
              </w:rPr>
              <w:t>The appellate authority refers to the higher authority specified in the schedule who is empowered to review or decide upon appeals made by employees against disciplinary orders, penalties, or decisions issued by the disciplinary authority. The decision of the appellate authority shall be final and binding.</w:t>
            </w:r>
          </w:p>
        </w:tc>
      </w:tr>
      <w:tr>
        <w:tc>
          <w:tcPr>
            <w:tcW w:type="dxa" w:w="1927"/>
          </w:tcPr>
          <w:p>
            <w:pPr>
              <w:spacing w:after="40" w:before="40"/>
            </w:pPr>
            <w:r/>
            <w:r>
              <w:rPr>
                <w:rFonts w:ascii="Cambria" w:hAnsi="Cambria"/>
                <w:b w:val="0"/>
                <w:i w:val="0"/>
                <w:sz w:val="22"/>
              </w:rPr>
              <w:t>e. “Superior Authority”</w:t>
            </w:r>
          </w:p>
        </w:tc>
        <w:tc>
          <w:tcPr>
            <w:tcW w:type="dxa" w:w="7484"/>
          </w:tcPr>
          <w:p>
            <w:pPr>
              <w:spacing w:after="40" w:before="40"/>
            </w:pPr>
            <w:r/>
            <w:r>
              <w:rPr>
                <w:rFonts w:ascii="Cambria" w:hAnsi="Cambria"/>
                <w:b w:val="0"/>
                <w:i w:val="0"/>
                <w:sz w:val="22"/>
              </w:rPr>
              <w:t>The superior authority means any authority or official in the University hierarchy higher than the controlling officer, having administrative or supervisory powers over a subordinate employee or department. This includes the Head of Department (HoD), Dean, Registrar, Vice Chancellor, and the Board of Management, depending on the reporting structure.</w:t>
            </w:r>
          </w:p>
        </w:tc>
      </w:tr>
    </w:tbl>
    <w:p>
      <w:pPr>
        <w:spacing w:after="40"/>
      </w:pPr>
    </w:p>
    <w:p>
      <w:pPr>
        <w:keepNext/>
        <w:spacing w:before="200" w:after="120"/>
      </w:pPr>
      <w:r>
        <w:rPr>
          <w:rFonts w:ascii="Cambria" w:hAnsi="Cambria"/>
          <w:b/>
          <w:color w:val="1F3A5F"/>
          <w:sz w:val="27"/>
        </w:rPr>
        <w:t>2. Administrative Context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Level</w:t>
            </w:r>
          </w:p>
        </w:tc>
        <w:tc>
          <w:tcPr>
            <w:tcW w:type="dxa" w:w="2551"/>
            <w:shd w:val="clear" w:color="auto" w:fill="1F3A5F"/>
          </w:tcPr>
          <w:p>
            <w:pPr>
              <w:spacing w:after="40" w:before="40"/>
            </w:pPr>
            <w:r/>
            <w:r>
              <w:rPr>
                <w:rFonts w:ascii="Cambria" w:hAnsi="Cambria"/>
                <w:b/>
                <w:i w:val="0"/>
                <w:color w:val="FFFFFF"/>
                <w:sz w:val="22"/>
              </w:rPr>
              <w:t>Authority Example</w:t>
            </w:r>
          </w:p>
        </w:tc>
        <w:tc>
          <w:tcPr>
            <w:tcW w:type="dxa" w:w="4592"/>
            <w:shd w:val="clear" w:color="auto" w:fill="1F3A5F"/>
          </w:tcPr>
          <w:p>
            <w:pPr>
              <w:spacing w:after="40" w:before="40"/>
            </w:pPr>
            <w:r/>
            <w:r>
              <w:rPr>
                <w:rFonts w:ascii="Cambria" w:hAnsi="Cambria"/>
                <w:b/>
                <w:i w:val="0"/>
                <w:color w:val="FFFFFF"/>
                <w:sz w:val="22"/>
              </w:rPr>
              <w:t>Typical Powers</w:t>
            </w:r>
          </w:p>
        </w:tc>
      </w:tr>
      <w:tr>
        <w:tc>
          <w:tcPr>
            <w:tcW w:type="dxa" w:w="2268"/>
          </w:tcPr>
          <w:p>
            <w:pPr>
              <w:spacing w:after="40" w:before="40"/>
            </w:pPr>
            <w:r/>
            <w:r>
              <w:rPr>
                <w:rFonts w:ascii="Cambria" w:hAnsi="Cambria"/>
                <w:b w:val="0"/>
                <w:i w:val="0"/>
                <w:sz w:val="22"/>
              </w:rPr>
              <w:t>Top Management</w:t>
            </w:r>
          </w:p>
        </w:tc>
        <w:tc>
          <w:tcPr>
            <w:tcW w:type="dxa" w:w="2551"/>
          </w:tcPr>
          <w:p>
            <w:pPr>
              <w:spacing w:after="40" w:before="40"/>
            </w:pPr>
            <w:r/>
            <w:r>
              <w:rPr>
                <w:rFonts w:ascii="Cambria" w:hAnsi="Cambria"/>
                <w:b w:val="0"/>
                <w:i w:val="0"/>
                <w:sz w:val="22"/>
              </w:rPr>
              <w:t>Board of Management (BoM)</w:t>
            </w:r>
          </w:p>
        </w:tc>
        <w:tc>
          <w:tcPr>
            <w:tcW w:type="dxa" w:w="4592"/>
          </w:tcPr>
          <w:p>
            <w:pPr>
              <w:spacing w:after="40" w:before="40"/>
            </w:pPr>
            <w:r/>
            <w:r>
              <w:rPr>
                <w:rFonts w:ascii="Cambria" w:hAnsi="Cambria"/>
                <w:b w:val="0"/>
                <w:i w:val="0"/>
                <w:sz w:val="22"/>
              </w:rPr>
              <w:t>Overall governance, policy approval, final appellate authority.</w:t>
            </w:r>
          </w:p>
        </w:tc>
      </w:tr>
      <w:tr>
        <w:tc>
          <w:tcPr>
            <w:tcW w:type="dxa" w:w="2268"/>
            <w:shd w:val="clear" w:color="auto" w:fill="F0F2F5"/>
          </w:tcPr>
          <w:p>
            <w:pPr>
              <w:spacing w:after="40" w:before="40"/>
            </w:pPr>
            <w:r/>
            <w:r>
              <w:rPr>
                <w:rFonts w:ascii="Cambria" w:hAnsi="Cambria"/>
                <w:b w:val="0"/>
                <w:i w:val="0"/>
                <w:sz w:val="22"/>
              </w:rPr>
              <w:t>Executive Level</w:t>
            </w:r>
          </w:p>
        </w:tc>
        <w:tc>
          <w:tcPr>
            <w:tcW w:type="dxa" w:w="2551"/>
            <w:shd w:val="clear" w:color="auto" w:fill="F0F2F5"/>
          </w:tcPr>
          <w:p>
            <w:pPr>
              <w:spacing w:after="40" w:before="40"/>
            </w:pPr>
            <w:r/>
            <w:r>
              <w:rPr>
                <w:rFonts w:ascii="Cambria" w:hAnsi="Cambria"/>
                <w:b w:val="0"/>
                <w:i w:val="0"/>
                <w:sz w:val="22"/>
              </w:rPr>
              <w:t>Vice Chancellor</w:t>
            </w:r>
          </w:p>
        </w:tc>
        <w:tc>
          <w:tcPr>
            <w:tcW w:type="dxa" w:w="4592"/>
            <w:shd w:val="clear" w:color="auto" w:fill="F0F2F5"/>
          </w:tcPr>
          <w:p>
            <w:pPr>
              <w:spacing w:after="40" w:before="40"/>
            </w:pPr>
            <w:r/>
            <w:r>
              <w:rPr>
                <w:rFonts w:ascii="Cambria" w:hAnsi="Cambria"/>
                <w:b w:val="0"/>
                <w:i w:val="0"/>
                <w:sz w:val="22"/>
              </w:rPr>
              <w:t>Appointing and disciplinary authority for most teaching and non-teaching posts.</w:t>
            </w:r>
          </w:p>
        </w:tc>
      </w:tr>
      <w:tr>
        <w:tc>
          <w:tcPr>
            <w:tcW w:type="dxa" w:w="2268"/>
          </w:tcPr>
          <w:p>
            <w:pPr>
              <w:spacing w:after="40" w:before="40"/>
            </w:pPr>
            <w:r/>
            <w:r>
              <w:rPr>
                <w:rFonts w:ascii="Cambria" w:hAnsi="Cambria"/>
                <w:b w:val="0"/>
                <w:i w:val="0"/>
                <w:sz w:val="22"/>
              </w:rPr>
              <w:t>Administrative Level</w:t>
            </w:r>
          </w:p>
        </w:tc>
        <w:tc>
          <w:tcPr>
            <w:tcW w:type="dxa" w:w="2551"/>
          </w:tcPr>
          <w:p>
            <w:pPr>
              <w:spacing w:after="40" w:before="40"/>
            </w:pPr>
            <w:r/>
            <w:r>
              <w:rPr>
                <w:rFonts w:ascii="Cambria" w:hAnsi="Cambria"/>
                <w:b w:val="0"/>
                <w:i w:val="0"/>
                <w:sz w:val="22"/>
              </w:rPr>
              <w:t>Registrar / Dean</w:t>
            </w:r>
          </w:p>
        </w:tc>
        <w:tc>
          <w:tcPr>
            <w:tcW w:type="dxa" w:w="4592"/>
          </w:tcPr>
          <w:p>
            <w:pPr>
              <w:spacing w:after="40" w:before="40"/>
            </w:pPr>
            <w:r/>
            <w:r>
              <w:rPr>
                <w:rFonts w:ascii="Cambria" w:hAnsi="Cambria"/>
                <w:b w:val="0"/>
                <w:i w:val="0"/>
                <w:sz w:val="22"/>
              </w:rPr>
              <w:t>Supervisory control, initial inquiry authority, and recommendation of disciplinary actions.</w:t>
            </w:r>
          </w:p>
        </w:tc>
      </w:tr>
      <w:tr>
        <w:tc>
          <w:tcPr>
            <w:tcW w:type="dxa" w:w="2268"/>
            <w:shd w:val="clear" w:color="auto" w:fill="F0F2F5"/>
          </w:tcPr>
          <w:p>
            <w:pPr>
              <w:spacing w:after="40" w:before="40"/>
            </w:pPr>
            <w:r/>
            <w:r>
              <w:rPr>
                <w:rFonts w:ascii="Cambria" w:hAnsi="Cambria"/>
                <w:b w:val="0"/>
                <w:i w:val="0"/>
                <w:sz w:val="22"/>
              </w:rPr>
              <w:t>Departmental Level</w:t>
            </w:r>
          </w:p>
        </w:tc>
        <w:tc>
          <w:tcPr>
            <w:tcW w:type="dxa" w:w="2551"/>
            <w:shd w:val="clear" w:color="auto" w:fill="F0F2F5"/>
          </w:tcPr>
          <w:p>
            <w:pPr>
              <w:spacing w:after="40" w:before="40"/>
            </w:pPr>
            <w:r/>
            <w:r>
              <w:rPr>
                <w:rFonts w:ascii="Cambria" w:hAnsi="Cambria"/>
                <w:b w:val="0"/>
                <w:i w:val="0"/>
                <w:sz w:val="22"/>
              </w:rPr>
              <w:t>Head of Department</w:t>
            </w:r>
          </w:p>
        </w:tc>
        <w:tc>
          <w:tcPr>
            <w:tcW w:type="dxa" w:w="4592"/>
            <w:shd w:val="clear" w:color="auto" w:fill="F0F2F5"/>
          </w:tcPr>
          <w:p>
            <w:pPr>
              <w:spacing w:after="40" w:before="40"/>
            </w:pPr>
            <w:r/>
            <w:r>
              <w:rPr>
                <w:rFonts w:ascii="Cambria" w:hAnsi="Cambria"/>
                <w:b w:val="0"/>
                <w:i w:val="0"/>
                <w:sz w:val="22"/>
              </w:rPr>
              <w:t>Immediate controlling authority responsible for daily discipline and performance monitoring.</w:t>
            </w:r>
          </w:p>
        </w:tc>
      </w:tr>
    </w:tbl>
    <w:p>
      <w:pPr>
        <w:spacing w:after="40"/>
      </w:pPr>
    </w:p>
    <w:p>
      <w:r>
        <w:br w:type="page"/>
      </w:r>
    </w:p>
    <w:p>
      <w:pPr>
        <w:keepNext/>
        <w:spacing w:before="200" w:after="120"/>
      </w:pPr>
      <w:r>
        <w:rPr>
          <w:rFonts w:ascii="Cambria" w:hAnsi="Cambria"/>
          <w:b/>
          <w:color w:val="1F3A5F"/>
          <w:sz w:val="27"/>
        </w:rPr>
        <w:t>3. Policy Principles</w:t>
      </w:r>
    </w:p>
    <w:p>
      <w:pPr>
        <w:pStyle w:val="ListBullet"/>
        <w:spacing w:line="276" w:lineRule="auto"/>
        <w:ind w:left="510"/>
      </w:pPr>
      <w:r>
        <w:rPr>
          <w:rFonts w:ascii="Cambria" w:hAnsi="Cambria"/>
          <w:b w:val="0"/>
          <w:i w:val="0"/>
          <w:sz w:val="22"/>
        </w:rPr>
        <w:t>The appointment, disciplinary, and appellate powers shall be exercised strictly as per the delegation of powers approved by the Board of Management.</w:t>
      </w:r>
    </w:p>
    <w:p>
      <w:pPr>
        <w:pStyle w:val="ListBullet"/>
        <w:spacing w:line="276" w:lineRule="auto"/>
        <w:ind w:left="510"/>
      </w:pPr>
      <w:r>
        <w:rPr>
          <w:rFonts w:ascii="Cambria" w:hAnsi="Cambria"/>
          <w:b w:val="0"/>
          <w:i w:val="0"/>
          <w:sz w:val="22"/>
        </w:rPr>
        <w:t>Any ambiguity or overlap in defining authority shall be resolved by the Board of Management, whose decision shall be final.</w:t>
      </w:r>
    </w:p>
    <w:p>
      <w:pPr>
        <w:pStyle w:val="ListBullet"/>
        <w:spacing w:line="276" w:lineRule="auto"/>
        <w:ind w:left="510"/>
      </w:pPr>
      <w:r>
        <w:rPr>
          <w:rFonts w:ascii="Cambria" w:hAnsi="Cambria"/>
          <w:b w:val="0"/>
          <w:i w:val="0"/>
          <w:sz w:val="22"/>
        </w:rPr>
        <w:t>All actions taken under these definitions must comply with natural justice, transparency, and institutional due process.</w:t>
      </w:r>
    </w:p>
    <w:p>
      <w:pPr>
        <w:keepNext/>
        <w:spacing w:before="280" w:after="160"/>
      </w:pPr>
      <w:r>
        <w:rPr>
          <w:rFonts w:ascii="Cambria" w:hAnsi="Cambria"/>
          <w:b/>
          <w:color w:val="1F3A5F"/>
          <w:sz w:val="32"/>
        </w:rPr>
        <w:t>6. Appointment Classifications and Definitions</w:t>
      </w:r>
    </w:p>
    <w:p>
      <w:pPr>
        <w:keepNext/>
        <w:spacing w:before="200" w:after="120"/>
      </w:pPr>
      <w:r>
        <w:rPr>
          <w:rFonts w:ascii="Cambria" w:hAnsi="Cambria"/>
          <w:b/>
          <w:color w:val="1F3A5F"/>
          <w:sz w:val="27"/>
        </w:rPr>
        <w:t>Purpose</w:t>
      </w:r>
    </w:p>
    <w:p>
      <w:pPr>
        <w:pStyle w:val="ListBullet"/>
        <w:spacing w:line="276" w:lineRule="auto"/>
        <w:ind w:left="510"/>
      </w:pPr>
      <w:r>
        <w:rPr>
          <w:rFonts w:ascii="Cambria" w:hAnsi="Cambria"/>
          <w:b w:val="0"/>
          <w:i w:val="0"/>
          <w:sz w:val="22"/>
        </w:rPr>
        <w:t>To define and distinguish the various types of appointments made within the University for both teaching and non-teaching positions, ensuring clarity, transparency, and alignment with UGC and Board of Management (BoM) regulations.</w:t>
      </w:r>
    </w:p>
    <w:p>
      <w:pPr>
        <w:pStyle w:val="ListBullet"/>
        <w:spacing w:line="276" w:lineRule="auto"/>
        <w:ind w:left="510"/>
      </w:pPr>
      <w:r>
        <w:rPr>
          <w:rFonts w:ascii="Cambria" w:hAnsi="Cambria"/>
          <w:b w:val="0"/>
          <w:i w:val="0"/>
          <w:sz w:val="22"/>
        </w:rPr>
        <w:t>These definitions establish the basis for determining service conditions, leave eligibility, and benefits applicable to each category of employee.</w:t>
      </w:r>
    </w:p>
    <w:p>
      <w:pPr>
        <w:keepNext/>
        <w:spacing w:before="200" w:after="120"/>
      </w:pPr>
      <w:r>
        <w:rPr>
          <w:rFonts w:ascii="Cambria" w:hAnsi="Cambria"/>
          <w:b/>
          <w:color w:val="1F3A5F"/>
          <w:sz w:val="27"/>
        </w:rPr>
        <w:t>1. Appointment to a Post on a Regular Basis</w:t>
      </w:r>
    </w:p>
    <w:p>
      <w:pPr>
        <w:pStyle w:val="ListBullet"/>
        <w:spacing w:line="276" w:lineRule="auto"/>
        <w:ind w:left="510"/>
      </w:pPr>
      <w:r>
        <w:rPr>
          <w:rFonts w:ascii="Cambria" w:hAnsi="Cambria"/>
          <w:b w:val="0"/>
          <w:i w:val="0"/>
          <w:sz w:val="22"/>
        </w:rPr>
        <w:t>A person is said to be appointed on a regular basis when they are selected through a duly constituted Selection Committee as per the prescribed regulations.</w:t>
      </w:r>
    </w:p>
    <w:p>
      <w:pPr>
        <w:pStyle w:val="ListBullet"/>
        <w:spacing w:line="276" w:lineRule="auto"/>
        <w:ind w:left="510"/>
      </w:pPr>
      <w:r>
        <w:rPr>
          <w:rFonts w:ascii="Cambria" w:hAnsi="Cambria"/>
          <w:b w:val="0"/>
          <w:i w:val="0"/>
          <w:sz w:val="22"/>
        </w:rPr>
        <w:t>Regular appointments carry full benefits of service, leave, promotion, and retirement provisions.</w:t>
      </w:r>
    </w:p>
    <w:p>
      <w:r>
        <w:rPr>
          <w:rFonts w:ascii="Cambria" w:hAnsi="Cambria"/>
          <w:b w:val="0"/>
          <w:i w:val="0"/>
          <w:sz w:val="22"/>
        </w:rPr>
        <w:t>I. Teaching Posts:</w:t>
      </w:r>
    </w:p>
    <w:p>
      <w:pPr>
        <w:pStyle w:val="ListBullet"/>
        <w:spacing w:line="276" w:lineRule="auto"/>
        <w:ind w:left="510"/>
      </w:pPr>
      <w:r>
        <w:rPr>
          <w:rFonts w:ascii="Cambria" w:hAnsi="Cambria"/>
          <w:b w:val="0"/>
          <w:i w:val="0"/>
          <w:sz w:val="22"/>
        </w:rPr>
        <w:t>Regular appointment to a teaching post shall be made through a Selection Committee constituted as per the UGC Regulations, which typically includes:</w:t>
      </w:r>
    </w:p>
    <w:p>
      <w:pPr>
        <w:pStyle w:val="ListBullet2"/>
        <w:spacing w:line="276" w:lineRule="auto"/>
        <w:ind w:left="1020"/>
      </w:pPr>
      <w:r>
        <w:rPr>
          <w:rFonts w:ascii="Cambria" w:hAnsi="Cambria"/>
          <w:b w:val="0"/>
          <w:i w:val="0"/>
          <w:sz w:val="22"/>
        </w:rPr>
        <w:t>Vice-Chancellor or nominee as Chairperson.</w:t>
      </w:r>
    </w:p>
    <w:p>
      <w:pPr>
        <w:pStyle w:val="ListBullet2"/>
        <w:spacing w:line="276" w:lineRule="auto"/>
        <w:ind w:left="1020"/>
      </w:pPr>
      <w:r>
        <w:rPr>
          <w:rFonts w:ascii="Cambria" w:hAnsi="Cambria"/>
          <w:b w:val="0"/>
          <w:i w:val="0"/>
          <w:sz w:val="22"/>
        </w:rPr>
        <w:t>Subject experts nominated as per UGC norms.</w:t>
      </w:r>
    </w:p>
    <w:p>
      <w:pPr>
        <w:pStyle w:val="ListBullet2"/>
        <w:spacing w:line="276" w:lineRule="auto"/>
        <w:ind w:left="1020"/>
      </w:pPr>
      <w:r>
        <w:rPr>
          <w:rFonts w:ascii="Cambria" w:hAnsi="Cambria"/>
          <w:b w:val="0"/>
          <w:i w:val="0"/>
          <w:sz w:val="22"/>
        </w:rPr>
        <w:t>Head of the Department / Dean concerned.</w:t>
      </w:r>
    </w:p>
    <w:p>
      <w:pPr>
        <w:pStyle w:val="ListBullet2"/>
        <w:spacing w:line="276" w:lineRule="auto"/>
        <w:ind w:left="1020"/>
      </w:pPr>
      <w:r>
        <w:rPr>
          <w:rFonts w:ascii="Cambria" w:hAnsi="Cambria"/>
          <w:b w:val="0"/>
          <w:i w:val="0"/>
          <w:sz w:val="22"/>
        </w:rPr>
        <w:t>External members as specified in the institutional statute.</w:t>
      </w:r>
    </w:p>
    <w:p>
      <w:r>
        <w:rPr>
          <w:rFonts w:ascii="Cambria" w:hAnsi="Cambria"/>
          <w:b w:val="0"/>
          <w:i w:val="0"/>
          <w:sz w:val="22"/>
        </w:rPr>
        <w:t>II. Non-Teaching Posts:</w:t>
      </w:r>
    </w:p>
    <w:p>
      <w:pPr>
        <w:pStyle w:val="ListBullet"/>
        <w:spacing w:line="276" w:lineRule="auto"/>
        <w:ind w:left="510"/>
      </w:pPr>
      <w:r>
        <w:rPr>
          <w:rFonts w:ascii="Cambria" w:hAnsi="Cambria"/>
          <w:b w:val="0"/>
          <w:i w:val="0"/>
          <w:sz w:val="22"/>
        </w:rPr>
        <w:t>Regular appointment to non-teaching and administrative positions shall be made through a Selection Committee constituted by the Board of Management (BoM).</w:t>
      </w:r>
    </w:p>
    <w:p>
      <w:pPr>
        <w:pStyle w:val="ListBullet"/>
        <w:spacing w:line="276" w:lineRule="auto"/>
        <w:ind w:left="510"/>
      </w:pPr>
      <w:r>
        <w:rPr>
          <w:rFonts w:ascii="Cambria" w:hAnsi="Cambria"/>
          <w:b w:val="0"/>
          <w:i w:val="0"/>
          <w:sz w:val="22"/>
        </w:rPr>
        <w:t>The Committee shall include:</w:t>
      </w:r>
    </w:p>
    <w:p>
      <w:pPr>
        <w:pStyle w:val="ListBullet2"/>
        <w:spacing w:line="276" w:lineRule="auto"/>
        <w:ind w:left="1020"/>
      </w:pPr>
      <w:r>
        <w:rPr>
          <w:rFonts w:ascii="Cambria" w:hAnsi="Cambria"/>
          <w:b w:val="0"/>
          <w:i w:val="0"/>
          <w:sz w:val="22"/>
        </w:rPr>
        <w:t>Registrar or nominee as Convenor.</w:t>
      </w:r>
    </w:p>
    <w:p>
      <w:pPr>
        <w:pStyle w:val="ListBullet2"/>
        <w:spacing w:line="276" w:lineRule="auto"/>
        <w:ind w:left="1020"/>
      </w:pPr>
      <w:r>
        <w:rPr>
          <w:rFonts w:ascii="Cambria" w:hAnsi="Cambria"/>
          <w:b w:val="0"/>
          <w:i w:val="0"/>
          <w:sz w:val="22"/>
        </w:rPr>
        <w:t>Subject or technical expert (as applicable).</w:t>
      </w:r>
    </w:p>
    <w:p>
      <w:pPr>
        <w:pStyle w:val="ListBullet2"/>
        <w:spacing w:line="276" w:lineRule="auto"/>
        <w:ind w:left="1020"/>
      </w:pPr>
      <w:r>
        <w:rPr>
          <w:rFonts w:ascii="Cambria" w:hAnsi="Cambria"/>
          <w:b w:val="0"/>
          <w:i w:val="0"/>
          <w:sz w:val="22"/>
        </w:rPr>
        <w:t>Finance Officer / Representative from Establishment Section.</w:t>
      </w:r>
    </w:p>
    <w:p>
      <w:pPr>
        <w:pStyle w:val="ListBullet2"/>
        <w:spacing w:line="276" w:lineRule="auto"/>
        <w:ind w:left="1020"/>
      </w:pPr>
      <w:r>
        <w:rPr>
          <w:rFonts w:ascii="Cambria" w:hAnsi="Cambria"/>
          <w:b w:val="0"/>
          <w:i w:val="0"/>
          <w:sz w:val="22"/>
        </w:rPr>
        <w:t>Member(s) nominated by the Board of Management.</w:t>
      </w:r>
    </w:p>
    <w:p>
      <w:pPr>
        <w:keepNext/>
        <w:spacing w:before="200" w:after="120"/>
      </w:pPr>
      <w:r>
        <w:rPr>
          <w:rFonts w:ascii="Cambria" w:hAnsi="Cambria"/>
          <w:b/>
          <w:color w:val="1F3A5F"/>
          <w:sz w:val="27"/>
        </w:rPr>
        <w:t>2. Appointment to a Post on a Temporary Basis</w:t>
      </w:r>
    </w:p>
    <w:p>
      <w:pPr>
        <w:pStyle w:val="ListBullet"/>
        <w:spacing w:line="276" w:lineRule="auto"/>
        <w:ind w:left="510"/>
      </w:pPr>
      <w:r>
        <w:rPr>
          <w:rFonts w:ascii="Cambria" w:hAnsi="Cambria"/>
          <w:b w:val="0"/>
          <w:i w:val="0"/>
          <w:sz w:val="22"/>
        </w:rPr>
        <w:t>A person is said to be appointed on a temporary basis when such status is explicitly stated in the order of appointment.</w:t>
      </w:r>
    </w:p>
    <w:p>
      <w:pPr>
        <w:pStyle w:val="ListBullet"/>
        <w:spacing w:line="276" w:lineRule="auto"/>
        <w:ind w:left="510"/>
      </w:pPr>
      <w:r>
        <w:rPr>
          <w:rFonts w:ascii="Cambria" w:hAnsi="Cambria"/>
          <w:b w:val="0"/>
          <w:i w:val="0"/>
          <w:sz w:val="22"/>
        </w:rPr>
        <w:t>Such appointments are made:</w:t>
      </w:r>
    </w:p>
    <w:p>
      <w:pPr>
        <w:pStyle w:val="ListBullet2"/>
        <w:spacing w:line="276" w:lineRule="auto"/>
        <w:ind w:left="1020"/>
      </w:pPr>
      <w:r>
        <w:rPr>
          <w:rFonts w:ascii="Cambria" w:hAnsi="Cambria"/>
          <w:b w:val="0"/>
          <w:i w:val="0"/>
          <w:sz w:val="22"/>
        </w:rPr>
        <w:t>For a limited duration or until the post is filled on a regular basis.</w:t>
      </w:r>
    </w:p>
    <w:p>
      <w:pPr>
        <w:pStyle w:val="ListBullet2"/>
        <w:spacing w:line="276" w:lineRule="auto"/>
        <w:ind w:left="1020"/>
      </w:pPr>
      <w:r>
        <w:rPr>
          <w:rFonts w:ascii="Cambria" w:hAnsi="Cambria"/>
          <w:b w:val="0"/>
          <w:i w:val="0"/>
          <w:sz w:val="22"/>
        </w:rPr>
        <w:t>Without conferring rights of permanency, seniority, or long-term service benefits.</w:t>
      </w:r>
    </w:p>
    <w:p>
      <w:pPr>
        <w:pStyle w:val="ListBullet"/>
        <w:spacing w:line="276" w:lineRule="auto"/>
        <w:ind w:left="510"/>
      </w:pPr>
      <w:r>
        <w:rPr>
          <w:rFonts w:ascii="Cambria" w:hAnsi="Cambria"/>
          <w:b w:val="0"/>
          <w:i w:val="0"/>
          <w:sz w:val="22"/>
        </w:rPr>
        <w:t>Temporary appointees are eligible for limited leave benefits and subject to annual review or extension at the discretion of the competent authority.</w:t>
      </w:r>
    </w:p>
    <w:p>
      <w:pPr>
        <w:keepNext/>
        <w:spacing w:before="200" w:after="120"/>
      </w:pPr>
      <w:r>
        <w:rPr>
          <w:rFonts w:ascii="Cambria" w:hAnsi="Cambria"/>
          <w:b/>
          <w:color w:val="1F3A5F"/>
          <w:sz w:val="27"/>
        </w:rPr>
        <w:t>3. Appointment on a Time-Bound or Contractual Basis</w:t>
      </w:r>
    </w:p>
    <w:p>
      <w:pPr>
        <w:pStyle w:val="ListBullet"/>
        <w:spacing w:line="276" w:lineRule="auto"/>
        <w:ind w:left="510"/>
      </w:pPr>
      <w:r>
        <w:rPr>
          <w:rFonts w:ascii="Cambria" w:hAnsi="Cambria"/>
          <w:b w:val="0"/>
          <w:i w:val="0"/>
          <w:sz w:val="22"/>
        </w:rPr>
        <w:t>A person is appointed on a time-bound or contractual basis when:</w:t>
      </w:r>
    </w:p>
    <w:p>
      <w:pPr>
        <w:pStyle w:val="ListBullet2"/>
        <w:spacing w:line="276" w:lineRule="auto"/>
        <w:ind w:left="1020"/>
      </w:pPr>
      <w:r>
        <w:rPr>
          <w:rFonts w:ascii="Cambria" w:hAnsi="Cambria"/>
          <w:b w:val="0"/>
          <w:i w:val="0"/>
          <w:sz w:val="22"/>
        </w:rPr>
        <w:t>The order of appointment specifies a fixed tenure or project-linked duration.</w:t>
      </w:r>
    </w:p>
    <w:p>
      <w:pPr>
        <w:pStyle w:val="ListBullet2"/>
        <w:spacing w:line="276" w:lineRule="auto"/>
        <w:ind w:left="1020"/>
      </w:pPr>
      <w:r>
        <w:rPr>
          <w:rFonts w:ascii="Cambria" w:hAnsi="Cambria"/>
          <w:b w:val="0"/>
          <w:i w:val="0"/>
          <w:sz w:val="22"/>
        </w:rPr>
        <w:t>Employment is governed by specific terms and conditions, including remuneration, deliverables, and termination clauses.</w:t>
      </w:r>
    </w:p>
    <w:p>
      <w:pPr>
        <w:pStyle w:val="ListBullet"/>
        <w:spacing w:line="276" w:lineRule="auto"/>
        <w:ind w:left="510"/>
      </w:pPr>
      <w:r>
        <w:rPr>
          <w:rFonts w:ascii="Cambria" w:hAnsi="Cambria"/>
          <w:b w:val="0"/>
          <w:i w:val="0"/>
          <w:sz w:val="22"/>
        </w:rPr>
        <w:t>Such appointments are non-permanent and expire automatically on completion of the contract period unless extended formally.</w:t>
      </w:r>
    </w:p>
    <w:p>
      <w:pPr>
        <w:pStyle w:val="ListBullet"/>
        <w:spacing w:line="276" w:lineRule="auto"/>
        <w:ind w:left="510"/>
      </w:pPr>
      <w:r>
        <w:rPr>
          <w:rFonts w:ascii="Cambria" w:hAnsi="Cambria"/>
          <w:b w:val="0"/>
          <w:i w:val="0"/>
          <w:sz w:val="22"/>
        </w:rPr>
        <w:t>Employees under this category are eligible for pro-rata leave and contractual benefits only, as specified in their appointment letter.</w:t>
      </w:r>
    </w:p>
    <w:p>
      <w:r>
        <w:br w:type="page"/>
      </w:r>
    </w:p>
    <w:p>
      <w:pPr>
        <w:keepNext/>
        <w:spacing w:before="200" w:after="120"/>
      </w:pPr>
      <w:r>
        <w:rPr>
          <w:rFonts w:ascii="Cambria" w:hAnsi="Cambria"/>
          <w:b/>
          <w:color w:val="1F3A5F"/>
          <w:sz w:val="27"/>
        </w:rPr>
        <w:t>4. Appointment by Direct Recruitment</w:t>
      </w:r>
    </w:p>
    <w:p>
      <w:pPr>
        <w:pStyle w:val="ListBullet"/>
        <w:spacing w:line="276" w:lineRule="auto"/>
        <w:ind w:left="510"/>
      </w:pPr>
      <w:r>
        <w:rPr>
          <w:rFonts w:ascii="Cambria" w:hAnsi="Cambria"/>
          <w:b w:val="0"/>
          <w:i w:val="0"/>
          <w:sz w:val="22"/>
        </w:rPr>
        <w:t>Direct Recruitment refers to the appointment of a person who does not currently hold any post in the University in a regular capacity.</w:t>
      </w:r>
    </w:p>
    <w:p>
      <w:pPr>
        <w:pStyle w:val="ListBullet"/>
        <w:spacing w:line="276" w:lineRule="auto"/>
        <w:ind w:left="510"/>
      </w:pPr>
      <w:r>
        <w:rPr>
          <w:rFonts w:ascii="Cambria" w:hAnsi="Cambria"/>
          <w:b w:val="0"/>
          <w:i w:val="0"/>
          <w:sz w:val="22"/>
        </w:rPr>
        <w:t>The process involves public advertisement, screening, and formal selection through a regular Selection Committee.</w:t>
      </w:r>
    </w:p>
    <w:p>
      <w:pPr>
        <w:pStyle w:val="ListBullet"/>
        <w:spacing w:line="276" w:lineRule="auto"/>
        <w:ind w:left="510"/>
      </w:pPr>
      <w:r>
        <w:rPr>
          <w:rFonts w:ascii="Cambria" w:hAnsi="Cambria"/>
          <w:b w:val="0"/>
          <w:i w:val="0"/>
          <w:sz w:val="22"/>
        </w:rPr>
        <w:t>Direct recruits are eligible for all service conditions, pay scales, and benefits attached to the post upon joining.</w:t>
      </w:r>
    </w:p>
    <w:p>
      <w:pPr>
        <w:keepNext/>
        <w:spacing w:before="200" w:after="120"/>
      </w:pPr>
      <w:r>
        <w:rPr>
          <w:rFonts w:ascii="Cambria" w:hAnsi="Cambria"/>
          <w:b/>
          <w:color w:val="1F3A5F"/>
          <w:sz w:val="27"/>
        </w:rPr>
        <w:t>5. Appointment by Promotion</w:t>
      </w:r>
    </w:p>
    <w:p>
      <w:pPr>
        <w:pStyle w:val="ListBullet"/>
        <w:spacing w:line="276" w:lineRule="auto"/>
        <w:ind w:left="510"/>
      </w:pPr>
      <w:r>
        <w:rPr>
          <w:rFonts w:ascii="Cambria" w:hAnsi="Cambria"/>
          <w:b w:val="0"/>
          <w:i w:val="0"/>
          <w:sz w:val="22"/>
        </w:rPr>
        <w:t>Appointment by Promotion refers to the elevation of an existing University employee to a higher cadre or position within the same service line.</w:t>
      </w:r>
    </w:p>
    <w:p>
      <w:pPr>
        <w:pStyle w:val="ListBullet"/>
        <w:spacing w:line="276" w:lineRule="auto"/>
        <w:ind w:left="510"/>
      </w:pPr>
      <w:r>
        <w:rPr>
          <w:rFonts w:ascii="Cambria" w:hAnsi="Cambria"/>
          <w:b w:val="0"/>
          <w:i w:val="0"/>
          <w:sz w:val="22"/>
        </w:rPr>
        <w:t>Promotion is based on seniority-cum-merit or merit-cum-seniority, as per University statutes or service rules.</w:t>
      </w:r>
    </w:p>
    <w:p>
      <w:pPr>
        <w:pStyle w:val="ListBullet"/>
        <w:spacing w:line="276" w:lineRule="auto"/>
        <w:ind w:left="510"/>
      </w:pPr>
      <w:r>
        <w:rPr>
          <w:rFonts w:ascii="Cambria" w:hAnsi="Cambria"/>
          <w:b w:val="0"/>
          <w:i w:val="0"/>
          <w:sz w:val="22"/>
        </w:rPr>
        <w:t>Promotion requires:</w:t>
      </w:r>
    </w:p>
    <w:p>
      <w:pPr>
        <w:pStyle w:val="ListBullet2"/>
        <w:spacing w:line="276" w:lineRule="auto"/>
        <w:ind w:left="1020"/>
      </w:pPr>
      <w:r>
        <w:rPr>
          <w:rFonts w:ascii="Cambria" w:hAnsi="Cambria"/>
          <w:b w:val="0"/>
          <w:i w:val="0"/>
          <w:sz w:val="22"/>
        </w:rPr>
        <w:t>Recommendation of the Departmental Promotion Committee (DPC) or equivalent body.</w:t>
      </w:r>
    </w:p>
    <w:p>
      <w:pPr>
        <w:pStyle w:val="ListBullet2"/>
        <w:spacing w:line="276" w:lineRule="auto"/>
        <w:ind w:left="1020"/>
      </w:pPr>
      <w:r>
        <w:rPr>
          <w:rFonts w:ascii="Cambria" w:hAnsi="Cambria"/>
          <w:b w:val="0"/>
          <w:i w:val="0"/>
          <w:sz w:val="22"/>
        </w:rPr>
        <w:t>Approval of the Appointing Authority (Board of Management / Vice-Chancellor).</w:t>
      </w:r>
    </w:p>
    <w:p>
      <w:r>
        <w:rPr>
          <w:rFonts w:ascii="Cambria" w:hAnsi="Cambria"/>
          <w:b w:val="0"/>
          <w:i w:val="0"/>
          <w:sz w:val="22"/>
        </w:rPr>
        <w:t>Note:</w:t>
      </w:r>
    </w:p>
    <w:p>
      <w:pPr>
        <w:pStyle w:val="ListBullet"/>
        <w:spacing w:line="276" w:lineRule="auto"/>
        <w:ind w:left="510"/>
      </w:pPr>
      <w:r>
        <w:rPr>
          <w:rFonts w:ascii="Cambria" w:hAnsi="Cambria"/>
          <w:b w:val="0"/>
          <w:i w:val="0"/>
          <w:sz w:val="22"/>
        </w:rPr>
        <w:t>In case of any doubt or ambiguity as to whether an appointment is made through Direct Recruitment or Promotion, the decision of the Appointing Authority shall be final and binding.</w:t>
      </w:r>
    </w:p>
    <w:p>
      <w:pPr>
        <w:keepNext/>
        <w:spacing w:before="200" w:after="120"/>
      </w:pPr>
      <w:r>
        <w:rPr>
          <w:rFonts w:ascii="Cambria" w:hAnsi="Cambria"/>
          <w:b/>
          <w:color w:val="1F3A5F"/>
          <w:sz w:val="27"/>
        </w:rPr>
        <w:t>Summary Table of Appointment Categories</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2154"/>
            <w:shd w:val="clear" w:color="auto" w:fill="1F3A5F"/>
          </w:tcPr>
          <w:p>
            <w:pPr>
              <w:spacing w:after="40" w:before="40"/>
            </w:pPr>
            <w:r/>
            <w:r>
              <w:rPr>
                <w:rFonts w:ascii="Cambria" w:hAnsi="Cambria"/>
                <w:b/>
                <w:i w:val="0"/>
                <w:color w:val="FFFFFF"/>
                <w:sz w:val="22"/>
              </w:rPr>
              <w:t>Type of Appointment</w:t>
            </w:r>
          </w:p>
        </w:tc>
        <w:tc>
          <w:tcPr>
            <w:tcW w:type="dxa" w:w="2268"/>
            <w:shd w:val="clear" w:color="auto" w:fill="1F3A5F"/>
          </w:tcPr>
          <w:p>
            <w:pPr>
              <w:spacing w:after="40" w:before="40"/>
            </w:pPr>
            <w:r/>
            <w:r>
              <w:rPr>
                <w:rFonts w:ascii="Cambria" w:hAnsi="Cambria"/>
                <w:b/>
                <w:i w:val="0"/>
                <w:color w:val="FFFFFF"/>
                <w:sz w:val="22"/>
              </w:rPr>
              <w:t>Basis of Selection</w:t>
            </w:r>
          </w:p>
        </w:tc>
        <w:tc>
          <w:tcPr>
            <w:tcW w:type="dxa" w:w="2041"/>
            <w:shd w:val="clear" w:color="auto" w:fill="1F3A5F"/>
          </w:tcPr>
          <w:p>
            <w:pPr>
              <w:spacing w:after="40" w:before="40"/>
            </w:pPr>
            <w:r/>
            <w:r>
              <w:rPr>
                <w:rFonts w:ascii="Cambria" w:hAnsi="Cambria"/>
                <w:b/>
                <w:i w:val="0"/>
                <w:color w:val="FFFFFF"/>
                <w:sz w:val="22"/>
              </w:rPr>
              <w:t>Constituting Authority</w:t>
            </w:r>
          </w:p>
        </w:tc>
        <w:tc>
          <w:tcPr>
            <w:tcW w:type="dxa" w:w="1360"/>
            <w:shd w:val="clear" w:color="auto" w:fill="1F3A5F"/>
          </w:tcPr>
          <w:p>
            <w:pPr>
              <w:spacing w:after="40" w:before="40"/>
            </w:pPr>
            <w:r/>
            <w:r>
              <w:rPr>
                <w:rFonts w:ascii="Cambria" w:hAnsi="Cambria"/>
                <w:b/>
                <w:i w:val="0"/>
                <w:color w:val="FFFFFF"/>
                <w:sz w:val="22"/>
              </w:rPr>
              <w:t>Tenure</w:t>
            </w:r>
          </w:p>
        </w:tc>
        <w:tc>
          <w:tcPr>
            <w:tcW w:type="dxa" w:w="1587"/>
            <w:shd w:val="clear" w:color="auto" w:fill="1F3A5F"/>
          </w:tcPr>
          <w:p>
            <w:pPr>
              <w:spacing w:after="40" w:before="40"/>
            </w:pPr>
            <w:r/>
            <w:r>
              <w:rPr>
                <w:rFonts w:ascii="Cambria" w:hAnsi="Cambria"/>
                <w:b/>
                <w:i w:val="0"/>
                <w:color w:val="FFFFFF"/>
                <w:sz w:val="22"/>
              </w:rPr>
              <w:t>Service Benefits</w:t>
            </w:r>
          </w:p>
        </w:tc>
      </w:tr>
      <w:tr>
        <w:tc>
          <w:tcPr>
            <w:tcW w:type="dxa" w:w="2154"/>
          </w:tcPr>
          <w:p>
            <w:pPr>
              <w:spacing w:after="40" w:before="40"/>
            </w:pPr>
            <w:r/>
            <w:r>
              <w:rPr>
                <w:rFonts w:ascii="Cambria" w:hAnsi="Cambria"/>
                <w:b w:val="0"/>
                <w:i w:val="0"/>
                <w:sz w:val="22"/>
              </w:rPr>
              <w:t>Regular Appointment (Teaching)</w:t>
            </w:r>
          </w:p>
        </w:tc>
        <w:tc>
          <w:tcPr>
            <w:tcW w:type="dxa" w:w="2268"/>
          </w:tcPr>
          <w:p>
            <w:pPr>
              <w:spacing w:after="40" w:before="40"/>
            </w:pPr>
            <w:r/>
            <w:r>
              <w:rPr>
                <w:rFonts w:ascii="Cambria" w:hAnsi="Cambria"/>
                <w:b w:val="0"/>
                <w:i w:val="0"/>
                <w:sz w:val="22"/>
              </w:rPr>
              <w:t>UGC-prescribed Selection Committee</w:t>
            </w:r>
          </w:p>
        </w:tc>
        <w:tc>
          <w:tcPr>
            <w:tcW w:type="dxa" w:w="2041"/>
          </w:tcPr>
          <w:p>
            <w:pPr>
              <w:spacing w:after="40" w:before="40"/>
            </w:pPr>
            <w:r/>
            <w:r>
              <w:rPr>
                <w:rFonts w:ascii="Cambria" w:hAnsi="Cambria"/>
                <w:b w:val="0"/>
                <w:i w:val="0"/>
                <w:sz w:val="22"/>
              </w:rPr>
              <w:t>Vice-Chancellor / UGC Regulations</w:t>
            </w:r>
          </w:p>
        </w:tc>
        <w:tc>
          <w:tcPr>
            <w:tcW w:type="dxa" w:w="1360"/>
          </w:tcPr>
          <w:p>
            <w:pPr>
              <w:spacing w:after="40" w:before="40"/>
            </w:pPr>
            <w:r/>
            <w:r>
              <w:rPr>
                <w:rFonts w:ascii="Cambria" w:hAnsi="Cambria"/>
                <w:b w:val="0"/>
                <w:i w:val="0"/>
                <w:sz w:val="22"/>
              </w:rPr>
              <w:t>Permanent</w:t>
            </w:r>
          </w:p>
        </w:tc>
        <w:tc>
          <w:tcPr>
            <w:tcW w:type="dxa" w:w="1587"/>
          </w:tcPr>
          <w:p>
            <w:pPr>
              <w:spacing w:after="40" w:before="40"/>
            </w:pPr>
            <w:r/>
            <w:r>
              <w:rPr>
                <w:rFonts w:ascii="Cambria" w:hAnsi="Cambria"/>
                <w:b w:val="0"/>
                <w:i w:val="0"/>
                <w:sz w:val="22"/>
              </w:rPr>
              <w:t>Full</w:t>
            </w:r>
          </w:p>
        </w:tc>
      </w:tr>
      <w:tr>
        <w:tc>
          <w:tcPr>
            <w:tcW w:type="dxa" w:w="2154"/>
            <w:shd w:val="clear" w:color="auto" w:fill="F0F2F5"/>
          </w:tcPr>
          <w:p>
            <w:pPr>
              <w:spacing w:after="40" w:before="40"/>
            </w:pPr>
            <w:r/>
            <w:r>
              <w:rPr>
                <w:rFonts w:ascii="Cambria" w:hAnsi="Cambria"/>
                <w:b w:val="0"/>
                <w:i w:val="0"/>
                <w:sz w:val="22"/>
              </w:rPr>
              <w:t>Regular Appointment (Non-Teaching)</w:t>
            </w:r>
          </w:p>
        </w:tc>
        <w:tc>
          <w:tcPr>
            <w:tcW w:type="dxa" w:w="2268"/>
            <w:shd w:val="clear" w:color="auto" w:fill="F0F2F5"/>
          </w:tcPr>
          <w:p>
            <w:pPr>
              <w:spacing w:after="40" w:before="40"/>
            </w:pPr>
            <w:r/>
            <w:r>
              <w:rPr>
                <w:rFonts w:ascii="Cambria" w:hAnsi="Cambria"/>
                <w:b w:val="0"/>
                <w:i w:val="0"/>
                <w:sz w:val="22"/>
              </w:rPr>
              <w:t>BoM-constituted Selection Committee</w:t>
            </w:r>
          </w:p>
        </w:tc>
        <w:tc>
          <w:tcPr>
            <w:tcW w:type="dxa" w:w="2041"/>
            <w:shd w:val="clear" w:color="auto" w:fill="F0F2F5"/>
          </w:tcPr>
          <w:p>
            <w:pPr>
              <w:spacing w:after="40" w:before="40"/>
            </w:pPr>
            <w:r/>
            <w:r>
              <w:rPr>
                <w:rFonts w:ascii="Cambria" w:hAnsi="Cambria"/>
                <w:b w:val="0"/>
                <w:i w:val="0"/>
                <w:sz w:val="22"/>
              </w:rPr>
              <w:t>Board of Management</w:t>
            </w:r>
          </w:p>
        </w:tc>
        <w:tc>
          <w:tcPr>
            <w:tcW w:type="dxa" w:w="1360"/>
            <w:shd w:val="clear" w:color="auto" w:fill="F0F2F5"/>
          </w:tcPr>
          <w:p>
            <w:pPr>
              <w:spacing w:after="40" w:before="40"/>
            </w:pPr>
            <w:r/>
            <w:r>
              <w:rPr>
                <w:rFonts w:ascii="Cambria" w:hAnsi="Cambria"/>
                <w:b w:val="0"/>
                <w:i w:val="0"/>
                <w:sz w:val="22"/>
              </w:rPr>
              <w:t>Permanent</w:t>
            </w:r>
          </w:p>
        </w:tc>
        <w:tc>
          <w:tcPr>
            <w:tcW w:type="dxa" w:w="1587"/>
            <w:shd w:val="clear" w:color="auto" w:fill="F0F2F5"/>
          </w:tcPr>
          <w:p>
            <w:pPr>
              <w:spacing w:after="40" w:before="40"/>
            </w:pPr>
            <w:r/>
            <w:r>
              <w:rPr>
                <w:rFonts w:ascii="Cambria" w:hAnsi="Cambria"/>
                <w:b w:val="0"/>
                <w:i w:val="0"/>
                <w:sz w:val="22"/>
              </w:rPr>
              <w:t>Full</w:t>
            </w:r>
          </w:p>
        </w:tc>
      </w:tr>
      <w:tr>
        <w:tc>
          <w:tcPr>
            <w:tcW w:type="dxa" w:w="2154"/>
          </w:tcPr>
          <w:p>
            <w:pPr>
              <w:spacing w:after="40" w:before="40"/>
            </w:pPr>
            <w:r/>
            <w:r>
              <w:rPr>
                <w:rFonts w:ascii="Cambria" w:hAnsi="Cambria"/>
                <w:b w:val="0"/>
                <w:i w:val="0"/>
                <w:sz w:val="22"/>
              </w:rPr>
              <w:t>Temporary Appointment</w:t>
            </w:r>
          </w:p>
        </w:tc>
        <w:tc>
          <w:tcPr>
            <w:tcW w:type="dxa" w:w="2268"/>
          </w:tcPr>
          <w:p>
            <w:pPr>
              <w:spacing w:after="40" w:before="40"/>
            </w:pPr>
            <w:r/>
            <w:r>
              <w:rPr>
                <w:rFonts w:ascii="Cambria" w:hAnsi="Cambria"/>
                <w:b w:val="0"/>
                <w:i w:val="0"/>
                <w:sz w:val="22"/>
              </w:rPr>
              <w:t>As stated in order</w:t>
            </w:r>
          </w:p>
        </w:tc>
        <w:tc>
          <w:tcPr>
            <w:tcW w:type="dxa" w:w="2041"/>
          </w:tcPr>
          <w:p>
            <w:pPr>
              <w:spacing w:after="40" w:before="40"/>
            </w:pPr>
            <w:r/>
            <w:r>
              <w:rPr>
                <w:rFonts w:ascii="Cambria" w:hAnsi="Cambria"/>
                <w:b w:val="0"/>
                <w:i w:val="0"/>
                <w:sz w:val="22"/>
              </w:rPr>
              <w:t>Competent Authority</w:t>
            </w:r>
          </w:p>
        </w:tc>
        <w:tc>
          <w:tcPr>
            <w:tcW w:type="dxa" w:w="1360"/>
          </w:tcPr>
          <w:p>
            <w:pPr>
              <w:spacing w:after="40" w:before="40"/>
            </w:pPr>
            <w:r/>
            <w:r>
              <w:rPr>
                <w:rFonts w:ascii="Cambria" w:hAnsi="Cambria"/>
                <w:b w:val="0"/>
                <w:i w:val="0"/>
                <w:sz w:val="22"/>
              </w:rPr>
              <w:t>Short-term</w:t>
            </w:r>
          </w:p>
        </w:tc>
        <w:tc>
          <w:tcPr>
            <w:tcW w:type="dxa" w:w="1587"/>
          </w:tcPr>
          <w:p>
            <w:pPr>
              <w:spacing w:after="40" w:before="40"/>
            </w:pPr>
            <w:r/>
            <w:r>
              <w:rPr>
                <w:rFonts w:ascii="Cambria" w:hAnsi="Cambria"/>
                <w:b w:val="0"/>
                <w:i w:val="0"/>
                <w:sz w:val="22"/>
              </w:rPr>
              <w:t>Limited</w:t>
            </w:r>
          </w:p>
        </w:tc>
      </w:tr>
      <w:tr>
        <w:tc>
          <w:tcPr>
            <w:tcW w:type="dxa" w:w="2154"/>
            <w:shd w:val="clear" w:color="auto" w:fill="F0F2F5"/>
          </w:tcPr>
          <w:p>
            <w:pPr>
              <w:spacing w:after="40" w:before="40"/>
            </w:pPr>
            <w:r/>
            <w:r>
              <w:rPr>
                <w:rFonts w:ascii="Cambria" w:hAnsi="Cambria"/>
                <w:b w:val="0"/>
                <w:i w:val="0"/>
                <w:sz w:val="22"/>
              </w:rPr>
              <w:t>Time-Bound / Contractual</w:t>
            </w:r>
          </w:p>
        </w:tc>
        <w:tc>
          <w:tcPr>
            <w:tcW w:type="dxa" w:w="2268"/>
            <w:shd w:val="clear" w:color="auto" w:fill="F0F2F5"/>
          </w:tcPr>
          <w:p>
            <w:pPr>
              <w:spacing w:after="40" w:before="40"/>
            </w:pPr>
            <w:r/>
            <w:r>
              <w:rPr>
                <w:rFonts w:ascii="Cambria" w:hAnsi="Cambria"/>
                <w:b w:val="0"/>
                <w:i w:val="0"/>
                <w:sz w:val="22"/>
              </w:rPr>
              <w:t>Appointment Order (fixed tenure)</w:t>
            </w:r>
          </w:p>
        </w:tc>
        <w:tc>
          <w:tcPr>
            <w:tcW w:type="dxa" w:w="2041"/>
            <w:shd w:val="clear" w:color="auto" w:fill="F0F2F5"/>
          </w:tcPr>
          <w:p>
            <w:pPr>
              <w:spacing w:after="40" w:before="40"/>
            </w:pPr>
            <w:r/>
            <w:r>
              <w:rPr>
                <w:rFonts w:ascii="Cambria" w:hAnsi="Cambria"/>
                <w:b w:val="0"/>
                <w:i w:val="0"/>
                <w:sz w:val="22"/>
              </w:rPr>
              <w:t>Competent Authority</w:t>
            </w:r>
          </w:p>
        </w:tc>
        <w:tc>
          <w:tcPr>
            <w:tcW w:type="dxa" w:w="1360"/>
            <w:shd w:val="clear" w:color="auto" w:fill="F0F2F5"/>
          </w:tcPr>
          <w:p>
            <w:pPr>
              <w:spacing w:after="40" w:before="40"/>
            </w:pPr>
            <w:r/>
            <w:r>
              <w:rPr>
                <w:rFonts w:ascii="Cambria" w:hAnsi="Cambria"/>
                <w:b w:val="0"/>
                <w:i w:val="0"/>
                <w:sz w:val="22"/>
              </w:rPr>
              <w:t>Fixed duration</w:t>
            </w:r>
          </w:p>
        </w:tc>
        <w:tc>
          <w:tcPr>
            <w:tcW w:type="dxa" w:w="1587"/>
            <w:shd w:val="clear" w:color="auto" w:fill="F0F2F5"/>
          </w:tcPr>
          <w:p>
            <w:pPr>
              <w:spacing w:after="40" w:before="40"/>
            </w:pPr>
            <w:r/>
            <w:r>
              <w:rPr>
                <w:rFonts w:ascii="Cambria" w:hAnsi="Cambria"/>
                <w:b w:val="0"/>
                <w:i w:val="0"/>
                <w:sz w:val="22"/>
              </w:rPr>
              <w:t>As per contract</w:t>
            </w:r>
          </w:p>
        </w:tc>
      </w:tr>
      <w:tr>
        <w:tc>
          <w:tcPr>
            <w:tcW w:type="dxa" w:w="2154"/>
          </w:tcPr>
          <w:p>
            <w:pPr>
              <w:spacing w:after="40" w:before="40"/>
            </w:pPr>
            <w:r/>
            <w:r>
              <w:rPr>
                <w:rFonts w:ascii="Cambria" w:hAnsi="Cambria"/>
                <w:b w:val="0"/>
                <w:i w:val="0"/>
                <w:sz w:val="22"/>
              </w:rPr>
              <w:t>Direct Recruitment</w:t>
            </w:r>
          </w:p>
        </w:tc>
        <w:tc>
          <w:tcPr>
            <w:tcW w:type="dxa" w:w="2268"/>
          </w:tcPr>
          <w:p>
            <w:pPr>
              <w:spacing w:after="40" w:before="40"/>
            </w:pPr>
            <w:r/>
            <w:r>
              <w:rPr>
                <w:rFonts w:ascii="Cambria" w:hAnsi="Cambria"/>
                <w:b w:val="0"/>
                <w:i w:val="0"/>
                <w:sz w:val="22"/>
              </w:rPr>
              <w:t>Public advertisement + selection</w:t>
            </w:r>
          </w:p>
        </w:tc>
        <w:tc>
          <w:tcPr>
            <w:tcW w:type="dxa" w:w="2041"/>
          </w:tcPr>
          <w:p>
            <w:pPr>
              <w:spacing w:after="40" w:before="40"/>
            </w:pPr>
            <w:r/>
            <w:r>
              <w:rPr>
                <w:rFonts w:ascii="Cambria" w:hAnsi="Cambria"/>
                <w:b w:val="0"/>
                <w:i w:val="0"/>
                <w:sz w:val="22"/>
              </w:rPr>
              <w:t>UGC/BoM Committee</w:t>
            </w:r>
          </w:p>
        </w:tc>
        <w:tc>
          <w:tcPr>
            <w:tcW w:type="dxa" w:w="1360"/>
          </w:tcPr>
          <w:p>
            <w:pPr>
              <w:spacing w:after="40" w:before="40"/>
            </w:pPr>
            <w:r/>
            <w:r>
              <w:rPr>
                <w:rFonts w:ascii="Cambria" w:hAnsi="Cambria"/>
                <w:b w:val="0"/>
                <w:i w:val="0"/>
                <w:sz w:val="22"/>
              </w:rPr>
              <w:t>Permanent</w:t>
            </w:r>
          </w:p>
        </w:tc>
        <w:tc>
          <w:tcPr>
            <w:tcW w:type="dxa" w:w="1587"/>
          </w:tcPr>
          <w:p>
            <w:pPr>
              <w:spacing w:after="40" w:before="40"/>
            </w:pPr>
            <w:r/>
            <w:r>
              <w:rPr>
                <w:rFonts w:ascii="Cambria" w:hAnsi="Cambria"/>
                <w:b w:val="0"/>
                <w:i w:val="0"/>
                <w:sz w:val="22"/>
              </w:rPr>
              <w:t>Full</w:t>
            </w:r>
          </w:p>
        </w:tc>
      </w:tr>
      <w:tr>
        <w:tc>
          <w:tcPr>
            <w:tcW w:type="dxa" w:w="2154"/>
            <w:shd w:val="clear" w:color="auto" w:fill="F0F2F5"/>
          </w:tcPr>
          <w:p>
            <w:pPr>
              <w:spacing w:after="40" w:before="40"/>
            </w:pPr>
            <w:r/>
            <w:r>
              <w:rPr>
                <w:rFonts w:ascii="Cambria" w:hAnsi="Cambria"/>
                <w:b w:val="0"/>
                <w:i w:val="0"/>
                <w:sz w:val="22"/>
              </w:rPr>
              <w:t>Promotion</w:t>
            </w:r>
          </w:p>
        </w:tc>
        <w:tc>
          <w:tcPr>
            <w:tcW w:type="dxa" w:w="2268"/>
            <w:shd w:val="clear" w:color="auto" w:fill="F0F2F5"/>
          </w:tcPr>
          <w:p>
            <w:pPr>
              <w:spacing w:after="40" w:before="40"/>
            </w:pPr>
            <w:r/>
            <w:r>
              <w:rPr>
                <w:rFonts w:ascii="Cambria" w:hAnsi="Cambria"/>
                <w:b w:val="0"/>
                <w:i w:val="0"/>
                <w:sz w:val="22"/>
              </w:rPr>
              <w:t>Departmental Promotion Committee</w:t>
            </w:r>
          </w:p>
        </w:tc>
        <w:tc>
          <w:tcPr>
            <w:tcW w:type="dxa" w:w="2041"/>
            <w:shd w:val="clear" w:color="auto" w:fill="F0F2F5"/>
          </w:tcPr>
          <w:p>
            <w:pPr>
              <w:spacing w:after="40" w:before="40"/>
            </w:pPr>
            <w:r/>
            <w:r>
              <w:rPr>
                <w:rFonts w:ascii="Cambria" w:hAnsi="Cambria"/>
                <w:b w:val="0"/>
                <w:i w:val="0"/>
                <w:sz w:val="22"/>
              </w:rPr>
              <w:t>Appointing Authority / BoM</w:t>
            </w:r>
          </w:p>
        </w:tc>
        <w:tc>
          <w:tcPr>
            <w:tcW w:type="dxa" w:w="1360"/>
            <w:shd w:val="clear" w:color="auto" w:fill="F0F2F5"/>
          </w:tcPr>
          <w:p>
            <w:pPr>
              <w:spacing w:after="40" w:before="40"/>
            </w:pPr>
            <w:r/>
            <w:r>
              <w:rPr>
                <w:rFonts w:ascii="Cambria" w:hAnsi="Cambria"/>
                <w:b w:val="0"/>
                <w:i w:val="0"/>
                <w:sz w:val="22"/>
              </w:rPr>
              <w:t>Permanent</w:t>
            </w:r>
          </w:p>
        </w:tc>
        <w:tc>
          <w:tcPr>
            <w:tcW w:type="dxa" w:w="1587"/>
            <w:shd w:val="clear" w:color="auto" w:fill="F0F2F5"/>
          </w:tcPr>
          <w:p>
            <w:pPr>
              <w:spacing w:after="40" w:before="40"/>
            </w:pPr>
            <w:r/>
            <w:r>
              <w:rPr>
                <w:rFonts w:ascii="Cambria" w:hAnsi="Cambria"/>
                <w:b w:val="0"/>
                <w:i w:val="0"/>
                <w:sz w:val="22"/>
              </w:rPr>
              <w:t>Full</w:t>
            </w:r>
          </w:p>
        </w:tc>
      </w:tr>
    </w:tbl>
    <w:p>
      <w:pPr>
        <w:spacing w:after="40"/>
      </w:pPr>
    </w:p>
    <w:p>
      <w:r>
        <w:br w:type="page"/>
      </w:r>
    </w:p>
    <w:p>
      <w:pPr>
        <w:keepNext/>
        <w:spacing w:before="280" w:after="160"/>
      </w:pPr>
      <w:r>
        <w:rPr>
          <w:rFonts w:ascii="Cambria" w:hAnsi="Cambria"/>
          <w:b/>
          <w:color w:val="1F3A5F"/>
          <w:sz w:val="32"/>
        </w:rPr>
        <w:t>7. Definition of “Duty”</w:t>
      </w:r>
    </w:p>
    <w:p>
      <w:pPr>
        <w:keepNext/>
        <w:spacing w:before="200" w:after="120"/>
      </w:pPr>
      <w:r>
        <w:rPr>
          <w:rFonts w:ascii="Cambria" w:hAnsi="Cambria"/>
          <w:b/>
          <w:color w:val="1F3A5F"/>
          <w:sz w:val="27"/>
        </w:rPr>
        <w:t>Purpose</w:t>
      </w:r>
    </w:p>
    <w:p>
      <w:pPr>
        <w:pStyle w:val="ListBullet"/>
        <w:spacing w:line="276" w:lineRule="auto"/>
        <w:ind w:left="510"/>
      </w:pPr>
      <w:r>
        <w:rPr>
          <w:rFonts w:ascii="Cambria" w:hAnsi="Cambria"/>
          <w:b w:val="0"/>
          <w:i w:val="0"/>
          <w:sz w:val="22"/>
        </w:rPr>
        <w:t>To clearly define the circumstances under which an employee is considered to be “on duty” for the purposes of service continuity, pay, leave accrual, and eligibility for institutional benefits.</w:t>
      </w:r>
    </w:p>
    <w:p>
      <w:pPr>
        <w:pStyle w:val="ListBullet"/>
        <w:spacing w:line="276" w:lineRule="auto"/>
        <w:ind w:left="510"/>
      </w:pPr>
      <w:r>
        <w:rPr>
          <w:rFonts w:ascii="Cambria" w:hAnsi="Cambria"/>
          <w:b w:val="0"/>
          <w:i w:val="0"/>
          <w:sz w:val="22"/>
        </w:rPr>
        <w:t>This definition ensures uniformity in the interpretation of “duty” across all departments and staff categories within the University.</w:t>
      </w:r>
    </w:p>
    <w:p>
      <w:r>
        <w:rPr>
          <w:rFonts w:ascii="Cambria" w:hAnsi="Cambria"/>
          <w:b w:val="0"/>
          <w:i w:val="0"/>
          <w:sz w:val="22"/>
        </w:rPr>
        <w:t>A Person is Said to be “On Duty” Under the Following Circumstances:</w:t>
      </w:r>
    </w:p>
    <w:p>
      <w:pPr>
        <w:keepNext/>
        <w:spacing w:before="200" w:after="120"/>
      </w:pPr>
      <w:r>
        <w:rPr>
          <w:rFonts w:ascii="Cambria" w:hAnsi="Cambria"/>
          <w:b/>
          <w:color w:val="1F3A5F"/>
          <w:sz w:val="24"/>
        </w:rPr>
        <w:t>a. Performing Official Duties:</w:t>
      </w:r>
    </w:p>
    <w:p>
      <w:pPr>
        <w:pStyle w:val="ListBullet"/>
        <w:spacing w:line="276" w:lineRule="auto"/>
        <w:ind w:left="510"/>
      </w:pPr>
      <w:r>
        <w:rPr>
          <w:rFonts w:ascii="Cambria" w:hAnsi="Cambria"/>
          <w:b w:val="0"/>
          <w:i w:val="0"/>
          <w:sz w:val="22"/>
        </w:rPr>
        <w:t>When the employee is performing the duties of a post to which he/she has been regularly appointed or is undergoing probation, instruction, or training prescribed for that post.</w:t>
      </w:r>
    </w:p>
    <w:p>
      <w:pPr>
        <w:pStyle w:val="ListBullet"/>
        <w:spacing w:line="276" w:lineRule="auto"/>
        <w:ind w:left="510"/>
      </w:pPr>
      <w:r>
        <w:rPr>
          <w:rFonts w:ascii="Cambria" w:hAnsi="Cambria"/>
          <w:b w:val="0"/>
          <w:i w:val="0"/>
          <w:sz w:val="22"/>
        </w:rPr>
        <w:t>Provided that the period of such probation, instruction, or training is followed by confirmation in the said post.</w:t>
      </w:r>
    </w:p>
    <w:p>
      <w:pPr>
        <w:pStyle w:val="ListBullet"/>
        <w:spacing w:line="276" w:lineRule="auto"/>
        <w:ind w:left="510"/>
      </w:pPr>
      <w:r>
        <w:rPr>
          <w:rFonts w:ascii="Cambria" w:hAnsi="Cambria"/>
          <w:b w:val="0"/>
          <w:i w:val="0"/>
          <w:sz w:val="22"/>
        </w:rPr>
        <w:t>This includes:</w:t>
      </w:r>
    </w:p>
    <w:p>
      <w:pPr>
        <w:pStyle w:val="ListBullet2"/>
        <w:spacing w:line="276" w:lineRule="auto"/>
        <w:ind w:left="1020"/>
      </w:pPr>
      <w:r>
        <w:rPr>
          <w:rFonts w:ascii="Cambria" w:hAnsi="Cambria"/>
          <w:b w:val="0"/>
          <w:i w:val="0"/>
          <w:sz w:val="22"/>
        </w:rPr>
        <w:t>Periods spent in official training programs.</w:t>
      </w:r>
    </w:p>
    <w:p>
      <w:pPr>
        <w:pStyle w:val="ListBullet2"/>
        <w:spacing w:line="276" w:lineRule="auto"/>
        <w:ind w:left="1020"/>
      </w:pPr>
      <w:r>
        <w:rPr>
          <w:rFonts w:ascii="Cambria" w:hAnsi="Cambria"/>
          <w:b w:val="0"/>
          <w:i w:val="0"/>
          <w:sz w:val="22"/>
        </w:rPr>
        <w:t>Institutional workshops or induction sessions approved by the competent authority.</w:t>
      </w:r>
    </w:p>
    <w:p>
      <w:pPr>
        <w:keepNext/>
        <w:spacing w:before="200" w:after="120"/>
      </w:pPr>
      <w:r>
        <w:rPr>
          <w:rFonts w:ascii="Cambria" w:hAnsi="Cambria"/>
          <w:b/>
          <w:color w:val="1F3A5F"/>
          <w:sz w:val="24"/>
        </w:rPr>
        <w:t>b. Authorized Absence from Duty:</w:t>
      </w:r>
    </w:p>
    <w:p>
      <w:pPr>
        <w:pStyle w:val="ListBullet"/>
        <w:spacing w:line="276" w:lineRule="auto"/>
        <w:ind w:left="510"/>
      </w:pPr>
      <w:r>
        <w:rPr>
          <w:rFonts w:ascii="Cambria" w:hAnsi="Cambria"/>
          <w:b w:val="0"/>
          <w:i w:val="0"/>
          <w:sz w:val="22"/>
        </w:rPr>
        <w:t>When the employee is absent from duty on authorized holidays or is on Casual Leave in accordance with the prescribed Leave Rules, provided that he/she was on duty immediately before and after such leave.</w:t>
      </w:r>
    </w:p>
    <w:p>
      <w:pPr>
        <w:pStyle w:val="ListBullet"/>
        <w:spacing w:line="276" w:lineRule="auto"/>
        <w:ind w:left="510"/>
      </w:pPr>
      <w:r>
        <w:rPr>
          <w:rFonts w:ascii="Cambria" w:hAnsi="Cambria"/>
          <w:b w:val="0"/>
          <w:i w:val="0"/>
          <w:sz w:val="22"/>
        </w:rPr>
        <w:t>Such authorized absence shall be treated as “on duty” for all purposes including:</w:t>
      </w:r>
    </w:p>
    <w:p>
      <w:pPr>
        <w:pStyle w:val="ListBullet2"/>
        <w:spacing w:line="276" w:lineRule="auto"/>
        <w:ind w:left="1020"/>
      </w:pPr>
      <w:r>
        <w:rPr>
          <w:rFonts w:ascii="Cambria" w:hAnsi="Cambria"/>
          <w:b w:val="0"/>
          <w:i w:val="0"/>
          <w:sz w:val="22"/>
        </w:rPr>
        <w:t>Calculation of leave accrual.</w:t>
      </w:r>
    </w:p>
    <w:p>
      <w:pPr>
        <w:pStyle w:val="ListBullet2"/>
        <w:spacing w:line="276" w:lineRule="auto"/>
        <w:ind w:left="1020"/>
      </w:pPr>
      <w:r>
        <w:rPr>
          <w:rFonts w:ascii="Cambria" w:hAnsi="Cambria"/>
          <w:b w:val="0"/>
          <w:i w:val="0"/>
          <w:sz w:val="22"/>
        </w:rPr>
        <w:t>Counting of service for increment and pension.</w:t>
      </w:r>
    </w:p>
    <w:p>
      <w:pPr>
        <w:keepNext/>
        <w:spacing w:before="200" w:after="120"/>
      </w:pPr>
      <w:r>
        <w:rPr>
          <w:rFonts w:ascii="Cambria" w:hAnsi="Cambria"/>
          <w:b/>
          <w:color w:val="1F3A5F"/>
          <w:sz w:val="24"/>
        </w:rPr>
        <w:t>c. During Vacation:</w:t>
      </w:r>
    </w:p>
    <w:p>
      <w:pPr>
        <w:pStyle w:val="ListBullet"/>
        <w:spacing w:line="276" w:lineRule="auto"/>
        <w:ind w:left="510"/>
      </w:pPr>
      <w:r>
        <w:rPr>
          <w:rFonts w:ascii="Cambria" w:hAnsi="Cambria"/>
          <w:b w:val="0"/>
          <w:i w:val="0"/>
          <w:sz w:val="22"/>
        </w:rPr>
        <w:t>When the employee is absent during officially declared vacations (such as summer or winter breaks), the period shall be treated as “on duty,” provided the employee is eligible for vacation under the University’s Leave Rules.</w:t>
      </w:r>
    </w:p>
    <w:p>
      <w:pPr>
        <w:keepNext/>
        <w:spacing w:before="200" w:after="120"/>
      </w:pPr>
      <w:r>
        <w:rPr>
          <w:rFonts w:ascii="Cambria" w:hAnsi="Cambria"/>
          <w:b/>
          <w:color w:val="1F3A5F"/>
          <w:sz w:val="24"/>
        </w:rPr>
        <w:t>d. Attendance at Academic or Professional Events:</w:t>
      </w:r>
    </w:p>
    <w:p>
      <w:pPr>
        <w:pStyle w:val="ListBullet"/>
        <w:spacing w:line="276" w:lineRule="auto"/>
        <w:ind w:left="510"/>
      </w:pPr>
      <w:r>
        <w:rPr>
          <w:rFonts w:ascii="Cambria" w:hAnsi="Cambria"/>
          <w:b w:val="0"/>
          <w:i w:val="0"/>
          <w:sz w:val="22"/>
        </w:rPr>
        <w:t>When the employee is attending a conference, seminar, workshop, or meeting of learned societies as a nominee or delegate of the University.</w:t>
      </w:r>
    </w:p>
    <w:p>
      <w:pPr>
        <w:pStyle w:val="ListBullet"/>
        <w:spacing w:line="276" w:lineRule="auto"/>
        <w:ind w:left="510"/>
      </w:pPr>
      <w:r>
        <w:rPr>
          <w:rFonts w:ascii="Cambria" w:hAnsi="Cambria"/>
          <w:b w:val="0"/>
          <w:i w:val="0"/>
          <w:sz w:val="22"/>
        </w:rPr>
        <w:t>Such absence shall be treated as “on duty” when the employee is:</w:t>
      </w:r>
    </w:p>
    <w:p>
      <w:pPr>
        <w:pStyle w:val="ListBullet2"/>
        <w:spacing w:line="276" w:lineRule="auto"/>
        <w:ind w:left="1020"/>
      </w:pPr>
      <w:r>
        <w:rPr>
          <w:rFonts w:ascii="Cambria" w:hAnsi="Cambria"/>
          <w:b w:val="0"/>
          <w:i w:val="0"/>
          <w:sz w:val="22"/>
        </w:rPr>
        <w:t>Officially deputed or sponsored by the University, or</w:t>
      </w:r>
    </w:p>
    <w:p>
      <w:pPr>
        <w:pStyle w:val="ListBullet2"/>
        <w:spacing w:line="276" w:lineRule="auto"/>
        <w:ind w:left="1020"/>
      </w:pPr>
      <w:r>
        <w:rPr>
          <w:rFonts w:ascii="Cambria" w:hAnsi="Cambria"/>
          <w:b w:val="0"/>
          <w:i w:val="0"/>
          <w:sz w:val="22"/>
        </w:rPr>
        <w:t>Authorized by the competent authority to represent the institution.</w:t>
      </w:r>
    </w:p>
    <w:p>
      <w:pPr>
        <w:keepNext/>
        <w:spacing w:before="200" w:after="120"/>
      </w:pPr>
      <w:r>
        <w:rPr>
          <w:rFonts w:ascii="Cambria" w:hAnsi="Cambria"/>
          <w:b/>
          <w:color w:val="1F3A5F"/>
          <w:sz w:val="24"/>
        </w:rPr>
        <w:t>e. Assigned Work Outside Headquarters:</w:t>
      </w:r>
    </w:p>
    <w:p>
      <w:pPr>
        <w:pStyle w:val="ListBullet"/>
        <w:spacing w:line="276" w:lineRule="auto"/>
        <w:ind w:left="510"/>
      </w:pPr>
      <w:r>
        <w:rPr>
          <w:rFonts w:ascii="Cambria" w:hAnsi="Cambria"/>
          <w:b w:val="0"/>
          <w:i w:val="0"/>
          <w:sz w:val="22"/>
        </w:rPr>
        <w:t>When the employee is absent from headquarters but attending to work not connected with his/her routine duties, specifically assigned by the competent authority.</w:t>
      </w:r>
    </w:p>
    <w:p>
      <w:pPr>
        <w:pStyle w:val="ListBullet"/>
        <w:spacing w:line="276" w:lineRule="auto"/>
        <w:ind w:left="510"/>
      </w:pPr>
      <w:r>
        <w:rPr>
          <w:rFonts w:ascii="Cambria" w:hAnsi="Cambria"/>
          <w:b w:val="0"/>
          <w:i w:val="0"/>
          <w:sz w:val="22"/>
        </w:rPr>
        <w:t>Examples include:</w:t>
      </w:r>
    </w:p>
    <w:p>
      <w:pPr>
        <w:pStyle w:val="ListBullet2"/>
        <w:spacing w:line="276" w:lineRule="auto"/>
        <w:ind w:left="1020"/>
      </w:pPr>
      <w:r>
        <w:rPr>
          <w:rFonts w:ascii="Cambria" w:hAnsi="Cambria"/>
          <w:b w:val="0"/>
          <w:i w:val="0"/>
          <w:sz w:val="22"/>
        </w:rPr>
        <w:t>Participation in university inspections, accreditation, or committee duties.</w:t>
      </w:r>
    </w:p>
    <w:p>
      <w:pPr>
        <w:pStyle w:val="ListBullet2"/>
        <w:spacing w:line="276" w:lineRule="auto"/>
        <w:ind w:left="1020"/>
      </w:pPr>
      <w:r>
        <w:rPr>
          <w:rFonts w:ascii="Cambria" w:hAnsi="Cambria"/>
          <w:b w:val="0"/>
          <w:i w:val="0"/>
          <w:sz w:val="22"/>
        </w:rPr>
        <w:t>Conduct of official university examinations or evaluation work.</w:t>
      </w:r>
    </w:p>
    <w:p>
      <w:pPr>
        <w:pStyle w:val="ListBullet2"/>
        <w:spacing w:line="276" w:lineRule="auto"/>
        <w:ind w:left="1020"/>
      </w:pPr>
      <w:r>
        <w:rPr>
          <w:rFonts w:ascii="Cambria" w:hAnsi="Cambria"/>
          <w:b w:val="0"/>
          <w:i w:val="0"/>
          <w:sz w:val="22"/>
        </w:rPr>
        <w:t>Representation of the University in government or inter-institutional programs.</w:t>
      </w:r>
    </w:p>
    <w:p>
      <w:pPr>
        <w:keepNext/>
        <w:spacing w:before="200" w:after="120"/>
      </w:pPr>
      <w:r>
        <w:rPr>
          <w:rFonts w:ascii="Cambria" w:hAnsi="Cambria"/>
          <w:b/>
          <w:color w:val="1F3A5F"/>
          <w:sz w:val="24"/>
        </w:rPr>
        <w:t>Interpretation</w:t>
      </w:r>
    </w:p>
    <w:p>
      <w:pPr>
        <w:pStyle w:val="ListBullet"/>
        <w:spacing w:line="276" w:lineRule="auto"/>
        <w:ind w:left="510"/>
      </w:pPr>
      <w:r>
        <w:rPr>
          <w:rFonts w:ascii="Cambria" w:hAnsi="Cambria"/>
          <w:b w:val="0"/>
          <w:i w:val="0"/>
          <w:sz w:val="22"/>
        </w:rPr>
        <w:t>Any period recognized as “on duty” shall be counted as active service for all administrative purposes including:</w:t>
      </w:r>
    </w:p>
    <w:p>
      <w:pPr>
        <w:pStyle w:val="ListBullet2"/>
        <w:spacing w:line="276" w:lineRule="auto"/>
        <w:ind w:left="1020"/>
      </w:pPr>
      <w:r>
        <w:rPr>
          <w:rFonts w:ascii="Cambria" w:hAnsi="Cambria"/>
          <w:b w:val="0"/>
          <w:i w:val="0"/>
          <w:sz w:val="22"/>
        </w:rPr>
        <w:t>Leave accrual, service continuity, increment, and pension benefits.</w:t>
      </w:r>
    </w:p>
    <w:p>
      <w:pPr>
        <w:pStyle w:val="ListBullet"/>
        <w:spacing w:line="276" w:lineRule="auto"/>
        <w:ind w:left="510"/>
      </w:pPr>
      <w:r>
        <w:rPr>
          <w:rFonts w:ascii="Cambria" w:hAnsi="Cambria"/>
          <w:b w:val="0"/>
          <w:i w:val="0"/>
          <w:sz w:val="22"/>
        </w:rPr>
        <w:t>However, any absence not covered under the above clauses or not duly authorized shall not be treated as duty and may result in deduction of leave or pay.</w:t>
      </w:r>
    </w:p>
    <w:p>
      <w:r>
        <w:rPr>
          <w:rFonts w:ascii="Cambria" w:hAnsi="Cambria"/>
          <w:b w:val="0"/>
          <w:i w:val="0"/>
          <w:sz w:val="22"/>
        </w:rPr>
        <w:t>Sanctioning and Certification</w:t>
      </w:r>
    </w:p>
    <w:p>
      <w:pPr>
        <w:pStyle w:val="ListBullet"/>
        <w:spacing w:line="276" w:lineRule="auto"/>
        <w:ind w:left="510"/>
      </w:pPr>
      <w:r>
        <w:rPr>
          <w:rFonts w:ascii="Cambria" w:hAnsi="Cambria"/>
          <w:b w:val="0"/>
          <w:i w:val="0"/>
          <w:sz w:val="22"/>
        </w:rPr>
        <w:t>The competent authority (Head of Department, Registrar, or Vice-Chancellor) shall issue the duty certification in all relevant cases, especially for deputations or external assignments.</w:t>
      </w:r>
    </w:p>
    <w:p>
      <w:pPr>
        <w:pStyle w:val="ListBullet"/>
        <w:spacing w:line="276" w:lineRule="auto"/>
        <w:ind w:left="510"/>
      </w:pPr>
      <w:r>
        <w:rPr>
          <w:rFonts w:ascii="Cambria" w:hAnsi="Cambria"/>
          <w:b w:val="0"/>
          <w:i w:val="0"/>
          <w:sz w:val="22"/>
        </w:rPr>
        <w:t>A Duty Certificate must be enclosed with the leave or travel record for inclusion in the employee’s service file.</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4309"/>
            <w:shd w:val="clear" w:color="auto" w:fill="1F3A5F"/>
          </w:tcPr>
          <w:p>
            <w:pPr>
              <w:spacing w:after="40" w:before="40"/>
            </w:pPr>
            <w:r/>
            <w:r>
              <w:rPr>
                <w:rFonts w:ascii="Cambria" w:hAnsi="Cambria"/>
                <w:b/>
                <w:i w:val="0"/>
                <w:color w:val="FFFFFF"/>
                <w:sz w:val="22"/>
              </w:rPr>
              <w:t>Condition</w:t>
            </w:r>
          </w:p>
        </w:tc>
        <w:tc>
          <w:tcPr>
            <w:tcW w:type="dxa" w:w="1134"/>
            <w:shd w:val="clear" w:color="auto" w:fill="1F3A5F"/>
          </w:tcPr>
          <w:p>
            <w:pPr>
              <w:spacing w:after="40" w:before="40"/>
            </w:pPr>
            <w:r/>
            <w:r>
              <w:rPr>
                <w:rFonts w:ascii="Cambria" w:hAnsi="Cambria"/>
                <w:b/>
                <w:i w:val="0"/>
                <w:color w:val="FFFFFF"/>
                <w:sz w:val="22"/>
              </w:rPr>
              <w:t>Status</w:t>
            </w:r>
          </w:p>
        </w:tc>
        <w:tc>
          <w:tcPr>
            <w:tcW w:type="dxa" w:w="3855"/>
            <w:shd w:val="clear" w:color="auto" w:fill="1F3A5F"/>
          </w:tcPr>
          <w:p>
            <w:pPr>
              <w:spacing w:after="40" w:before="40"/>
            </w:pPr>
            <w:r/>
            <w:r>
              <w:rPr>
                <w:rFonts w:ascii="Cambria" w:hAnsi="Cambria"/>
                <w:b/>
                <w:i w:val="0"/>
                <w:color w:val="FFFFFF"/>
                <w:sz w:val="22"/>
              </w:rPr>
              <w:t>Remarks</w:t>
            </w:r>
          </w:p>
        </w:tc>
      </w:tr>
      <w:tr>
        <w:tc>
          <w:tcPr>
            <w:tcW w:type="dxa" w:w="4309"/>
          </w:tcPr>
          <w:p>
            <w:pPr>
              <w:spacing w:after="40" w:before="40"/>
            </w:pPr>
            <w:r/>
            <w:r>
              <w:rPr>
                <w:rFonts w:ascii="Cambria" w:hAnsi="Cambria"/>
                <w:b w:val="0"/>
                <w:i w:val="0"/>
                <w:sz w:val="22"/>
              </w:rPr>
              <w:t>Performing official duties or training under probation</w:t>
            </w:r>
          </w:p>
        </w:tc>
        <w:tc>
          <w:tcPr>
            <w:tcW w:type="dxa" w:w="1134"/>
          </w:tcPr>
          <w:p>
            <w:pPr>
              <w:spacing w:after="40" w:before="40"/>
            </w:pPr>
            <w:r/>
            <w:r>
              <w:rPr>
                <w:rFonts w:ascii="Cambria" w:hAnsi="Cambria"/>
                <w:b w:val="0"/>
                <w:i w:val="0"/>
                <w:sz w:val="22"/>
              </w:rPr>
              <w:t>On Duty</w:t>
            </w:r>
          </w:p>
        </w:tc>
        <w:tc>
          <w:tcPr>
            <w:tcW w:type="dxa" w:w="3855"/>
          </w:tcPr>
          <w:p>
            <w:pPr>
              <w:spacing w:after="40" w:before="40"/>
            </w:pPr>
            <w:r/>
            <w:r>
              <w:rPr>
                <w:rFonts w:ascii="Cambria" w:hAnsi="Cambria"/>
                <w:b w:val="0"/>
                <w:i w:val="0"/>
                <w:sz w:val="22"/>
              </w:rPr>
              <w:t>Subject to confirmation in the post</w:t>
            </w:r>
          </w:p>
        </w:tc>
      </w:tr>
      <w:tr>
        <w:tc>
          <w:tcPr>
            <w:tcW w:type="dxa" w:w="4309"/>
            <w:shd w:val="clear" w:color="auto" w:fill="F0F2F5"/>
          </w:tcPr>
          <w:p>
            <w:pPr>
              <w:spacing w:after="40" w:before="40"/>
            </w:pPr>
            <w:r/>
            <w:r>
              <w:rPr>
                <w:rFonts w:ascii="Cambria" w:hAnsi="Cambria"/>
                <w:b w:val="0"/>
                <w:i w:val="0"/>
                <w:sz w:val="22"/>
              </w:rPr>
              <w:t>Authorized holidays or casual leave with duty before and after</w:t>
            </w:r>
          </w:p>
        </w:tc>
        <w:tc>
          <w:tcPr>
            <w:tcW w:type="dxa" w:w="1134"/>
            <w:shd w:val="clear" w:color="auto" w:fill="F0F2F5"/>
          </w:tcPr>
          <w:p>
            <w:pPr>
              <w:spacing w:after="40" w:before="40"/>
            </w:pPr>
            <w:r/>
            <w:r>
              <w:rPr>
                <w:rFonts w:ascii="Cambria" w:hAnsi="Cambria"/>
                <w:b w:val="0"/>
                <w:i w:val="0"/>
                <w:sz w:val="22"/>
              </w:rPr>
              <w:t>On Duty</w:t>
            </w:r>
          </w:p>
        </w:tc>
        <w:tc>
          <w:tcPr>
            <w:tcW w:type="dxa" w:w="3855"/>
            <w:shd w:val="clear" w:color="auto" w:fill="F0F2F5"/>
          </w:tcPr>
          <w:p>
            <w:pPr>
              <w:spacing w:after="40" w:before="40"/>
            </w:pPr>
            <w:r/>
            <w:r>
              <w:rPr>
                <w:rFonts w:ascii="Cambria" w:hAnsi="Cambria"/>
                <w:b w:val="0"/>
                <w:i w:val="0"/>
                <w:sz w:val="22"/>
              </w:rPr>
              <w:t>Counts for leave and increment</w:t>
            </w:r>
          </w:p>
        </w:tc>
      </w:tr>
      <w:tr>
        <w:tc>
          <w:tcPr>
            <w:tcW w:type="dxa" w:w="4309"/>
          </w:tcPr>
          <w:p>
            <w:pPr>
              <w:spacing w:after="40" w:before="40"/>
            </w:pPr>
            <w:r/>
            <w:r>
              <w:rPr>
                <w:rFonts w:ascii="Cambria" w:hAnsi="Cambria"/>
                <w:b w:val="0"/>
                <w:i w:val="0"/>
                <w:sz w:val="22"/>
              </w:rPr>
              <w:t>Officially declared vacation period</w:t>
            </w:r>
          </w:p>
        </w:tc>
        <w:tc>
          <w:tcPr>
            <w:tcW w:type="dxa" w:w="1134"/>
          </w:tcPr>
          <w:p>
            <w:pPr>
              <w:spacing w:after="40" w:before="40"/>
            </w:pPr>
            <w:r/>
            <w:r>
              <w:rPr>
                <w:rFonts w:ascii="Cambria" w:hAnsi="Cambria"/>
                <w:b w:val="0"/>
                <w:i w:val="0"/>
                <w:sz w:val="22"/>
              </w:rPr>
              <w:t>On Duty</w:t>
            </w:r>
          </w:p>
        </w:tc>
        <w:tc>
          <w:tcPr>
            <w:tcW w:type="dxa" w:w="3855"/>
          </w:tcPr>
          <w:p>
            <w:pPr>
              <w:spacing w:after="40" w:before="40"/>
            </w:pPr>
            <w:r/>
            <w:r>
              <w:rPr>
                <w:rFonts w:ascii="Cambria" w:hAnsi="Cambria"/>
                <w:b w:val="0"/>
                <w:i w:val="0"/>
                <w:sz w:val="22"/>
              </w:rPr>
              <w:t>For vacation-eligible staff</w:t>
            </w:r>
          </w:p>
        </w:tc>
      </w:tr>
      <w:tr>
        <w:tc>
          <w:tcPr>
            <w:tcW w:type="dxa" w:w="4309"/>
            <w:shd w:val="clear" w:color="auto" w:fill="F0F2F5"/>
          </w:tcPr>
          <w:p>
            <w:pPr>
              <w:spacing w:after="40" w:before="40"/>
            </w:pPr>
            <w:r/>
            <w:r>
              <w:rPr>
                <w:rFonts w:ascii="Cambria" w:hAnsi="Cambria"/>
                <w:b w:val="0"/>
                <w:i w:val="0"/>
                <w:sz w:val="22"/>
              </w:rPr>
              <w:t>Attending conferences or meetings on deputation</w:t>
            </w:r>
          </w:p>
        </w:tc>
        <w:tc>
          <w:tcPr>
            <w:tcW w:type="dxa" w:w="1134"/>
            <w:shd w:val="clear" w:color="auto" w:fill="F0F2F5"/>
          </w:tcPr>
          <w:p>
            <w:pPr>
              <w:spacing w:after="40" w:before="40"/>
            </w:pPr>
            <w:r/>
            <w:r>
              <w:rPr>
                <w:rFonts w:ascii="Cambria" w:hAnsi="Cambria"/>
                <w:b w:val="0"/>
                <w:i w:val="0"/>
                <w:sz w:val="22"/>
              </w:rPr>
              <w:t>On Duty</w:t>
            </w:r>
          </w:p>
        </w:tc>
        <w:tc>
          <w:tcPr>
            <w:tcW w:type="dxa" w:w="3855"/>
            <w:shd w:val="clear" w:color="auto" w:fill="F0F2F5"/>
          </w:tcPr>
          <w:p>
            <w:pPr>
              <w:spacing w:after="40" w:before="40"/>
            </w:pPr>
            <w:r/>
            <w:r>
              <w:rPr>
                <w:rFonts w:ascii="Cambria" w:hAnsi="Cambria"/>
                <w:b w:val="0"/>
                <w:i w:val="0"/>
                <w:sz w:val="22"/>
              </w:rPr>
              <w:t>With prior University authorization</w:t>
            </w:r>
          </w:p>
        </w:tc>
      </w:tr>
      <w:tr>
        <w:tc>
          <w:tcPr>
            <w:tcW w:type="dxa" w:w="4309"/>
          </w:tcPr>
          <w:p>
            <w:pPr>
              <w:spacing w:after="40" w:before="40"/>
            </w:pPr>
            <w:r/>
            <w:r>
              <w:rPr>
                <w:rFonts w:ascii="Cambria" w:hAnsi="Cambria"/>
                <w:b w:val="0"/>
                <w:i w:val="0"/>
                <w:sz w:val="22"/>
              </w:rPr>
              <w:t>Performing non-routine work assigned by authority outside headquarters</w:t>
            </w:r>
          </w:p>
        </w:tc>
        <w:tc>
          <w:tcPr>
            <w:tcW w:type="dxa" w:w="1134"/>
          </w:tcPr>
          <w:p>
            <w:pPr>
              <w:spacing w:after="40" w:before="40"/>
            </w:pPr>
            <w:r/>
            <w:r>
              <w:rPr>
                <w:rFonts w:ascii="Cambria" w:hAnsi="Cambria"/>
                <w:b w:val="0"/>
                <w:i w:val="0"/>
                <w:sz w:val="22"/>
              </w:rPr>
              <w:t>On Duty</w:t>
            </w:r>
          </w:p>
        </w:tc>
        <w:tc>
          <w:tcPr>
            <w:tcW w:type="dxa" w:w="3855"/>
          </w:tcPr>
          <w:p>
            <w:pPr>
              <w:spacing w:after="40" w:before="40"/>
            </w:pPr>
            <w:r/>
            <w:r>
              <w:rPr>
                <w:rFonts w:ascii="Cambria" w:hAnsi="Cambria"/>
                <w:b w:val="0"/>
                <w:i w:val="0"/>
                <w:sz w:val="22"/>
              </w:rPr>
              <w:t>Treated as active service</w:t>
            </w:r>
          </w:p>
        </w:tc>
      </w:tr>
    </w:tbl>
    <w:p>
      <w:pPr>
        <w:spacing w:after="40"/>
      </w:pPr>
    </w:p>
    <w:p>
      <w:r>
        <w:br w:type="page"/>
      </w:r>
    </w:p>
    <w:p>
      <w:pPr>
        <w:keepNext/>
        <w:spacing w:before="280" w:after="160"/>
      </w:pPr>
      <w:r>
        <w:rPr>
          <w:rFonts w:ascii="Cambria" w:hAnsi="Cambria"/>
          <w:b/>
          <w:color w:val="1F3A5F"/>
          <w:sz w:val="32"/>
        </w:rPr>
        <w:t>8. Service Status Terminology: Lien and Officiating</w:t>
      </w:r>
    </w:p>
    <w:p>
      <w:pPr>
        <w:keepNext/>
        <w:spacing w:before="200" w:after="120"/>
      </w:pPr>
      <w:r>
        <w:rPr>
          <w:rFonts w:ascii="Cambria" w:hAnsi="Cambria"/>
          <w:b/>
          <w:color w:val="1F3A5F"/>
          <w:sz w:val="27"/>
        </w:rPr>
        <w:t>a. Lien</w:t>
      </w:r>
    </w:p>
    <w:p>
      <w:r>
        <w:rPr>
          <w:rFonts w:ascii="Cambria" w:hAnsi="Cambria"/>
          <w:b w:val="0"/>
          <w:i w:val="0"/>
          <w:sz w:val="22"/>
        </w:rPr>
        <w:t>Definition:</w:t>
      </w:r>
    </w:p>
    <w:p>
      <w:pPr>
        <w:pStyle w:val="ListBullet"/>
        <w:spacing w:line="276" w:lineRule="auto"/>
        <w:ind w:left="510"/>
      </w:pPr>
      <w:r>
        <w:rPr>
          <w:rFonts w:ascii="Cambria" w:hAnsi="Cambria"/>
          <w:b w:val="0"/>
          <w:i w:val="0"/>
          <w:sz w:val="22"/>
        </w:rPr>
        <w:t>“Lien” refers to the title of an employee to hold a permanent post in the University substantively—that is, after successful completion of probation and confirmation—either:</w:t>
      </w:r>
    </w:p>
    <w:p>
      <w:pPr>
        <w:pStyle w:val="ListBullet2"/>
        <w:spacing w:line="276" w:lineRule="auto"/>
        <w:ind w:left="1020"/>
      </w:pPr>
      <w:r>
        <w:rPr>
          <w:rFonts w:ascii="Cambria" w:hAnsi="Cambria"/>
          <w:b w:val="0"/>
          <w:i w:val="0"/>
          <w:sz w:val="22"/>
        </w:rPr>
        <w:t>Immediately, or</w:t>
      </w:r>
    </w:p>
    <w:p>
      <w:pPr>
        <w:pStyle w:val="ListBullet2"/>
        <w:spacing w:line="276" w:lineRule="auto"/>
        <w:ind w:left="1020"/>
      </w:pPr>
      <w:r>
        <w:rPr>
          <w:rFonts w:ascii="Cambria" w:hAnsi="Cambria"/>
          <w:b w:val="0"/>
          <w:i w:val="0"/>
          <w:sz w:val="22"/>
        </w:rPr>
        <w:t>Upon termination of a period or periods of absence (such as deputation, study leave, or other sanctioned leave).</w:t>
      </w:r>
    </w:p>
    <w:p>
      <w:r>
        <w:rPr>
          <w:rFonts w:ascii="Cambria" w:hAnsi="Cambria"/>
          <w:b w:val="0"/>
          <w:i w:val="0"/>
          <w:sz w:val="22"/>
        </w:rPr>
        <w:t>Explanation:</w:t>
      </w:r>
    </w:p>
    <w:p>
      <w:pPr>
        <w:pStyle w:val="ListBullet"/>
        <w:spacing w:line="276" w:lineRule="auto"/>
        <w:ind w:left="510"/>
      </w:pPr>
      <w:r>
        <w:rPr>
          <w:rFonts w:ascii="Cambria" w:hAnsi="Cambria"/>
          <w:b w:val="0"/>
          <w:i w:val="0"/>
          <w:sz w:val="22"/>
        </w:rPr>
        <w:t>The concept of lien ensures that a confirmed employee retains a permanent right to the post they hold, even if they are temporarily appointed, deputed, or transferred elsewhere.</w:t>
      </w:r>
    </w:p>
    <w:p>
      <w:pPr>
        <w:pStyle w:val="ListBullet"/>
        <w:spacing w:line="276" w:lineRule="auto"/>
        <w:ind w:left="510"/>
      </w:pPr>
      <w:r>
        <w:rPr>
          <w:rFonts w:ascii="Cambria" w:hAnsi="Cambria"/>
          <w:b w:val="0"/>
          <w:i w:val="0"/>
          <w:sz w:val="22"/>
        </w:rPr>
        <w:t>During the period of absence, the employee’s substantive appointment remains secured and they are eligible to resume duties in the same post upon return.</w:t>
      </w:r>
    </w:p>
    <w:p>
      <w:r>
        <w:rPr>
          <w:rFonts w:ascii="Cambria" w:hAnsi="Cambria"/>
          <w:b w:val="0"/>
          <w:i w:val="0"/>
          <w:sz w:val="22"/>
        </w:rPr>
        <w:t>Key Principles:</w:t>
      </w:r>
    </w:p>
    <w:p>
      <w:pPr>
        <w:spacing w:line="276" w:lineRule="auto"/>
        <w:ind w:left="357" w:hanging="357"/>
      </w:pPr>
      <w:r>
        <w:rPr>
          <w:rFonts w:ascii="Cambria" w:hAnsi="Cambria"/>
          <w:b w:val="0"/>
          <w:i w:val="0"/>
          <w:sz w:val="22"/>
        </w:rPr>
        <w:t xml:space="preserve">1. </w:t>
      </w:r>
      <w:r>
        <w:rPr>
          <w:rFonts w:ascii="Cambria" w:hAnsi="Cambria"/>
          <w:b w:val="0"/>
          <w:i w:val="0"/>
          <w:sz w:val="22"/>
        </w:rPr>
        <w:t>Lien can only be held on one post at a time.</w:t>
      </w:r>
    </w:p>
    <w:p>
      <w:pPr>
        <w:spacing w:line="276" w:lineRule="auto"/>
        <w:ind w:left="357" w:hanging="357"/>
      </w:pPr>
      <w:r>
        <w:rPr>
          <w:rFonts w:ascii="Cambria" w:hAnsi="Cambria"/>
          <w:b w:val="0"/>
          <w:i w:val="0"/>
          <w:sz w:val="22"/>
        </w:rPr>
        <w:t xml:space="preserve">2. </w:t>
      </w:r>
      <w:r>
        <w:rPr>
          <w:rFonts w:ascii="Cambria" w:hAnsi="Cambria"/>
          <w:b w:val="0"/>
          <w:i w:val="0"/>
          <w:sz w:val="22"/>
        </w:rPr>
        <w:t>A lien may be suspended when the employee is:</w:t>
      </w:r>
    </w:p>
    <w:p>
      <w:pPr>
        <w:pStyle w:val="ListBullet2"/>
        <w:spacing w:line="276" w:lineRule="auto"/>
        <w:ind w:left="1020"/>
      </w:pPr>
      <w:r>
        <w:rPr>
          <w:rFonts w:ascii="Cambria" w:hAnsi="Cambria"/>
          <w:b w:val="0"/>
          <w:i w:val="0"/>
          <w:sz w:val="22"/>
        </w:rPr>
        <w:t>On deputation,</w:t>
      </w:r>
    </w:p>
    <w:p>
      <w:pPr>
        <w:pStyle w:val="ListBullet2"/>
        <w:spacing w:line="276" w:lineRule="auto"/>
        <w:ind w:left="1020"/>
      </w:pPr>
      <w:r>
        <w:rPr>
          <w:rFonts w:ascii="Cambria" w:hAnsi="Cambria"/>
          <w:b w:val="0"/>
          <w:i w:val="0"/>
          <w:sz w:val="22"/>
        </w:rPr>
        <w:t>Serving under another organization, or</w:t>
      </w:r>
    </w:p>
    <w:p>
      <w:pPr>
        <w:pStyle w:val="ListBullet2"/>
        <w:spacing w:line="276" w:lineRule="auto"/>
        <w:ind w:left="1020"/>
      </w:pPr>
      <w:r>
        <w:rPr>
          <w:rFonts w:ascii="Cambria" w:hAnsi="Cambria"/>
          <w:b w:val="0"/>
          <w:i w:val="0"/>
          <w:sz w:val="22"/>
        </w:rPr>
        <w:t>Occupying a tenure or temporary post outside their substantive appointment.</w:t>
      </w:r>
    </w:p>
    <w:p>
      <w:pPr>
        <w:spacing w:line="276" w:lineRule="auto"/>
        <w:ind w:left="357" w:hanging="357"/>
      </w:pPr>
      <w:r>
        <w:rPr>
          <w:rFonts w:ascii="Cambria" w:hAnsi="Cambria"/>
          <w:b w:val="0"/>
          <w:i w:val="0"/>
          <w:sz w:val="22"/>
        </w:rPr>
        <w:t xml:space="preserve">3. </w:t>
      </w:r>
      <w:r>
        <w:rPr>
          <w:rFonts w:ascii="Cambria" w:hAnsi="Cambria"/>
          <w:b w:val="0"/>
          <w:i w:val="0"/>
          <w:sz w:val="22"/>
        </w:rPr>
        <w:t>The employee shall resume their lien upon return to their parent post unless otherwise transferred or promoted permanently.</w:t>
      </w:r>
    </w:p>
    <w:p>
      <w:pPr>
        <w:spacing w:line="276" w:lineRule="auto"/>
        <w:ind w:left="357" w:hanging="357"/>
      </w:pPr>
      <w:r>
        <w:rPr>
          <w:rFonts w:ascii="Cambria" w:hAnsi="Cambria"/>
          <w:b w:val="0"/>
          <w:i w:val="0"/>
          <w:sz w:val="22"/>
        </w:rPr>
        <w:t xml:space="preserve">4. </w:t>
      </w:r>
      <w:r>
        <w:rPr>
          <w:rFonts w:ascii="Cambria" w:hAnsi="Cambria"/>
          <w:b w:val="0"/>
          <w:i w:val="0"/>
          <w:sz w:val="22"/>
        </w:rPr>
        <w:t>The right of lien does not apply to employees on purely contractual, ad-hoc, or probationary appointments.</w:t>
      </w:r>
    </w:p>
    <w:p>
      <w:pPr>
        <w:spacing w:line="276" w:lineRule="auto"/>
        <w:ind w:left="357" w:hanging="357"/>
      </w:pPr>
      <w:r>
        <w:rPr>
          <w:rFonts w:ascii="Cambria" w:hAnsi="Cambria"/>
          <w:b w:val="0"/>
          <w:i w:val="0"/>
          <w:sz w:val="22"/>
        </w:rPr>
        <w:t xml:space="preserve">5. </w:t>
      </w:r>
      <w:r>
        <w:rPr>
          <w:rFonts w:ascii="Cambria" w:hAnsi="Cambria"/>
          <w:b w:val="0"/>
          <w:i w:val="0"/>
          <w:sz w:val="22"/>
        </w:rPr>
        <w:t>Lien may be terminated if the employee:</w:t>
      </w:r>
    </w:p>
    <w:p>
      <w:pPr>
        <w:pStyle w:val="ListBullet2"/>
        <w:spacing w:line="276" w:lineRule="auto"/>
        <w:ind w:left="1020"/>
      </w:pPr>
      <w:r>
        <w:rPr>
          <w:rFonts w:ascii="Cambria" w:hAnsi="Cambria"/>
          <w:b w:val="0"/>
          <w:i w:val="0"/>
          <w:sz w:val="22"/>
        </w:rPr>
        <w:t>Resigns from the post,</w:t>
      </w:r>
    </w:p>
    <w:p>
      <w:pPr>
        <w:pStyle w:val="ListBullet2"/>
        <w:spacing w:line="276" w:lineRule="auto"/>
        <w:ind w:left="1020"/>
      </w:pPr>
      <w:r>
        <w:rPr>
          <w:rFonts w:ascii="Cambria" w:hAnsi="Cambria"/>
          <w:b w:val="0"/>
          <w:i w:val="0"/>
          <w:sz w:val="22"/>
        </w:rPr>
        <w:t>Is absorbed permanently elsewhere, or</w:t>
      </w:r>
    </w:p>
    <w:p>
      <w:pPr>
        <w:pStyle w:val="ListBullet2"/>
        <w:spacing w:line="276" w:lineRule="auto"/>
        <w:ind w:left="1020"/>
      </w:pPr>
      <w:r>
        <w:rPr>
          <w:rFonts w:ascii="Cambria" w:hAnsi="Cambria"/>
          <w:b w:val="0"/>
          <w:i w:val="0"/>
          <w:sz w:val="22"/>
        </w:rPr>
        <w:t>Fails to report back after completion of approved leave or deputation period.</w:t>
      </w:r>
    </w:p>
    <w:p>
      <w:r>
        <w:rPr>
          <w:rFonts w:ascii="Cambria" w:hAnsi="Cambria"/>
          <w:b w:val="0"/>
          <w:i w:val="0"/>
          <w:sz w:val="22"/>
        </w:rPr>
        <w:t>Institutional Implications:</w:t>
      </w:r>
    </w:p>
    <w:p>
      <w:pPr>
        <w:pStyle w:val="ListBullet"/>
        <w:spacing w:line="276" w:lineRule="auto"/>
        <w:ind w:left="510"/>
      </w:pPr>
      <w:r>
        <w:rPr>
          <w:rFonts w:ascii="Cambria" w:hAnsi="Cambria"/>
          <w:b w:val="0"/>
          <w:i w:val="0"/>
          <w:sz w:val="22"/>
        </w:rPr>
        <w:t>Lien guarantees job security and forms the basis of continuity of service for leave, pension, increment, and seniority calculations.</w:t>
      </w:r>
    </w:p>
    <w:p>
      <w:pPr>
        <w:keepNext/>
        <w:spacing w:before="200" w:after="120"/>
      </w:pPr>
      <w:r>
        <w:rPr>
          <w:rFonts w:ascii="Cambria" w:hAnsi="Cambria"/>
          <w:b/>
          <w:color w:val="1F3A5F"/>
          <w:sz w:val="27"/>
        </w:rPr>
        <w:t>b. Officiating</w:t>
      </w:r>
    </w:p>
    <w:p>
      <w:r>
        <w:rPr>
          <w:rFonts w:ascii="Cambria" w:hAnsi="Cambria"/>
          <w:b w:val="0"/>
          <w:i w:val="0"/>
          <w:sz w:val="22"/>
        </w:rPr>
        <w:t>Definition:</w:t>
      </w:r>
    </w:p>
    <w:p>
      <w:pPr>
        <w:pStyle w:val="ListBullet"/>
        <w:spacing w:line="276" w:lineRule="auto"/>
        <w:ind w:left="510"/>
      </w:pPr>
      <w:r>
        <w:rPr>
          <w:rFonts w:ascii="Cambria" w:hAnsi="Cambria"/>
          <w:b w:val="0"/>
          <w:i w:val="0"/>
          <w:sz w:val="22"/>
        </w:rPr>
        <w:t>An employee of the University is said to officiate in a higher post when he/she performs the duties of that post temporarily, while another person holds a lien on it.</w:t>
      </w:r>
    </w:p>
    <w:p>
      <w:pPr>
        <w:pStyle w:val="ListBullet"/>
        <w:spacing w:line="276" w:lineRule="auto"/>
        <w:ind w:left="510"/>
      </w:pPr>
      <w:r>
        <w:rPr>
          <w:rFonts w:ascii="Cambria" w:hAnsi="Cambria"/>
          <w:b w:val="0"/>
          <w:i w:val="0"/>
          <w:sz w:val="22"/>
        </w:rPr>
        <w:t>Officiating appointments are made at the discretion of the appointing authority, either:</w:t>
      </w:r>
    </w:p>
    <w:p>
      <w:pPr>
        <w:pStyle w:val="ListBullet2"/>
        <w:spacing w:line="276" w:lineRule="auto"/>
        <w:ind w:left="1020"/>
      </w:pPr>
      <w:r>
        <w:rPr>
          <w:rFonts w:ascii="Cambria" w:hAnsi="Cambria"/>
          <w:b w:val="0"/>
          <w:i w:val="0"/>
          <w:sz w:val="22"/>
        </w:rPr>
        <w:t>To fill a temporary vacancy (e.g., due to leave, deputation, or suspension of the regular incumbent), or</w:t>
      </w:r>
    </w:p>
    <w:p>
      <w:pPr>
        <w:pStyle w:val="ListBullet2"/>
        <w:spacing w:line="276" w:lineRule="auto"/>
        <w:ind w:left="1020"/>
      </w:pPr>
      <w:r>
        <w:rPr>
          <w:rFonts w:ascii="Cambria" w:hAnsi="Cambria"/>
          <w:b w:val="0"/>
          <w:i w:val="0"/>
          <w:sz w:val="22"/>
        </w:rPr>
        <w:t>To test the employee’s ability to perform higher responsibilities before regular promotion.</w:t>
      </w:r>
    </w:p>
    <w:p>
      <w:r>
        <w:rPr>
          <w:rFonts w:ascii="Cambria" w:hAnsi="Cambria"/>
          <w:b w:val="0"/>
          <w:i w:val="0"/>
          <w:sz w:val="22"/>
        </w:rPr>
        <w:t>Rules Governing Officiating Appointments:</w:t>
      </w:r>
    </w:p>
    <w:p>
      <w:pPr>
        <w:spacing w:line="276" w:lineRule="auto"/>
        <w:ind w:left="357" w:hanging="357"/>
      </w:pPr>
      <w:r>
        <w:rPr>
          <w:rFonts w:ascii="Cambria" w:hAnsi="Cambria"/>
          <w:b w:val="0"/>
          <w:i w:val="0"/>
          <w:sz w:val="22"/>
        </w:rPr>
        <w:t xml:space="preserve">1. </w:t>
      </w:r>
      <w:r>
        <w:rPr>
          <w:rFonts w:ascii="Cambria" w:hAnsi="Cambria"/>
          <w:b w:val="0"/>
          <w:i w:val="0"/>
          <w:sz w:val="22"/>
        </w:rPr>
        <w:t>The appointing authority (Board of Management / Vice-Chancellor) may assign officiating charge when:</w:t>
      </w:r>
    </w:p>
    <w:p>
      <w:pPr>
        <w:pStyle w:val="ListBullet2"/>
        <w:spacing w:line="276" w:lineRule="auto"/>
        <w:ind w:left="1020"/>
      </w:pPr>
      <w:r>
        <w:rPr>
          <w:rFonts w:ascii="Cambria" w:hAnsi="Cambria"/>
          <w:b w:val="0"/>
          <w:i w:val="0"/>
          <w:sz w:val="22"/>
        </w:rPr>
        <w:t>A post is temporarily vacant, or</w:t>
      </w:r>
    </w:p>
    <w:p>
      <w:pPr>
        <w:pStyle w:val="ListBullet2"/>
        <w:spacing w:line="276" w:lineRule="auto"/>
        <w:ind w:left="1020"/>
      </w:pPr>
      <w:r>
        <w:rPr>
          <w:rFonts w:ascii="Cambria" w:hAnsi="Cambria"/>
          <w:b w:val="0"/>
          <w:i w:val="0"/>
          <w:sz w:val="22"/>
        </w:rPr>
        <w:t>No other employee holds a lien on the said post.</w:t>
      </w:r>
    </w:p>
    <w:p>
      <w:pPr>
        <w:spacing w:line="276" w:lineRule="auto"/>
        <w:ind w:left="357" w:hanging="357"/>
      </w:pPr>
      <w:r>
        <w:rPr>
          <w:rFonts w:ascii="Cambria" w:hAnsi="Cambria"/>
          <w:b w:val="0"/>
          <w:i w:val="0"/>
          <w:sz w:val="22"/>
        </w:rPr>
        <w:t xml:space="preserve">2. </w:t>
      </w:r>
      <w:r>
        <w:rPr>
          <w:rFonts w:ascii="Cambria" w:hAnsi="Cambria"/>
          <w:b w:val="0"/>
          <w:i w:val="0"/>
          <w:sz w:val="22"/>
        </w:rPr>
        <w:t>Officiating appointments shall be purely temporary and do not confer any right of permanency or automatic promotion.</w:t>
      </w:r>
    </w:p>
    <w:p>
      <w:pPr>
        <w:spacing w:line="276" w:lineRule="auto"/>
        <w:ind w:left="357" w:hanging="357"/>
      </w:pPr>
      <w:r>
        <w:rPr>
          <w:rFonts w:ascii="Cambria" w:hAnsi="Cambria"/>
          <w:b w:val="0"/>
          <w:i w:val="0"/>
          <w:sz w:val="22"/>
        </w:rPr>
        <w:t xml:space="preserve">3. </w:t>
      </w:r>
      <w:r>
        <w:rPr>
          <w:rFonts w:ascii="Cambria" w:hAnsi="Cambria"/>
          <w:b w:val="0"/>
          <w:i w:val="0"/>
          <w:sz w:val="22"/>
        </w:rPr>
        <w:t>The employee shall be entitled to:</w:t>
      </w:r>
    </w:p>
    <w:p>
      <w:pPr>
        <w:pStyle w:val="ListBullet2"/>
        <w:spacing w:line="276" w:lineRule="auto"/>
        <w:ind w:left="1020"/>
      </w:pPr>
      <w:r>
        <w:rPr>
          <w:rFonts w:ascii="Cambria" w:hAnsi="Cambria"/>
          <w:b w:val="0"/>
          <w:i w:val="0"/>
          <w:sz w:val="22"/>
        </w:rPr>
        <w:t>Additional pay or allowance (if admissible under University rules) during the officiating period.</w:t>
      </w:r>
    </w:p>
    <w:p>
      <w:pPr>
        <w:pStyle w:val="ListBullet2"/>
        <w:spacing w:line="276" w:lineRule="auto"/>
        <w:ind w:left="1020"/>
      </w:pPr>
      <w:r>
        <w:rPr>
          <w:rFonts w:ascii="Cambria" w:hAnsi="Cambria"/>
          <w:b w:val="0"/>
          <w:i w:val="0"/>
          <w:sz w:val="22"/>
        </w:rPr>
        <w:t>Full pay protection for the substantive post they hold.</w:t>
      </w:r>
    </w:p>
    <w:p>
      <w:pPr>
        <w:spacing w:line="276" w:lineRule="auto"/>
        <w:ind w:left="357" w:hanging="357"/>
      </w:pPr>
      <w:r>
        <w:rPr>
          <w:rFonts w:ascii="Cambria" w:hAnsi="Cambria"/>
          <w:b w:val="0"/>
          <w:i w:val="0"/>
          <w:sz w:val="22"/>
        </w:rPr>
        <w:t xml:space="preserve">4. </w:t>
      </w:r>
      <w:r>
        <w:rPr>
          <w:rFonts w:ascii="Cambria" w:hAnsi="Cambria"/>
          <w:b w:val="0"/>
          <w:i w:val="0"/>
          <w:sz w:val="22"/>
        </w:rPr>
        <w:t>The officiating arrangement ceases automatically:</w:t>
      </w:r>
    </w:p>
    <w:p>
      <w:pPr>
        <w:pStyle w:val="ListBullet2"/>
        <w:spacing w:line="276" w:lineRule="auto"/>
        <w:ind w:left="1020"/>
      </w:pPr>
      <w:r>
        <w:rPr>
          <w:rFonts w:ascii="Cambria" w:hAnsi="Cambria"/>
          <w:b w:val="0"/>
          <w:i w:val="0"/>
          <w:sz w:val="22"/>
        </w:rPr>
        <w:t>When the regular incumbent returns, or</w:t>
      </w:r>
    </w:p>
    <w:p>
      <w:pPr>
        <w:pStyle w:val="ListBullet2"/>
        <w:spacing w:line="276" w:lineRule="auto"/>
        <w:ind w:left="1020"/>
      </w:pPr>
      <w:r>
        <w:rPr>
          <w:rFonts w:ascii="Cambria" w:hAnsi="Cambria"/>
          <w:b w:val="0"/>
          <w:i w:val="0"/>
          <w:sz w:val="22"/>
        </w:rPr>
        <w:t>When the vacancy is filled by regular selection.</w:t>
      </w:r>
    </w:p>
    <w:p>
      <w:pPr>
        <w:spacing w:line="276" w:lineRule="auto"/>
        <w:ind w:left="357" w:hanging="357"/>
      </w:pPr>
      <w:r>
        <w:rPr>
          <w:rFonts w:ascii="Cambria" w:hAnsi="Cambria"/>
          <w:b w:val="0"/>
          <w:i w:val="0"/>
          <w:sz w:val="22"/>
        </w:rPr>
        <w:t xml:space="preserve">5. </w:t>
      </w:r>
      <w:r>
        <w:rPr>
          <w:rFonts w:ascii="Cambria" w:hAnsi="Cambria"/>
          <w:b w:val="0"/>
          <w:i w:val="0"/>
          <w:sz w:val="22"/>
        </w:rPr>
        <w:t>The period spent on officiating duty shall count towards experience and service benefits if followed by regular appointment or promotion.</w:t>
      </w:r>
    </w:p>
    <w:p>
      <w:r>
        <w:rPr>
          <w:rFonts w:ascii="Cambria" w:hAnsi="Cambria"/>
          <w:b w:val="0"/>
          <w:i w:val="0"/>
          <w:sz w:val="22"/>
        </w:rPr>
        <w:t>Illustrative Examples:</w:t>
      </w:r>
    </w:p>
    <w:p>
      <w:pPr>
        <w:pStyle w:val="ListBullet"/>
        <w:spacing w:line="276" w:lineRule="auto"/>
        <w:ind w:left="510"/>
      </w:pPr>
      <w:r>
        <w:rPr>
          <w:rFonts w:ascii="Cambria" w:hAnsi="Cambria"/>
          <w:b w:val="0"/>
          <w:i w:val="0"/>
          <w:sz w:val="22"/>
        </w:rPr>
        <w:t>A senior lecturer performing duties of an Associate Professor while the latter is on deputation is said to be officiating in the higher post.</w:t>
      </w:r>
    </w:p>
    <w:p>
      <w:pPr>
        <w:pStyle w:val="ListBullet"/>
        <w:spacing w:line="276" w:lineRule="auto"/>
        <w:ind w:left="510"/>
      </w:pPr>
      <w:r>
        <w:rPr>
          <w:rFonts w:ascii="Cambria" w:hAnsi="Cambria"/>
          <w:b w:val="0"/>
          <w:i w:val="0"/>
          <w:sz w:val="22"/>
        </w:rPr>
        <w:t>A section officer temporarily managing the work of an Assistant Registrar during leave is also considered to be officiating.</w:t>
      </w:r>
    </w:p>
    <w:p>
      <w:pPr>
        <w:keepNext/>
        <w:spacing w:before="200" w:after="120"/>
      </w:pPr>
      <w:r>
        <w:rPr>
          <w:rFonts w:ascii="Cambria" w:hAnsi="Cambria"/>
          <w:b/>
          <w:color w:val="1F3A5F"/>
          <w:sz w:val="24"/>
        </w:rPr>
        <w:t>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134"/>
            <w:shd w:val="clear" w:color="auto" w:fill="1F3A5F"/>
          </w:tcPr>
          <w:p>
            <w:pPr>
              <w:spacing w:after="40" w:before="40"/>
            </w:pPr>
            <w:r/>
            <w:r>
              <w:rPr>
                <w:rFonts w:ascii="Cambria" w:hAnsi="Cambria"/>
                <w:b/>
                <w:i w:val="0"/>
                <w:color w:val="FFFFFF"/>
                <w:sz w:val="22"/>
              </w:rPr>
              <w:t>Term</w:t>
            </w:r>
          </w:p>
        </w:tc>
        <w:tc>
          <w:tcPr>
            <w:tcW w:type="dxa" w:w="2948"/>
            <w:shd w:val="clear" w:color="auto" w:fill="1F3A5F"/>
          </w:tcPr>
          <w:p>
            <w:pPr>
              <w:spacing w:after="40" w:before="40"/>
            </w:pPr>
            <w:r/>
            <w:r>
              <w:rPr>
                <w:rFonts w:ascii="Cambria" w:hAnsi="Cambria"/>
                <w:b/>
                <w:i w:val="0"/>
                <w:color w:val="FFFFFF"/>
                <w:sz w:val="22"/>
              </w:rPr>
              <w:t>Definition</w:t>
            </w:r>
          </w:p>
        </w:tc>
        <w:tc>
          <w:tcPr>
            <w:tcW w:type="dxa" w:w="1701"/>
            <w:shd w:val="clear" w:color="auto" w:fill="1F3A5F"/>
          </w:tcPr>
          <w:p>
            <w:pPr>
              <w:spacing w:after="40" w:before="40"/>
            </w:pPr>
            <w:r/>
            <w:r>
              <w:rPr>
                <w:rFonts w:ascii="Cambria" w:hAnsi="Cambria"/>
                <w:b/>
                <w:i w:val="0"/>
                <w:color w:val="FFFFFF"/>
                <w:sz w:val="22"/>
              </w:rPr>
              <w:t>Applicability</w:t>
            </w:r>
          </w:p>
        </w:tc>
        <w:tc>
          <w:tcPr>
            <w:tcW w:type="dxa" w:w="2608"/>
            <w:shd w:val="clear" w:color="auto" w:fill="1F3A5F"/>
          </w:tcPr>
          <w:p>
            <w:pPr>
              <w:spacing w:after="40" w:before="40"/>
            </w:pPr>
            <w:r/>
            <w:r>
              <w:rPr>
                <w:rFonts w:ascii="Cambria" w:hAnsi="Cambria"/>
                <w:b/>
                <w:i w:val="0"/>
                <w:color w:val="FFFFFF"/>
                <w:sz w:val="22"/>
              </w:rPr>
              <w:t>Key Conditions</w:t>
            </w:r>
          </w:p>
        </w:tc>
        <w:tc>
          <w:tcPr>
            <w:tcW w:type="dxa" w:w="1474"/>
            <w:shd w:val="clear" w:color="auto" w:fill="1F3A5F"/>
          </w:tcPr>
          <w:p>
            <w:pPr>
              <w:spacing w:after="40" w:before="40"/>
            </w:pPr>
            <w:r/>
            <w:r>
              <w:rPr>
                <w:rFonts w:ascii="Cambria" w:hAnsi="Cambria"/>
                <w:b/>
                <w:i w:val="0"/>
                <w:color w:val="FFFFFF"/>
                <w:sz w:val="22"/>
              </w:rPr>
              <w:t>Authority</w:t>
            </w:r>
          </w:p>
        </w:tc>
      </w:tr>
      <w:tr>
        <w:tc>
          <w:tcPr>
            <w:tcW w:type="dxa" w:w="1134"/>
          </w:tcPr>
          <w:p>
            <w:pPr>
              <w:spacing w:after="40" w:before="40"/>
            </w:pPr>
            <w:r/>
            <w:r>
              <w:rPr>
                <w:rFonts w:ascii="Cambria" w:hAnsi="Cambria"/>
                <w:b w:val="0"/>
                <w:i w:val="0"/>
                <w:sz w:val="22"/>
              </w:rPr>
              <w:t>Lien</w:t>
            </w:r>
          </w:p>
        </w:tc>
        <w:tc>
          <w:tcPr>
            <w:tcW w:type="dxa" w:w="2948"/>
          </w:tcPr>
          <w:p>
            <w:pPr>
              <w:spacing w:after="40" w:before="40"/>
            </w:pPr>
            <w:r/>
            <w:r>
              <w:rPr>
                <w:rFonts w:ascii="Cambria" w:hAnsi="Cambria"/>
                <w:b w:val="0"/>
                <w:i w:val="0"/>
                <w:sz w:val="22"/>
              </w:rPr>
              <w:t>Permanent right of a confirmed employee to hold a substantive post</w:t>
            </w:r>
          </w:p>
        </w:tc>
        <w:tc>
          <w:tcPr>
            <w:tcW w:type="dxa" w:w="1701"/>
          </w:tcPr>
          <w:p>
            <w:pPr>
              <w:spacing w:after="40" w:before="40"/>
            </w:pPr>
            <w:r/>
            <w:r>
              <w:rPr>
                <w:rFonts w:ascii="Cambria" w:hAnsi="Cambria"/>
                <w:b w:val="0"/>
                <w:i w:val="0"/>
                <w:sz w:val="22"/>
              </w:rPr>
              <w:t>Regular, confirmed employees</w:t>
            </w:r>
          </w:p>
        </w:tc>
        <w:tc>
          <w:tcPr>
            <w:tcW w:type="dxa" w:w="2608"/>
          </w:tcPr>
          <w:p>
            <w:pPr>
              <w:spacing w:after="40" w:before="40"/>
            </w:pPr>
            <w:r/>
            <w:r>
              <w:rPr>
                <w:rFonts w:ascii="Cambria" w:hAnsi="Cambria"/>
                <w:b w:val="0"/>
                <w:i w:val="0"/>
                <w:sz w:val="22"/>
              </w:rPr>
              <w:t>Retained during absence or deputation; lost on resignation or absorption</w:t>
            </w:r>
          </w:p>
        </w:tc>
        <w:tc>
          <w:tcPr>
            <w:tcW w:type="dxa" w:w="1474"/>
          </w:tcPr>
          <w:p>
            <w:pPr>
              <w:spacing w:after="40" w:before="40"/>
            </w:pPr>
            <w:r/>
            <w:r>
              <w:rPr>
                <w:rFonts w:ascii="Cambria" w:hAnsi="Cambria"/>
                <w:b w:val="0"/>
                <w:i w:val="0"/>
                <w:sz w:val="22"/>
              </w:rPr>
              <w:t>Appointing Authority</w:t>
            </w:r>
          </w:p>
        </w:tc>
      </w:tr>
      <w:tr>
        <w:tc>
          <w:tcPr>
            <w:tcW w:type="dxa" w:w="1134"/>
            <w:shd w:val="clear" w:color="auto" w:fill="F0F2F5"/>
          </w:tcPr>
          <w:p>
            <w:pPr>
              <w:spacing w:after="40" w:before="40"/>
            </w:pPr>
            <w:r/>
            <w:r>
              <w:rPr>
                <w:rFonts w:ascii="Cambria" w:hAnsi="Cambria"/>
                <w:b w:val="0"/>
                <w:i w:val="0"/>
                <w:sz w:val="22"/>
              </w:rPr>
              <w:t>Officiate</w:t>
            </w:r>
          </w:p>
        </w:tc>
        <w:tc>
          <w:tcPr>
            <w:tcW w:type="dxa" w:w="2948"/>
            <w:shd w:val="clear" w:color="auto" w:fill="F0F2F5"/>
          </w:tcPr>
          <w:p>
            <w:pPr>
              <w:spacing w:after="40" w:before="40"/>
            </w:pPr>
            <w:r/>
            <w:r>
              <w:rPr>
                <w:rFonts w:ascii="Cambria" w:hAnsi="Cambria"/>
                <w:b w:val="0"/>
                <w:i w:val="0"/>
                <w:sz w:val="22"/>
              </w:rPr>
              <w:t>Temporary performance of duties of a higher or vacant post</w:t>
            </w:r>
          </w:p>
        </w:tc>
        <w:tc>
          <w:tcPr>
            <w:tcW w:type="dxa" w:w="1701"/>
            <w:shd w:val="clear" w:color="auto" w:fill="F0F2F5"/>
          </w:tcPr>
          <w:p>
            <w:pPr>
              <w:spacing w:after="40" w:before="40"/>
            </w:pPr>
            <w:r/>
            <w:r>
              <w:rPr>
                <w:rFonts w:ascii="Cambria" w:hAnsi="Cambria"/>
                <w:b w:val="0"/>
                <w:i w:val="0"/>
                <w:sz w:val="22"/>
              </w:rPr>
              <w:t>All regular employees</w:t>
            </w:r>
          </w:p>
        </w:tc>
        <w:tc>
          <w:tcPr>
            <w:tcW w:type="dxa" w:w="2608"/>
            <w:shd w:val="clear" w:color="auto" w:fill="F0F2F5"/>
          </w:tcPr>
          <w:p>
            <w:pPr>
              <w:spacing w:after="40" w:before="40"/>
            </w:pPr>
            <w:r/>
            <w:r>
              <w:rPr>
                <w:rFonts w:ascii="Cambria" w:hAnsi="Cambria"/>
                <w:b w:val="0"/>
                <w:i w:val="0"/>
                <w:sz w:val="22"/>
              </w:rPr>
              <w:t>No right to permanency; entitled to pay benefits during period</w:t>
            </w:r>
          </w:p>
        </w:tc>
        <w:tc>
          <w:tcPr>
            <w:tcW w:type="dxa" w:w="1474"/>
            <w:shd w:val="clear" w:color="auto" w:fill="F0F2F5"/>
          </w:tcPr>
          <w:p>
            <w:pPr>
              <w:spacing w:after="40" w:before="40"/>
            </w:pPr>
            <w:r/>
            <w:r>
              <w:rPr>
                <w:rFonts w:ascii="Cambria" w:hAnsi="Cambria"/>
                <w:b w:val="0"/>
                <w:i w:val="0"/>
                <w:sz w:val="22"/>
              </w:rPr>
              <w:t>Appointing Authority / BoM / V.C.</w:t>
            </w:r>
          </w:p>
        </w:tc>
      </w:tr>
    </w:tbl>
    <w:p>
      <w:pPr>
        <w:spacing w:after="40"/>
      </w:pPr>
    </w:p>
    <w:p>
      <w:r>
        <w:br w:type="page"/>
      </w:r>
    </w:p>
    <w:p>
      <w:pPr>
        <w:keepNext/>
        <w:spacing w:before="280" w:after="160"/>
      </w:pPr>
      <w:r>
        <w:rPr>
          <w:rFonts w:ascii="Cambria" w:hAnsi="Cambria"/>
          <w:b/>
          <w:color w:val="1F3A5F"/>
          <w:sz w:val="32"/>
        </w:rPr>
        <w:t>9. Definitions Relating to Pay Structure</w:t>
      </w:r>
    </w:p>
    <w:p>
      <w:pPr>
        <w:keepNext/>
        <w:spacing w:before="200" w:after="120"/>
      </w:pPr>
      <w:r>
        <w:rPr>
          <w:rFonts w:ascii="Cambria" w:hAnsi="Cambria"/>
          <w:b/>
          <w:color w:val="1F3A5F"/>
          <w:sz w:val="27"/>
        </w:rPr>
        <w:t>a. “Pay”</w:t>
      </w:r>
    </w:p>
    <w:p>
      <w:pPr>
        <w:pStyle w:val="ListBullet"/>
        <w:spacing w:line="276" w:lineRule="auto"/>
        <w:ind w:left="510"/>
      </w:pPr>
      <w:r>
        <w:rPr>
          <w:rFonts w:ascii="Cambria" w:hAnsi="Cambria"/>
          <w:b w:val="0"/>
          <w:i w:val="0"/>
          <w:sz w:val="22"/>
        </w:rPr>
        <w:t>“Pay” refers to the amount drawn monthly by an employee of the University as compensation for holding a post, and includes the following components:</w:t>
      </w:r>
    </w:p>
    <w:p>
      <w:r>
        <w:rPr>
          <w:rFonts w:ascii="Cambria" w:hAnsi="Cambria"/>
          <w:b w:val="0"/>
          <w:i w:val="0"/>
          <w:sz w:val="22"/>
        </w:rPr>
        <w:t>I. Basic Pay:</w:t>
      </w:r>
    </w:p>
    <w:p>
      <w:pPr>
        <w:pStyle w:val="ListBullet"/>
        <w:spacing w:line="276" w:lineRule="auto"/>
        <w:ind w:left="510"/>
      </w:pPr>
      <w:r>
        <w:rPr>
          <w:rFonts w:ascii="Cambria" w:hAnsi="Cambria"/>
          <w:b w:val="0"/>
          <w:i w:val="0"/>
          <w:sz w:val="22"/>
        </w:rPr>
        <w:t>The pay, other than special pay or personal pay, which has been sanctioned for a post held by the employee either:</w:t>
      </w:r>
    </w:p>
    <w:p>
      <w:pPr>
        <w:pStyle w:val="ListBullet2"/>
        <w:spacing w:line="276" w:lineRule="auto"/>
        <w:ind w:left="1020"/>
      </w:pPr>
      <w:r>
        <w:rPr>
          <w:rFonts w:ascii="Cambria" w:hAnsi="Cambria"/>
          <w:b w:val="0"/>
          <w:i w:val="0"/>
          <w:sz w:val="22"/>
        </w:rPr>
        <w:t>Substantively (on a permanent basis), or</w:t>
      </w:r>
    </w:p>
    <w:p>
      <w:pPr>
        <w:pStyle w:val="ListBullet2"/>
        <w:spacing w:line="276" w:lineRule="auto"/>
        <w:ind w:left="1020"/>
      </w:pPr>
      <w:r>
        <w:rPr>
          <w:rFonts w:ascii="Cambria" w:hAnsi="Cambria"/>
          <w:b w:val="0"/>
          <w:i w:val="0"/>
          <w:sz w:val="22"/>
        </w:rPr>
        <w:t>In an officiating capacity (temporarily performing duties of another post), or</w:t>
      </w:r>
    </w:p>
    <w:p>
      <w:pPr>
        <w:pStyle w:val="ListBullet2"/>
        <w:spacing w:line="276" w:lineRule="auto"/>
        <w:ind w:left="1020"/>
      </w:pPr>
      <w:r>
        <w:rPr>
          <w:rFonts w:ascii="Cambria" w:hAnsi="Cambria"/>
          <w:b w:val="0"/>
          <w:i w:val="0"/>
          <w:sz w:val="22"/>
        </w:rPr>
        <w:t>By virtue of position in a cadre (as per the approved pay scale).</w:t>
      </w:r>
    </w:p>
    <w:p>
      <w:r>
        <w:rPr>
          <w:rFonts w:ascii="Cambria" w:hAnsi="Cambria"/>
          <w:b w:val="0"/>
          <w:i w:val="0"/>
          <w:sz w:val="22"/>
        </w:rPr>
        <w:t>II. Special Pay and Personal Pay:</w:t>
      </w:r>
    </w:p>
    <w:p>
      <w:pPr>
        <w:pStyle w:val="ListBullet"/>
        <w:spacing w:line="276" w:lineRule="auto"/>
        <w:ind w:left="510"/>
      </w:pPr>
      <w:r>
        <w:rPr>
          <w:rFonts w:ascii="Cambria" w:hAnsi="Cambria"/>
          <w:b w:val="0"/>
          <w:i w:val="0"/>
          <w:sz w:val="22"/>
        </w:rPr>
        <w:t>Includes special pay (for additional duties or responsibilities) and personal pay (for protection or merit).</w:t>
      </w:r>
    </w:p>
    <w:p>
      <w:r>
        <w:rPr>
          <w:rFonts w:ascii="Cambria" w:hAnsi="Cambria"/>
          <w:b w:val="0"/>
          <w:i w:val="0"/>
          <w:sz w:val="22"/>
        </w:rPr>
        <w:t>III. Other Emoluments:</w:t>
      </w:r>
    </w:p>
    <w:p>
      <w:pPr>
        <w:pStyle w:val="ListBullet"/>
        <w:spacing w:line="276" w:lineRule="auto"/>
        <w:ind w:left="510"/>
      </w:pPr>
      <w:r>
        <w:rPr>
          <w:rFonts w:ascii="Cambria" w:hAnsi="Cambria"/>
          <w:b w:val="0"/>
          <w:i w:val="0"/>
          <w:sz w:val="22"/>
        </w:rPr>
        <w:t>Any other emoluments or monetary benefits that may be specifically classified as “Pay” by the Board of Management (BoM).</w:t>
      </w:r>
    </w:p>
    <w:p>
      <w:pPr>
        <w:jc w:val="both"/>
      </w:pPr>
      <w:r>
        <w:rPr>
          <w:rFonts w:ascii="Cambria" w:hAnsi="Cambria"/>
          <w:i w:val="0"/>
          <w:sz w:val="22"/>
        </w:rPr>
        <w:t>→ Note: “Pay” forms the basis for calculating allowances, leave salary, pension, gratuity, and other service benefits.</w:t>
      </w:r>
    </w:p>
    <w:p>
      <w:pPr>
        <w:keepNext/>
        <w:spacing w:before="200" w:after="120"/>
      </w:pPr>
      <w:r>
        <w:rPr>
          <w:rFonts w:ascii="Cambria" w:hAnsi="Cambria"/>
          <w:b/>
          <w:color w:val="1F3A5F"/>
          <w:sz w:val="27"/>
        </w:rPr>
        <w:t>b. “Personal Pay”</w:t>
      </w:r>
    </w:p>
    <w:p>
      <w:pPr>
        <w:pStyle w:val="ListBullet"/>
        <w:spacing w:line="276" w:lineRule="auto"/>
        <w:ind w:left="510"/>
      </w:pPr>
      <w:r>
        <w:rPr>
          <w:rFonts w:ascii="Cambria" w:hAnsi="Cambria"/>
          <w:b w:val="0"/>
          <w:i w:val="0"/>
          <w:sz w:val="22"/>
        </w:rPr>
        <w:t>“Personal Pay” means an additional amount of pay granted to an employee of the University:</w:t>
      </w:r>
    </w:p>
    <w:p>
      <w:r>
        <w:rPr>
          <w:rFonts w:ascii="Cambria" w:hAnsi="Cambria"/>
          <w:b w:val="0"/>
          <w:i w:val="0"/>
          <w:sz w:val="22"/>
        </w:rPr>
        <w:t>I. To save the employee from loss of substantive pay in respect of a permanent post (other than a tenure post) due to:</w:t>
      </w:r>
    </w:p>
    <w:p>
      <w:pPr>
        <w:pStyle w:val="ListBullet"/>
        <w:spacing w:line="276" w:lineRule="auto"/>
        <w:ind w:left="510"/>
      </w:pPr>
      <w:r>
        <w:rPr>
          <w:rFonts w:ascii="Cambria" w:hAnsi="Cambria"/>
          <w:b w:val="0"/>
          <w:i w:val="0"/>
          <w:sz w:val="22"/>
        </w:rPr>
        <w:t>A revision of pay, or</w:t>
      </w:r>
    </w:p>
    <w:p>
      <w:pPr>
        <w:pStyle w:val="ListBullet"/>
        <w:spacing w:line="276" w:lineRule="auto"/>
        <w:ind w:left="510"/>
      </w:pPr>
      <w:r>
        <w:rPr>
          <w:rFonts w:ascii="Cambria" w:hAnsi="Cambria"/>
          <w:b w:val="0"/>
          <w:i w:val="0"/>
          <w:sz w:val="22"/>
        </w:rPr>
        <w:t>Any reduction in substantive pay not imposed as a disciplinary measure.</w:t>
      </w:r>
    </w:p>
    <w:p>
      <w:pPr>
        <w:jc w:val="both"/>
      </w:pPr>
      <w:r>
        <w:rPr>
          <w:rFonts w:ascii="Cambria" w:hAnsi="Cambria"/>
          <w:i w:val="0"/>
          <w:sz w:val="22"/>
        </w:rPr>
        <w:t>II. In exceptional circumstances, based on personal considerations such as outstanding merit, qualification, or institutional recognition.</w:t>
      </w:r>
    </w:p>
    <w:p>
      <w:pPr>
        <w:jc w:val="both"/>
      </w:pPr>
      <w:r>
        <w:rPr>
          <w:rFonts w:ascii="Cambria" w:hAnsi="Cambria"/>
          <w:i w:val="0"/>
          <w:sz w:val="22"/>
        </w:rPr>
        <w:t>→ Nature of Personal Pay:</w:t>
      </w:r>
    </w:p>
    <w:p>
      <w:pPr>
        <w:pStyle w:val="ListBullet"/>
        <w:spacing w:line="276" w:lineRule="auto"/>
        <w:ind w:left="510"/>
      </w:pPr>
      <w:r>
        <w:rPr>
          <w:rFonts w:ascii="Cambria" w:hAnsi="Cambria"/>
          <w:b w:val="0"/>
          <w:i w:val="0"/>
          <w:sz w:val="22"/>
        </w:rPr>
        <w:t>It is personal to the employee and does not transfer with the post.</w:t>
      </w:r>
    </w:p>
    <w:p>
      <w:pPr>
        <w:pStyle w:val="ListBullet"/>
        <w:spacing w:line="276" w:lineRule="auto"/>
        <w:ind w:left="510"/>
      </w:pPr>
      <w:r>
        <w:rPr>
          <w:rFonts w:ascii="Cambria" w:hAnsi="Cambria"/>
          <w:b w:val="0"/>
          <w:i w:val="0"/>
          <w:sz w:val="22"/>
        </w:rPr>
        <w:t>It ceases when the circumstances that justified it no longer exist.</w:t>
      </w:r>
    </w:p>
    <w:p>
      <w:pPr>
        <w:pStyle w:val="ListBullet"/>
        <w:spacing w:line="276" w:lineRule="auto"/>
        <w:ind w:left="510"/>
      </w:pPr>
      <w:r>
        <w:rPr>
          <w:rFonts w:ascii="Cambria" w:hAnsi="Cambria"/>
          <w:b w:val="0"/>
          <w:i w:val="0"/>
          <w:sz w:val="22"/>
        </w:rPr>
        <w:t>It is not automatically inheritable by successors to the post.</w:t>
      </w:r>
    </w:p>
    <w:p>
      <w:pPr>
        <w:keepNext/>
        <w:spacing w:before="200" w:after="120"/>
      </w:pPr>
      <w:r>
        <w:rPr>
          <w:rFonts w:ascii="Cambria" w:hAnsi="Cambria"/>
          <w:b/>
          <w:color w:val="1F3A5F"/>
          <w:sz w:val="27"/>
        </w:rPr>
        <w:t>c. “Special Pay”</w:t>
      </w:r>
    </w:p>
    <w:p>
      <w:pPr>
        <w:pStyle w:val="ListBullet"/>
        <w:spacing w:line="276" w:lineRule="auto"/>
        <w:ind w:left="510"/>
      </w:pPr>
      <w:r>
        <w:rPr>
          <w:rFonts w:ascii="Cambria" w:hAnsi="Cambria"/>
          <w:b w:val="0"/>
          <w:i w:val="0"/>
          <w:sz w:val="22"/>
        </w:rPr>
        <w:t>“Special Pay” is an additional amount, of the nature of pay, granted in recognition of special duties or responsibilities attached to a post or to an employee.</w:t>
      </w:r>
    </w:p>
    <w:p>
      <w:pPr>
        <w:jc w:val="both"/>
      </w:pPr>
      <w:r>
        <w:rPr>
          <w:rFonts w:ascii="Cambria" w:hAnsi="Cambria"/>
          <w:i w:val="0"/>
          <w:sz w:val="22"/>
        </w:rPr>
        <w:t>I. Granted in consideration of the specially arduous nature of duties, such as those involving extra workload, risk, or travel.</w:t>
      </w:r>
    </w:p>
    <w:p>
      <w:pPr>
        <w:jc w:val="both"/>
      </w:pPr>
      <w:r>
        <w:rPr>
          <w:rFonts w:ascii="Cambria" w:hAnsi="Cambria"/>
          <w:i w:val="0"/>
          <w:sz w:val="22"/>
        </w:rPr>
        <w:t>II. Granted for a specific addition to the work or responsibility, such as:</w:t>
      </w:r>
    </w:p>
    <w:p>
      <w:pPr>
        <w:pStyle w:val="ListBullet"/>
        <w:spacing w:line="276" w:lineRule="auto"/>
        <w:ind w:left="510"/>
      </w:pPr>
      <w:r>
        <w:rPr>
          <w:rFonts w:ascii="Cambria" w:hAnsi="Cambria"/>
          <w:b w:val="0"/>
          <w:i w:val="0"/>
          <w:sz w:val="22"/>
        </w:rPr>
        <w:t>Acting as Head of Department or Coordinator in addition to regular duties.</w:t>
      </w:r>
    </w:p>
    <w:p>
      <w:pPr>
        <w:pStyle w:val="ListBullet"/>
        <w:spacing w:line="276" w:lineRule="auto"/>
        <w:ind w:left="510"/>
      </w:pPr>
      <w:r>
        <w:rPr>
          <w:rFonts w:ascii="Cambria" w:hAnsi="Cambria"/>
          <w:b w:val="0"/>
          <w:i w:val="0"/>
          <w:sz w:val="22"/>
        </w:rPr>
        <w:t>Supervising special projects, academic events, or research initiatives.</w:t>
      </w:r>
    </w:p>
    <w:p>
      <w:pPr>
        <w:pStyle w:val="ListBullet"/>
        <w:spacing w:line="276" w:lineRule="auto"/>
        <w:ind w:left="510"/>
      </w:pPr>
      <w:r>
        <w:rPr>
          <w:rFonts w:ascii="Cambria" w:hAnsi="Cambria"/>
          <w:b w:val="0"/>
          <w:i w:val="0"/>
          <w:sz w:val="22"/>
        </w:rPr>
        <w:t>Handling administrative or financial responsibilities beyond normal duties.</w:t>
      </w:r>
    </w:p>
    <w:p>
      <w:pPr>
        <w:jc w:val="both"/>
      </w:pPr>
      <w:r>
        <w:rPr>
          <w:rFonts w:ascii="Cambria" w:hAnsi="Cambria"/>
          <w:i w:val="0"/>
          <w:sz w:val="22"/>
        </w:rPr>
        <w:t>→ Nature of Special Pay:</w:t>
      </w:r>
    </w:p>
    <w:p>
      <w:pPr>
        <w:pStyle w:val="ListBullet"/>
        <w:spacing w:line="276" w:lineRule="auto"/>
        <w:ind w:left="510"/>
      </w:pPr>
      <w:r>
        <w:rPr>
          <w:rFonts w:ascii="Cambria" w:hAnsi="Cambria"/>
          <w:b w:val="0"/>
          <w:i w:val="0"/>
          <w:sz w:val="22"/>
        </w:rPr>
        <w:t>It is linked to the post or responsibility and ceases once the duty or assignment ends.</w:t>
      </w:r>
    </w:p>
    <w:p>
      <w:pPr>
        <w:pStyle w:val="ListBullet"/>
        <w:spacing w:line="276" w:lineRule="auto"/>
        <w:ind w:left="510"/>
      </w:pPr>
      <w:r>
        <w:rPr>
          <w:rFonts w:ascii="Cambria" w:hAnsi="Cambria"/>
          <w:b w:val="0"/>
          <w:i w:val="0"/>
          <w:sz w:val="22"/>
        </w:rPr>
        <w:t>The quantum of special pay shall be sanctioned by the Board of Management or other competent authority.</w:t>
      </w:r>
    </w:p>
    <w:p>
      <w:pPr>
        <w:keepNext/>
        <w:spacing w:before="200" w:after="120"/>
      </w:pPr>
      <w:r>
        <w:rPr>
          <w:rFonts w:ascii="Cambria" w:hAnsi="Cambria"/>
          <w:b/>
          <w:color w:val="1F3A5F"/>
          <w:sz w:val="27"/>
        </w:rPr>
        <w:t>d. “Substantive Pay”</w:t>
      </w:r>
    </w:p>
    <w:p>
      <w:pPr>
        <w:pStyle w:val="ListBullet"/>
        <w:spacing w:line="276" w:lineRule="auto"/>
        <w:ind w:left="510"/>
      </w:pPr>
      <w:r>
        <w:rPr>
          <w:rFonts w:ascii="Cambria" w:hAnsi="Cambria"/>
          <w:b w:val="0"/>
          <w:i w:val="0"/>
          <w:sz w:val="22"/>
        </w:rPr>
        <w:t>“Substantive Pay” refers to the basic pay (excluding special or personal pay) drawn by an employee in a post held in a permanent capacity.</w:t>
      </w:r>
    </w:p>
    <w:p>
      <w:pPr>
        <w:pStyle w:val="ListBullet"/>
        <w:spacing w:line="276" w:lineRule="auto"/>
        <w:ind w:left="510"/>
      </w:pPr>
      <w:r>
        <w:rPr>
          <w:rFonts w:ascii="Cambria" w:hAnsi="Cambria"/>
          <w:b w:val="0"/>
          <w:i w:val="0"/>
          <w:sz w:val="22"/>
        </w:rPr>
        <w:t>It represents the core salary attached to a confirmed appointment, following probation and confirmation.</w:t>
      </w:r>
    </w:p>
    <w:p>
      <w:pPr>
        <w:jc w:val="both"/>
      </w:pPr>
      <w:r>
        <w:rPr>
          <w:rFonts w:ascii="Cambria" w:hAnsi="Cambria"/>
          <w:i w:val="0"/>
          <w:sz w:val="22"/>
        </w:rPr>
        <w:t>→ Key Points:</w:t>
      </w:r>
    </w:p>
    <w:p>
      <w:pPr>
        <w:pStyle w:val="ListBullet"/>
        <w:spacing w:line="276" w:lineRule="auto"/>
        <w:ind w:left="510"/>
      </w:pPr>
      <w:r>
        <w:rPr>
          <w:rFonts w:ascii="Cambria" w:hAnsi="Cambria"/>
          <w:b w:val="0"/>
          <w:i w:val="0"/>
          <w:sz w:val="22"/>
        </w:rPr>
        <w:t>Substantive pay is the foundation for calculating increments, pension, and retirement benefits.</w:t>
      </w:r>
    </w:p>
    <w:p>
      <w:pPr>
        <w:pStyle w:val="ListBullet"/>
        <w:spacing w:line="276" w:lineRule="auto"/>
        <w:ind w:left="510"/>
      </w:pPr>
      <w:r>
        <w:rPr>
          <w:rFonts w:ascii="Cambria" w:hAnsi="Cambria"/>
          <w:b w:val="0"/>
          <w:i w:val="0"/>
          <w:sz w:val="22"/>
        </w:rPr>
        <w:t>It ensures continuity of service and security in the substantive post even if the employee is temporarily officiating elsewhere.</w:t>
      </w:r>
    </w:p>
    <w:p>
      <w:pPr>
        <w:keepNext/>
        <w:spacing w:before="200" w:after="120"/>
      </w:pPr>
      <w:r>
        <w:rPr>
          <w:rFonts w:ascii="Cambria" w:hAnsi="Cambria"/>
          <w:b/>
          <w:color w:val="1F3A5F"/>
          <w:sz w:val="27"/>
        </w:rPr>
        <w:t>e. “Time Scale of Pay”</w:t>
      </w:r>
    </w:p>
    <w:p>
      <w:pPr>
        <w:pStyle w:val="ListBullet"/>
        <w:spacing w:line="276" w:lineRule="auto"/>
        <w:ind w:left="510"/>
      </w:pPr>
      <w:r>
        <w:rPr>
          <w:rFonts w:ascii="Cambria" w:hAnsi="Cambria"/>
          <w:b w:val="0"/>
          <w:i w:val="0"/>
          <w:sz w:val="22"/>
        </w:rPr>
        <w:t>“Time Scale of Pay” means the structured pay range that rises by periodical increments from a minimum to a maximum, as prescribed in the University’s pay rules.</w:t>
      </w:r>
    </w:p>
    <w:p>
      <w:pPr>
        <w:pStyle w:val="ListBullet"/>
        <w:spacing w:line="276" w:lineRule="auto"/>
        <w:ind w:left="510"/>
      </w:pPr>
      <w:r>
        <w:rPr>
          <w:rFonts w:ascii="Cambria" w:hAnsi="Cambria"/>
          <w:b w:val="0"/>
          <w:i w:val="0"/>
          <w:sz w:val="22"/>
        </w:rPr>
        <w:t>It represents a graded salary system within which an employee progresses based on length of service and performance.</w:t>
      </w:r>
    </w:p>
    <w:p>
      <w:pPr>
        <w:jc w:val="both"/>
      </w:pPr>
      <w:r>
        <w:rPr>
          <w:rFonts w:ascii="Cambria" w:hAnsi="Cambria"/>
          <w:i w:val="0"/>
          <w:sz w:val="22"/>
        </w:rPr>
        <w:t>→ Features:</w:t>
      </w:r>
    </w:p>
    <w:p>
      <w:pPr>
        <w:spacing w:line="276" w:lineRule="auto"/>
        <w:ind w:left="357" w:hanging="357"/>
      </w:pPr>
      <w:r>
        <w:rPr>
          <w:rFonts w:ascii="Cambria" w:hAnsi="Cambria"/>
          <w:b w:val="0"/>
          <w:i w:val="0"/>
          <w:sz w:val="22"/>
        </w:rPr>
        <w:t xml:space="preserve">1. </w:t>
      </w:r>
      <w:r>
        <w:rPr>
          <w:rFonts w:ascii="Cambria" w:hAnsi="Cambria"/>
          <w:b w:val="0"/>
          <w:i w:val="0"/>
          <w:sz w:val="22"/>
        </w:rPr>
        <w:t>Increment intervals are usually annual, subject to satisfactory performance.</w:t>
      </w:r>
    </w:p>
    <w:p>
      <w:pPr>
        <w:spacing w:line="276" w:lineRule="auto"/>
        <w:ind w:left="357" w:hanging="357"/>
      </w:pPr>
      <w:r>
        <w:rPr>
          <w:rFonts w:ascii="Cambria" w:hAnsi="Cambria"/>
          <w:b w:val="0"/>
          <w:i w:val="0"/>
          <w:sz w:val="22"/>
        </w:rPr>
        <w:t xml:space="preserve">2. </w:t>
      </w:r>
      <w:r>
        <w:rPr>
          <w:rFonts w:ascii="Cambria" w:hAnsi="Cambria"/>
          <w:b w:val="0"/>
          <w:i w:val="0"/>
          <w:sz w:val="22"/>
        </w:rPr>
        <w:t>The time scale may vary for different cadres (e.g., Teaching, Non-Teaching, Technical).</w:t>
      </w:r>
    </w:p>
    <w:p>
      <w:pPr>
        <w:spacing w:line="276" w:lineRule="auto"/>
        <w:ind w:left="357" w:hanging="357"/>
      </w:pPr>
      <w:r>
        <w:rPr>
          <w:rFonts w:ascii="Cambria" w:hAnsi="Cambria"/>
          <w:b w:val="0"/>
          <w:i w:val="0"/>
          <w:sz w:val="22"/>
        </w:rPr>
        <w:t xml:space="preserve">3. </w:t>
      </w:r>
      <w:r>
        <w:rPr>
          <w:rFonts w:ascii="Cambria" w:hAnsi="Cambria"/>
          <w:b w:val="0"/>
          <w:i w:val="0"/>
          <w:sz w:val="22"/>
        </w:rPr>
        <w:t>The minimum represents the starting pay, and the maximum the limit of progression within the grade.</w:t>
      </w:r>
    </w:p>
    <w:p>
      <w:pPr>
        <w:spacing w:line="276" w:lineRule="auto"/>
        <w:ind w:left="357" w:hanging="357"/>
      </w:pPr>
      <w:r>
        <w:rPr>
          <w:rFonts w:ascii="Cambria" w:hAnsi="Cambria"/>
          <w:b w:val="0"/>
          <w:i w:val="0"/>
          <w:sz w:val="22"/>
        </w:rPr>
        <w:t xml:space="preserve">4. </w:t>
      </w:r>
      <w:r>
        <w:rPr>
          <w:rFonts w:ascii="Cambria" w:hAnsi="Cambria"/>
          <w:b w:val="0"/>
          <w:i w:val="0"/>
          <w:sz w:val="22"/>
        </w:rPr>
        <w:t>Employees are eligible for increment only after satisfactory service during the prescribed period.</w:t>
      </w:r>
    </w:p>
    <w:p>
      <w:pPr>
        <w:keepNext/>
        <w:spacing w:before="200" w:after="120"/>
      </w:pPr>
      <w:r>
        <w:rPr>
          <w:rFonts w:ascii="Cambria" w:hAnsi="Cambria"/>
          <w:b/>
          <w:color w:val="1F3A5F"/>
          <w:sz w:val="24"/>
        </w:rPr>
        <w:t>Summary Table: Pay-Related Terms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701"/>
            <w:shd w:val="clear" w:color="auto" w:fill="1F3A5F"/>
          </w:tcPr>
          <w:p>
            <w:pPr>
              <w:spacing w:after="40" w:before="40"/>
            </w:pPr>
            <w:r/>
            <w:r>
              <w:rPr>
                <w:rFonts w:ascii="Cambria" w:hAnsi="Cambria"/>
                <w:b/>
                <w:i w:val="0"/>
                <w:color w:val="FFFFFF"/>
                <w:sz w:val="22"/>
              </w:rPr>
              <w:t>Term</w:t>
            </w:r>
          </w:p>
        </w:tc>
        <w:tc>
          <w:tcPr>
            <w:tcW w:type="dxa" w:w="3515"/>
            <w:shd w:val="clear" w:color="auto" w:fill="1F3A5F"/>
          </w:tcPr>
          <w:p>
            <w:pPr>
              <w:spacing w:after="40" w:before="40"/>
            </w:pPr>
            <w:r/>
            <w:r>
              <w:rPr>
                <w:rFonts w:ascii="Cambria" w:hAnsi="Cambria"/>
                <w:b/>
                <w:i w:val="0"/>
                <w:color w:val="FFFFFF"/>
                <w:sz w:val="22"/>
              </w:rPr>
              <w:t>Definition</w:t>
            </w:r>
          </w:p>
        </w:tc>
        <w:tc>
          <w:tcPr>
            <w:tcW w:type="dxa" w:w="2154"/>
            <w:shd w:val="clear" w:color="auto" w:fill="1F3A5F"/>
          </w:tcPr>
          <w:p>
            <w:pPr>
              <w:spacing w:after="40" w:before="40"/>
            </w:pPr>
            <w:r/>
            <w:r>
              <w:rPr>
                <w:rFonts w:ascii="Cambria" w:hAnsi="Cambria"/>
                <w:b/>
                <w:i w:val="0"/>
                <w:color w:val="FFFFFF"/>
                <w:sz w:val="22"/>
              </w:rPr>
              <w:t>Applicability / Basis</w:t>
            </w:r>
          </w:p>
        </w:tc>
        <w:tc>
          <w:tcPr>
            <w:tcW w:type="dxa" w:w="1927"/>
            <w:shd w:val="clear" w:color="auto" w:fill="1F3A5F"/>
          </w:tcPr>
          <w:p>
            <w:pPr>
              <w:spacing w:after="40" w:before="40"/>
            </w:pPr>
            <w:r/>
            <w:r>
              <w:rPr>
                <w:rFonts w:ascii="Cambria" w:hAnsi="Cambria"/>
                <w:b/>
                <w:i w:val="0"/>
                <w:color w:val="FFFFFF"/>
                <w:sz w:val="22"/>
              </w:rPr>
              <w:t>Authority</w:t>
            </w:r>
          </w:p>
        </w:tc>
      </w:tr>
      <w:tr>
        <w:tc>
          <w:tcPr>
            <w:tcW w:type="dxa" w:w="1701"/>
          </w:tcPr>
          <w:p>
            <w:pPr>
              <w:spacing w:after="40" w:before="40"/>
            </w:pPr>
            <w:r/>
            <w:r>
              <w:rPr>
                <w:rFonts w:ascii="Cambria" w:hAnsi="Cambria"/>
                <w:b w:val="0"/>
                <w:i w:val="0"/>
                <w:sz w:val="22"/>
              </w:rPr>
              <w:t>Pay</w:t>
            </w:r>
          </w:p>
        </w:tc>
        <w:tc>
          <w:tcPr>
            <w:tcW w:type="dxa" w:w="3515"/>
          </w:tcPr>
          <w:p>
            <w:pPr>
              <w:spacing w:after="40" w:before="40"/>
            </w:pPr>
            <w:r/>
            <w:r>
              <w:rPr>
                <w:rFonts w:ascii="Cambria" w:hAnsi="Cambria"/>
                <w:b w:val="0"/>
                <w:i w:val="0"/>
                <w:sz w:val="22"/>
              </w:rPr>
              <w:t>Total monthly amount drawn, including basic, special, and personal pay</w:t>
            </w:r>
          </w:p>
        </w:tc>
        <w:tc>
          <w:tcPr>
            <w:tcW w:type="dxa" w:w="2154"/>
          </w:tcPr>
          <w:p>
            <w:pPr>
              <w:spacing w:after="40" w:before="40"/>
            </w:pPr>
            <w:r/>
            <w:r>
              <w:rPr>
                <w:rFonts w:ascii="Cambria" w:hAnsi="Cambria"/>
                <w:b w:val="0"/>
                <w:i w:val="0"/>
                <w:sz w:val="22"/>
              </w:rPr>
              <w:t>All employees</w:t>
            </w:r>
          </w:p>
        </w:tc>
        <w:tc>
          <w:tcPr>
            <w:tcW w:type="dxa" w:w="1927"/>
          </w:tcPr>
          <w:p>
            <w:pPr>
              <w:spacing w:after="40" w:before="40"/>
            </w:pPr>
            <w:r/>
            <w:r>
              <w:rPr>
                <w:rFonts w:ascii="Cambria" w:hAnsi="Cambria"/>
                <w:b w:val="0"/>
                <w:i w:val="0"/>
                <w:sz w:val="22"/>
              </w:rPr>
              <w:t>BoM</w:t>
            </w:r>
          </w:p>
        </w:tc>
      </w:tr>
      <w:tr>
        <w:tc>
          <w:tcPr>
            <w:tcW w:type="dxa" w:w="1701"/>
            <w:shd w:val="clear" w:color="auto" w:fill="F0F2F5"/>
          </w:tcPr>
          <w:p>
            <w:pPr>
              <w:spacing w:after="40" w:before="40"/>
            </w:pPr>
            <w:r/>
            <w:r>
              <w:rPr>
                <w:rFonts w:ascii="Cambria" w:hAnsi="Cambria"/>
                <w:b w:val="0"/>
                <w:i w:val="0"/>
                <w:sz w:val="22"/>
              </w:rPr>
              <w:t>Personal Pay</w:t>
            </w:r>
          </w:p>
        </w:tc>
        <w:tc>
          <w:tcPr>
            <w:tcW w:type="dxa" w:w="3515"/>
            <w:shd w:val="clear" w:color="auto" w:fill="F0F2F5"/>
          </w:tcPr>
          <w:p>
            <w:pPr>
              <w:spacing w:after="40" w:before="40"/>
            </w:pPr>
            <w:r/>
            <w:r>
              <w:rPr>
                <w:rFonts w:ascii="Cambria" w:hAnsi="Cambria"/>
                <w:b w:val="0"/>
                <w:i w:val="0"/>
                <w:sz w:val="22"/>
              </w:rPr>
              <w:t>Additional pay to protect against loss or for personal merit</w:t>
            </w:r>
          </w:p>
        </w:tc>
        <w:tc>
          <w:tcPr>
            <w:tcW w:type="dxa" w:w="2154"/>
            <w:shd w:val="clear" w:color="auto" w:fill="F0F2F5"/>
          </w:tcPr>
          <w:p>
            <w:pPr>
              <w:spacing w:after="40" w:before="40"/>
            </w:pPr>
            <w:r/>
            <w:r>
              <w:rPr>
                <w:rFonts w:ascii="Cambria" w:hAnsi="Cambria"/>
                <w:b w:val="0"/>
                <w:i w:val="0"/>
                <w:sz w:val="22"/>
              </w:rPr>
              <w:t>Individual employees</w:t>
            </w:r>
          </w:p>
        </w:tc>
        <w:tc>
          <w:tcPr>
            <w:tcW w:type="dxa" w:w="1927"/>
            <w:shd w:val="clear" w:color="auto" w:fill="F0F2F5"/>
          </w:tcPr>
          <w:p>
            <w:pPr>
              <w:spacing w:after="40" w:before="40"/>
            </w:pPr>
            <w:r/>
            <w:r>
              <w:rPr>
                <w:rFonts w:ascii="Cambria" w:hAnsi="Cambria"/>
                <w:b w:val="0"/>
                <w:i w:val="0"/>
                <w:sz w:val="22"/>
              </w:rPr>
              <w:t>BoM / V.C.</w:t>
            </w:r>
          </w:p>
        </w:tc>
      </w:tr>
      <w:tr>
        <w:tc>
          <w:tcPr>
            <w:tcW w:type="dxa" w:w="1701"/>
          </w:tcPr>
          <w:p>
            <w:pPr>
              <w:spacing w:after="40" w:before="40"/>
            </w:pPr>
            <w:r/>
            <w:r>
              <w:rPr>
                <w:rFonts w:ascii="Cambria" w:hAnsi="Cambria"/>
                <w:b w:val="0"/>
                <w:i w:val="0"/>
                <w:sz w:val="22"/>
              </w:rPr>
              <w:t>Special Pay</w:t>
            </w:r>
          </w:p>
        </w:tc>
        <w:tc>
          <w:tcPr>
            <w:tcW w:type="dxa" w:w="3515"/>
          </w:tcPr>
          <w:p>
            <w:pPr>
              <w:spacing w:after="40" w:before="40"/>
            </w:pPr>
            <w:r/>
            <w:r>
              <w:rPr>
                <w:rFonts w:ascii="Cambria" w:hAnsi="Cambria"/>
                <w:b w:val="0"/>
                <w:i w:val="0"/>
                <w:sz w:val="22"/>
              </w:rPr>
              <w:t>Extra pay for arduous duties or additional responsibilities</w:t>
            </w:r>
          </w:p>
        </w:tc>
        <w:tc>
          <w:tcPr>
            <w:tcW w:type="dxa" w:w="2154"/>
          </w:tcPr>
          <w:p>
            <w:pPr>
              <w:spacing w:after="40" w:before="40"/>
            </w:pPr>
            <w:r/>
            <w:r>
              <w:rPr>
                <w:rFonts w:ascii="Cambria" w:hAnsi="Cambria"/>
                <w:b w:val="0"/>
                <w:i w:val="0"/>
                <w:sz w:val="22"/>
              </w:rPr>
              <w:t>Post or assignment specific</w:t>
            </w:r>
          </w:p>
        </w:tc>
        <w:tc>
          <w:tcPr>
            <w:tcW w:type="dxa" w:w="1927"/>
          </w:tcPr>
          <w:p>
            <w:pPr>
              <w:spacing w:after="40" w:before="40"/>
            </w:pPr>
            <w:r/>
            <w:r>
              <w:rPr>
                <w:rFonts w:ascii="Cambria" w:hAnsi="Cambria"/>
                <w:b w:val="0"/>
                <w:i w:val="0"/>
                <w:sz w:val="22"/>
              </w:rPr>
              <w:t>BoM / Registrar</w:t>
            </w:r>
          </w:p>
        </w:tc>
      </w:tr>
      <w:tr>
        <w:tc>
          <w:tcPr>
            <w:tcW w:type="dxa" w:w="1701"/>
            <w:shd w:val="clear" w:color="auto" w:fill="F0F2F5"/>
          </w:tcPr>
          <w:p>
            <w:pPr>
              <w:spacing w:after="40" w:before="40"/>
            </w:pPr>
            <w:r/>
            <w:r>
              <w:rPr>
                <w:rFonts w:ascii="Cambria" w:hAnsi="Cambria"/>
                <w:b w:val="0"/>
                <w:i w:val="0"/>
                <w:sz w:val="22"/>
              </w:rPr>
              <w:t>Substantive Pay</w:t>
            </w:r>
          </w:p>
        </w:tc>
        <w:tc>
          <w:tcPr>
            <w:tcW w:type="dxa" w:w="3515"/>
            <w:shd w:val="clear" w:color="auto" w:fill="F0F2F5"/>
          </w:tcPr>
          <w:p>
            <w:pPr>
              <w:spacing w:after="40" w:before="40"/>
            </w:pPr>
            <w:r/>
            <w:r>
              <w:rPr>
                <w:rFonts w:ascii="Cambria" w:hAnsi="Cambria"/>
                <w:b w:val="0"/>
                <w:i w:val="0"/>
                <w:sz w:val="22"/>
              </w:rPr>
              <w:t>Basic pay for a post held in permanent capacity</w:t>
            </w:r>
          </w:p>
        </w:tc>
        <w:tc>
          <w:tcPr>
            <w:tcW w:type="dxa" w:w="2154"/>
            <w:shd w:val="clear" w:color="auto" w:fill="F0F2F5"/>
          </w:tcPr>
          <w:p>
            <w:pPr>
              <w:spacing w:after="40" w:before="40"/>
            </w:pPr>
            <w:r/>
            <w:r>
              <w:rPr>
                <w:rFonts w:ascii="Cambria" w:hAnsi="Cambria"/>
                <w:b w:val="0"/>
                <w:i w:val="0"/>
                <w:sz w:val="22"/>
              </w:rPr>
              <w:t>Confirmed employees</w:t>
            </w:r>
          </w:p>
        </w:tc>
        <w:tc>
          <w:tcPr>
            <w:tcW w:type="dxa" w:w="1927"/>
            <w:shd w:val="clear" w:color="auto" w:fill="F0F2F5"/>
          </w:tcPr>
          <w:p>
            <w:pPr>
              <w:spacing w:after="40" w:before="40"/>
            </w:pPr>
            <w:r/>
            <w:r>
              <w:rPr>
                <w:rFonts w:ascii="Cambria" w:hAnsi="Cambria"/>
                <w:b w:val="0"/>
                <w:i w:val="0"/>
                <w:sz w:val="22"/>
              </w:rPr>
              <w:t>Appointing Authority</w:t>
            </w:r>
          </w:p>
        </w:tc>
      </w:tr>
      <w:tr>
        <w:tc>
          <w:tcPr>
            <w:tcW w:type="dxa" w:w="1701"/>
          </w:tcPr>
          <w:p>
            <w:pPr>
              <w:spacing w:after="40" w:before="40"/>
            </w:pPr>
            <w:r/>
            <w:r>
              <w:rPr>
                <w:rFonts w:ascii="Cambria" w:hAnsi="Cambria"/>
                <w:b w:val="0"/>
                <w:i w:val="0"/>
                <w:sz w:val="22"/>
              </w:rPr>
              <w:t>Time Scale of Pay</w:t>
            </w:r>
          </w:p>
        </w:tc>
        <w:tc>
          <w:tcPr>
            <w:tcW w:type="dxa" w:w="3515"/>
          </w:tcPr>
          <w:p>
            <w:pPr>
              <w:spacing w:after="40" w:before="40"/>
            </w:pPr>
            <w:r/>
            <w:r>
              <w:rPr>
                <w:rFonts w:ascii="Cambria" w:hAnsi="Cambria"/>
                <w:b w:val="0"/>
                <w:i w:val="0"/>
                <w:sz w:val="22"/>
              </w:rPr>
              <w:t>Progressive pay structure with annual increments</w:t>
            </w:r>
          </w:p>
        </w:tc>
        <w:tc>
          <w:tcPr>
            <w:tcW w:type="dxa" w:w="2154"/>
          </w:tcPr>
          <w:p>
            <w:pPr>
              <w:spacing w:after="40" w:before="40"/>
            </w:pPr>
            <w:r/>
            <w:r>
              <w:rPr>
                <w:rFonts w:ascii="Cambria" w:hAnsi="Cambria"/>
                <w:b w:val="0"/>
                <w:i w:val="0"/>
                <w:sz w:val="22"/>
              </w:rPr>
              <w:t>All employees on pay scale</w:t>
            </w:r>
          </w:p>
        </w:tc>
        <w:tc>
          <w:tcPr>
            <w:tcW w:type="dxa" w:w="1927"/>
          </w:tcPr>
          <w:p>
            <w:pPr>
              <w:spacing w:after="40" w:before="40"/>
            </w:pPr>
            <w:r/>
            <w:r>
              <w:rPr>
                <w:rFonts w:ascii="Cambria" w:hAnsi="Cambria"/>
                <w:b w:val="0"/>
                <w:i w:val="0"/>
                <w:sz w:val="22"/>
              </w:rPr>
              <w:t>BoM / Finance Committee</w:t>
            </w:r>
          </w:p>
        </w:tc>
      </w:tr>
    </w:tbl>
    <w:p>
      <w:pPr>
        <w:spacing w:after="40"/>
      </w:pPr>
    </w:p>
    <w:p>
      <w:r>
        <w:br w:type="page"/>
      </w:r>
    </w:p>
    <w:p>
      <w:pPr>
        <w:keepNext/>
        <w:spacing w:before="280" w:after="160"/>
      </w:pPr>
      <w:r>
        <w:rPr>
          <w:rFonts w:ascii="Cambria" w:hAnsi="Cambria"/>
          <w:b/>
          <w:color w:val="1F3A5F"/>
          <w:sz w:val="32"/>
        </w:rPr>
        <w:t>10. Definition of “Permanent Pay”</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“Permanent Pay” refers to the rate of pay attached to a post that has been sanctioned without any limitation of time by the competent authority of the University.</w:t>
      </w:r>
    </w:p>
    <w:p>
      <w:pPr>
        <w:pStyle w:val="ListBullet"/>
        <w:spacing w:line="276" w:lineRule="auto"/>
        <w:ind w:left="510"/>
      </w:pPr>
      <w:r>
        <w:rPr>
          <w:rFonts w:ascii="Cambria" w:hAnsi="Cambria"/>
          <w:b w:val="0"/>
          <w:i w:val="0"/>
          <w:sz w:val="22"/>
        </w:rPr>
        <w:t>It denotes the stable, ongoing financial entitlement associated with a permanent post in the University’s approved establishment.</w:t>
      </w:r>
    </w:p>
    <w:p>
      <w:pPr>
        <w:keepNext/>
        <w:spacing w:before="200" w:after="120"/>
      </w:pPr>
      <w:r>
        <w:rPr>
          <w:rFonts w:ascii="Cambria" w:hAnsi="Cambria"/>
          <w:b/>
          <w:color w:val="1F3A5F"/>
          <w:sz w:val="27"/>
        </w:rPr>
        <w:t>b. Key Characteristics</w:t>
      </w:r>
    </w:p>
    <w:p>
      <w:pPr>
        <w:spacing w:line="276" w:lineRule="auto"/>
        <w:ind w:left="357" w:hanging="357"/>
      </w:pPr>
      <w:r>
        <w:rPr>
          <w:rFonts w:ascii="Cambria" w:hAnsi="Cambria"/>
          <w:b w:val="0"/>
          <w:i w:val="0"/>
          <w:sz w:val="22"/>
        </w:rPr>
        <w:t xml:space="preserve">1. </w:t>
      </w:r>
      <w:r>
        <w:rPr>
          <w:rFonts w:ascii="Cambria" w:hAnsi="Cambria"/>
          <w:b w:val="0"/>
          <w:i w:val="0"/>
          <w:sz w:val="22"/>
        </w:rPr>
        <w:t>Fixed and Sanctioned:</w:t>
      </w:r>
    </w:p>
    <w:p>
      <w:pPr>
        <w:pStyle w:val="ListBullet2"/>
        <w:spacing w:line="276" w:lineRule="auto"/>
        <w:ind w:left="1020"/>
      </w:pPr>
      <w:r>
        <w:rPr>
          <w:rFonts w:ascii="Cambria" w:hAnsi="Cambria"/>
          <w:b w:val="0"/>
          <w:i w:val="0"/>
          <w:sz w:val="22"/>
        </w:rPr>
        <w:t>The rate of pay is formally approved and not temporary or project-linked.</w:t>
      </w:r>
    </w:p>
    <w:p>
      <w:pPr>
        <w:pStyle w:val="ListBullet2"/>
        <w:spacing w:line="276" w:lineRule="auto"/>
        <w:ind w:left="1020"/>
      </w:pPr>
      <w:r>
        <w:rPr>
          <w:rFonts w:ascii="Cambria" w:hAnsi="Cambria"/>
          <w:b w:val="0"/>
          <w:i w:val="0"/>
          <w:sz w:val="22"/>
        </w:rPr>
        <w:t>It remains in effect until the post or pay structure is revised or abolished by the Board of Management (BoM).</w:t>
      </w:r>
    </w:p>
    <w:p>
      <w:pPr>
        <w:spacing w:line="276" w:lineRule="auto"/>
        <w:ind w:left="357" w:hanging="357"/>
      </w:pPr>
      <w:r>
        <w:rPr>
          <w:rFonts w:ascii="Cambria" w:hAnsi="Cambria"/>
          <w:b w:val="0"/>
          <w:i w:val="0"/>
          <w:sz w:val="22"/>
        </w:rPr>
        <w:t xml:space="preserve">2. </w:t>
      </w:r>
      <w:r>
        <w:rPr>
          <w:rFonts w:ascii="Cambria" w:hAnsi="Cambria"/>
          <w:b w:val="0"/>
          <w:i w:val="0"/>
          <w:sz w:val="22"/>
        </w:rPr>
        <w:t>No Time Limit:</w:t>
      </w:r>
    </w:p>
    <w:p>
      <w:pPr>
        <w:pStyle w:val="ListBullet2"/>
        <w:spacing w:line="276" w:lineRule="auto"/>
        <w:ind w:left="1020"/>
      </w:pPr>
      <w:r>
        <w:rPr>
          <w:rFonts w:ascii="Cambria" w:hAnsi="Cambria"/>
          <w:b w:val="0"/>
          <w:i w:val="0"/>
          <w:sz w:val="22"/>
        </w:rPr>
        <w:t>The pay is not restricted to a specific tenure or period, unlike contractual or ad-hoc appointments.</w:t>
      </w:r>
    </w:p>
    <w:p>
      <w:pPr>
        <w:pStyle w:val="ListBullet2"/>
        <w:spacing w:line="276" w:lineRule="auto"/>
        <w:ind w:left="1020"/>
      </w:pPr>
      <w:r>
        <w:rPr>
          <w:rFonts w:ascii="Cambria" w:hAnsi="Cambria"/>
          <w:b w:val="0"/>
          <w:i w:val="0"/>
          <w:sz w:val="22"/>
        </w:rPr>
        <w:t>It continues indefinitely, subject to the continuation of the post in the University’s sanctioned cadre.</w:t>
      </w:r>
    </w:p>
    <w:p>
      <w:pPr>
        <w:spacing w:line="276" w:lineRule="auto"/>
        <w:ind w:left="357" w:hanging="357"/>
      </w:pPr>
      <w:r>
        <w:rPr>
          <w:rFonts w:ascii="Cambria" w:hAnsi="Cambria"/>
          <w:b w:val="0"/>
          <w:i w:val="0"/>
          <w:sz w:val="22"/>
        </w:rPr>
        <w:t xml:space="preserve">3. </w:t>
      </w:r>
      <w:r>
        <w:rPr>
          <w:rFonts w:ascii="Cambria" w:hAnsi="Cambria"/>
          <w:b w:val="0"/>
          <w:i w:val="0"/>
          <w:sz w:val="22"/>
        </w:rPr>
        <w:t>Attached to Permanent Posts:</w:t>
      </w:r>
    </w:p>
    <w:p>
      <w:pPr>
        <w:pStyle w:val="ListBullet2"/>
        <w:spacing w:line="276" w:lineRule="auto"/>
        <w:ind w:left="1020"/>
      </w:pPr>
      <w:r>
        <w:rPr>
          <w:rFonts w:ascii="Cambria" w:hAnsi="Cambria"/>
          <w:b w:val="0"/>
          <w:i w:val="0"/>
          <w:sz w:val="22"/>
        </w:rPr>
        <w:t>Applies only to posts included in the permanent establishment of the University.</w:t>
      </w:r>
    </w:p>
    <w:p>
      <w:pPr>
        <w:pStyle w:val="ListBullet2"/>
        <w:spacing w:line="276" w:lineRule="auto"/>
        <w:ind w:left="1020"/>
      </w:pPr>
      <w:r>
        <w:rPr>
          <w:rFonts w:ascii="Cambria" w:hAnsi="Cambria"/>
          <w:b w:val="0"/>
          <w:i w:val="0"/>
          <w:sz w:val="22"/>
        </w:rPr>
        <w:t>Employees holding such posts are eligible for all long-term benefits, such as:</w:t>
      </w:r>
    </w:p>
    <w:p>
      <w:pPr>
        <w:ind w:left="1474"/>
      </w:pPr>
    </w:p>
    <w:p>
      <w:pPr>
        <w:pStyle w:val="ListBullet2"/>
        <w:ind w:left="1474"/>
      </w:pPr>
      <w:r>
        <w:rPr>
          <w:rFonts w:ascii="Cambria" w:hAnsi="Cambria"/>
          <w:b w:val="0"/>
          <w:i w:val="0"/>
          <w:sz w:val="22"/>
        </w:rPr>
        <w:t>Annual increments under the time scale of pay.</w:t>
      </w:r>
    </w:p>
    <w:p>
      <w:pPr>
        <w:pStyle w:val="ListBullet2"/>
        <w:ind w:left="1474"/>
      </w:pPr>
      <w:r>
        <w:rPr>
          <w:rFonts w:ascii="Cambria" w:hAnsi="Cambria"/>
          <w:b w:val="0"/>
          <w:i w:val="0"/>
          <w:sz w:val="22"/>
        </w:rPr>
        <w:t>Leave and pension accrual.</w:t>
      </w:r>
    </w:p>
    <w:p>
      <w:pPr>
        <w:pStyle w:val="ListBullet2"/>
        <w:ind w:left="1474"/>
      </w:pPr>
      <w:r>
        <w:rPr>
          <w:rFonts w:ascii="Cambria" w:hAnsi="Cambria"/>
          <w:b w:val="0"/>
          <w:i w:val="0"/>
          <w:sz w:val="22"/>
        </w:rPr>
        <w:t>Service continuity and career advancement.</w:t>
      </w:r>
    </w:p>
    <w:p>
      <w:pPr>
        <w:spacing w:line="276" w:lineRule="auto"/>
        <w:ind w:left="357" w:hanging="357"/>
      </w:pPr>
      <w:r>
        <w:rPr>
          <w:rFonts w:ascii="Cambria" w:hAnsi="Cambria"/>
          <w:b w:val="0"/>
          <w:i w:val="0"/>
          <w:sz w:val="22"/>
        </w:rPr>
        <w:t xml:space="preserve">4. </w:t>
      </w:r>
      <w:r>
        <w:rPr>
          <w:rFonts w:ascii="Cambria" w:hAnsi="Cambria"/>
          <w:b w:val="0"/>
          <w:i w:val="0"/>
          <w:sz w:val="22"/>
        </w:rPr>
        <w:t>Distinction from Other Types of Pay:</w:t>
      </w:r>
    </w:p>
    <w:p>
      <w:pPr>
        <w:pStyle w:val="ListBullet2"/>
        <w:spacing w:line="276" w:lineRule="auto"/>
        <w:ind w:left="1020"/>
      </w:pPr>
      <w:r>
        <w:rPr>
          <w:rFonts w:ascii="Cambria" w:hAnsi="Cambria"/>
          <w:b w:val="0"/>
          <w:i w:val="0"/>
          <w:sz w:val="22"/>
        </w:rPr>
        <w:t>Differs from Special Pay (granted for additional responsibilities),</w:t>
      </w:r>
    </w:p>
    <w:p>
      <w:pPr>
        <w:pStyle w:val="ListBullet2"/>
        <w:spacing w:line="276" w:lineRule="auto"/>
        <w:ind w:left="1020"/>
      </w:pPr>
      <w:r>
        <w:rPr>
          <w:rFonts w:ascii="Cambria" w:hAnsi="Cambria"/>
          <w:b w:val="0"/>
          <w:i w:val="0"/>
          <w:sz w:val="22"/>
        </w:rPr>
        <w:t>Personal Pay (granted for protection or merit), and</w:t>
      </w:r>
    </w:p>
    <w:p>
      <w:pPr>
        <w:pStyle w:val="ListBullet2"/>
        <w:spacing w:line="276" w:lineRule="auto"/>
        <w:ind w:left="1020"/>
      </w:pPr>
      <w:r>
        <w:rPr>
          <w:rFonts w:ascii="Cambria" w:hAnsi="Cambria"/>
          <w:b w:val="0"/>
          <w:i w:val="0"/>
          <w:sz w:val="22"/>
        </w:rPr>
        <w:t>Temporary Pay (linked to short-term or project-based posts).</w:t>
      </w:r>
    </w:p>
    <w:p>
      <w:pPr>
        <w:keepNext/>
        <w:spacing w:before="200" w:after="120"/>
      </w:pPr>
      <w:r>
        <w:rPr>
          <w:rFonts w:ascii="Cambria" w:hAnsi="Cambria"/>
          <w:b/>
          <w:color w:val="1F3A5F"/>
          <w:sz w:val="27"/>
        </w:rPr>
        <w:t>c. Institutional Implications</w:t>
      </w:r>
    </w:p>
    <w:p>
      <w:pPr>
        <w:pStyle w:val="ListBullet"/>
        <w:spacing w:line="276" w:lineRule="auto"/>
        <w:ind w:left="510"/>
      </w:pPr>
      <w:r>
        <w:rPr>
          <w:rFonts w:ascii="Cambria" w:hAnsi="Cambria"/>
          <w:b w:val="0"/>
          <w:i w:val="0"/>
          <w:sz w:val="22"/>
        </w:rPr>
        <w:t>The concept of “Permanent Pay” ensures financial stability and continuity within the University’s staffing structure.</w:t>
      </w:r>
    </w:p>
    <w:p>
      <w:pPr>
        <w:pStyle w:val="ListBullet"/>
        <w:spacing w:line="276" w:lineRule="auto"/>
        <w:ind w:left="510"/>
      </w:pPr>
      <w:r>
        <w:rPr>
          <w:rFonts w:ascii="Cambria" w:hAnsi="Cambria"/>
          <w:b w:val="0"/>
          <w:i w:val="0"/>
          <w:sz w:val="22"/>
        </w:rPr>
        <w:t>It forms the basis for budgeting, salary audits, and long-term manpower planning.</w:t>
      </w:r>
    </w:p>
    <w:p>
      <w:pPr>
        <w:pStyle w:val="ListBullet"/>
        <w:spacing w:line="276" w:lineRule="auto"/>
        <w:ind w:left="510"/>
      </w:pPr>
      <w:r>
        <w:rPr>
          <w:rFonts w:ascii="Cambria" w:hAnsi="Cambria"/>
          <w:b w:val="0"/>
          <w:i w:val="0"/>
          <w:sz w:val="22"/>
        </w:rPr>
        <w:t>The Finance Committee and Board of Management (BoM) are responsible for the approval, review, and revision of all permanent pay scales.</w:t>
      </w:r>
    </w:p>
    <w:p>
      <w:pPr>
        <w:keepNext/>
        <w:spacing w:before="200" w:after="120"/>
      </w:pPr>
      <w:r>
        <w:rPr>
          <w:rFonts w:ascii="Cambria" w:hAnsi="Cambria"/>
          <w:b/>
          <w:color w:val="1F3A5F"/>
          <w:sz w:val="27"/>
        </w:rPr>
        <w:t>d. 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Pr>
          <w:p>
            <w:pPr>
              <w:spacing w:after="40" w:before="40"/>
            </w:pPr>
            <w:r/>
            <w:r>
              <w:rPr>
                <w:rFonts w:ascii="Cambria" w:hAnsi="Cambria"/>
                <w:b/>
                <w:i w:val="0"/>
                <w:color w:val="FFFFFF"/>
                <w:sz w:val="22"/>
              </w:rPr>
              <w:t>Term</w:t>
            </w:r>
          </w:p>
        </w:tc>
        <w:tc>
          <w:tcPr>
            <w:tcW w:type="dxa" w:w="2835"/>
            <w:shd w:val="clear" w:color="auto" w:fill="1F3A5F"/>
          </w:tcPr>
          <w:p>
            <w:pPr>
              <w:spacing w:after="40" w:before="40"/>
            </w:pPr>
            <w:r/>
            <w:r>
              <w:rPr>
                <w:rFonts w:ascii="Cambria" w:hAnsi="Cambria"/>
                <w:b/>
                <w:i w:val="0"/>
                <w:color w:val="FFFFFF"/>
                <w:sz w:val="22"/>
              </w:rPr>
              <w:t>Definition</w:t>
            </w:r>
          </w:p>
        </w:tc>
        <w:tc>
          <w:tcPr>
            <w:tcW w:type="dxa" w:w="2608"/>
            <w:shd w:val="clear" w:color="auto" w:fill="1F3A5F"/>
          </w:tcPr>
          <w:p>
            <w:pPr>
              <w:spacing w:after="40" w:before="40"/>
            </w:pPr>
            <w:r/>
            <w:r>
              <w:rPr>
                <w:rFonts w:ascii="Cambria" w:hAnsi="Cambria"/>
                <w:b/>
                <w:i w:val="0"/>
                <w:color w:val="FFFFFF"/>
                <w:sz w:val="22"/>
              </w:rPr>
              <w:t>Applicability</w:t>
            </w:r>
          </w:p>
        </w:tc>
        <w:tc>
          <w:tcPr>
            <w:tcW w:type="dxa" w:w="1360"/>
            <w:shd w:val="clear" w:color="auto" w:fill="1F3A5F"/>
          </w:tcPr>
          <w:p>
            <w:pPr>
              <w:spacing w:after="40" w:before="40"/>
            </w:pPr>
            <w:r/>
            <w:r>
              <w:rPr>
                <w:rFonts w:ascii="Cambria" w:hAnsi="Cambria"/>
                <w:b/>
                <w:i w:val="0"/>
                <w:color w:val="FFFFFF"/>
                <w:sz w:val="22"/>
              </w:rPr>
              <w:t>Duration</w:t>
            </w:r>
          </w:p>
        </w:tc>
        <w:tc>
          <w:tcPr>
            <w:tcW w:type="dxa" w:w="1587"/>
            <w:shd w:val="clear" w:color="auto" w:fill="1F3A5F"/>
          </w:tcPr>
          <w:p>
            <w:pPr>
              <w:spacing w:after="40" w:before="40"/>
            </w:pPr>
            <w:r/>
            <w:r>
              <w:rPr>
                <w:rFonts w:ascii="Cambria" w:hAnsi="Cambria"/>
                <w:b/>
                <w:i w:val="0"/>
                <w:color w:val="FFFFFF"/>
                <w:sz w:val="22"/>
              </w:rPr>
              <w:t>Authority</w:t>
            </w:r>
          </w:p>
        </w:tc>
      </w:tr>
      <w:tr>
        <w:tc>
          <w:tcPr>
            <w:tcW w:type="dxa" w:w="1474"/>
          </w:tcPr>
          <w:p>
            <w:pPr>
              <w:spacing w:after="40" w:before="40"/>
            </w:pPr>
            <w:r/>
            <w:r>
              <w:rPr>
                <w:rFonts w:ascii="Cambria" w:hAnsi="Cambria"/>
                <w:b w:val="0"/>
                <w:i w:val="0"/>
                <w:sz w:val="22"/>
              </w:rPr>
              <w:t>Permanent Pay</w:t>
            </w:r>
          </w:p>
        </w:tc>
        <w:tc>
          <w:tcPr>
            <w:tcW w:type="dxa" w:w="2835"/>
          </w:tcPr>
          <w:p>
            <w:pPr>
              <w:spacing w:after="40" w:before="40"/>
            </w:pPr>
            <w:r/>
            <w:r>
              <w:rPr>
                <w:rFonts w:ascii="Cambria" w:hAnsi="Cambria"/>
                <w:b w:val="0"/>
                <w:i w:val="0"/>
                <w:sz w:val="22"/>
              </w:rPr>
              <w:t>Pay attached to a post sanctioned without limit of time</w:t>
            </w:r>
          </w:p>
        </w:tc>
        <w:tc>
          <w:tcPr>
            <w:tcW w:type="dxa" w:w="2608"/>
          </w:tcPr>
          <w:p>
            <w:pPr>
              <w:spacing w:after="40" w:before="40"/>
            </w:pPr>
            <w:r/>
            <w:r>
              <w:rPr>
                <w:rFonts w:ascii="Cambria" w:hAnsi="Cambria"/>
                <w:b w:val="0"/>
                <w:i w:val="0"/>
                <w:sz w:val="22"/>
              </w:rPr>
              <w:t>Permanent posts in the University’s establishment</w:t>
            </w:r>
          </w:p>
        </w:tc>
        <w:tc>
          <w:tcPr>
            <w:tcW w:type="dxa" w:w="1360"/>
          </w:tcPr>
          <w:p>
            <w:pPr>
              <w:spacing w:after="40" w:before="40"/>
            </w:pPr>
            <w:r/>
            <w:r>
              <w:rPr>
                <w:rFonts w:ascii="Cambria" w:hAnsi="Cambria"/>
                <w:b w:val="0"/>
                <w:i w:val="0"/>
                <w:sz w:val="22"/>
              </w:rPr>
              <w:t>Unlimited / Continuous</w:t>
            </w:r>
          </w:p>
        </w:tc>
        <w:tc>
          <w:tcPr>
            <w:tcW w:type="dxa" w:w="1587"/>
          </w:tcPr>
          <w:p>
            <w:pPr>
              <w:spacing w:after="40" w:before="40"/>
            </w:pPr>
            <w:r/>
            <w:r>
              <w:rPr>
                <w:rFonts w:ascii="Cambria" w:hAnsi="Cambria"/>
                <w:b w:val="0"/>
                <w:i w:val="0"/>
                <w:sz w:val="22"/>
              </w:rPr>
              <w:t>Board of Management</w:t>
            </w:r>
          </w:p>
        </w:tc>
      </w:tr>
    </w:tbl>
    <w:p>
      <w:pPr>
        <w:spacing w:after="40"/>
      </w:pPr>
    </w:p>
    <w:p>
      <w:r>
        <w:br w:type="page"/>
      </w:r>
    </w:p>
    <w:p>
      <w:pPr>
        <w:keepNext/>
        <w:spacing w:before="280" w:after="160"/>
      </w:pPr>
      <w:r>
        <w:rPr>
          <w:rFonts w:ascii="Cambria" w:hAnsi="Cambria"/>
          <w:b/>
          <w:color w:val="1F3A5F"/>
          <w:sz w:val="32"/>
        </w:rPr>
        <w:t>11. Definition of “Period of Probation”</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The term “Period of Probation” refers to the initial phase of service during which an employee’s suitability, conduct, performance, and competence are assessed before confirmation in the post.</w:t>
      </w:r>
    </w:p>
    <w:p>
      <w:pPr>
        <w:pStyle w:val="ListBullet"/>
        <w:spacing w:line="276" w:lineRule="auto"/>
        <w:ind w:left="510"/>
      </w:pPr>
      <w:r>
        <w:rPr>
          <w:rFonts w:ascii="Cambria" w:hAnsi="Cambria"/>
          <w:b w:val="0"/>
          <w:i w:val="0"/>
          <w:sz w:val="22"/>
        </w:rPr>
        <w:t>It represents a trial period prescribed by the Board of Management (BoM) or specifically mentioned in the employee’s order of appointment.</w:t>
      </w:r>
    </w:p>
    <w:p>
      <w:pPr>
        <w:keepNext/>
        <w:spacing w:before="200" w:after="120"/>
      </w:pPr>
      <w:r>
        <w:rPr>
          <w:rFonts w:ascii="Cambria" w:hAnsi="Cambria"/>
          <w:b/>
          <w:color w:val="1F3A5F"/>
          <w:sz w:val="27"/>
        </w:rPr>
        <w:t>b. Key Features</w:t>
      </w:r>
    </w:p>
    <w:p>
      <w:pPr>
        <w:spacing w:line="276" w:lineRule="auto"/>
        <w:ind w:left="357" w:hanging="357"/>
      </w:pPr>
      <w:r>
        <w:rPr>
          <w:rFonts w:ascii="Cambria" w:hAnsi="Cambria"/>
          <w:b w:val="0"/>
          <w:i w:val="0"/>
          <w:sz w:val="22"/>
        </w:rPr>
        <w:t xml:space="preserve">1. </w:t>
      </w:r>
      <w:r>
        <w:rPr>
          <w:rFonts w:ascii="Cambria" w:hAnsi="Cambria"/>
          <w:b w:val="0"/>
          <w:i w:val="0"/>
          <w:sz w:val="22"/>
        </w:rPr>
        <w:t>Prescribed Duration:</w:t>
      </w:r>
    </w:p>
    <w:p>
      <w:pPr>
        <w:pStyle w:val="ListBullet2"/>
        <w:spacing w:line="276" w:lineRule="auto"/>
        <w:ind w:left="1020"/>
      </w:pPr>
      <w:r>
        <w:rPr>
          <w:rFonts w:ascii="Cambria" w:hAnsi="Cambria"/>
          <w:b w:val="0"/>
          <w:i w:val="0"/>
          <w:sz w:val="22"/>
        </w:rPr>
        <w:t>The period of probation shall be as fixed by the BoM or as stated in the appointment letter, typically:</w:t>
      </w:r>
    </w:p>
    <w:p>
      <w:pPr>
        <w:pStyle w:val="ListBullet2"/>
        <w:ind w:left="1474"/>
      </w:pPr>
      <w:r>
        <w:rPr>
          <w:rFonts w:ascii="Cambria" w:hAnsi="Cambria"/>
          <w:b w:val="0"/>
          <w:i w:val="0"/>
          <w:sz w:val="22"/>
        </w:rPr>
        <w:t>One year for non-teaching and technical staff.</w:t>
      </w:r>
    </w:p>
    <w:p>
      <w:pPr>
        <w:pStyle w:val="ListBullet2"/>
        <w:ind w:left="1474"/>
      </w:pPr>
      <w:r>
        <w:rPr>
          <w:rFonts w:ascii="Cambria" w:hAnsi="Cambria"/>
          <w:b w:val="0"/>
          <w:i w:val="0"/>
          <w:sz w:val="22"/>
        </w:rPr>
        <w:t>Two years for teaching or administrative staff (subject to BoM modification).</w:t>
      </w:r>
    </w:p>
    <w:p>
      <w:pPr>
        <w:spacing w:line="276" w:lineRule="auto"/>
        <w:ind w:left="357" w:hanging="357"/>
      </w:pPr>
      <w:r>
        <w:rPr>
          <w:rFonts w:ascii="Cambria" w:hAnsi="Cambria"/>
          <w:b w:val="0"/>
          <w:i w:val="0"/>
          <w:sz w:val="22"/>
        </w:rPr>
        <w:t xml:space="preserve">2. </w:t>
      </w:r>
      <w:r>
        <w:rPr>
          <w:rFonts w:ascii="Cambria" w:hAnsi="Cambria"/>
          <w:b w:val="0"/>
          <w:i w:val="0"/>
          <w:sz w:val="22"/>
        </w:rPr>
        <w:t>Purpose:</w:t>
      </w:r>
    </w:p>
    <w:p>
      <w:pPr>
        <w:pStyle w:val="ListBullet2"/>
        <w:spacing w:line="276" w:lineRule="auto"/>
        <w:ind w:left="1020"/>
      </w:pPr>
      <w:r>
        <w:rPr>
          <w:rFonts w:ascii="Cambria" w:hAnsi="Cambria"/>
          <w:b w:val="0"/>
          <w:i w:val="0"/>
          <w:sz w:val="22"/>
        </w:rPr>
        <w:t>To evaluate the employee’s:</w:t>
      </w:r>
    </w:p>
    <w:p>
      <w:pPr>
        <w:pStyle w:val="ListBullet2"/>
        <w:ind w:left="1474"/>
      </w:pPr>
      <w:r>
        <w:rPr>
          <w:rFonts w:ascii="Cambria" w:hAnsi="Cambria"/>
          <w:b w:val="0"/>
          <w:i w:val="0"/>
          <w:sz w:val="22"/>
        </w:rPr>
        <w:t>Professional competence and performance efficiency.</w:t>
      </w:r>
    </w:p>
    <w:p>
      <w:pPr>
        <w:pStyle w:val="ListBullet2"/>
        <w:ind w:left="1474"/>
      </w:pPr>
      <w:r>
        <w:rPr>
          <w:rFonts w:ascii="Cambria" w:hAnsi="Cambria"/>
          <w:b w:val="0"/>
          <w:i w:val="0"/>
          <w:sz w:val="22"/>
        </w:rPr>
        <w:t>Discipline, conduct, and adherence to institutional rules.</w:t>
      </w:r>
    </w:p>
    <w:p>
      <w:pPr>
        <w:pStyle w:val="ListBullet2"/>
        <w:ind w:left="1474"/>
      </w:pPr>
      <w:r>
        <w:rPr>
          <w:rFonts w:ascii="Cambria" w:hAnsi="Cambria"/>
          <w:b w:val="0"/>
          <w:i w:val="0"/>
          <w:sz w:val="22"/>
        </w:rPr>
        <w:t>Ability to fulfill responsibilities associated with the post.</w:t>
      </w:r>
    </w:p>
    <w:p>
      <w:pPr>
        <w:spacing w:line="276" w:lineRule="auto"/>
        <w:ind w:left="357" w:hanging="357"/>
      </w:pPr>
      <w:r>
        <w:rPr>
          <w:rFonts w:ascii="Cambria" w:hAnsi="Cambria"/>
          <w:b w:val="0"/>
          <w:i w:val="0"/>
          <w:sz w:val="22"/>
        </w:rPr>
        <w:t xml:space="preserve">3. </w:t>
      </w:r>
      <w:r>
        <w:rPr>
          <w:rFonts w:ascii="Cambria" w:hAnsi="Cambria"/>
          <w:b w:val="0"/>
          <w:i w:val="0"/>
          <w:sz w:val="22"/>
        </w:rPr>
        <w:t>Extension of Probation:</w:t>
      </w:r>
    </w:p>
    <w:p>
      <w:pPr>
        <w:pStyle w:val="ListBullet2"/>
        <w:spacing w:line="276" w:lineRule="auto"/>
        <w:ind w:left="1020"/>
      </w:pPr>
      <w:r>
        <w:rPr>
          <w:rFonts w:ascii="Cambria" w:hAnsi="Cambria"/>
          <w:b w:val="0"/>
          <w:i w:val="0"/>
          <w:sz w:val="22"/>
        </w:rPr>
        <w:t>The probationary period may be extended if the employee’s performance is not found satisfactory.</w:t>
      </w:r>
    </w:p>
    <w:p>
      <w:pPr>
        <w:pStyle w:val="ListBullet2"/>
        <w:spacing w:line="276" w:lineRule="auto"/>
        <w:ind w:left="1020"/>
      </w:pPr>
      <w:r>
        <w:rPr>
          <w:rFonts w:ascii="Cambria" w:hAnsi="Cambria"/>
          <w:b w:val="0"/>
          <w:i w:val="0"/>
          <w:sz w:val="22"/>
        </w:rPr>
        <w:t>Extension shall be formally communicated in writing by the competent authority.</w:t>
      </w:r>
    </w:p>
    <w:p>
      <w:pPr>
        <w:pStyle w:val="ListBullet2"/>
        <w:spacing w:line="276" w:lineRule="auto"/>
        <w:ind w:left="1020"/>
      </w:pPr>
      <w:r>
        <w:rPr>
          <w:rFonts w:ascii="Cambria" w:hAnsi="Cambria"/>
          <w:b w:val="0"/>
          <w:i w:val="0"/>
          <w:sz w:val="22"/>
        </w:rPr>
        <w:t>The total period of probation, including extensions, shall not ordinarily exceed double the prescribed period.</w:t>
      </w:r>
    </w:p>
    <w:p>
      <w:pPr>
        <w:spacing w:line="276" w:lineRule="auto"/>
        <w:ind w:left="357" w:hanging="357"/>
      </w:pPr>
      <w:r>
        <w:rPr>
          <w:rFonts w:ascii="Cambria" w:hAnsi="Cambria"/>
          <w:b w:val="0"/>
          <w:i w:val="0"/>
          <w:sz w:val="22"/>
        </w:rPr>
        <w:t xml:space="preserve">4. </w:t>
      </w:r>
      <w:r>
        <w:rPr>
          <w:rFonts w:ascii="Cambria" w:hAnsi="Cambria"/>
          <w:b w:val="0"/>
          <w:i w:val="0"/>
          <w:sz w:val="22"/>
        </w:rPr>
        <w:t>Confirmation after Probation:</w:t>
      </w:r>
    </w:p>
    <w:p>
      <w:pPr>
        <w:pStyle w:val="ListBullet2"/>
        <w:spacing w:line="276" w:lineRule="auto"/>
        <w:ind w:left="1020"/>
      </w:pPr>
      <w:r>
        <w:rPr>
          <w:rFonts w:ascii="Cambria" w:hAnsi="Cambria"/>
          <w:b w:val="0"/>
          <w:i w:val="0"/>
          <w:sz w:val="22"/>
        </w:rPr>
        <w:t>Successful completion of the probation period is followed by confirmation in the post, subject to approval by the Appointing Authority.</w:t>
      </w:r>
    </w:p>
    <w:p>
      <w:pPr>
        <w:pStyle w:val="ListBullet2"/>
        <w:spacing w:line="276" w:lineRule="auto"/>
        <w:ind w:left="1020"/>
      </w:pPr>
      <w:r>
        <w:rPr>
          <w:rFonts w:ascii="Cambria" w:hAnsi="Cambria"/>
          <w:b w:val="0"/>
          <w:i w:val="0"/>
          <w:sz w:val="22"/>
        </w:rPr>
        <w:t>An employee is deemed confirmed only upon issuance of a formal confirmation order.</w:t>
      </w:r>
    </w:p>
    <w:p>
      <w:pPr>
        <w:spacing w:line="276" w:lineRule="auto"/>
        <w:ind w:left="357" w:hanging="357"/>
      </w:pPr>
      <w:r>
        <w:rPr>
          <w:rFonts w:ascii="Cambria" w:hAnsi="Cambria"/>
          <w:b w:val="0"/>
          <w:i w:val="0"/>
          <w:sz w:val="22"/>
        </w:rPr>
        <w:t xml:space="preserve">5. </w:t>
      </w:r>
      <w:r>
        <w:rPr>
          <w:rFonts w:ascii="Cambria" w:hAnsi="Cambria"/>
          <w:b w:val="0"/>
          <w:i w:val="0"/>
          <w:sz w:val="22"/>
        </w:rPr>
        <w:t>Termination during Probation:</w:t>
      </w:r>
    </w:p>
    <w:p>
      <w:pPr>
        <w:pStyle w:val="ListBullet2"/>
        <w:spacing w:line="276" w:lineRule="auto"/>
        <w:ind w:left="1020"/>
      </w:pPr>
      <w:r>
        <w:rPr>
          <w:rFonts w:ascii="Cambria" w:hAnsi="Cambria"/>
          <w:b w:val="0"/>
          <w:i w:val="0"/>
          <w:sz w:val="22"/>
        </w:rPr>
        <w:t>Services of a probationer may be terminated without notice or compensation, if performance, conduct, or integrity is found unsatisfactory, as per service rules.</w:t>
      </w:r>
    </w:p>
    <w:p>
      <w:pPr>
        <w:pStyle w:val="ListBullet2"/>
        <w:spacing w:line="276" w:lineRule="auto"/>
        <w:ind w:left="1020"/>
      </w:pPr>
      <w:r>
        <w:rPr>
          <w:rFonts w:ascii="Cambria" w:hAnsi="Cambria"/>
          <w:b w:val="0"/>
          <w:i w:val="0"/>
          <w:sz w:val="22"/>
        </w:rPr>
        <w:t>Such termination shall not be treated as a penalty but as non-confirmation in the post.</w:t>
      </w:r>
    </w:p>
    <w:p>
      <w:pPr>
        <w:spacing w:line="276" w:lineRule="auto"/>
        <w:ind w:left="357" w:hanging="357"/>
      </w:pPr>
      <w:r>
        <w:rPr>
          <w:rFonts w:ascii="Cambria" w:hAnsi="Cambria"/>
          <w:b w:val="0"/>
          <w:i w:val="0"/>
          <w:sz w:val="22"/>
        </w:rPr>
        <w:t xml:space="preserve">6. </w:t>
      </w:r>
      <w:r>
        <w:rPr>
          <w:rFonts w:ascii="Cambria" w:hAnsi="Cambria"/>
          <w:b w:val="0"/>
          <w:i w:val="0"/>
          <w:sz w:val="22"/>
        </w:rPr>
        <w:t>Counting for Service:</w:t>
      </w:r>
    </w:p>
    <w:p>
      <w:pPr>
        <w:pStyle w:val="ListBullet2"/>
        <w:spacing w:line="276" w:lineRule="auto"/>
        <w:ind w:left="1020"/>
      </w:pPr>
      <w:r>
        <w:rPr>
          <w:rFonts w:ascii="Cambria" w:hAnsi="Cambria"/>
          <w:b w:val="0"/>
          <w:i w:val="0"/>
          <w:sz w:val="22"/>
        </w:rPr>
        <w:t>The period spent on probation counts towards total service upon confirmation for purposes of leave, increment, and retirement benefits.</w:t>
      </w:r>
    </w:p>
    <w:p>
      <w:pPr>
        <w:keepNext/>
        <w:spacing w:before="200" w:after="120"/>
      </w:pPr>
      <w:r>
        <w:rPr>
          <w:rFonts w:ascii="Cambria" w:hAnsi="Cambria"/>
          <w:b/>
          <w:color w:val="1F3A5F"/>
          <w:sz w:val="27"/>
        </w:rPr>
        <w:t>c.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814"/>
            <w:shd w:val="clear" w:color="auto" w:fill="1F3A5F"/>
          </w:tcPr>
          <w:p>
            <w:pPr>
              <w:spacing w:after="40" w:before="40"/>
            </w:pPr>
            <w:r/>
            <w:r>
              <w:rPr>
                <w:rFonts w:ascii="Cambria" w:hAnsi="Cambria"/>
                <w:b/>
                <w:i w:val="0"/>
                <w:color w:val="FFFFFF"/>
                <w:sz w:val="22"/>
              </w:rPr>
              <w:t>Aspect</w:t>
            </w:r>
          </w:p>
        </w:tc>
        <w:tc>
          <w:tcPr>
            <w:tcW w:type="dxa" w:w="5329"/>
            <w:shd w:val="clear" w:color="auto" w:fill="1F3A5F"/>
          </w:tcPr>
          <w:p>
            <w:pPr>
              <w:spacing w:after="40" w:before="40"/>
            </w:pPr>
            <w:r/>
            <w:r>
              <w:rPr>
                <w:rFonts w:ascii="Cambria" w:hAnsi="Cambria"/>
                <w:b/>
                <w:i w:val="0"/>
                <w:color w:val="FFFFFF"/>
                <w:sz w:val="22"/>
              </w:rPr>
              <w:t>Description</w:t>
            </w:r>
          </w:p>
        </w:tc>
        <w:tc>
          <w:tcPr>
            <w:tcW w:type="dxa" w:w="2381"/>
            <w:shd w:val="clear" w:color="auto" w:fill="1F3A5F"/>
          </w:tcPr>
          <w:p>
            <w:pPr>
              <w:spacing w:after="40" w:before="40"/>
            </w:pPr>
            <w:r/>
            <w:r>
              <w:rPr>
                <w:rFonts w:ascii="Cambria" w:hAnsi="Cambria"/>
                <w:b/>
                <w:i w:val="0"/>
                <w:color w:val="FFFFFF"/>
                <w:sz w:val="22"/>
              </w:rPr>
              <w:t>Authority</w:t>
            </w:r>
          </w:p>
        </w:tc>
      </w:tr>
      <w:tr>
        <w:tc>
          <w:tcPr>
            <w:tcW w:type="dxa" w:w="1814"/>
          </w:tcPr>
          <w:p>
            <w:pPr>
              <w:spacing w:after="40" w:before="40"/>
            </w:pPr>
            <w:r/>
            <w:r>
              <w:rPr>
                <w:rFonts w:ascii="Cambria" w:hAnsi="Cambria"/>
                <w:b w:val="0"/>
                <w:i w:val="0"/>
                <w:sz w:val="22"/>
              </w:rPr>
              <w:t>Definition</w:t>
            </w:r>
          </w:p>
        </w:tc>
        <w:tc>
          <w:tcPr>
            <w:tcW w:type="dxa" w:w="5329"/>
          </w:tcPr>
          <w:p>
            <w:pPr>
              <w:spacing w:after="40" w:before="40"/>
            </w:pPr>
            <w:r/>
            <w:r>
              <w:rPr>
                <w:rFonts w:ascii="Cambria" w:hAnsi="Cambria"/>
                <w:b w:val="0"/>
                <w:i w:val="0"/>
                <w:sz w:val="22"/>
              </w:rPr>
              <w:t>Period prescribed by BoM or specified in the appointment order to assess suitability for confirmation</w:t>
            </w:r>
          </w:p>
        </w:tc>
        <w:tc>
          <w:tcPr>
            <w:tcW w:type="dxa" w:w="2381"/>
          </w:tcPr>
          <w:p>
            <w:pPr>
              <w:spacing w:after="40" w:before="40"/>
            </w:pPr>
            <w:r/>
            <w:r>
              <w:rPr>
                <w:rFonts w:ascii="Cambria" w:hAnsi="Cambria"/>
                <w:b w:val="0"/>
                <w:i w:val="0"/>
                <w:sz w:val="22"/>
              </w:rPr>
              <w:t>BoM / Appointing Authority</w:t>
            </w:r>
          </w:p>
        </w:tc>
      </w:tr>
      <w:tr>
        <w:tc>
          <w:tcPr>
            <w:tcW w:type="dxa" w:w="1814"/>
            <w:shd w:val="clear" w:color="auto" w:fill="F0F2F5"/>
          </w:tcPr>
          <w:p>
            <w:pPr>
              <w:spacing w:after="40" w:before="40"/>
            </w:pPr>
            <w:r/>
            <w:r>
              <w:rPr>
                <w:rFonts w:ascii="Cambria" w:hAnsi="Cambria"/>
                <w:b w:val="0"/>
                <w:i w:val="0"/>
                <w:sz w:val="22"/>
              </w:rPr>
              <w:t>Typical Duration</w:t>
            </w:r>
          </w:p>
        </w:tc>
        <w:tc>
          <w:tcPr>
            <w:tcW w:type="dxa" w:w="5329"/>
            <w:shd w:val="clear" w:color="auto" w:fill="F0F2F5"/>
          </w:tcPr>
          <w:p>
            <w:pPr>
              <w:spacing w:after="40" w:before="40"/>
            </w:pPr>
            <w:r/>
            <w:r>
              <w:rPr>
                <w:rFonts w:ascii="Cambria" w:hAnsi="Cambria"/>
                <w:b w:val="0"/>
                <w:i w:val="0"/>
                <w:sz w:val="22"/>
              </w:rPr>
              <w:t>1 year (Non-Teaching); 2 years (Teaching/Administrative)</w:t>
            </w:r>
          </w:p>
        </w:tc>
        <w:tc>
          <w:tcPr>
            <w:tcW w:type="dxa" w:w="2381"/>
            <w:shd w:val="clear" w:color="auto" w:fill="F0F2F5"/>
          </w:tcPr>
          <w:p>
            <w:pPr>
              <w:spacing w:after="40" w:before="40"/>
            </w:pPr>
            <w:r/>
            <w:r>
              <w:rPr>
                <w:rFonts w:ascii="Cambria" w:hAnsi="Cambria"/>
                <w:b w:val="0"/>
                <w:i w:val="0"/>
                <w:sz w:val="22"/>
              </w:rPr>
              <w:t>BoM / Appointment Order</w:t>
            </w:r>
          </w:p>
        </w:tc>
      </w:tr>
      <w:tr>
        <w:tc>
          <w:tcPr>
            <w:tcW w:type="dxa" w:w="1814"/>
          </w:tcPr>
          <w:p>
            <w:pPr>
              <w:spacing w:after="40" w:before="40"/>
            </w:pPr>
            <w:r/>
            <w:r>
              <w:rPr>
                <w:rFonts w:ascii="Cambria" w:hAnsi="Cambria"/>
                <w:b w:val="0"/>
                <w:i w:val="0"/>
                <w:sz w:val="22"/>
              </w:rPr>
              <w:t>Extension</w:t>
            </w:r>
          </w:p>
        </w:tc>
        <w:tc>
          <w:tcPr>
            <w:tcW w:type="dxa" w:w="5329"/>
          </w:tcPr>
          <w:p>
            <w:pPr>
              <w:spacing w:after="40" w:before="40"/>
            </w:pPr>
            <w:r/>
            <w:r>
              <w:rPr>
                <w:rFonts w:ascii="Cambria" w:hAnsi="Cambria"/>
                <w:b w:val="0"/>
                <w:i w:val="0"/>
                <w:sz w:val="22"/>
              </w:rPr>
              <w:t>Permitted once or twice, based on performance</w:t>
            </w:r>
          </w:p>
        </w:tc>
        <w:tc>
          <w:tcPr>
            <w:tcW w:type="dxa" w:w="2381"/>
          </w:tcPr>
          <w:p>
            <w:pPr>
              <w:spacing w:after="40" w:before="40"/>
            </w:pPr>
            <w:r/>
            <w:r>
              <w:rPr>
                <w:rFonts w:ascii="Cambria" w:hAnsi="Cambria"/>
                <w:b w:val="0"/>
                <w:i w:val="0"/>
                <w:sz w:val="22"/>
              </w:rPr>
              <w:t>Appointing Authority</w:t>
            </w:r>
          </w:p>
        </w:tc>
      </w:tr>
      <w:tr>
        <w:tc>
          <w:tcPr>
            <w:tcW w:type="dxa" w:w="1814"/>
            <w:shd w:val="clear" w:color="auto" w:fill="F0F2F5"/>
          </w:tcPr>
          <w:p>
            <w:pPr>
              <w:spacing w:after="40" w:before="40"/>
            </w:pPr>
            <w:r/>
            <w:r>
              <w:rPr>
                <w:rFonts w:ascii="Cambria" w:hAnsi="Cambria"/>
                <w:b w:val="0"/>
                <w:i w:val="0"/>
                <w:sz w:val="22"/>
              </w:rPr>
              <w:t>Confirmation</w:t>
            </w:r>
          </w:p>
        </w:tc>
        <w:tc>
          <w:tcPr>
            <w:tcW w:type="dxa" w:w="5329"/>
            <w:shd w:val="clear" w:color="auto" w:fill="F0F2F5"/>
          </w:tcPr>
          <w:p>
            <w:pPr>
              <w:spacing w:after="40" w:before="40"/>
            </w:pPr>
            <w:r/>
            <w:r>
              <w:rPr>
                <w:rFonts w:ascii="Cambria" w:hAnsi="Cambria"/>
                <w:b w:val="0"/>
                <w:i w:val="0"/>
                <w:sz w:val="22"/>
              </w:rPr>
              <w:t>Upon satisfactory completion and formal approval</w:t>
            </w:r>
          </w:p>
        </w:tc>
        <w:tc>
          <w:tcPr>
            <w:tcW w:type="dxa" w:w="2381"/>
            <w:shd w:val="clear" w:color="auto" w:fill="F0F2F5"/>
          </w:tcPr>
          <w:p>
            <w:pPr>
              <w:spacing w:after="40" w:before="40"/>
            </w:pPr>
            <w:r/>
            <w:r>
              <w:rPr>
                <w:rFonts w:ascii="Cambria" w:hAnsi="Cambria"/>
                <w:b w:val="0"/>
                <w:i w:val="0"/>
                <w:sz w:val="22"/>
              </w:rPr>
              <w:t>BoM / Registrar / V.C.</w:t>
            </w:r>
          </w:p>
        </w:tc>
      </w:tr>
      <w:tr>
        <w:tc>
          <w:tcPr>
            <w:tcW w:type="dxa" w:w="1814"/>
          </w:tcPr>
          <w:p>
            <w:pPr>
              <w:spacing w:after="40" w:before="40"/>
            </w:pPr>
            <w:r/>
            <w:r>
              <w:rPr>
                <w:rFonts w:ascii="Cambria" w:hAnsi="Cambria"/>
                <w:b w:val="0"/>
                <w:i w:val="0"/>
                <w:sz w:val="22"/>
              </w:rPr>
              <w:t>Termination</w:t>
            </w:r>
          </w:p>
        </w:tc>
        <w:tc>
          <w:tcPr>
            <w:tcW w:type="dxa" w:w="5329"/>
          </w:tcPr>
          <w:p>
            <w:pPr>
              <w:spacing w:after="40" w:before="40"/>
            </w:pPr>
            <w:r/>
            <w:r>
              <w:rPr>
                <w:rFonts w:ascii="Cambria" w:hAnsi="Cambria"/>
                <w:b w:val="0"/>
                <w:i w:val="0"/>
                <w:sz w:val="22"/>
              </w:rPr>
              <w:t>Possible without notice during probation for unsatisfactory conduct</w:t>
            </w:r>
          </w:p>
        </w:tc>
        <w:tc>
          <w:tcPr>
            <w:tcW w:type="dxa" w:w="2381"/>
          </w:tcPr>
          <w:p>
            <w:pPr>
              <w:spacing w:after="40" w:before="40"/>
            </w:pPr>
            <w:r/>
            <w:r>
              <w:rPr>
                <w:rFonts w:ascii="Cambria" w:hAnsi="Cambria"/>
                <w:b w:val="0"/>
                <w:i w:val="0"/>
                <w:sz w:val="22"/>
              </w:rPr>
              <w:t>Appointing Authority</w:t>
            </w:r>
          </w:p>
        </w:tc>
      </w:tr>
    </w:tbl>
    <w:p>
      <w:pPr>
        <w:spacing w:after="40"/>
      </w:pPr>
    </w:p>
    <w:p>
      <w:r>
        <w:br w:type="page"/>
      </w:r>
    </w:p>
    <w:p>
      <w:pPr>
        <w:keepNext/>
        <w:spacing w:before="280" w:after="160"/>
      </w:pPr>
      <w:r>
        <w:rPr>
          <w:rFonts w:ascii="Cambria" w:hAnsi="Cambria"/>
          <w:b/>
          <w:color w:val="1F3A5F"/>
          <w:sz w:val="32"/>
        </w:rPr>
        <w:t>12. Definition of “Probationer”</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A “Probationer” is an employee who has not yet completed the prescribed period of probation as determined by the Board of Management (BoM) or specified in their appointment order.</w:t>
      </w:r>
    </w:p>
    <w:p>
      <w:pPr>
        <w:pStyle w:val="ListBullet"/>
        <w:spacing w:line="276" w:lineRule="auto"/>
        <w:ind w:left="510"/>
      </w:pPr>
      <w:r>
        <w:rPr>
          <w:rFonts w:ascii="Cambria" w:hAnsi="Cambria"/>
          <w:b w:val="0"/>
          <w:i w:val="0"/>
          <w:sz w:val="22"/>
        </w:rPr>
        <w:t>During this period, the employee is considered to be under evaluation for suitability, efficiency, integrity, and fitness for confirmation in the post.</w:t>
      </w:r>
    </w:p>
    <w:p>
      <w:pPr>
        <w:keepNext/>
        <w:spacing w:before="200" w:after="120"/>
      </w:pPr>
      <w:r>
        <w:rPr>
          <w:rFonts w:ascii="Cambria" w:hAnsi="Cambria"/>
          <w:b/>
          <w:color w:val="1F3A5F"/>
          <w:sz w:val="27"/>
        </w:rPr>
        <w:t>b. Characteristics of a Probationer</w:t>
      </w:r>
    </w:p>
    <w:p>
      <w:pPr>
        <w:spacing w:line="276" w:lineRule="auto"/>
        <w:ind w:left="357" w:hanging="357"/>
      </w:pPr>
      <w:r>
        <w:rPr>
          <w:rFonts w:ascii="Cambria" w:hAnsi="Cambria"/>
          <w:b w:val="0"/>
          <w:i w:val="0"/>
          <w:sz w:val="22"/>
        </w:rPr>
        <w:t xml:space="preserve">1. </w:t>
      </w:r>
      <w:r>
        <w:rPr>
          <w:rFonts w:ascii="Cambria" w:hAnsi="Cambria"/>
          <w:b w:val="0"/>
          <w:i w:val="0"/>
          <w:sz w:val="22"/>
        </w:rPr>
        <w:t>Temporary Evaluation Status:</w:t>
      </w:r>
    </w:p>
    <w:p>
      <w:pPr>
        <w:pStyle w:val="ListBullet2"/>
        <w:spacing w:line="276" w:lineRule="auto"/>
        <w:ind w:left="1020"/>
      </w:pPr>
      <w:r>
        <w:rPr>
          <w:rFonts w:ascii="Cambria" w:hAnsi="Cambria"/>
          <w:b w:val="0"/>
          <w:i w:val="0"/>
          <w:sz w:val="22"/>
        </w:rPr>
        <w:t>A probationer holds the post on a trial basis and does not yet acquire the rights and privileges of a confirmed employee.</w:t>
      </w:r>
    </w:p>
    <w:p>
      <w:pPr>
        <w:spacing w:line="276" w:lineRule="auto"/>
        <w:ind w:left="357" w:hanging="357"/>
      </w:pPr>
      <w:r>
        <w:rPr>
          <w:rFonts w:ascii="Cambria" w:hAnsi="Cambria"/>
          <w:b w:val="0"/>
          <w:i w:val="0"/>
          <w:sz w:val="22"/>
        </w:rPr>
        <w:t xml:space="preserve">2. </w:t>
      </w:r>
      <w:r>
        <w:rPr>
          <w:rFonts w:ascii="Cambria" w:hAnsi="Cambria"/>
          <w:b w:val="0"/>
          <w:i w:val="0"/>
          <w:sz w:val="22"/>
        </w:rPr>
        <w:t>Performance Assessment:</w:t>
      </w:r>
    </w:p>
    <w:p>
      <w:pPr>
        <w:pStyle w:val="ListBullet2"/>
        <w:spacing w:line="276" w:lineRule="auto"/>
        <w:ind w:left="1020"/>
      </w:pPr>
      <w:r>
        <w:rPr>
          <w:rFonts w:ascii="Cambria" w:hAnsi="Cambria"/>
          <w:b w:val="0"/>
          <w:i w:val="0"/>
          <w:sz w:val="22"/>
        </w:rPr>
        <w:t>The probationer’s work performance, conduct, punctuality, and adherence to institutional regulations are reviewed periodically by the supervising authority or department head.</w:t>
      </w:r>
    </w:p>
    <w:p>
      <w:pPr>
        <w:spacing w:line="276" w:lineRule="auto"/>
        <w:ind w:left="357" w:hanging="357"/>
      </w:pPr>
      <w:r>
        <w:rPr>
          <w:rFonts w:ascii="Cambria" w:hAnsi="Cambria"/>
          <w:b w:val="0"/>
          <w:i w:val="0"/>
          <w:sz w:val="22"/>
        </w:rPr>
        <w:t xml:space="preserve">3. </w:t>
      </w:r>
      <w:r>
        <w:rPr>
          <w:rFonts w:ascii="Cambria" w:hAnsi="Cambria"/>
          <w:b w:val="0"/>
          <w:i w:val="0"/>
          <w:sz w:val="22"/>
        </w:rPr>
        <w:t>No Automatic Confirmation:</w:t>
      </w:r>
    </w:p>
    <w:p>
      <w:pPr>
        <w:pStyle w:val="ListBullet2"/>
        <w:spacing w:line="276" w:lineRule="auto"/>
        <w:ind w:left="1020"/>
      </w:pPr>
      <w:r>
        <w:rPr>
          <w:rFonts w:ascii="Cambria" w:hAnsi="Cambria"/>
          <w:b w:val="0"/>
          <w:i w:val="0"/>
          <w:sz w:val="22"/>
        </w:rPr>
        <w:t>Mere completion of the probation period does not automatically confer confirmation.</w:t>
      </w:r>
    </w:p>
    <w:p>
      <w:pPr>
        <w:pStyle w:val="ListBullet2"/>
        <w:spacing w:line="276" w:lineRule="auto"/>
        <w:ind w:left="1020"/>
      </w:pPr>
      <w:r>
        <w:rPr>
          <w:rFonts w:ascii="Cambria" w:hAnsi="Cambria"/>
          <w:b w:val="0"/>
          <w:i w:val="0"/>
          <w:sz w:val="22"/>
        </w:rPr>
        <w:t>Confirmation requires a formal order issued by the Appointing Authority, based on satisfactory reports and recommendations.</w:t>
      </w:r>
    </w:p>
    <w:p>
      <w:pPr>
        <w:spacing w:line="276" w:lineRule="auto"/>
        <w:ind w:left="357" w:hanging="357"/>
      </w:pPr>
      <w:r>
        <w:rPr>
          <w:rFonts w:ascii="Cambria" w:hAnsi="Cambria"/>
          <w:b w:val="0"/>
          <w:i w:val="0"/>
          <w:sz w:val="22"/>
        </w:rPr>
        <w:t xml:space="preserve">4. </w:t>
      </w:r>
      <w:r>
        <w:rPr>
          <w:rFonts w:ascii="Cambria" w:hAnsi="Cambria"/>
          <w:b w:val="0"/>
          <w:i w:val="0"/>
          <w:sz w:val="22"/>
        </w:rPr>
        <w:t>Termination During Probation:</w:t>
      </w:r>
    </w:p>
    <w:p>
      <w:pPr>
        <w:pStyle w:val="ListBullet2"/>
        <w:spacing w:line="276" w:lineRule="auto"/>
        <w:ind w:left="1020"/>
      </w:pPr>
      <w:r>
        <w:rPr>
          <w:rFonts w:ascii="Cambria" w:hAnsi="Cambria"/>
          <w:b w:val="0"/>
          <w:i w:val="0"/>
          <w:sz w:val="22"/>
        </w:rPr>
        <w:t>Services of a probationer may be terminated at any time during the probation period without assigning any reason and without entitlement to compensation.</w:t>
      </w:r>
    </w:p>
    <w:p>
      <w:pPr>
        <w:pStyle w:val="ListBullet2"/>
        <w:spacing w:line="276" w:lineRule="auto"/>
        <w:ind w:left="1020"/>
      </w:pPr>
      <w:r>
        <w:rPr>
          <w:rFonts w:ascii="Cambria" w:hAnsi="Cambria"/>
          <w:b w:val="0"/>
          <w:i w:val="0"/>
          <w:sz w:val="22"/>
        </w:rPr>
        <w:t>Such termination is considered discharge from service, not a disciplinary penalty.</w:t>
      </w:r>
    </w:p>
    <w:p>
      <w:pPr>
        <w:spacing w:line="276" w:lineRule="auto"/>
        <w:ind w:left="357" w:hanging="357"/>
      </w:pPr>
      <w:r>
        <w:rPr>
          <w:rFonts w:ascii="Cambria" w:hAnsi="Cambria"/>
          <w:b w:val="0"/>
          <w:i w:val="0"/>
          <w:sz w:val="22"/>
        </w:rPr>
        <w:t xml:space="preserve">5. </w:t>
      </w:r>
      <w:r>
        <w:rPr>
          <w:rFonts w:ascii="Cambria" w:hAnsi="Cambria"/>
          <w:b w:val="0"/>
          <w:i w:val="0"/>
          <w:sz w:val="22"/>
        </w:rPr>
        <w:t>Rights During Probation:</w:t>
      </w:r>
    </w:p>
    <w:p>
      <w:pPr>
        <w:pStyle w:val="ListBullet2"/>
        <w:spacing w:line="276" w:lineRule="auto"/>
        <w:ind w:left="1020"/>
      </w:pPr>
      <w:r>
        <w:rPr>
          <w:rFonts w:ascii="Cambria" w:hAnsi="Cambria"/>
          <w:b w:val="0"/>
          <w:i w:val="0"/>
          <w:sz w:val="22"/>
        </w:rPr>
        <w:t>Probationers are entitled to:</w:t>
      </w:r>
    </w:p>
    <w:p>
      <w:pPr>
        <w:pStyle w:val="ListBullet2"/>
        <w:ind w:left="1474"/>
      </w:pPr>
      <w:r>
        <w:rPr>
          <w:rFonts w:ascii="Cambria" w:hAnsi="Cambria"/>
          <w:b w:val="0"/>
          <w:i w:val="0"/>
          <w:sz w:val="22"/>
        </w:rPr>
        <w:t>Pay and allowances applicable to the post.</w:t>
      </w:r>
    </w:p>
    <w:p>
      <w:pPr>
        <w:pStyle w:val="ListBullet2"/>
        <w:ind w:left="1474"/>
      </w:pPr>
      <w:r>
        <w:rPr>
          <w:rFonts w:ascii="Cambria" w:hAnsi="Cambria"/>
          <w:b w:val="0"/>
          <w:i w:val="0"/>
          <w:sz w:val="22"/>
        </w:rPr>
        <w:t>Leave and benefits as admissible under probationary service rules.</w:t>
      </w:r>
    </w:p>
    <w:p>
      <w:pPr>
        <w:pStyle w:val="ListBullet2"/>
        <w:spacing w:line="276" w:lineRule="auto"/>
        <w:ind w:left="1020"/>
      </w:pPr>
      <w:r>
        <w:rPr>
          <w:rFonts w:ascii="Cambria" w:hAnsi="Cambria"/>
          <w:b w:val="0"/>
          <w:i w:val="0"/>
          <w:sz w:val="22"/>
        </w:rPr>
        <w:t>However, they are not entitled to permanent benefits such as long-term leave encashment, promotion, or lien.</w:t>
      </w:r>
    </w:p>
    <w:p>
      <w:pPr>
        <w:spacing w:line="276" w:lineRule="auto"/>
        <w:ind w:left="357" w:hanging="357"/>
      </w:pPr>
      <w:r>
        <w:rPr>
          <w:rFonts w:ascii="Cambria" w:hAnsi="Cambria"/>
          <w:b w:val="0"/>
          <w:i w:val="0"/>
          <w:sz w:val="22"/>
        </w:rPr>
        <w:t xml:space="preserve">6. </w:t>
      </w:r>
      <w:r>
        <w:rPr>
          <w:rFonts w:ascii="Cambria" w:hAnsi="Cambria"/>
          <w:b w:val="0"/>
          <w:i w:val="0"/>
          <w:sz w:val="22"/>
        </w:rPr>
        <w:t>Extension of Probation:</w:t>
      </w:r>
    </w:p>
    <w:p>
      <w:pPr>
        <w:pStyle w:val="ListBullet2"/>
        <w:spacing w:line="276" w:lineRule="auto"/>
        <w:ind w:left="1020"/>
      </w:pPr>
      <w:r>
        <w:rPr>
          <w:rFonts w:ascii="Cambria" w:hAnsi="Cambria"/>
          <w:b w:val="0"/>
          <w:i w:val="0"/>
          <w:sz w:val="22"/>
        </w:rPr>
        <w:t>The period may be extended if performance is found unsatisfactory.</w:t>
      </w:r>
    </w:p>
    <w:p>
      <w:pPr>
        <w:pStyle w:val="ListBullet2"/>
        <w:spacing w:line="276" w:lineRule="auto"/>
        <w:ind w:left="1020"/>
      </w:pPr>
      <w:r>
        <w:rPr>
          <w:rFonts w:ascii="Cambria" w:hAnsi="Cambria"/>
          <w:b w:val="0"/>
          <w:i w:val="0"/>
          <w:sz w:val="22"/>
        </w:rPr>
        <w:t>The extension order must be formally communicated in writing before the expiry of the initial probation.</w:t>
      </w:r>
    </w:p>
    <w:p>
      <w:pPr>
        <w:keepNext/>
        <w:spacing w:before="200" w:after="120"/>
      </w:pPr>
      <w:r>
        <w:rPr>
          <w:rFonts w:ascii="Cambria" w:hAnsi="Cambria"/>
          <w:b/>
          <w:color w:val="1F3A5F"/>
          <w:sz w:val="27"/>
        </w:rPr>
        <w:t>c. Confirmation of Probationer</w:t>
      </w:r>
    </w:p>
    <w:p>
      <w:pPr>
        <w:pStyle w:val="ListBullet"/>
        <w:spacing w:line="276" w:lineRule="auto"/>
        <w:ind w:left="510"/>
      </w:pPr>
      <w:r>
        <w:rPr>
          <w:rFonts w:ascii="Cambria" w:hAnsi="Cambria"/>
          <w:b w:val="0"/>
          <w:i w:val="0"/>
          <w:sz w:val="22"/>
        </w:rPr>
        <w:t>Upon successful completion of the probation period and receipt of satisfactory performance reports, the probationer is confirmed in the post.</w:t>
      </w:r>
    </w:p>
    <w:p>
      <w:pPr>
        <w:pStyle w:val="ListBullet"/>
        <w:spacing w:line="276" w:lineRule="auto"/>
        <w:ind w:left="510"/>
      </w:pPr>
      <w:r>
        <w:rPr>
          <w:rFonts w:ascii="Cambria" w:hAnsi="Cambria"/>
          <w:b w:val="0"/>
          <w:i w:val="0"/>
          <w:sz w:val="22"/>
        </w:rPr>
        <w:t>The confirmation order must be issued in writing by the competent authority (Registrar or Vice-Chancellor).</w:t>
      </w:r>
    </w:p>
    <w:p>
      <w:pPr>
        <w:keepNext/>
        <w:spacing w:before="200" w:after="120"/>
      </w:pPr>
      <w:r>
        <w:rPr>
          <w:rFonts w:ascii="Cambria" w:hAnsi="Cambria"/>
          <w:b/>
          <w:color w:val="1F3A5F"/>
          <w:sz w:val="27"/>
        </w:rPr>
        <w:t>d.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814"/>
            <w:shd w:val="clear" w:color="auto" w:fill="1F3A5F"/>
          </w:tcPr>
          <w:p>
            <w:pPr>
              <w:spacing w:after="40" w:before="40"/>
            </w:pPr>
            <w:r/>
            <w:r>
              <w:rPr>
                <w:rFonts w:ascii="Cambria" w:hAnsi="Cambria"/>
                <w:b/>
                <w:i w:val="0"/>
                <w:color w:val="FFFFFF"/>
                <w:sz w:val="22"/>
              </w:rPr>
              <w:t>Aspect</w:t>
            </w:r>
          </w:p>
        </w:tc>
        <w:tc>
          <w:tcPr>
            <w:tcW w:type="dxa" w:w="5329"/>
            <w:shd w:val="clear" w:color="auto" w:fill="1F3A5F"/>
          </w:tcPr>
          <w:p>
            <w:pPr>
              <w:spacing w:after="40" w:before="40"/>
            </w:pPr>
            <w:r/>
            <w:r>
              <w:rPr>
                <w:rFonts w:ascii="Cambria" w:hAnsi="Cambria"/>
                <w:b/>
                <w:i w:val="0"/>
                <w:color w:val="FFFFFF"/>
                <w:sz w:val="22"/>
              </w:rPr>
              <w:t>Description</w:t>
            </w:r>
          </w:p>
        </w:tc>
        <w:tc>
          <w:tcPr>
            <w:tcW w:type="dxa" w:w="2381"/>
            <w:shd w:val="clear" w:color="auto" w:fill="1F3A5F"/>
          </w:tcPr>
          <w:p>
            <w:pPr>
              <w:spacing w:after="40" w:before="40"/>
            </w:pPr>
            <w:r/>
            <w:r>
              <w:rPr>
                <w:rFonts w:ascii="Cambria" w:hAnsi="Cambria"/>
                <w:b/>
                <w:i w:val="0"/>
                <w:color w:val="FFFFFF"/>
                <w:sz w:val="22"/>
              </w:rPr>
              <w:t>Authority</w:t>
            </w:r>
          </w:p>
        </w:tc>
      </w:tr>
      <w:tr>
        <w:tc>
          <w:tcPr>
            <w:tcW w:type="dxa" w:w="1814"/>
          </w:tcPr>
          <w:p>
            <w:pPr>
              <w:spacing w:after="40" w:before="40"/>
            </w:pPr>
            <w:r/>
            <w:r>
              <w:rPr>
                <w:rFonts w:ascii="Cambria" w:hAnsi="Cambria"/>
                <w:b w:val="0"/>
                <w:i w:val="0"/>
                <w:sz w:val="22"/>
              </w:rPr>
              <w:t>Definition</w:t>
            </w:r>
          </w:p>
        </w:tc>
        <w:tc>
          <w:tcPr>
            <w:tcW w:type="dxa" w:w="5329"/>
          </w:tcPr>
          <w:p>
            <w:pPr>
              <w:spacing w:after="40" w:before="40"/>
            </w:pPr>
            <w:r/>
            <w:r>
              <w:rPr>
                <w:rFonts w:ascii="Cambria" w:hAnsi="Cambria"/>
                <w:b w:val="0"/>
                <w:i w:val="0"/>
                <w:sz w:val="22"/>
              </w:rPr>
              <w:t>Employee who has not completed the prescribed period of probation</w:t>
            </w:r>
          </w:p>
        </w:tc>
        <w:tc>
          <w:tcPr>
            <w:tcW w:type="dxa" w:w="2381"/>
          </w:tcPr>
          <w:p>
            <w:pPr>
              <w:spacing w:after="40" w:before="40"/>
            </w:pPr>
            <w:r/>
            <w:r>
              <w:rPr>
                <w:rFonts w:ascii="Cambria" w:hAnsi="Cambria"/>
                <w:b w:val="0"/>
                <w:i w:val="0"/>
                <w:sz w:val="22"/>
              </w:rPr>
              <w:t>BoM / Appointment Order</w:t>
            </w:r>
          </w:p>
        </w:tc>
      </w:tr>
      <w:tr>
        <w:tc>
          <w:tcPr>
            <w:tcW w:type="dxa" w:w="1814"/>
            <w:shd w:val="clear" w:color="auto" w:fill="F0F2F5"/>
          </w:tcPr>
          <w:p>
            <w:pPr>
              <w:spacing w:after="40" w:before="40"/>
            </w:pPr>
            <w:r/>
            <w:r>
              <w:rPr>
                <w:rFonts w:ascii="Cambria" w:hAnsi="Cambria"/>
                <w:b w:val="0"/>
                <w:i w:val="0"/>
                <w:sz w:val="22"/>
              </w:rPr>
              <w:t>Status</w:t>
            </w:r>
          </w:p>
        </w:tc>
        <w:tc>
          <w:tcPr>
            <w:tcW w:type="dxa" w:w="5329"/>
            <w:shd w:val="clear" w:color="auto" w:fill="F0F2F5"/>
          </w:tcPr>
          <w:p>
            <w:pPr>
              <w:spacing w:after="40" w:before="40"/>
            </w:pPr>
            <w:r/>
            <w:r>
              <w:rPr>
                <w:rFonts w:ascii="Cambria" w:hAnsi="Cambria"/>
                <w:b w:val="0"/>
                <w:i w:val="0"/>
                <w:sz w:val="22"/>
              </w:rPr>
              <w:t>Under trial / evaluation</w:t>
            </w:r>
          </w:p>
        </w:tc>
        <w:tc>
          <w:tcPr>
            <w:tcW w:type="dxa" w:w="2381"/>
            <w:shd w:val="clear" w:color="auto" w:fill="F0F2F5"/>
          </w:tcPr>
          <w:p>
            <w:pPr>
              <w:spacing w:after="40" w:before="40"/>
            </w:pPr>
            <w:r/>
            <w:r>
              <w:rPr>
                <w:rFonts w:ascii="Cambria" w:hAnsi="Cambria"/>
                <w:b w:val="0"/>
                <w:i w:val="0"/>
                <w:sz w:val="22"/>
              </w:rPr>
              <w:t>Appointing Authority</w:t>
            </w:r>
          </w:p>
        </w:tc>
      </w:tr>
      <w:tr>
        <w:tc>
          <w:tcPr>
            <w:tcW w:type="dxa" w:w="1814"/>
          </w:tcPr>
          <w:p>
            <w:pPr>
              <w:spacing w:after="40" w:before="40"/>
            </w:pPr>
            <w:r/>
            <w:r>
              <w:rPr>
                <w:rFonts w:ascii="Cambria" w:hAnsi="Cambria"/>
                <w:b w:val="0"/>
                <w:i w:val="0"/>
                <w:sz w:val="22"/>
              </w:rPr>
              <w:t>Rights</w:t>
            </w:r>
          </w:p>
        </w:tc>
        <w:tc>
          <w:tcPr>
            <w:tcW w:type="dxa" w:w="5329"/>
          </w:tcPr>
          <w:p>
            <w:pPr>
              <w:spacing w:after="40" w:before="40"/>
            </w:pPr>
            <w:r/>
            <w:r>
              <w:rPr>
                <w:rFonts w:ascii="Cambria" w:hAnsi="Cambria"/>
                <w:b w:val="0"/>
                <w:i w:val="0"/>
                <w:sz w:val="22"/>
              </w:rPr>
              <w:t>Salary and limited leave benefits</w:t>
            </w:r>
          </w:p>
        </w:tc>
        <w:tc>
          <w:tcPr>
            <w:tcW w:type="dxa" w:w="2381"/>
          </w:tcPr>
          <w:p>
            <w:pPr>
              <w:spacing w:after="40" w:before="40"/>
            </w:pPr>
            <w:r/>
            <w:r>
              <w:rPr>
                <w:rFonts w:ascii="Cambria" w:hAnsi="Cambria"/>
                <w:b w:val="0"/>
                <w:i w:val="0"/>
                <w:sz w:val="22"/>
              </w:rPr>
              <w:t>Registrar / HR Section</w:t>
            </w:r>
          </w:p>
        </w:tc>
      </w:tr>
      <w:tr>
        <w:tc>
          <w:tcPr>
            <w:tcW w:type="dxa" w:w="1814"/>
            <w:shd w:val="clear" w:color="auto" w:fill="F0F2F5"/>
          </w:tcPr>
          <w:p>
            <w:pPr>
              <w:spacing w:after="40" w:before="40"/>
            </w:pPr>
            <w:r/>
            <w:r>
              <w:rPr>
                <w:rFonts w:ascii="Cambria" w:hAnsi="Cambria"/>
                <w:b w:val="0"/>
                <w:i w:val="0"/>
                <w:sz w:val="22"/>
              </w:rPr>
              <w:t>Termination</w:t>
            </w:r>
          </w:p>
        </w:tc>
        <w:tc>
          <w:tcPr>
            <w:tcW w:type="dxa" w:w="5329"/>
            <w:shd w:val="clear" w:color="auto" w:fill="F0F2F5"/>
          </w:tcPr>
          <w:p>
            <w:pPr>
              <w:spacing w:after="40" w:before="40"/>
            </w:pPr>
            <w:r/>
            <w:r>
              <w:rPr>
                <w:rFonts w:ascii="Cambria" w:hAnsi="Cambria"/>
                <w:b w:val="0"/>
                <w:i w:val="0"/>
                <w:sz w:val="22"/>
              </w:rPr>
              <w:t>Without notice; not a penalty</w:t>
            </w:r>
          </w:p>
        </w:tc>
        <w:tc>
          <w:tcPr>
            <w:tcW w:type="dxa" w:w="2381"/>
            <w:shd w:val="clear" w:color="auto" w:fill="F0F2F5"/>
          </w:tcPr>
          <w:p>
            <w:pPr>
              <w:spacing w:after="40" w:before="40"/>
            </w:pPr>
            <w:r/>
            <w:r>
              <w:rPr>
                <w:rFonts w:ascii="Cambria" w:hAnsi="Cambria"/>
                <w:b w:val="0"/>
                <w:i w:val="0"/>
                <w:sz w:val="22"/>
              </w:rPr>
              <w:t>Appointing Authority</w:t>
            </w:r>
          </w:p>
        </w:tc>
      </w:tr>
      <w:tr>
        <w:tc>
          <w:tcPr>
            <w:tcW w:type="dxa" w:w="1814"/>
          </w:tcPr>
          <w:p>
            <w:pPr>
              <w:spacing w:after="40" w:before="40"/>
            </w:pPr>
            <w:r/>
            <w:r>
              <w:rPr>
                <w:rFonts w:ascii="Cambria" w:hAnsi="Cambria"/>
                <w:b w:val="0"/>
                <w:i w:val="0"/>
                <w:sz w:val="22"/>
              </w:rPr>
              <w:t>Confirmation</w:t>
            </w:r>
          </w:p>
        </w:tc>
        <w:tc>
          <w:tcPr>
            <w:tcW w:type="dxa" w:w="5329"/>
          </w:tcPr>
          <w:p>
            <w:pPr>
              <w:spacing w:after="40" w:before="40"/>
            </w:pPr>
            <w:r/>
            <w:r>
              <w:rPr>
                <w:rFonts w:ascii="Cambria" w:hAnsi="Cambria"/>
                <w:b w:val="0"/>
                <w:i w:val="0"/>
                <w:sz w:val="22"/>
              </w:rPr>
              <w:t>Requires written order after satisfactory completion</w:t>
            </w:r>
          </w:p>
        </w:tc>
        <w:tc>
          <w:tcPr>
            <w:tcW w:type="dxa" w:w="2381"/>
          </w:tcPr>
          <w:p>
            <w:pPr>
              <w:spacing w:after="40" w:before="40"/>
            </w:pPr>
            <w:r/>
            <w:r>
              <w:rPr>
                <w:rFonts w:ascii="Cambria" w:hAnsi="Cambria"/>
                <w:b w:val="0"/>
                <w:i w:val="0"/>
                <w:sz w:val="22"/>
              </w:rPr>
              <w:t>BoM / V.C.</w:t>
            </w:r>
          </w:p>
        </w:tc>
      </w:tr>
    </w:tbl>
    <w:p>
      <w:pPr>
        <w:spacing w:after="40"/>
      </w:pPr>
    </w:p>
    <w:p>
      <w:r>
        <w:br w:type="page"/>
      </w:r>
    </w:p>
    <w:p>
      <w:pPr>
        <w:keepNext/>
        <w:spacing w:before="280" w:after="160"/>
      </w:pPr>
      <w:r>
        <w:rPr>
          <w:rFonts w:ascii="Cambria" w:hAnsi="Cambria"/>
          <w:b/>
          <w:color w:val="1F3A5F"/>
          <w:sz w:val="32"/>
        </w:rPr>
        <w:t>13. Definition of “Subsistence Grant”</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A “Subsistence Grant” refers to a monthly monetary allowance sanctioned to an employee of the University who has been placed under suspension and, therefore, is not entitled to receive regular pay or leave salary during the period of suspension.</w:t>
      </w:r>
    </w:p>
    <w:p>
      <w:pPr>
        <w:pStyle w:val="ListBullet"/>
        <w:spacing w:line="276" w:lineRule="auto"/>
        <w:ind w:left="510"/>
      </w:pPr>
      <w:r>
        <w:rPr>
          <w:rFonts w:ascii="Cambria" w:hAnsi="Cambria"/>
          <w:b w:val="0"/>
          <w:i w:val="0"/>
          <w:sz w:val="22"/>
        </w:rPr>
        <w:t>It serves as a temporary financial support to enable the suspended employee to maintain himself/herself and dependents during the pendency of disciplinary proceedings.</w:t>
      </w:r>
    </w:p>
    <w:p>
      <w:pPr>
        <w:keepNext/>
        <w:spacing w:before="200" w:after="120"/>
      </w:pPr>
      <w:r>
        <w:rPr>
          <w:rFonts w:ascii="Cambria" w:hAnsi="Cambria"/>
          <w:b/>
          <w:color w:val="1F3A5F"/>
          <w:sz w:val="27"/>
        </w:rPr>
        <w:t>b. Purpose</w:t>
      </w:r>
    </w:p>
    <w:p>
      <w:pPr>
        <w:pStyle w:val="ListBullet"/>
        <w:spacing w:line="276" w:lineRule="auto"/>
        <w:ind w:left="510"/>
      </w:pPr>
      <w:r>
        <w:rPr>
          <w:rFonts w:ascii="Cambria" w:hAnsi="Cambria"/>
          <w:b w:val="0"/>
          <w:i w:val="0"/>
          <w:sz w:val="22"/>
        </w:rPr>
        <w:t>The grant ensures that the employee under suspension:</w:t>
      </w:r>
    </w:p>
    <w:p>
      <w:pPr>
        <w:pStyle w:val="ListBullet2"/>
        <w:spacing w:line="276" w:lineRule="auto"/>
        <w:ind w:left="1020"/>
      </w:pPr>
      <w:r>
        <w:rPr>
          <w:rFonts w:ascii="Cambria" w:hAnsi="Cambria"/>
          <w:b w:val="0"/>
          <w:i w:val="0"/>
          <w:sz w:val="22"/>
        </w:rPr>
        <w:t>Is not left without any means of livelihood.</w:t>
      </w:r>
    </w:p>
    <w:p>
      <w:pPr>
        <w:pStyle w:val="ListBullet2"/>
        <w:spacing w:line="276" w:lineRule="auto"/>
        <w:ind w:left="1020"/>
      </w:pPr>
      <w:r>
        <w:rPr>
          <w:rFonts w:ascii="Cambria" w:hAnsi="Cambria"/>
          <w:b w:val="0"/>
          <w:i w:val="0"/>
          <w:sz w:val="22"/>
        </w:rPr>
        <w:t>Is able to meet minimal living expenses until the case is resolved.</w:t>
      </w:r>
    </w:p>
    <w:p>
      <w:pPr>
        <w:pStyle w:val="ListBullet2"/>
        <w:spacing w:line="276" w:lineRule="auto"/>
        <w:ind w:left="1020"/>
      </w:pPr>
      <w:r>
        <w:rPr>
          <w:rFonts w:ascii="Cambria" w:hAnsi="Cambria"/>
          <w:b w:val="0"/>
          <w:i w:val="0"/>
          <w:sz w:val="22"/>
        </w:rPr>
        <w:t>Can cooperate with the investigation without undue hardship.</w:t>
      </w:r>
    </w:p>
    <w:p>
      <w:pPr>
        <w:keepNext/>
        <w:spacing w:before="200" w:after="120"/>
      </w:pPr>
      <w:r>
        <w:rPr>
          <w:rFonts w:ascii="Cambria" w:hAnsi="Cambria"/>
          <w:b/>
          <w:color w:val="1F3A5F"/>
          <w:sz w:val="27"/>
        </w:rPr>
        <w:t>c. Conditions for Grant of Subsistence Allowance</w:t>
      </w:r>
    </w:p>
    <w:p>
      <w:pPr>
        <w:spacing w:line="276" w:lineRule="auto"/>
        <w:ind w:left="357" w:hanging="357"/>
      </w:pPr>
      <w:r>
        <w:rPr>
          <w:rFonts w:ascii="Cambria" w:hAnsi="Cambria"/>
          <w:b w:val="0"/>
          <w:i w:val="0"/>
          <w:sz w:val="22"/>
        </w:rPr>
        <w:t xml:space="preserve">1. </w:t>
      </w:r>
      <w:r>
        <w:rPr>
          <w:rFonts w:ascii="Cambria" w:hAnsi="Cambria"/>
          <w:b w:val="0"/>
          <w:i w:val="0"/>
          <w:sz w:val="22"/>
        </w:rPr>
        <w:t>Eligibility:</w:t>
      </w:r>
    </w:p>
    <w:p>
      <w:pPr>
        <w:pStyle w:val="ListBullet2"/>
        <w:spacing w:line="276" w:lineRule="auto"/>
        <w:ind w:left="1020"/>
      </w:pPr>
      <w:r>
        <w:rPr>
          <w:rFonts w:ascii="Cambria" w:hAnsi="Cambria"/>
          <w:b w:val="0"/>
          <w:i w:val="0"/>
          <w:sz w:val="22"/>
        </w:rPr>
        <w:t>Admissible only to employees under formal suspension orders issued by the competent authority.</w:t>
      </w:r>
    </w:p>
    <w:p>
      <w:pPr>
        <w:pStyle w:val="ListBullet2"/>
        <w:spacing w:line="276" w:lineRule="auto"/>
        <w:ind w:left="1020"/>
      </w:pPr>
      <w:r>
        <w:rPr>
          <w:rFonts w:ascii="Cambria" w:hAnsi="Cambria"/>
          <w:b w:val="0"/>
          <w:i w:val="0"/>
          <w:sz w:val="22"/>
        </w:rPr>
        <w:t>Not applicable to those on unauthorized absence, deemed suspension, or voluntary non-attendance.</w:t>
      </w:r>
    </w:p>
    <w:p>
      <w:pPr>
        <w:spacing w:line="276" w:lineRule="auto"/>
        <w:ind w:left="357" w:hanging="357"/>
      </w:pPr>
      <w:r>
        <w:rPr>
          <w:rFonts w:ascii="Cambria" w:hAnsi="Cambria"/>
          <w:b w:val="0"/>
          <w:i w:val="0"/>
          <w:sz w:val="22"/>
        </w:rPr>
        <w:t xml:space="preserve">2. </w:t>
      </w:r>
      <w:r>
        <w:rPr>
          <w:rFonts w:ascii="Cambria" w:hAnsi="Cambria"/>
          <w:b w:val="0"/>
          <w:i w:val="0"/>
          <w:sz w:val="22"/>
        </w:rPr>
        <w:t>Amount Payable:</w:t>
      </w:r>
    </w:p>
    <w:p>
      <w:pPr>
        <w:pStyle w:val="ListBullet2"/>
        <w:spacing w:line="276" w:lineRule="auto"/>
        <w:ind w:left="1020"/>
      </w:pPr>
      <w:r>
        <w:rPr>
          <w:rFonts w:ascii="Cambria" w:hAnsi="Cambria"/>
          <w:b w:val="0"/>
          <w:i w:val="0"/>
          <w:sz w:val="22"/>
        </w:rPr>
        <w:t>The rate of Subsistence Grant shall be determined as per service regulations or government norms, typically:</w:t>
      </w:r>
    </w:p>
    <w:p>
      <w:pPr>
        <w:pStyle w:val="ListBullet2"/>
        <w:ind w:left="1474"/>
      </w:pPr>
      <w:r>
        <w:rPr>
          <w:rFonts w:ascii="Cambria" w:hAnsi="Cambria"/>
          <w:b w:val="0"/>
          <w:i w:val="0"/>
          <w:sz w:val="22"/>
        </w:rPr>
        <w:t>50% of basic pay + admissible allowances for the first 90 days of suspension.</w:t>
      </w:r>
    </w:p>
    <w:p>
      <w:pPr>
        <w:pStyle w:val="ListBullet2"/>
        <w:ind w:left="1474"/>
      </w:pPr>
      <w:r>
        <w:rPr>
          <w:rFonts w:ascii="Cambria" w:hAnsi="Cambria"/>
          <w:b w:val="0"/>
          <w:i w:val="0"/>
          <w:sz w:val="22"/>
        </w:rPr>
        <w:t>May be increased to 75% if the delay in disciplinary proceedings is not attributable to the employee.</w:t>
      </w:r>
    </w:p>
    <w:p>
      <w:pPr>
        <w:pStyle w:val="ListBullet2"/>
        <w:ind w:left="1474"/>
      </w:pPr>
      <w:r>
        <w:rPr>
          <w:rFonts w:ascii="Cambria" w:hAnsi="Cambria"/>
          <w:b w:val="0"/>
          <w:i w:val="0"/>
          <w:sz w:val="22"/>
        </w:rPr>
        <w:t>May be reduced to 25% if the delay is caused by the employee’s actions or non-cooperation.</w:t>
      </w:r>
    </w:p>
    <w:p>
      <w:pPr>
        <w:spacing w:line="276" w:lineRule="auto"/>
        <w:ind w:left="357" w:hanging="357"/>
      </w:pPr>
      <w:r>
        <w:rPr>
          <w:rFonts w:ascii="Cambria" w:hAnsi="Cambria"/>
          <w:b w:val="0"/>
          <w:i w:val="0"/>
          <w:sz w:val="22"/>
        </w:rPr>
        <w:t xml:space="preserve">3. </w:t>
      </w:r>
      <w:r>
        <w:rPr>
          <w:rFonts w:ascii="Cambria" w:hAnsi="Cambria"/>
          <w:b w:val="0"/>
          <w:i w:val="0"/>
          <w:sz w:val="22"/>
        </w:rPr>
        <w:t>Other Allowances:</w:t>
      </w:r>
    </w:p>
    <w:p>
      <w:pPr>
        <w:pStyle w:val="ListBullet2"/>
        <w:spacing w:line="276" w:lineRule="auto"/>
        <w:ind w:left="1020"/>
      </w:pPr>
      <w:r>
        <w:rPr>
          <w:rFonts w:ascii="Cambria" w:hAnsi="Cambria"/>
          <w:b w:val="0"/>
          <w:i w:val="0"/>
          <w:sz w:val="22"/>
        </w:rPr>
        <w:t>Along with the subsistence grant, the employee may receive:</w:t>
      </w:r>
    </w:p>
    <w:p>
      <w:pPr>
        <w:pStyle w:val="ListBullet2"/>
        <w:ind w:left="1474"/>
      </w:pPr>
      <w:r>
        <w:rPr>
          <w:rFonts w:ascii="Cambria" w:hAnsi="Cambria"/>
          <w:b w:val="0"/>
          <w:i w:val="0"/>
          <w:sz w:val="22"/>
        </w:rPr>
        <w:t>Dearness Allowance (DA) on the admissible portion of pay.</w:t>
      </w:r>
    </w:p>
    <w:p>
      <w:pPr>
        <w:pStyle w:val="ListBullet2"/>
        <w:ind w:left="1474"/>
      </w:pPr>
      <w:r>
        <w:rPr>
          <w:rFonts w:ascii="Cambria" w:hAnsi="Cambria"/>
          <w:b w:val="0"/>
          <w:i w:val="0"/>
          <w:sz w:val="22"/>
        </w:rPr>
        <w:t>No entitlement to leave salary, increments, or other benefits during the suspension period.</w:t>
      </w:r>
    </w:p>
    <w:p>
      <w:pPr>
        <w:spacing w:line="276" w:lineRule="auto"/>
        <w:ind w:left="357" w:hanging="357"/>
      </w:pPr>
      <w:r>
        <w:rPr>
          <w:rFonts w:ascii="Cambria" w:hAnsi="Cambria"/>
          <w:b w:val="0"/>
          <w:i w:val="0"/>
          <w:sz w:val="22"/>
        </w:rPr>
        <w:t xml:space="preserve">4. </w:t>
      </w:r>
      <w:r>
        <w:rPr>
          <w:rFonts w:ascii="Cambria" w:hAnsi="Cambria"/>
          <w:b w:val="0"/>
          <w:i w:val="0"/>
          <w:sz w:val="22"/>
        </w:rPr>
        <w:t>Recovery / Adjustment:</w:t>
      </w:r>
    </w:p>
    <w:p>
      <w:pPr>
        <w:pStyle w:val="ListBullet2"/>
        <w:spacing w:line="276" w:lineRule="auto"/>
        <w:ind w:left="1020"/>
      </w:pPr>
      <w:r>
        <w:rPr>
          <w:rFonts w:ascii="Cambria" w:hAnsi="Cambria"/>
          <w:b w:val="0"/>
          <w:i w:val="0"/>
          <w:sz w:val="22"/>
        </w:rPr>
        <w:t>If the employee is later exonerated or reinstated without penalty, the difference between the subsistence grant and full pay for the suspension period shall be paid retrospectively as arrears.</w:t>
      </w:r>
    </w:p>
    <w:p>
      <w:pPr>
        <w:pStyle w:val="ListBullet2"/>
        <w:spacing w:line="276" w:lineRule="auto"/>
        <w:ind w:left="1020"/>
      </w:pPr>
      <w:r>
        <w:rPr>
          <w:rFonts w:ascii="Cambria" w:hAnsi="Cambria"/>
          <w:b w:val="0"/>
          <w:i w:val="0"/>
          <w:sz w:val="22"/>
        </w:rPr>
        <w:t>If the charges are proved and a penalty is imposed, the subsistence allowance already paid shall be treated as final settlement for that period.</w:t>
      </w:r>
    </w:p>
    <w:p>
      <w:pPr>
        <w:keepNext/>
        <w:spacing w:before="200" w:after="120"/>
      </w:pPr>
      <w:r>
        <w:rPr>
          <w:rFonts w:ascii="Cambria" w:hAnsi="Cambria"/>
          <w:b/>
          <w:color w:val="1F3A5F"/>
          <w:sz w:val="27"/>
        </w:rPr>
        <w:t>d. Duration and Review</w:t>
      </w:r>
    </w:p>
    <w:p>
      <w:pPr>
        <w:pStyle w:val="ListBullet"/>
        <w:spacing w:line="276" w:lineRule="auto"/>
        <w:ind w:left="510"/>
      </w:pPr>
      <w:r>
        <w:rPr>
          <w:rFonts w:ascii="Cambria" w:hAnsi="Cambria"/>
          <w:b w:val="0"/>
          <w:i w:val="0"/>
          <w:sz w:val="22"/>
        </w:rPr>
        <w:t>The subsistence grant shall be reviewed periodically, generally every 90 days, by the disciplinary authority, to:</w:t>
      </w:r>
    </w:p>
    <w:p>
      <w:pPr>
        <w:pStyle w:val="ListBullet2"/>
        <w:spacing w:line="276" w:lineRule="auto"/>
        <w:ind w:left="1020"/>
      </w:pPr>
      <w:r>
        <w:rPr>
          <w:rFonts w:ascii="Cambria" w:hAnsi="Cambria"/>
          <w:b w:val="0"/>
          <w:i w:val="0"/>
          <w:sz w:val="22"/>
        </w:rPr>
        <w:t>Assess continuation or modification of the amount.</w:t>
      </w:r>
    </w:p>
    <w:p>
      <w:pPr>
        <w:pStyle w:val="ListBullet2"/>
        <w:spacing w:line="276" w:lineRule="auto"/>
        <w:ind w:left="1020"/>
      </w:pPr>
      <w:r>
        <w:rPr>
          <w:rFonts w:ascii="Cambria" w:hAnsi="Cambria"/>
          <w:b w:val="0"/>
          <w:i w:val="0"/>
          <w:sz w:val="22"/>
        </w:rPr>
        <w:t>Ensure that the employee’s case is progressing without undue delay.</w:t>
      </w:r>
    </w:p>
    <w:p>
      <w:pPr>
        <w:keepNext/>
        <w:spacing w:before="200" w:after="120"/>
      </w:pPr>
      <w:r>
        <w:rPr>
          <w:rFonts w:ascii="Cambria" w:hAnsi="Cambria"/>
          <w:b/>
          <w:color w:val="1F3A5F"/>
          <w:sz w:val="27"/>
        </w:rPr>
        <w:t>e. Administrative Control</w:t>
      </w:r>
    </w:p>
    <w:p>
      <w:pPr>
        <w:pStyle w:val="ListBullet"/>
        <w:spacing w:line="276" w:lineRule="auto"/>
        <w:ind w:left="510"/>
      </w:pPr>
      <w:r>
        <w:rPr>
          <w:rFonts w:ascii="Cambria" w:hAnsi="Cambria"/>
          <w:b w:val="0"/>
          <w:i w:val="0"/>
          <w:sz w:val="22"/>
        </w:rPr>
        <w:t>The Registrar shall maintain a record of all suspended employees receiving subsistence grants, including:</w:t>
      </w:r>
    </w:p>
    <w:p>
      <w:pPr>
        <w:pStyle w:val="ListBullet2"/>
        <w:spacing w:line="276" w:lineRule="auto"/>
        <w:ind w:left="1020"/>
      </w:pPr>
      <w:r>
        <w:rPr>
          <w:rFonts w:ascii="Cambria" w:hAnsi="Cambria"/>
          <w:b w:val="0"/>
          <w:i w:val="0"/>
          <w:sz w:val="22"/>
        </w:rPr>
        <w:t>Duration of suspension.</w:t>
      </w:r>
    </w:p>
    <w:p>
      <w:pPr>
        <w:pStyle w:val="ListBullet2"/>
        <w:spacing w:line="276" w:lineRule="auto"/>
        <w:ind w:left="1020"/>
      </w:pPr>
      <w:r>
        <w:rPr>
          <w:rFonts w:ascii="Cambria" w:hAnsi="Cambria"/>
          <w:b w:val="0"/>
          <w:i w:val="0"/>
          <w:sz w:val="22"/>
        </w:rPr>
        <w:t>Amount paid.</w:t>
      </w:r>
    </w:p>
    <w:p>
      <w:pPr>
        <w:pStyle w:val="ListBullet2"/>
        <w:spacing w:line="276" w:lineRule="auto"/>
        <w:ind w:left="1020"/>
      </w:pPr>
      <w:r>
        <w:rPr>
          <w:rFonts w:ascii="Cambria" w:hAnsi="Cambria"/>
          <w:b w:val="0"/>
          <w:i w:val="0"/>
          <w:sz w:val="22"/>
        </w:rPr>
        <w:t>Periodic review notes.</w:t>
      </w:r>
    </w:p>
    <w:p>
      <w:pPr>
        <w:pStyle w:val="ListBullet"/>
        <w:spacing w:line="276" w:lineRule="auto"/>
        <w:ind w:left="510"/>
      </w:pPr>
      <w:r>
        <w:rPr>
          <w:rFonts w:ascii="Cambria" w:hAnsi="Cambria"/>
          <w:b w:val="0"/>
          <w:i w:val="0"/>
          <w:sz w:val="22"/>
        </w:rPr>
        <w:t>The Vice-Chancellor or Appointing Authority shall approve any revision or discontinuance of the grant.</w:t>
      </w:r>
    </w:p>
    <w:p>
      <w:pPr>
        <w:keepNext/>
        <w:spacing w:before="200" w:after="120"/>
      </w:pPr>
      <w:r>
        <w:rPr>
          <w:rFonts w:ascii="Cambria" w:hAnsi="Cambria"/>
          <w:b/>
          <w:color w:val="1F3A5F"/>
          <w:sz w:val="27"/>
        </w:rPr>
        <w:t>f.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474"/>
            <w:shd w:val="clear" w:color="auto" w:fill="1F3A5F"/>
          </w:tcPr>
          <w:p>
            <w:pPr>
              <w:spacing w:after="40" w:before="40"/>
            </w:pPr>
            <w:r/>
            <w:r>
              <w:rPr>
                <w:rFonts w:ascii="Cambria" w:hAnsi="Cambria"/>
                <w:b/>
                <w:i w:val="0"/>
                <w:color w:val="FFFFFF"/>
                <w:sz w:val="22"/>
              </w:rPr>
              <w:t>Aspect</w:t>
            </w:r>
          </w:p>
        </w:tc>
        <w:tc>
          <w:tcPr>
            <w:tcW w:type="dxa" w:w="5103"/>
            <w:shd w:val="clear" w:color="auto" w:fill="1F3A5F"/>
          </w:tcPr>
          <w:p>
            <w:pPr>
              <w:spacing w:after="40" w:before="40"/>
            </w:pPr>
            <w:r/>
            <w:r>
              <w:rPr>
                <w:rFonts w:ascii="Cambria" w:hAnsi="Cambria"/>
                <w:b/>
                <w:i w:val="0"/>
                <w:color w:val="FFFFFF"/>
                <w:sz w:val="22"/>
              </w:rPr>
              <w:t>Description</w:t>
            </w:r>
          </w:p>
        </w:tc>
        <w:tc>
          <w:tcPr>
            <w:tcW w:type="dxa" w:w="2835"/>
            <w:shd w:val="clear" w:color="auto" w:fill="1F3A5F"/>
          </w:tcPr>
          <w:p>
            <w:pPr>
              <w:spacing w:after="40" w:before="40"/>
            </w:pPr>
            <w:r/>
            <w:r>
              <w:rPr>
                <w:rFonts w:ascii="Cambria" w:hAnsi="Cambria"/>
                <w:b/>
                <w:i w:val="0"/>
                <w:color w:val="FFFFFF"/>
                <w:sz w:val="22"/>
              </w:rPr>
              <w:t>Authority</w:t>
            </w:r>
          </w:p>
        </w:tc>
      </w:tr>
      <w:tr>
        <w:tc>
          <w:tcPr>
            <w:tcW w:type="dxa" w:w="1474"/>
          </w:tcPr>
          <w:p>
            <w:pPr>
              <w:spacing w:after="40" w:before="40"/>
            </w:pPr>
            <w:r/>
            <w:r>
              <w:rPr>
                <w:rFonts w:ascii="Cambria" w:hAnsi="Cambria"/>
                <w:b w:val="0"/>
                <w:i w:val="0"/>
                <w:sz w:val="22"/>
              </w:rPr>
              <w:t>Definition</w:t>
            </w:r>
          </w:p>
        </w:tc>
        <w:tc>
          <w:tcPr>
            <w:tcW w:type="dxa" w:w="5103"/>
          </w:tcPr>
          <w:p>
            <w:pPr>
              <w:spacing w:after="40" w:before="40"/>
            </w:pPr>
            <w:r/>
            <w:r>
              <w:rPr>
                <w:rFonts w:ascii="Cambria" w:hAnsi="Cambria"/>
                <w:b w:val="0"/>
                <w:i w:val="0"/>
                <w:sz w:val="22"/>
              </w:rPr>
              <w:t>Monthly financial assistance to a suspended employee not drawing pay or leave salary</w:t>
            </w:r>
          </w:p>
        </w:tc>
        <w:tc>
          <w:tcPr>
            <w:tcW w:type="dxa" w:w="2835"/>
          </w:tcPr>
          <w:p>
            <w:pPr>
              <w:spacing w:after="40" w:before="40"/>
            </w:pPr>
            <w:r/>
            <w:r>
              <w:rPr>
                <w:rFonts w:ascii="Cambria" w:hAnsi="Cambria"/>
                <w:b w:val="0"/>
                <w:i w:val="0"/>
                <w:sz w:val="22"/>
              </w:rPr>
              <w:t>Appointing / Disciplinary Authority</w:t>
            </w:r>
          </w:p>
        </w:tc>
      </w:tr>
      <w:tr>
        <w:tc>
          <w:tcPr>
            <w:tcW w:type="dxa" w:w="1474"/>
            <w:shd w:val="clear" w:color="auto" w:fill="F0F2F5"/>
          </w:tcPr>
          <w:p>
            <w:pPr>
              <w:spacing w:after="40" w:before="40"/>
            </w:pPr>
            <w:r/>
            <w:r>
              <w:rPr>
                <w:rFonts w:ascii="Cambria" w:hAnsi="Cambria"/>
                <w:b w:val="0"/>
                <w:i w:val="0"/>
                <w:sz w:val="22"/>
              </w:rPr>
              <w:t>Eligibility</w:t>
            </w:r>
          </w:p>
        </w:tc>
        <w:tc>
          <w:tcPr>
            <w:tcW w:type="dxa" w:w="5103"/>
            <w:shd w:val="clear" w:color="auto" w:fill="F0F2F5"/>
          </w:tcPr>
          <w:p>
            <w:pPr>
              <w:spacing w:after="40" w:before="40"/>
            </w:pPr>
            <w:r/>
            <w:r>
              <w:rPr>
                <w:rFonts w:ascii="Cambria" w:hAnsi="Cambria"/>
                <w:b w:val="0"/>
                <w:i w:val="0"/>
                <w:sz w:val="22"/>
              </w:rPr>
              <w:t>Employee under formal suspension</w:t>
            </w:r>
          </w:p>
        </w:tc>
        <w:tc>
          <w:tcPr>
            <w:tcW w:type="dxa" w:w="2835"/>
            <w:shd w:val="clear" w:color="auto" w:fill="F0F2F5"/>
          </w:tcPr>
          <w:p>
            <w:pPr>
              <w:spacing w:after="40" w:before="40"/>
            </w:pPr>
            <w:r/>
            <w:r>
              <w:rPr>
                <w:rFonts w:ascii="Cambria" w:hAnsi="Cambria"/>
                <w:b w:val="0"/>
                <w:i w:val="0"/>
                <w:sz w:val="22"/>
              </w:rPr>
              <w:t>Registrar / HR Section</w:t>
            </w:r>
          </w:p>
        </w:tc>
      </w:tr>
      <w:tr>
        <w:tc>
          <w:tcPr>
            <w:tcW w:type="dxa" w:w="1474"/>
          </w:tcPr>
          <w:p>
            <w:pPr>
              <w:spacing w:after="40" w:before="40"/>
            </w:pPr>
            <w:r/>
            <w:r>
              <w:rPr>
                <w:rFonts w:ascii="Cambria" w:hAnsi="Cambria"/>
                <w:b w:val="0"/>
                <w:i w:val="0"/>
                <w:sz w:val="22"/>
              </w:rPr>
              <w:t>Rate of Grant</w:t>
            </w:r>
          </w:p>
        </w:tc>
        <w:tc>
          <w:tcPr>
            <w:tcW w:type="dxa" w:w="5103"/>
          </w:tcPr>
          <w:p>
            <w:pPr>
              <w:spacing w:after="40" w:before="40"/>
            </w:pPr>
            <w:r/>
            <w:r>
              <w:rPr>
                <w:rFonts w:ascii="Cambria" w:hAnsi="Cambria"/>
                <w:b w:val="0"/>
                <w:i w:val="0"/>
                <w:sz w:val="22"/>
              </w:rPr>
              <w:t>50% of basic pay + DA (first 90 days), adjustable later</w:t>
            </w:r>
          </w:p>
        </w:tc>
        <w:tc>
          <w:tcPr>
            <w:tcW w:type="dxa" w:w="2835"/>
          </w:tcPr>
          <w:p>
            <w:pPr>
              <w:spacing w:after="40" w:before="40"/>
            </w:pPr>
            <w:r/>
            <w:r>
              <w:rPr>
                <w:rFonts w:ascii="Cambria" w:hAnsi="Cambria"/>
                <w:b w:val="0"/>
                <w:i w:val="0"/>
                <w:sz w:val="22"/>
              </w:rPr>
              <w:t>As per service rules</w:t>
            </w:r>
          </w:p>
        </w:tc>
      </w:tr>
      <w:tr>
        <w:tc>
          <w:tcPr>
            <w:tcW w:type="dxa" w:w="1474"/>
            <w:shd w:val="clear" w:color="auto" w:fill="F0F2F5"/>
          </w:tcPr>
          <w:p>
            <w:pPr>
              <w:spacing w:after="40" w:before="40"/>
            </w:pPr>
            <w:r/>
            <w:r>
              <w:rPr>
                <w:rFonts w:ascii="Cambria" w:hAnsi="Cambria"/>
                <w:b w:val="0"/>
                <w:i w:val="0"/>
                <w:sz w:val="22"/>
              </w:rPr>
              <w:t>Review Period</w:t>
            </w:r>
          </w:p>
        </w:tc>
        <w:tc>
          <w:tcPr>
            <w:tcW w:type="dxa" w:w="5103"/>
            <w:shd w:val="clear" w:color="auto" w:fill="F0F2F5"/>
          </w:tcPr>
          <w:p>
            <w:pPr>
              <w:spacing w:after="40" w:before="40"/>
            </w:pPr>
            <w:r/>
            <w:r>
              <w:rPr>
                <w:rFonts w:ascii="Cambria" w:hAnsi="Cambria"/>
                <w:b w:val="0"/>
                <w:i w:val="0"/>
                <w:sz w:val="22"/>
              </w:rPr>
              <w:t>Every 90 days</w:t>
            </w:r>
          </w:p>
        </w:tc>
        <w:tc>
          <w:tcPr>
            <w:tcW w:type="dxa" w:w="2835"/>
            <w:shd w:val="clear" w:color="auto" w:fill="F0F2F5"/>
          </w:tcPr>
          <w:p>
            <w:pPr>
              <w:spacing w:after="40" w:before="40"/>
            </w:pPr>
            <w:r/>
            <w:r>
              <w:rPr>
                <w:rFonts w:ascii="Cambria" w:hAnsi="Cambria"/>
                <w:b w:val="0"/>
                <w:i w:val="0"/>
                <w:sz w:val="22"/>
              </w:rPr>
              <w:t>Disciplinary Authority</w:t>
            </w:r>
          </w:p>
        </w:tc>
      </w:tr>
      <w:tr>
        <w:tc>
          <w:tcPr>
            <w:tcW w:type="dxa" w:w="1474"/>
          </w:tcPr>
          <w:p>
            <w:pPr>
              <w:spacing w:after="40" w:before="40"/>
            </w:pPr>
            <w:r/>
            <w:r>
              <w:rPr>
                <w:rFonts w:ascii="Cambria" w:hAnsi="Cambria"/>
                <w:b w:val="0"/>
                <w:i w:val="0"/>
                <w:sz w:val="22"/>
              </w:rPr>
              <w:t>Adjustment</w:t>
            </w:r>
          </w:p>
        </w:tc>
        <w:tc>
          <w:tcPr>
            <w:tcW w:type="dxa" w:w="5103"/>
          </w:tcPr>
          <w:p>
            <w:pPr>
              <w:spacing w:after="40" w:before="40"/>
            </w:pPr>
            <w:r/>
            <w:r>
              <w:rPr>
                <w:rFonts w:ascii="Cambria" w:hAnsi="Cambria"/>
                <w:b w:val="0"/>
                <w:i w:val="0"/>
                <w:sz w:val="22"/>
              </w:rPr>
              <w:t>Pay difference settled post inquiry</w:t>
            </w:r>
          </w:p>
        </w:tc>
        <w:tc>
          <w:tcPr>
            <w:tcW w:type="dxa" w:w="2835"/>
          </w:tcPr>
          <w:p>
            <w:pPr>
              <w:spacing w:after="40" w:before="40"/>
            </w:pPr>
            <w:r/>
            <w:r>
              <w:rPr>
                <w:rFonts w:ascii="Cambria" w:hAnsi="Cambria"/>
                <w:b w:val="0"/>
                <w:i w:val="0"/>
                <w:sz w:val="22"/>
              </w:rPr>
              <w:t>Finance Section</w:t>
            </w:r>
          </w:p>
        </w:tc>
      </w:tr>
    </w:tbl>
    <w:p>
      <w:pPr>
        <w:spacing w:after="40"/>
      </w:pPr>
    </w:p>
    <w:p>
      <w:r>
        <w:br w:type="page"/>
      </w:r>
    </w:p>
    <w:p>
      <w:pPr>
        <w:keepNext/>
        <w:spacing w:before="280" w:after="160"/>
      </w:pPr>
      <w:r>
        <w:rPr>
          <w:rFonts w:ascii="Cambria" w:hAnsi="Cambria"/>
          <w:b/>
          <w:color w:val="1F3A5F"/>
          <w:sz w:val="32"/>
        </w:rPr>
        <w:t>14. Definition of “Members of the Family”</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The term “Members of the Family”, in relation to an employee of the University, defines those individuals eligible for benefits, privileges, or considerations under the University’s service, leave, and welfare provisions (such as medical reimbursement, travel concession, housing, or compassionate benefits).</w:t>
      </w:r>
    </w:p>
    <w:p>
      <w:pPr>
        <w:keepNext/>
        <w:spacing w:before="200" w:after="120"/>
      </w:pPr>
      <w:r>
        <w:rPr>
          <w:rFonts w:ascii="Cambria" w:hAnsi="Cambria"/>
          <w:b/>
          <w:color w:val="1F3A5F"/>
          <w:sz w:val="27"/>
        </w:rPr>
        <w:t>b. Scope and Inclusion</w:t>
      </w:r>
    </w:p>
    <w:p>
      <w:pPr>
        <w:jc w:val="both"/>
      </w:pPr>
      <w:r>
        <w:rPr>
          <w:rFonts w:ascii="Cambria" w:hAnsi="Cambria"/>
          <w:b w:val="0"/>
          <w:i w:val="0"/>
          <w:sz w:val="22"/>
        </w:rPr>
        <w:t xml:space="preserve">The following persons are deemed to be </w:t>
      </w:r>
      <w:r>
        <w:rPr>
          <w:rFonts w:ascii="Cambria" w:hAnsi="Cambria"/>
          <w:b w:val="0"/>
          <w:i/>
          <w:sz w:val="22"/>
        </w:rPr>
        <w:t>members of the family</w:t>
      </w:r>
      <w:r>
        <w:rPr>
          <w:rFonts w:ascii="Cambria" w:hAnsi="Cambria"/>
          <w:b w:val="0"/>
          <w:i w:val="0"/>
          <w:sz w:val="22"/>
        </w:rPr>
        <w:t xml:space="preserve"> of an employee:</w:t>
      </w:r>
    </w:p>
    <w:p>
      <w:r>
        <w:rPr>
          <w:rFonts w:ascii="Cambria" w:hAnsi="Cambria"/>
          <w:b w:val="0"/>
          <w:i w:val="0"/>
          <w:sz w:val="22"/>
        </w:rPr>
        <w:t>(i) Primary Dependents:</w:t>
      </w:r>
    </w:p>
    <w:p>
      <w:pPr>
        <w:pStyle w:val="ListBullet"/>
        <w:spacing w:line="276" w:lineRule="auto"/>
        <w:ind w:left="510"/>
      </w:pPr>
      <w:r>
        <w:rPr>
          <w:rFonts w:ascii="Cambria" w:hAnsi="Cambria"/>
          <w:b w:val="0"/>
          <w:i w:val="0"/>
          <w:sz w:val="22"/>
        </w:rPr>
        <w:t>The wife, child, or step-child of the employee,</w:t>
      </w:r>
    </w:p>
    <w:p>
      <w:pPr>
        <w:pStyle w:val="ListBullet2"/>
        <w:spacing w:line="276" w:lineRule="auto"/>
        <w:ind w:left="1020"/>
      </w:pPr>
      <w:r>
        <w:rPr>
          <w:rFonts w:ascii="Cambria" w:hAnsi="Cambria"/>
          <w:b w:val="0"/>
          <w:i w:val="0"/>
          <w:sz w:val="22"/>
        </w:rPr>
        <w:t>Provided they are residing with and financially dependent on the employee.</w:t>
      </w:r>
    </w:p>
    <w:p>
      <w:pPr>
        <w:pStyle w:val="ListBullet"/>
        <w:spacing w:line="276" w:lineRule="auto"/>
        <w:ind w:left="510"/>
      </w:pPr>
      <w:r>
        <w:rPr>
          <w:rFonts w:ascii="Cambria" w:hAnsi="Cambria"/>
          <w:b w:val="0"/>
          <w:i w:val="0"/>
          <w:sz w:val="22"/>
        </w:rPr>
        <w:t>In the case of a female employee, her husband shall be treated as a member of the family if he resides with her and is financially dependent on her.</w:t>
      </w:r>
    </w:p>
    <w:p>
      <w:r>
        <w:rPr>
          <w:rFonts w:ascii="Cambria" w:hAnsi="Cambria"/>
          <w:b w:val="0"/>
          <w:i w:val="0"/>
          <w:sz w:val="22"/>
        </w:rPr>
        <w:t>(ii) Extended Dependents (by blood or marriage):</w:t>
      </w:r>
    </w:p>
    <w:p>
      <w:pPr>
        <w:pStyle w:val="ListBullet"/>
        <w:spacing w:line="276" w:lineRule="auto"/>
        <w:ind w:left="510"/>
      </w:pPr>
      <w:r>
        <w:rPr>
          <w:rFonts w:ascii="Cambria" w:hAnsi="Cambria"/>
          <w:b w:val="0"/>
          <w:i w:val="0"/>
          <w:sz w:val="22"/>
        </w:rPr>
        <w:t>Any other person who is:</w:t>
      </w:r>
    </w:p>
    <w:p>
      <w:pPr>
        <w:pStyle w:val="ListBullet2"/>
        <w:spacing w:line="276" w:lineRule="auto"/>
        <w:ind w:left="1020"/>
      </w:pPr>
      <w:r>
        <w:rPr>
          <w:rFonts w:ascii="Cambria" w:hAnsi="Cambria"/>
          <w:b w:val="0"/>
          <w:i w:val="0"/>
          <w:sz w:val="22"/>
        </w:rPr>
        <w:t>Related by blood or marriage to the employee, or to the employee’s spouse, and</w:t>
      </w:r>
    </w:p>
    <w:p>
      <w:pPr>
        <w:pStyle w:val="ListBullet2"/>
        <w:spacing w:line="276" w:lineRule="auto"/>
        <w:ind w:left="1020"/>
      </w:pPr>
      <w:r>
        <w:rPr>
          <w:rFonts w:ascii="Cambria" w:hAnsi="Cambria"/>
          <w:b w:val="0"/>
          <w:i w:val="0"/>
          <w:sz w:val="22"/>
        </w:rPr>
        <w:t>Wholly dependent on the employee for maintenance and support.</w:t>
      </w:r>
    </w:p>
    <w:p>
      <w:pPr>
        <w:pStyle w:val="ListBullet"/>
        <w:spacing w:line="276" w:lineRule="auto"/>
        <w:ind w:left="510"/>
      </w:pPr>
      <w:r>
        <w:rPr>
          <w:rFonts w:ascii="Cambria" w:hAnsi="Cambria"/>
          <w:b w:val="0"/>
          <w:i w:val="0"/>
          <w:sz w:val="22"/>
        </w:rPr>
        <w:t>This may include:</w:t>
      </w:r>
    </w:p>
    <w:p>
      <w:pPr>
        <w:pStyle w:val="ListBullet2"/>
        <w:spacing w:line="276" w:lineRule="auto"/>
        <w:ind w:left="1020"/>
      </w:pPr>
      <w:r>
        <w:rPr>
          <w:rFonts w:ascii="Cambria" w:hAnsi="Cambria"/>
          <w:b w:val="0"/>
          <w:i w:val="0"/>
          <w:sz w:val="22"/>
        </w:rPr>
        <w:t>Dependent parents, parents-in-law, or unmarried brothers and sisters.</w:t>
      </w:r>
    </w:p>
    <w:p>
      <w:pPr>
        <w:pStyle w:val="ListBullet2"/>
        <w:spacing w:line="276" w:lineRule="auto"/>
        <w:ind w:left="1020"/>
      </w:pPr>
      <w:r>
        <w:rPr>
          <w:rFonts w:ascii="Cambria" w:hAnsi="Cambria"/>
          <w:b w:val="0"/>
          <w:i w:val="0"/>
          <w:sz w:val="22"/>
        </w:rPr>
        <w:t>Widowed or divorced daughters who are dependent on the employee.</w:t>
      </w:r>
    </w:p>
    <w:p>
      <w:pPr>
        <w:pStyle w:val="ListBullet2"/>
        <w:spacing w:line="276" w:lineRule="auto"/>
        <w:ind w:left="1020"/>
      </w:pPr>
      <w:r>
        <w:rPr>
          <w:rFonts w:ascii="Cambria" w:hAnsi="Cambria"/>
          <w:b w:val="0"/>
          <w:i w:val="0"/>
          <w:sz w:val="22"/>
        </w:rPr>
        <w:t>Dependent grandchildren, where applicable.</w:t>
      </w:r>
    </w:p>
    <w:p>
      <w:pPr>
        <w:keepNext/>
        <w:spacing w:before="200" w:after="120"/>
      </w:pPr>
      <w:r>
        <w:rPr>
          <w:rFonts w:ascii="Cambria" w:hAnsi="Cambria"/>
          <w:b/>
          <w:color w:val="1F3A5F"/>
          <w:sz w:val="27"/>
        </w:rPr>
        <w:t>c. Exclusions</w:t>
      </w:r>
    </w:p>
    <w:p>
      <w:pPr>
        <w:pStyle w:val="ListBullet"/>
        <w:spacing w:line="276" w:lineRule="auto"/>
        <w:ind w:left="510"/>
      </w:pPr>
      <w:r>
        <w:rPr>
          <w:rFonts w:ascii="Cambria" w:hAnsi="Cambria"/>
          <w:b w:val="0"/>
          <w:i w:val="0"/>
          <w:sz w:val="22"/>
        </w:rPr>
        <w:t>The following persons shall not be considered members of the family for service-related purposes:</w:t>
      </w:r>
    </w:p>
    <w:p>
      <w:pPr>
        <w:spacing w:line="276" w:lineRule="auto"/>
        <w:ind w:left="357" w:hanging="357"/>
      </w:pPr>
      <w:r>
        <w:rPr>
          <w:rFonts w:ascii="Cambria" w:hAnsi="Cambria"/>
          <w:b w:val="0"/>
          <w:i w:val="0"/>
          <w:sz w:val="22"/>
        </w:rPr>
        <w:t xml:space="preserve">1. </w:t>
      </w:r>
      <w:r>
        <w:rPr>
          <w:rFonts w:ascii="Cambria" w:hAnsi="Cambria"/>
          <w:b w:val="0"/>
          <w:i w:val="0"/>
          <w:sz w:val="22"/>
        </w:rPr>
        <w:t>A wife or husband who is legally separated from the employee by judicial order.</w:t>
      </w:r>
    </w:p>
    <w:p>
      <w:pPr>
        <w:spacing w:line="276" w:lineRule="auto"/>
        <w:ind w:left="357" w:hanging="357"/>
      </w:pPr>
      <w:r>
        <w:rPr>
          <w:rFonts w:ascii="Cambria" w:hAnsi="Cambria"/>
          <w:b w:val="0"/>
          <w:i w:val="0"/>
          <w:sz w:val="22"/>
        </w:rPr>
        <w:t xml:space="preserve">2. </w:t>
      </w:r>
      <w:r>
        <w:rPr>
          <w:rFonts w:ascii="Cambria" w:hAnsi="Cambria"/>
          <w:b w:val="0"/>
          <w:i w:val="0"/>
          <w:sz w:val="22"/>
        </w:rPr>
        <w:t>A child or step-child who is:</w:t>
      </w:r>
    </w:p>
    <w:p>
      <w:pPr>
        <w:pStyle w:val="ListBullet2"/>
        <w:ind w:left="1474"/>
      </w:pPr>
      <w:r>
        <w:rPr>
          <w:rFonts w:ascii="Cambria" w:hAnsi="Cambria"/>
          <w:b w:val="0"/>
          <w:i w:val="0"/>
          <w:sz w:val="22"/>
        </w:rPr>
        <w:t>No longer financially dependent on the employee, or</w:t>
      </w:r>
    </w:p>
    <w:p>
      <w:pPr>
        <w:pStyle w:val="ListBullet2"/>
        <w:ind w:left="1474"/>
      </w:pPr>
      <w:r>
        <w:rPr>
          <w:rFonts w:ascii="Cambria" w:hAnsi="Cambria"/>
          <w:b w:val="0"/>
          <w:i w:val="0"/>
          <w:sz w:val="22"/>
        </w:rPr>
        <w:t>Whose custody has been legally transferred to another person or institution.</w:t>
      </w:r>
    </w:p>
    <w:p>
      <w:pPr>
        <w:keepNext/>
        <w:spacing w:before="200" w:after="120"/>
      </w:pPr>
      <w:r>
        <w:rPr>
          <w:rFonts w:ascii="Cambria" w:hAnsi="Cambria"/>
          <w:b/>
          <w:color w:val="1F3A5F"/>
          <w:sz w:val="27"/>
        </w:rPr>
        <w:t>d. Conditions for Dependency</w:t>
      </w:r>
    </w:p>
    <w:p>
      <w:pPr>
        <w:pStyle w:val="ListBullet"/>
        <w:spacing w:line="276" w:lineRule="auto"/>
        <w:ind w:left="510"/>
      </w:pPr>
      <w:r>
        <w:rPr>
          <w:rFonts w:ascii="Cambria" w:hAnsi="Cambria"/>
          <w:b w:val="0"/>
          <w:i w:val="0"/>
          <w:sz w:val="22"/>
        </w:rPr>
        <w:t>Dependency implies that the person’s total monthly income from all sources is less than the prescribed limit under University or government regulations.</w:t>
      </w:r>
    </w:p>
    <w:p>
      <w:pPr>
        <w:pStyle w:val="ListBullet"/>
        <w:spacing w:line="276" w:lineRule="auto"/>
        <w:ind w:left="510"/>
      </w:pPr>
      <w:r>
        <w:rPr>
          <w:rFonts w:ascii="Cambria" w:hAnsi="Cambria"/>
          <w:b w:val="0"/>
          <w:i w:val="0"/>
          <w:sz w:val="22"/>
        </w:rPr>
        <w:t>Residence with the employee is a primary condition, except where temporary separation occurs for:</w:t>
      </w:r>
    </w:p>
    <w:p>
      <w:pPr>
        <w:pStyle w:val="ListBullet2"/>
        <w:spacing w:line="276" w:lineRule="auto"/>
        <w:ind w:left="1020"/>
      </w:pPr>
      <w:r>
        <w:rPr>
          <w:rFonts w:ascii="Cambria" w:hAnsi="Cambria"/>
          <w:b w:val="0"/>
          <w:i w:val="0"/>
          <w:sz w:val="22"/>
        </w:rPr>
        <w:t>Education, employment, or medical treatment.</w:t>
      </w:r>
    </w:p>
    <w:p>
      <w:pPr>
        <w:pStyle w:val="ListBullet2"/>
        <w:spacing w:line="276" w:lineRule="auto"/>
        <w:ind w:left="1020"/>
      </w:pPr>
      <w:r>
        <w:rPr>
          <w:rFonts w:ascii="Cambria" w:hAnsi="Cambria"/>
          <w:b w:val="0"/>
          <w:i w:val="0"/>
          <w:sz w:val="22"/>
        </w:rPr>
        <w:t>Official posting or duty of the employee.</w:t>
      </w:r>
    </w:p>
    <w:p>
      <w:pPr>
        <w:keepNext/>
        <w:spacing w:before="200" w:after="120"/>
      </w:pPr>
      <w:r>
        <w:rPr>
          <w:rFonts w:ascii="Cambria" w:hAnsi="Cambria"/>
          <w:b/>
          <w:color w:val="1F3A5F"/>
          <w:sz w:val="27"/>
        </w:rPr>
        <w:t>e. Administrative Implications</w:t>
      </w:r>
    </w:p>
    <w:p>
      <w:pPr>
        <w:pStyle w:val="ListBullet"/>
        <w:spacing w:line="276" w:lineRule="auto"/>
        <w:ind w:left="510"/>
      </w:pPr>
      <w:r>
        <w:rPr>
          <w:rFonts w:ascii="Cambria" w:hAnsi="Cambria"/>
          <w:b w:val="0"/>
          <w:i w:val="0"/>
          <w:sz w:val="22"/>
        </w:rPr>
        <w:t>The recognized members of an employee’s family are eligible for:</w:t>
      </w:r>
    </w:p>
    <w:p>
      <w:pPr>
        <w:pStyle w:val="ListBullet2"/>
        <w:spacing w:line="276" w:lineRule="auto"/>
        <w:ind w:left="1020"/>
      </w:pPr>
      <w:r>
        <w:rPr>
          <w:rFonts w:ascii="Cambria" w:hAnsi="Cambria"/>
          <w:b w:val="0"/>
          <w:i w:val="0"/>
          <w:sz w:val="22"/>
        </w:rPr>
        <w:t>Medical benefits and reimbursement.</w:t>
      </w:r>
    </w:p>
    <w:p>
      <w:pPr>
        <w:pStyle w:val="ListBullet2"/>
        <w:spacing w:line="276" w:lineRule="auto"/>
        <w:ind w:left="1020"/>
      </w:pPr>
      <w:r>
        <w:rPr>
          <w:rFonts w:ascii="Cambria" w:hAnsi="Cambria"/>
          <w:b w:val="0"/>
          <w:i w:val="0"/>
          <w:sz w:val="22"/>
        </w:rPr>
        <w:t>Leave travel concession (LTC).</w:t>
      </w:r>
    </w:p>
    <w:p>
      <w:pPr>
        <w:pStyle w:val="ListBullet2"/>
        <w:spacing w:line="276" w:lineRule="auto"/>
        <w:ind w:left="1020"/>
      </w:pPr>
      <w:r>
        <w:rPr>
          <w:rFonts w:ascii="Cambria" w:hAnsi="Cambria"/>
          <w:b w:val="0"/>
          <w:i w:val="0"/>
          <w:sz w:val="22"/>
        </w:rPr>
        <w:t>Family pension and gratuity benefits.</w:t>
      </w:r>
    </w:p>
    <w:p>
      <w:pPr>
        <w:pStyle w:val="ListBullet2"/>
        <w:spacing w:line="276" w:lineRule="auto"/>
        <w:ind w:left="1020"/>
      </w:pPr>
      <w:r>
        <w:rPr>
          <w:rFonts w:ascii="Cambria" w:hAnsi="Cambria"/>
          <w:b w:val="0"/>
          <w:i w:val="0"/>
          <w:sz w:val="22"/>
        </w:rPr>
        <w:t>Compassionate appointment (in case of demise of the employee).</w:t>
      </w:r>
    </w:p>
    <w:p>
      <w:pPr>
        <w:pStyle w:val="ListBullet"/>
        <w:spacing w:line="276" w:lineRule="auto"/>
        <w:ind w:left="510"/>
      </w:pPr>
      <w:r>
        <w:rPr>
          <w:rFonts w:ascii="Cambria" w:hAnsi="Cambria"/>
          <w:b w:val="0"/>
          <w:i w:val="0"/>
          <w:sz w:val="22"/>
        </w:rPr>
        <w:t>Employees are required to declare their family members in the prescribed Form of Family Declaration, to be maintained in the personal file by the HR/Establishment Section.</w:t>
      </w:r>
    </w:p>
    <w:p>
      <w:pPr>
        <w:keepNext/>
        <w:spacing w:before="200" w:after="120"/>
      </w:pPr>
      <w:r>
        <w:rPr>
          <w:rFonts w:ascii="Cambria" w:hAnsi="Cambria"/>
          <w:b/>
          <w:color w:val="1F3A5F"/>
          <w:sz w:val="27"/>
        </w:rPr>
        <w:t>f. Summary Table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814"/>
            <w:shd w:val="clear" w:color="auto" w:fill="1F3A5F"/>
          </w:tcPr>
          <w:p>
            <w:pPr>
              <w:spacing w:after="40" w:before="40"/>
            </w:pPr>
            <w:r/>
            <w:r>
              <w:rPr>
                <w:rFonts w:ascii="Cambria" w:hAnsi="Cambria"/>
                <w:b/>
                <w:i w:val="0"/>
                <w:color w:val="FFFFFF"/>
                <w:sz w:val="22"/>
              </w:rPr>
              <w:t>Category</w:t>
            </w:r>
          </w:p>
        </w:tc>
        <w:tc>
          <w:tcPr>
            <w:tcW w:type="dxa" w:w="2835"/>
            <w:shd w:val="clear" w:color="auto" w:fill="1F3A5F"/>
          </w:tcPr>
          <w:p>
            <w:pPr>
              <w:spacing w:after="40" w:before="40"/>
            </w:pPr>
            <w:r/>
            <w:r>
              <w:rPr>
                <w:rFonts w:ascii="Cambria" w:hAnsi="Cambria"/>
                <w:b/>
                <w:i w:val="0"/>
                <w:color w:val="FFFFFF"/>
                <w:sz w:val="22"/>
              </w:rPr>
              <w:t>Included Members</w:t>
            </w:r>
          </w:p>
        </w:tc>
        <w:tc>
          <w:tcPr>
            <w:tcW w:type="dxa" w:w="2608"/>
            <w:shd w:val="clear" w:color="auto" w:fill="1F3A5F"/>
          </w:tcPr>
          <w:p>
            <w:pPr>
              <w:spacing w:after="40" w:before="40"/>
            </w:pPr>
            <w:r/>
            <w:r>
              <w:rPr>
                <w:rFonts w:ascii="Cambria" w:hAnsi="Cambria"/>
                <w:b/>
                <w:i w:val="0"/>
                <w:color w:val="FFFFFF"/>
                <w:sz w:val="22"/>
              </w:rPr>
              <w:t>Conditions</w:t>
            </w:r>
          </w:p>
        </w:tc>
        <w:tc>
          <w:tcPr>
            <w:tcW w:type="dxa" w:w="2154"/>
            <w:shd w:val="clear" w:color="auto" w:fill="1F3A5F"/>
          </w:tcPr>
          <w:p>
            <w:pPr>
              <w:spacing w:after="40" w:before="40"/>
            </w:pPr>
            <w:r/>
            <w:r>
              <w:rPr>
                <w:rFonts w:ascii="Cambria" w:hAnsi="Cambria"/>
                <w:b/>
                <w:i w:val="0"/>
                <w:color w:val="FFFFFF"/>
                <w:sz w:val="22"/>
              </w:rPr>
              <w:t>Exclusions</w:t>
            </w:r>
          </w:p>
        </w:tc>
      </w:tr>
      <w:tr>
        <w:tc>
          <w:tcPr>
            <w:tcW w:type="dxa" w:w="1814"/>
          </w:tcPr>
          <w:p>
            <w:pPr>
              <w:spacing w:after="40" w:before="40"/>
            </w:pPr>
            <w:r/>
            <w:r>
              <w:rPr>
                <w:rFonts w:ascii="Cambria" w:hAnsi="Cambria"/>
                <w:b w:val="0"/>
                <w:i w:val="0"/>
                <w:sz w:val="22"/>
              </w:rPr>
              <w:t>Primary Dependents</w:t>
            </w:r>
          </w:p>
        </w:tc>
        <w:tc>
          <w:tcPr>
            <w:tcW w:type="dxa" w:w="2835"/>
          </w:tcPr>
          <w:p>
            <w:pPr>
              <w:spacing w:after="40" w:before="40"/>
            </w:pPr>
            <w:r/>
            <w:r>
              <w:rPr>
                <w:rFonts w:ascii="Cambria" w:hAnsi="Cambria"/>
                <w:b w:val="0"/>
                <w:i w:val="0"/>
                <w:sz w:val="22"/>
              </w:rPr>
              <w:t>Wife, husband (if female employee), children, step-children</w:t>
            </w:r>
          </w:p>
        </w:tc>
        <w:tc>
          <w:tcPr>
            <w:tcW w:type="dxa" w:w="2608"/>
          </w:tcPr>
          <w:p>
            <w:pPr>
              <w:spacing w:after="40" w:before="40"/>
            </w:pPr>
            <w:r/>
            <w:r>
              <w:rPr>
                <w:rFonts w:ascii="Cambria" w:hAnsi="Cambria"/>
                <w:b w:val="0"/>
                <w:i w:val="0"/>
                <w:sz w:val="22"/>
              </w:rPr>
              <w:t>Must reside with and depend financially on the employee</w:t>
            </w:r>
          </w:p>
        </w:tc>
        <w:tc>
          <w:tcPr>
            <w:tcW w:type="dxa" w:w="2154"/>
          </w:tcPr>
          <w:p>
            <w:pPr>
              <w:spacing w:after="40" w:before="40"/>
            </w:pPr>
            <w:r/>
            <w:r>
              <w:rPr>
                <w:rFonts w:ascii="Cambria" w:hAnsi="Cambria"/>
                <w:b w:val="0"/>
                <w:i w:val="0"/>
                <w:sz w:val="22"/>
              </w:rPr>
              <w:t>Legally separated spouse; non-dependent children</w:t>
            </w:r>
          </w:p>
        </w:tc>
      </w:tr>
      <w:tr>
        <w:tc>
          <w:tcPr>
            <w:tcW w:type="dxa" w:w="1814"/>
            <w:shd w:val="clear" w:color="auto" w:fill="F0F2F5"/>
          </w:tcPr>
          <w:p>
            <w:pPr>
              <w:spacing w:after="40" w:before="40"/>
            </w:pPr>
            <w:r/>
            <w:r>
              <w:rPr>
                <w:rFonts w:ascii="Cambria" w:hAnsi="Cambria"/>
                <w:b w:val="0"/>
                <w:i w:val="0"/>
                <w:sz w:val="22"/>
              </w:rPr>
              <w:t>Extended Dependents</w:t>
            </w:r>
          </w:p>
        </w:tc>
        <w:tc>
          <w:tcPr>
            <w:tcW w:type="dxa" w:w="2835"/>
            <w:shd w:val="clear" w:color="auto" w:fill="F0F2F5"/>
          </w:tcPr>
          <w:p>
            <w:pPr>
              <w:spacing w:after="40" w:before="40"/>
            </w:pPr>
            <w:r/>
            <w:r>
              <w:rPr>
                <w:rFonts w:ascii="Cambria" w:hAnsi="Cambria"/>
                <w:b w:val="0"/>
                <w:i w:val="0"/>
                <w:sz w:val="22"/>
              </w:rPr>
              <w:t>Parents, in-laws, unmarried siblings, widowed daughters, dependent grandchildren</w:t>
            </w:r>
          </w:p>
        </w:tc>
        <w:tc>
          <w:tcPr>
            <w:tcW w:type="dxa" w:w="2608"/>
            <w:shd w:val="clear" w:color="auto" w:fill="F0F2F5"/>
          </w:tcPr>
          <w:p>
            <w:pPr>
              <w:spacing w:after="40" w:before="40"/>
            </w:pPr>
            <w:r/>
            <w:r>
              <w:rPr>
                <w:rFonts w:ascii="Cambria" w:hAnsi="Cambria"/>
                <w:b w:val="0"/>
                <w:i w:val="0"/>
                <w:sz w:val="22"/>
              </w:rPr>
              <w:t>Must be wholly dependent on the employee</w:t>
            </w:r>
          </w:p>
        </w:tc>
        <w:tc>
          <w:tcPr>
            <w:tcW w:type="dxa" w:w="2154"/>
            <w:shd w:val="clear" w:color="auto" w:fill="F0F2F5"/>
          </w:tcPr>
          <w:p>
            <w:pPr>
              <w:spacing w:after="40" w:before="40"/>
            </w:pPr>
            <w:r/>
            <w:r>
              <w:rPr>
                <w:rFonts w:ascii="Cambria" w:hAnsi="Cambria"/>
                <w:b w:val="0"/>
                <w:i w:val="0"/>
                <w:sz w:val="22"/>
              </w:rPr>
              <w:t>Relatives earning independent income</w:t>
            </w:r>
          </w:p>
        </w:tc>
      </w:tr>
    </w:tbl>
    <w:p>
      <w:pPr>
        <w:spacing w:after="40"/>
      </w:pPr>
    </w:p>
    <w:p>
      <w:r>
        <w:br w:type="page"/>
      </w:r>
    </w:p>
    <w:p>
      <w:pPr>
        <w:keepNext/>
        <w:spacing w:before="280" w:after="160"/>
      </w:pPr>
      <w:r>
        <w:rPr>
          <w:rFonts w:ascii="Cambria" w:hAnsi="Cambria"/>
          <w:b/>
          <w:color w:val="1F3A5F"/>
          <w:sz w:val="32"/>
        </w:rPr>
        <w:t>15. Definition of “Service”</w:t>
      </w:r>
    </w:p>
    <w:p>
      <w:pPr>
        <w:keepNext/>
        <w:spacing w:before="200" w:after="120"/>
      </w:pPr>
      <w:r>
        <w:rPr>
          <w:rFonts w:ascii="Cambria" w:hAnsi="Cambria"/>
          <w:b/>
          <w:color w:val="1F3A5F"/>
          <w:sz w:val="27"/>
        </w:rPr>
        <w:t>a. Meaning</w:t>
      </w:r>
    </w:p>
    <w:p>
      <w:pPr>
        <w:pStyle w:val="ListBullet"/>
        <w:spacing w:line="276" w:lineRule="auto"/>
        <w:ind w:left="510"/>
      </w:pPr>
      <w:r>
        <w:rPr>
          <w:rFonts w:ascii="Cambria" w:hAnsi="Cambria"/>
          <w:b w:val="0"/>
          <w:i w:val="0"/>
          <w:sz w:val="22"/>
        </w:rPr>
        <w:t>The term “Service” refers to the period of employment under the University or Higher Education Institution (HEI), unless otherwise specified in the context of deputation, collaboration, or external assignment.</w:t>
      </w:r>
    </w:p>
    <w:p>
      <w:pPr>
        <w:pStyle w:val="ListBullet"/>
        <w:spacing w:line="276" w:lineRule="auto"/>
        <w:ind w:left="510"/>
      </w:pPr>
      <w:r>
        <w:rPr>
          <w:rFonts w:ascii="Cambria" w:hAnsi="Cambria"/>
          <w:b w:val="0"/>
          <w:i w:val="0"/>
          <w:sz w:val="22"/>
        </w:rPr>
        <w:t>It includes all periods during which an employee holds a post, performs duties, or is treated as being on duty under the University’s administrative control and payroll.</w:t>
      </w:r>
    </w:p>
    <w:p>
      <w:pPr>
        <w:keepNext/>
        <w:spacing w:before="200" w:after="120"/>
      </w:pPr>
      <w:r>
        <w:rPr>
          <w:rFonts w:ascii="Cambria" w:hAnsi="Cambria"/>
          <w:b/>
          <w:color w:val="1F3A5F"/>
          <w:sz w:val="27"/>
        </w:rPr>
        <w:t>b. Scope of Service</w:t>
      </w:r>
    </w:p>
    <w:p>
      <w:pPr>
        <w:jc w:val="both"/>
      </w:pPr>
      <w:r>
        <w:rPr>
          <w:rFonts w:ascii="Cambria" w:hAnsi="Cambria"/>
          <w:i w:val="0"/>
          <w:sz w:val="22"/>
        </w:rPr>
        <w:t>“Service” shall include the following periods, subject to confirmation by the competent authority:</w:t>
      </w:r>
    </w:p>
    <w:p>
      <w:pPr>
        <w:spacing w:line="276" w:lineRule="auto"/>
        <w:ind w:left="357" w:hanging="357"/>
      </w:pPr>
      <w:r>
        <w:rPr>
          <w:rFonts w:ascii="Cambria" w:hAnsi="Cambria"/>
          <w:b w:val="0"/>
          <w:i w:val="0"/>
          <w:sz w:val="22"/>
        </w:rPr>
        <w:t xml:space="preserve">1. </w:t>
      </w:r>
      <w:r>
        <w:rPr>
          <w:rFonts w:ascii="Cambria" w:hAnsi="Cambria"/>
          <w:b w:val="0"/>
          <w:i w:val="0"/>
          <w:sz w:val="22"/>
        </w:rPr>
        <w:t>Active Service:</w:t>
      </w:r>
    </w:p>
    <w:p>
      <w:pPr>
        <w:pStyle w:val="ListBullet2"/>
        <w:spacing w:line="276" w:lineRule="auto"/>
        <w:ind w:left="1020"/>
      </w:pPr>
      <w:r>
        <w:rPr>
          <w:rFonts w:ascii="Cambria" w:hAnsi="Cambria"/>
          <w:b w:val="0"/>
          <w:i w:val="0"/>
          <w:sz w:val="22"/>
        </w:rPr>
        <w:t>The period during which an employee is actively performing the duties of the post to which he/she is appointed.</w:t>
      </w:r>
    </w:p>
    <w:p>
      <w:pPr>
        <w:spacing w:line="276" w:lineRule="auto"/>
        <w:ind w:left="357" w:hanging="357"/>
      </w:pPr>
      <w:r>
        <w:rPr>
          <w:rFonts w:ascii="Cambria" w:hAnsi="Cambria"/>
          <w:b w:val="0"/>
          <w:i w:val="0"/>
          <w:sz w:val="22"/>
        </w:rPr>
        <w:t xml:space="preserve">2. </w:t>
      </w:r>
      <w:r>
        <w:rPr>
          <w:rFonts w:ascii="Cambria" w:hAnsi="Cambria"/>
          <w:b w:val="0"/>
          <w:i w:val="0"/>
          <w:sz w:val="22"/>
        </w:rPr>
        <w:t>Probationary Service:</w:t>
      </w:r>
    </w:p>
    <w:p>
      <w:pPr>
        <w:pStyle w:val="ListBullet2"/>
        <w:spacing w:line="276" w:lineRule="auto"/>
        <w:ind w:left="1020"/>
      </w:pPr>
      <w:r>
        <w:rPr>
          <w:rFonts w:ascii="Cambria" w:hAnsi="Cambria"/>
          <w:b w:val="0"/>
          <w:i w:val="0"/>
          <w:sz w:val="22"/>
        </w:rPr>
        <w:t>The period of probation preceding confirmation in a post, provided the employee is subsequently confirmed in the same or higher position.</w:t>
      </w:r>
    </w:p>
    <w:p>
      <w:pPr>
        <w:spacing w:line="276" w:lineRule="auto"/>
        <w:ind w:left="357" w:hanging="357"/>
      </w:pPr>
      <w:r>
        <w:rPr>
          <w:rFonts w:ascii="Cambria" w:hAnsi="Cambria"/>
          <w:b w:val="0"/>
          <w:i w:val="0"/>
          <w:sz w:val="22"/>
        </w:rPr>
        <w:t xml:space="preserve">3. </w:t>
      </w:r>
      <w:r>
        <w:rPr>
          <w:rFonts w:ascii="Cambria" w:hAnsi="Cambria"/>
          <w:b w:val="0"/>
          <w:i w:val="0"/>
          <w:sz w:val="22"/>
        </w:rPr>
        <w:t>Approved Leave Periods:</w:t>
      </w:r>
    </w:p>
    <w:p>
      <w:pPr>
        <w:pStyle w:val="ListBullet2"/>
        <w:spacing w:line="276" w:lineRule="auto"/>
        <w:ind w:left="1020"/>
      </w:pPr>
      <w:r>
        <w:rPr>
          <w:rFonts w:ascii="Cambria" w:hAnsi="Cambria"/>
          <w:b w:val="0"/>
          <w:i w:val="0"/>
          <w:sz w:val="22"/>
        </w:rPr>
        <w:t>Periods of authorized leave (Earned Leave, Half Pay Leave, Medical Leave, Maternity Leave, etc.) which are countable for service continuity under the Leave Rules.</w:t>
      </w:r>
    </w:p>
    <w:p>
      <w:pPr>
        <w:spacing w:line="276" w:lineRule="auto"/>
        <w:ind w:left="357" w:hanging="357"/>
      </w:pPr>
      <w:r>
        <w:rPr>
          <w:rFonts w:ascii="Cambria" w:hAnsi="Cambria"/>
          <w:b w:val="0"/>
          <w:i w:val="0"/>
          <w:sz w:val="22"/>
        </w:rPr>
        <w:t xml:space="preserve">4. </w:t>
      </w:r>
      <w:r>
        <w:rPr>
          <w:rFonts w:ascii="Cambria" w:hAnsi="Cambria"/>
          <w:b w:val="0"/>
          <w:i w:val="0"/>
          <w:sz w:val="22"/>
        </w:rPr>
        <w:t>Training and Deputation:</w:t>
      </w:r>
    </w:p>
    <w:p>
      <w:pPr>
        <w:pStyle w:val="ListBullet2"/>
        <w:spacing w:line="276" w:lineRule="auto"/>
        <w:ind w:left="1020"/>
      </w:pPr>
      <w:r>
        <w:rPr>
          <w:rFonts w:ascii="Cambria" w:hAnsi="Cambria"/>
          <w:b w:val="0"/>
          <w:i w:val="0"/>
          <w:sz w:val="22"/>
        </w:rPr>
        <w:t>Periods spent on training, study leave, or deputation officially sanctioned by the University.</w:t>
      </w:r>
    </w:p>
    <w:p>
      <w:pPr>
        <w:spacing w:line="276" w:lineRule="auto"/>
        <w:ind w:left="357" w:hanging="357"/>
      </w:pPr>
      <w:r>
        <w:rPr>
          <w:rFonts w:ascii="Cambria" w:hAnsi="Cambria"/>
          <w:b w:val="0"/>
          <w:i w:val="0"/>
          <w:sz w:val="22"/>
        </w:rPr>
        <w:t xml:space="preserve">5. </w:t>
      </w:r>
      <w:r>
        <w:rPr>
          <w:rFonts w:ascii="Cambria" w:hAnsi="Cambria"/>
          <w:b w:val="0"/>
          <w:i w:val="0"/>
          <w:sz w:val="22"/>
        </w:rPr>
        <w:t>Suspension (When Treated as Duty):</w:t>
      </w:r>
    </w:p>
    <w:p>
      <w:pPr>
        <w:pStyle w:val="ListBullet2"/>
        <w:spacing w:line="276" w:lineRule="auto"/>
        <w:ind w:left="1020"/>
      </w:pPr>
      <w:r>
        <w:rPr>
          <w:rFonts w:ascii="Cambria" w:hAnsi="Cambria"/>
          <w:b w:val="0"/>
          <w:i w:val="0"/>
          <w:sz w:val="22"/>
        </w:rPr>
        <w:t>Period of suspension, if the employee is fully exonerated and the suspension is ordered to be treated as “on duty.”</w:t>
      </w:r>
    </w:p>
    <w:p>
      <w:pPr>
        <w:spacing w:line="276" w:lineRule="auto"/>
        <w:ind w:left="357" w:hanging="357"/>
      </w:pPr>
      <w:r>
        <w:rPr>
          <w:rFonts w:ascii="Cambria" w:hAnsi="Cambria"/>
          <w:b w:val="0"/>
          <w:i w:val="0"/>
          <w:sz w:val="22"/>
        </w:rPr>
        <w:t xml:space="preserve">6. </w:t>
      </w:r>
      <w:r>
        <w:rPr>
          <w:rFonts w:ascii="Cambria" w:hAnsi="Cambria"/>
          <w:b w:val="0"/>
          <w:i w:val="0"/>
          <w:sz w:val="22"/>
        </w:rPr>
        <w:t>Foreign or Collaborative Service:</w:t>
      </w:r>
    </w:p>
    <w:p>
      <w:pPr>
        <w:pStyle w:val="ListBullet2"/>
        <w:spacing w:line="276" w:lineRule="auto"/>
        <w:ind w:left="1020"/>
      </w:pPr>
      <w:r>
        <w:rPr>
          <w:rFonts w:ascii="Cambria" w:hAnsi="Cambria"/>
          <w:b w:val="0"/>
          <w:i w:val="0"/>
          <w:sz w:val="22"/>
        </w:rPr>
        <w:t>Service rendered under collaborative, sponsored, or inter-institutional assignments approved by the University, provided the employee retains a lien on the University post.</w:t>
      </w:r>
    </w:p>
    <w:p>
      <w:pPr>
        <w:keepNext/>
        <w:spacing w:before="200" w:after="120"/>
      </w:pPr>
      <w:r>
        <w:rPr>
          <w:rFonts w:ascii="Cambria" w:hAnsi="Cambria"/>
          <w:b/>
          <w:color w:val="1F3A5F"/>
          <w:sz w:val="27"/>
        </w:rPr>
        <w:t>c. Exclusions from Service</w:t>
      </w:r>
    </w:p>
    <w:p>
      <w:pPr>
        <w:pStyle w:val="ListBullet"/>
        <w:spacing w:line="276" w:lineRule="auto"/>
        <w:ind w:left="510"/>
      </w:pPr>
      <w:r>
        <w:rPr>
          <w:rFonts w:ascii="Cambria" w:hAnsi="Cambria"/>
          <w:b w:val="0"/>
          <w:i w:val="0"/>
          <w:sz w:val="22"/>
        </w:rPr>
        <w:t>The following periods shall not be treated as service unless otherwise approved by the Board of Management (BoM):</w:t>
      </w:r>
    </w:p>
    <w:p>
      <w:pPr>
        <w:spacing w:line="276" w:lineRule="auto"/>
        <w:ind w:left="357" w:hanging="357"/>
      </w:pPr>
      <w:r>
        <w:rPr>
          <w:rFonts w:ascii="Cambria" w:hAnsi="Cambria"/>
          <w:b w:val="0"/>
          <w:i w:val="0"/>
          <w:sz w:val="22"/>
        </w:rPr>
        <w:t xml:space="preserve">1. </w:t>
      </w:r>
      <w:r>
        <w:rPr>
          <w:rFonts w:ascii="Cambria" w:hAnsi="Cambria"/>
          <w:b w:val="0"/>
          <w:i w:val="0"/>
          <w:sz w:val="22"/>
        </w:rPr>
        <w:t>Unauthorized absence without approval.</w:t>
      </w:r>
    </w:p>
    <w:p>
      <w:pPr>
        <w:spacing w:line="276" w:lineRule="auto"/>
        <w:ind w:left="357" w:hanging="357"/>
      </w:pPr>
      <w:r>
        <w:rPr>
          <w:rFonts w:ascii="Cambria" w:hAnsi="Cambria"/>
          <w:b w:val="0"/>
          <w:i w:val="0"/>
          <w:sz w:val="22"/>
        </w:rPr>
        <w:t xml:space="preserve">2. </w:t>
      </w:r>
      <w:r>
        <w:rPr>
          <w:rFonts w:ascii="Cambria" w:hAnsi="Cambria"/>
          <w:b w:val="0"/>
          <w:i w:val="0"/>
          <w:sz w:val="22"/>
        </w:rPr>
        <w:t>Leave without pay, unless specifically declared as counting for service benefits.</w:t>
      </w:r>
    </w:p>
    <w:p>
      <w:pPr>
        <w:spacing w:line="276" w:lineRule="auto"/>
        <w:ind w:left="357" w:hanging="357"/>
      </w:pPr>
      <w:r>
        <w:rPr>
          <w:rFonts w:ascii="Cambria" w:hAnsi="Cambria"/>
          <w:b w:val="0"/>
          <w:i w:val="0"/>
          <w:sz w:val="22"/>
        </w:rPr>
        <w:t xml:space="preserve">3. </w:t>
      </w:r>
      <w:r>
        <w:rPr>
          <w:rFonts w:ascii="Cambria" w:hAnsi="Cambria"/>
          <w:b w:val="0"/>
          <w:i w:val="0"/>
          <w:sz w:val="22"/>
        </w:rPr>
        <w:t>Suspension period treated as “not on duty.”</w:t>
      </w:r>
    </w:p>
    <w:p>
      <w:pPr>
        <w:spacing w:line="276" w:lineRule="auto"/>
        <w:ind w:left="357" w:hanging="357"/>
      </w:pPr>
      <w:r>
        <w:rPr>
          <w:rFonts w:ascii="Cambria" w:hAnsi="Cambria"/>
          <w:b w:val="0"/>
          <w:i w:val="0"/>
          <w:sz w:val="22"/>
        </w:rPr>
        <w:t xml:space="preserve">4. </w:t>
      </w:r>
      <w:r>
        <w:rPr>
          <w:rFonts w:ascii="Cambria" w:hAnsi="Cambria"/>
          <w:b w:val="0"/>
          <w:i w:val="0"/>
          <w:sz w:val="22"/>
        </w:rPr>
        <w:t>Service in private or non-approved institutions undertaken without prior permission.</w:t>
      </w:r>
    </w:p>
    <w:p>
      <w:pPr>
        <w:keepNext/>
        <w:spacing w:before="200" w:after="120"/>
      </w:pPr>
      <w:r>
        <w:rPr>
          <w:rFonts w:ascii="Cambria" w:hAnsi="Cambria"/>
          <w:b/>
          <w:color w:val="1F3A5F"/>
          <w:sz w:val="27"/>
        </w:rPr>
        <w:t>d. Importance of Service Definition</w:t>
      </w:r>
    </w:p>
    <w:p>
      <w:pPr>
        <w:pStyle w:val="ListBullet"/>
        <w:spacing w:line="276" w:lineRule="auto"/>
        <w:ind w:left="510"/>
      </w:pPr>
      <w:r>
        <w:rPr>
          <w:rFonts w:ascii="Cambria" w:hAnsi="Cambria"/>
          <w:b w:val="0"/>
          <w:i w:val="0"/>
          <w:sz w:val="22"/>
        </w:rPr>
        <w:t>The period defined as “Service” is critical for determining:</w:t>
      </w:r>
    </w:p>
    <w:p>
      <w:pPr>
        <w:pStyle w:val="ListBullet2"/>
        <w:spacing w:line="276" w:lineRule="auto"/>
        <w:ind w:left="1020"/>
      </w:pPr>
      <w:r>
        <w:rPr>
          <w:rFonts w:ascii="Cambria" w:hAnsi="Cambria"/>
          <w:b w:val="0"/>
          <w:i w:val="0"/>
          <w:sz w:val="22"/>
        </w:rPr>
        <w:t>Seniority and promotion eligibility.</w:t>
      </w:r>
    </w:p>
    <w:p>
      <w:pPr>
        <w:pStyle w:val="ListBullet2"/>
        <w:spacing w:line="276" w:lineRule="auto"/>
        <w:ind w:left="1020"/>
      </w:pPr>
      <w:r>
        <w:rPr>
          <w:rFonts w:ascii="Cambria" w:hAnsi="Cambria"/>
          <w:b w:val="0"/>
          <w:i w:val="0"/>
          <w:sz w:val="22"/>
        </w:rPr>
        <w:t>Leave accrual and pension benefits.</w:t>
      </w:r>
    </w:p>
    <w:p>
      <w:pPr>
        <w:pStyle w:val="ListBullet2"/>
        <w:spacing w:line="276" w:lineRule="auto"/>
        <w:ind w:left="1020"/>
      </w:pPr>
      <w:r>
        <w:rPr>
          <w:rFonts w:ascii="Cambria" w:hAnsi="Cambria"/>
          <w:b w:val="0"/>
          <w:i w:val="0"/>
          <w:sz w:val="22"/>
        </w:rPr>
        <w:t>Increment and pay fixation.</w:t>
      </w:r>
    </w:p>
    <w:p>
      <w:pPr>
        <w:pStyle w:val="ListBullet2"/>
        <w:spacing w:line="276" w:lineRule="auto"/>
        <w:ind w:left="1020"/>
      </w:pPr>
      <w:r>
        <w:rPr>
          <w:rFonts w:ascii="Cambria" w:hAnsi="Cambria"/>
          <w:b w:val="0"/>
          <w:i w:val="0"/>
          <w:sz w:val="22"/>
        </w:rPr>
        <w:t>Qualifying service for gratuity and retirement.</w:t>
      </w:r>
    </w:p>
    <w:p>
      <w:pPr>
        <w:keepNext/>
        <w:spacing w:before="200" w:after="120"/>
      </w:pPr>
      <w:r>
        <w:rPr>
          <w:rFonts w:ascii="Cambria" w:hAnsi="Cambria"/>
          <w:b/>
          <w:color w:val="1F3A5F"/>
          <w:sz w:val="27"/>
        </w:rPr>
        <w:t>e. Administrative Responsibility</w:t>
      </w:r>
    </w:p>
    <w:p>
      <w:pPr>
        <w:pStyle w:val="ListBullet"/>
        <w:spacing w:line="276" w:lineRule="auto"/>
        <w:ind w:left="510"/>
      </w:pPr>
      <w:r>
        <w:rPr>
          <w:rFonts w:ascii="Cambria" w:hAnsi="Cambria"/>
          <w:b w:val="0"/>
          <w:i w:val="0"/>
          <w:sz w:val="22"/>
        </w:rPr>
        <w:t>The Registrar / Establishment Section shall maintain an accurate Service Register for every employee, recording:</w:t>
      </w:r>
    </w:p>
    <w:p>
      <w:pPr>
        <w:pStyle w:val="ListBullet2"/>
        <w:spacing w:line="276" w:lineRule="auto"/>
        <w:ind w:left="1020"/>
      </w:pPr>
      <w:r>
        <w:rPr>
          <w:rFonts w:ascii="Cambria" w:hAnsi="Cambria"/>
          <w:b w:val="0"/>
          <w:i w:val="0"/>
          <w:sz w:val="22"/>
        </w:rPr>
        <w:t>Date of appointment, confirmation, and promotion.</w:t>
      </w:r>
    </w:p>
    <w:p>
      <w:pPr>
        <w:pStyle w:val="ListBullet2"/>
        <w:spacing w:line="276" w:lineRule="auto"/>
        <w:ind w:left="1020"/>
      </w:pPr>
      <w:r>
        <w:rPr>
          <w:rFonts w:ascii="Cambria" w:hAnsi="Cambria"/>
          <w:b w:val="0"/>
          <w:i w:val="0"/>
          <w:sz w:val="22"/>
        </w:rPr>
        <w:t>Periods of leave, suspension, or deputation.</w:t>
      </w:r>
    </w:p>
    <w:p>
      <w:pPr>
        <w:pStyle w:val="ListBullet2"/>
        <w:spacing w:line="276" w:lineRule="auto"/>
        <w:ind w:left="1020"/>
      </w:pPr>
      <w:r>
        <w:rPr>
          <w:rFonts w:ascii="Cambria" w:hAnsi="Cambria"/>
          <w:b w:val="0"/>
          <w:i w:val="0"/>
          <w:sz w:val="22"/>
        </w:rPr>
        <w:t>Certificates of training and service continuation.</w:t>
      </w:r>
    </w:p>
    <w:p>
      <w:pPr>
        <w:pStyle w:val="ListBullet"/>
        <w:spacing w:line="276" w:lineRule="auto"/>
        <w:ind w:left="510"/>
      </w:pPr>
      <w:r>
        <w:rPr>
          <w:rFonts w:ascii="Cambria" w:hAnsi="Cambria"/>
          <w:b w:val="0"/>
          <w:i w:val="0"/>
          <w:sz w:val="22"/>
        </w:rPr>
        <w:t>The service record must be verified annually and countersigned by the competent authority.</w:t>
      </w:r>
    </w:p>
    <w:p>
      <w:pPr>
        <w:keepNext/>
        <w:spacing w:before="200" w:after="120"/>
      </w:pPr>
      <w:r>
        <w:rPr>
          <w:rFonts w:ascii="Cambria" w:hAnsi="Cambria"/>
          <w:b/>
          <w:color w:val="1F3A5F"/>
          <w:sz w:val="27"/>
        </w:rPr>
        <w:t>f. Summary Table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2041"/>
            <w:shd w:val="clear" w:color="auto" w:fill="1F3A5F"/>
          </w:tcPr>
          <w:p>
            <w:pPr>
              <w:spacing w:after="40" w:before="40"/>
            </w:pPr>
            <w:r/>
            <w:r>
              <w:rPr>
                <w:rFonts w:ascii="Cambria" w:hAnsi="Cambria"/>
                <w:b/>
                <w:i w:val="0"/>
                <w:color w:val="FFFFFF"/>
                <w:sz w:val="22"/>
              </w:rPr>
              <w:t>Aspect</w:t>
            </w:r>
          </w:p>
        </w:tc>
        <w:tc>
          <w:tcPr>
            <w:tcW w:type="dxa" w:w="2608"/>
            <w:shd w:val="clear" w:color="auto" w:fill="1F3A5F"/>
          </w:tcPr>
          <w:p>
            <w:pPr>
              <w:spacing w:after="40" w:before="40"/>
            </w:pPr>
            <w:r/>
            <w:r>
              <w:rPr>
                <w:rFonts w:ascii="Cambria" w:hAnsi="Cambria"/>
                <w:b/>
                <w:i w:val="0"/>
                <w:color w:val="FFFFFF"/>
                <w:sz w:val="22"/>
              </w:rPr>
              <w:t>Included in “Service”</w:t>
            </w:r>
          </w:p>
        </w:tc>
        <w:tc>
          <w:tcPr>
            <w:tcW w:type="dxa" w:w="2494"/>
            <w:shd w:val="clear" w:color="auto" w:fill="1F3A5F"/>
          </w:tcPr>
          <w:p>
            <w:pPr>
              <w:spacing w:after="40" w:before="40"/>
            </w:pPr>
            <w:r/>
            <w:r>
              <w:rPr>
                <w:rFonts w:ascii="Cambria" w:hAnsi="Cambria"/>
                <w:b/>
                <w:i w:val="0"/>
                <w:color w:val="FFFFFF"/>
                <w:sz w:val="22"/>
              </w:rPr>
              <w:t>Excluded from “Service”</w:t>
            </w:r>
          </w:p>
        </w:tc>
        <w:tc>
          <w:tcPr>
            <w:tcW w:type="dxa" w:w="1701"/>
            <w:shd w:val="clear" w:color="auto" w:fill="1F3A5F"/>
          </w:tcPr>
          <w:p>
            <w:pPr>
              <w:spacing w:after="40" w:before="40"/>
            </w:pPr>
            <w:r/>
            <w:r>
              <w:rPr>
                <w:rFonts w:ascii="Cambria" w:hAnsi="Cambria"/>
                <w:b/>
                <w:i w:val="0"/>
                <w:color w:val="FFFFFF"/>
                <w:sz w:val="22"/>
              </w:rPr>
              <w:t>Authority</w:t>
            </w:r>
          </w:p>
        </w:tc>
      </w:tr>
      <w:tr>
        <w:tc>
          <w:tcPr>
            <w:tcW w:type="dxa" w:w="2041"/>
          </w:tcPr>
          <w:p>
            <w:pPr>
              <w:spacing w:after="40" w:before="40"/>
            </w:pPr>
            <w:r/>
            <w:r>
              <w:rPr>
                <w:rFonts w:ascii="Cambria" w:hAnsi="Cambria"/>
                <w:b w:val="0"/>
                <w:i w:val="0"/>
                <w:sz w:val="22"/>
              </w:rPr>
              <w:t>Active Employment</w:t>
            </w:r>
          </w:p>
        </w:tc>
        <w:tc>
          <w:tcPr>
            <w:tcW w:type="dxa" w:w="2608"/>
          </w:tcPr>
          <w:p>
            <w:pPr>
              <w:spacing w:after="40" w:before="40"/>
            </w:pPr>
            <w:r/>
            <w:r>
              <w:rPr>
                <w:rFonts w:ascii="Cambria" w:hAnsi="Cambria"/>
                <w:b w:val="0"/>
                <w:i w:val="0"/>
                <w:sz w:val="22"/>
              </w:rPr>
              <w:t>Performing assigned duties under University appointment</w:t>
            </w:r>
          </w:p>
        </w:tc>
        <w:tc>
          <w:tcPr>
            <w:tcW w:type="dxa" w:w="2494"/>
          </w:tcPr>
          <w:p>
            <w:pPr>
              <w:spacing w:after="40" w:before="40"/>
            </w:pPr>
            <w:r/>
            <w:r>
              <w:rPr>
                <w:rFonts w:ascii="Cambria" w:hAnsi="Cambria"/>
                <w:b w:val="0"/>
                <w:i w:val="0"/>
                <w:sz w:val="22"/>
              </w:rPr>
              <w:t>—</w:t>
            </w:r>
          </w:p>
        </w:tc>
        <w:tc>
          <w:tcPr>
            <w:tcW w:type="dxa" w:w="1701"/>
          </w:tcPr>
          <w:p>
            <w:pPr>
              <w:spacing w:after="40" w:before="40"/>
            </w:pPr>
            <w:r/>
            <w:r>
              <w:rPr>
                <w:rFonts w:ascii="Cambria" w:hAnsi="Cambria"/>
                <w:b w:val="0"/>
                <w:i w:val="0"/>
                <w:sz w:val="22"/>
              </w:rPr>
              <w:t>Registrar / BoM</w:t>
            </w:r>
          </w:p>
        </w:tc>
      </w:tr>
      <w:tr>
        <w:tc>
          <w:tcPr>
            <w:tcW w:type="dxa" w:w="2041"/>
            <w:shd w:val="clear" w:color="auto" w:fill="F0F2F5"/>
          </w:tcPr>
          <w:p>
            <w:pPr>
              <w:spacing w:after="40" w:before="40"/>
            </w:pPr>
            <w:r/>
            <w:r>
              <w:rPr>
                <w:rFonts w:ascii="Cambria" w:hAnsi="Cambria"/>
                <w:b w:val="0"/>
                <w:i w:val="0"/>
                <w:sz w:val="22"/>
              </w:rPr>
              <w:t>Probationary Period</w:t>
            </w:r>
          </w:p>
        </w:tc>
        <w:tc>
          <w:tcPr>
            <w:tcW w:type="dxa" w:w="2608"/>
            <w:shd w:val="clear" w:color="auto" w:fill="F0F2F5"/>
          </w:tcPr>
          <w:p>
            <w:pPr>
              <w:spacing w:after="40" w:before="40"/>
            </w:pPr>
            <w:r/>
            <w:r>
              <w:rPr>
                <w:rFonts w:ascii="Cambria" w:hAnsi="Cambria"/>
                <w:b w:val="0"/>
                <w:i w:val="0"/>
                <w:sz w:val="22"/>
              </w:rPr>
              <w:t>Counts if followed by confirmation</w:t>
            </w:r>
          </w:p>
        </w:tc>
        <w:tc>
          <w:tcPr>
            <w:tcW w:type="dxa" w:w="2494"/>
            <w:shd w:val="clear" w:color="auto" w:fill="F0F2F5"/>
          </w:tcPr>
          <w:p>
            <w:pPr>
              <w:spacing w:after="40" w:before="40"/>
            </w:pPr>
            <w:r/>
            <w:r>
              <w:rPr>
                <w:rFonts w:ascii="Cambria" w:hAnsi="Cambria"/>
                <w:b w:val="0"/>
                <w:i w:val="0"/>
                <w:sz w:val="22"/>
              </w:rPr>
              <w:t>—</w:t>
            </w:r>
          </w:p>
        </w:tc>
        <w:tc>
          <w:tcPr>
            <w:tcW w:type="dxa" w:w="1701"/>
            <w:shd w:val="clear" w:color="auto" w:fill="F0F2F5"/>
          </w:tcPr>
          <w:p>
            <w:pPr>
              <w:spacing w:after="40" w:before="40"/>
            </w:pPr>
            <w:r/>
            <w:r>
              <w:rPr>
                <w:rFonts w:ascii="Cambria" w:hAnsi="Cambria"/>
                <w:b w:val="0"/>
                <w:i w:val="0"/>
                <w:sz w:val="22"/>
              </w:rPr>
              <w:t>Appointing Authority</w:t>
            </w:r>
          </w:p>
        </w:tc>
      </w:tr>
      <w:tr>
        <w:tc>
          <w:tcPr>
            <w:tcW w:type="dxa" w:w="2041"/>
          </w:tcPr>
          <w:p>
            <w:pPr>
              <w:spacing w:after="40" w:before="40"/>
            </w:pPr>
            <w:r/>
            <w:r>
              <w:rPr>
                <w:rFonts w:ascii="Cambria" w:hAnsi="Cambria"/>
                <w:b w:val="0"/>
                <w:i w:val="0"/>
                <w:sz w:val="22"/>
              </w:rPr>
              <w:t>Approved Leave / Training / Deputation</w:t>
            </w:r>
          </w:p>
        </w:tc>
        <w:tc>
          <w:tcPr>
            <w:tcW w:type="dxa" w:w="2608"/>
          </w:tcPr>
          <w:p>
            <w:pPr>
              <w:spacing w:after="40" w:before="40"/>
            </w:pPr>
            <w:r/>
            <w:r>
              <w:rPr>
                <w:rFonts w:ascii="Cambria" w:hAnsi="Cambria"/>
                <w:b w:val="0"/>
                <w:i w:val="0"/>
                <w:sz w:val="22"/>
              </w:rPr>
              <w:t>Treated as service</w:t>
            </w:r>
          </w:p>
        </w:tc>
        <w:tc>
          <w:tcPr>
            <w:tcW w:type="dxa" w:w="2494"/>
          </w:tcPr>
          <w:p>
            <w:pPr>
              <w:spacing w:after="40" w:before="40"/>
            </w:pPr>
            <w:r/>
            <w:r>
              <w:rPr>
                <w:rFonts w:ascii="Cambria" w:hAnsi="Cambria"/>
                <w:b w:val="0"/>
                <w:i w:val="0"/>
                <w:sz w:val="22"/>
              </w:rPr>
              <w:t>Unauthorized absence or LWP without approval</w:t>
            </w:r>
          </w:p>
        </w:tc>
        <w:tc>
          <w:tcPr>
            <w:tcW w:type="dxa" w:w="1701"/>
          </w:tcPr>
          <w:p>
            <w:pPr>
              <w:spacing w:after="40" w:before="40"/>
            </w:pPr>
            <w:r/>
            <w:r>
              <w:rPr>
                <w:rFonts w:ascii="Cambria" w:hAnsi="Cambria"/>
                <w:b w:val="0"/>
                <w:i w:val="0"/>
                <w:sz w:val="22"/>
              </w:rPr>
              <w:t>Registrar</w:t>
            </w:r>
          </w:p>
        </w:tc>
      </w:tr>
      <w:tr>
        <w:tc>
          <w:tcPr>
            <w:tcW w:type="dxa" w:w="2041"/>
            <w:shd w:val="clear" w:color="auto" w:fill="F0F2F5"/>
          </w:tcPr>
          <w:p>
            <w:pPr>
              <w:spacing w:after="40" w:before="40"/>
            </w:pPr>
            <w:r/>
            <w:r>
              <w:rPr>
                <w:rFonts w:ascii="Cambria" w:hAnsi="Cambria"/>
                <w:b w:val="0"/>
                <w:i w:val="0"/>
                <w:sz w:val="22"/>
              </w:rPr>
              <w:t>Suspension Period</w:t>
            </w:r>
          </w:p>
        </w:tc>
        <w:tc>
          <w:tcPr>
            <w:tcW w:type="dxa" w:w="2608"/>
            <w:shd w:val="clear" w:color="auto" w:fill="F0F2F5"/>
          </w:tcPr>
          <w:p>
            <w:pPr>
              <w:spacing w:after="40" w:before="40"/>
            </w:pPr>
            <w:r/>
            <w:r>
              <w:rPr>
                <w:rFonts w:ascii="Cambria" w:hAnsi="Cambria"/>
                <w:b w:val="0"/>
                <w:i w:val="0"/>
                <w:sz w:val="22"/>
              </w:rPr>
              <w:t>Only if treated as “duty” upon exoneration</w:t>
            </w:r>
          </w:p>
        </w:tc>
        <w:tc>
          <w:tcPr>
            <w:tcW w:type="dxa" w:w="2494"/>
            <w:shd w:val="clear" w:color="auto" w:fill="F0F2F5"/>
          </w:tcPr>
          <w:p>
            <w:pPr>
              <w:spacing w:after="40" w:before="40"/>
            </w:pPr>
            <w:r/>
            <w:r>
              <w:rPr>
                <w:rFonts w:ascii="Cambria" w:hAnsi="Cambria"/>
                <w:b w:val="0"/>
                <w:i w:val="0"/>
                <w:sz w:val="22"/>
              </w:rPr>
              <w:t>If declared “not on duty”</w:t>
            </w:r>
          </w:p>
        </w:tc>
        <w:tc>
          <w:tcPr>
            <w:tcW w:type="dxa" w:w="1701"/>
            <w:shd w:val="clear" w:color="auto" w:fill="F0F2F5"/>
          </w:tcPr>
          <w:p>
            <w:pPr>
              <w:spacing w:after="40" w:before="40"/>
            </w:pPr>
            <w:r/>
            <w:r>
              <w:rPr>
                <w:rFonts w:ascii="Cambria" w:hAnsi="Cambria"/>
                <w:b w:val="0"/>
                <w:i w:val="0"/>
                <w:sz w:val="22"/>
              </w:rPr>
              <w:t>Disciplinary Authority</w:t>
            </w:r>
          </w:p>
        </w:tc>
      </w:tr>
    </w:tbl>
    <w:p>
      <w:pPr>
        <w:spacing w:after="40"/>
      </w:pPr>
    </w:p>
    <w:p>
      <w:r>
        <w:br w:type="page"/>
      </w:r>
    </w:p>
    <w:p>
      <w:pPr>
        <w:keepNext/>
        <w:spacing w:before="280" w:after="160"/>
      </w:pPr>
      <w:r>
        <w:rPr>
          <w:rFonts w:ascii="Cambria" w:hAnsi="Cambria"/>
          <w:b/>
          <w:color w:val="1F3A5F"/>
          <w:sz w:val="32"/>
        </w:rPr>
        <w:t>16. Classification of Posts</w:t>
      </w:r>
    </w:p>
    <w:p>
      <w:pPr>
        <w:keepNext/>
        <w:spacing w:before="200" w:after="120"/>
      </w:pPr>
      <w:r>
        <w:rPr>
          <w:rFonts w:ascii="Cambria" w:hAnsi="Cambria"/>
          <w:b/>
          <w:color w:val="1F3A5F"/>
          <w:sz w:val="27"/>
        </w:rPr>
        <w:t>Purpose</w:t>
      </w:r>
    </w:p>
    <w:p>
      <w:pPr>
        <w:pStyle w:val="ListBullet"/>
        <w:spacing w:line="276" w:lineRule="auto"/>
        <w:ind w:left="510"/>
      </w:pPr>
      <w:r>
        <w:rPr>
          <w:rFonts w:ascii="Cambria" w:hAnsi="Cambria"/>
          <w:b w:val="0"/>
          <w:i w:val="0"/>
          <w:sz w:val="22"/>
        </w:rPr>
        <w:t>To define the classification of posts in the University and to specify the prescribed qualifications, appointing authority, and method of selection for each category of employment.</w:t>
      </w:r>
    </w:p>
    <w:p>
      <w:pPr>
        <w:pStyle w:val="ListBullet"/>
        <w:spacing w:line="276" w:lineRule="auto"/>
        <w:ind w:left="510"/>
      </w:pPr>
      <w:r>
        <w:rPr>
          <w:rFonts w:ascii="Cambria" w:hAnsi="Cambria"/>
          <w:b w:val="0"/>
          <w:i w:val="0"/>
          <w:sz w:val="22"/>
        </w:rPr>
        <w:t>This classification ensures that all appointments are made in accordance with the UGC, AICTE, and Government of India regulations and align with the University’s Statutes and Service Rules.</w:t>
      </w:r>
    </w:p>
    <w:p>
      <w:pPr>
        <w:keepNext/>
        <w:spacing w:before="200" w:after="120"/>
      </w:pPr>
      <w:r>
        <w:rPr>
          <w:rFonts w:ascii="Cambria" w:hAnsi="Cambria"/>
          <w:b/>
          <w:color w:val="1F3A5F"/>
          <w:sz w:val="27"/>
        </w:rPr>
        <w:t>A. Teaching Posts</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737"/>
            <w:shd w:val="clear" w:color="auto" w:fill="1F3A5F"/>
          </w:tcPr>
          <w:p>
            <w:pPr>
              <w:spacing w:after="40" w:before="40"/>
            </w:pPr>
            <w:r/>
            <w:r>
              <w:rPr>
                <w:rFonts w:ascii="Cambria" w:hAnsi="Cambria"/>
                <w:b/>
                <w:i w:val="0"/>
                <w:color w:val="FFFFFF"/>
                <w:sz w:val="22"/>
              </w:rPr>
              <w:t>S.No.</w:t>
            </w:r>
          </w:p>
        </w:tc>
        <w:tc>
          <w:tcPr>
            <w:tcW w:type="dxa" w:w="1474"/>
            <w:shd w:val="clear" w:color="auto" w:fill="1F3A5F"/>
          </w:tcPr>
          <w:p>
            <w:pPr>
              <w:spacing w:after="40" w:before="40"/>
            </w:pPr>
            <w:r/>
            <w:r>
              <w:rPr>
                <w:rFonts w:ascii="Cambria" w:hAnsi="Cambria"/>
                <w:b/>
                <w:i w:val="0"/>
                <w:color w:val="FFFFFF"/>
                <w:sz w:val="22"/>
              </w:rPr>
              <w:t>Post</w:t>
            </w:r>
          </w:p>
        </w:tc>
        <w:tc>
          <w:tcPr>
            <w:tcW w:type="dxa" w:w="2494"/>
            <w:shd w:val="clear" w:color="auto" w:fill="1F3A5F"/>
          </w:tcPr>
          <w:p>
            <w:pPr>
              <w:spacing w:after="40" w:before="40"/>
            </w:pPr>
            <w:r/>
            <w:r>
              <w:rPr>
                <w:rFonts w:ascii="Cambria" w:hAnsi="Cambria"/>
                <w:b/>
                <w:i w:val="0"/>
                <w:color w:val="FFFFFF"/>
                <w:sz w:val="22"/>
              </w:rPr>
              <w:t>Qualifications Prescribed</w:t>
            </w:r>
          </w:p>
        </w:tc>
        <w:tc>
          <w:tcPr>
            <w:tcW w:type="dxa" w:w="2154"/>
            <w:shd w:val="clear" w:color="auto" w:fill="1F3A5F"/>
          </w:tcPr>
          <w:p>
            <w:pPr>
              <w:spacing w:after="40" w:before="40"/>
            </w:pPr>
            <w:r/>
            <w:r>
              <w:rPr>
                <w:rFonts w:ascii="Cambria" w:hAnsi="Cambria"/>
                <w:b/>
                <w:i w:val="0"/>
                <w:color w:val="FFFFFF"/>
                <w:sz w:val="22"/>
              </w:rPr>
              <w:t>Appointing Authority</w:t>
            </w:r>
          </w:p>
        </w:tc>
        <w:tc>
          <w:tcPr>
            <w:tcW w:type="dxa" w:w="2551"/>
            <w:shd w:val="clear" w:color="auto" w:fill="1F3A5F"/>
          </w:tcPr>
          <w:p>
            <w:pPr>
              <w:spacing w:after="40" w:before="40"/>
            </w:pPr>
            <w:r/>
            <w:r>
              <w:rPr>
                <w:rFonts w:ascii="Cambria" w:hAnsi="Cambria"/>
                <w:b/>
                <w:i w:val="0"/>
                <w:color w:val="FFFFFF"/>
                <w:sz w:val="22"/>
              </w:rPr>
              <w:t>Method of Selection</w:t>
            </w:r>
          </w:p>
        </w:tc>
      </w:tr>
      <w:tr>
        <w:tc>
          <w:tcPr>
            <w:tcW w:type="dxa" w:w="737"/>
          </w:tcPr>
          <w:p>
            <w:pPr>
              <w:spacing w:after="40" w:before="40"/>
            </w:pPr>
            <w:r/>
            <w:r>
              <w:rPr>
                <w:rFonts w:ascii="Cambria" w:hAnsi="Cambria"/>
                <w:b w:val="0"/>
                <w:i w:val="0"/>
                <w:sz w:val="22"/>
              </w:rPr>
              <w:t>01</w:t>
            </w:r>
          </w:p>
        </w:tc>
        <w:tc>
          <w:tcPr>
            <w:tcW w:type="dxa" w:w="1474"/>
          </w:tcPr>
          <w:p>
            <w:pPr>
              <w:spacing w:after="40" w:before="40"/>
            </w:pPr>
            <w:r/>
            <w:r>
              <w:rPr>
                <w:rFonts w:ascii="Cambria" w:hAnsi="Cambria"/>
                <w:b w:val="0"/>
                <w:i w:val="0"/>
                <w:sz w:val="22"/>
              </w:rPr>
              <w:t>Professor</w:t>
            </w:r>
          </w:p>
        </w:tc>
        <w:tc>
          <w:tcPr>
            <w:tcW w:type="dxa" w:w="2494"/>
          </w:tcPr>
          <w:p>
            <w:pPr>
              <w:spacing w:after="40" w:before="40"/>
            </w:pPr>
            <w:r/>
            <w:r>
              <w:rPr>
                <w:rFonts w:ascii="Cambria" w:hAnsi="Cambria"/>
                <w:b w:val="0"/>
                <w:i w:val="0"/>
                <w:sz w:val="22"/>
              </w:rPr>
              <w:t>As prescribed by the University Grants Commission (UGC) / AICTE / Government of India from time to time.</w:t>
            </w:r>
          </w:p>
        </w:tc>
        <w:tc>
          <w:tcPr>
            <w:tcW w:type="dxa" w:w="2154"/>
          </w:tcPr>
          <w:p>
            <w:pPr>
              <w:spacing w:after="40" w:before="40"/>
            </w:pPr>
            <w:r/>
            <w:r>
              <w:rPr>
                <w:rFonts w:ascii="Cambria" w:hAnsi="Cambria"/>
                <w:b w:val="0"/>
                <w:i w:val="0"/>
                <w:sz w:val="22"/>
              </w:rPr>
              <w:t>Board of Management (BoM) in the case of permanent appointments.</w:t>
            </w:r>
          </w:p>
        </w:tc>
        <w:tc>
          <w:tcPr>
            <w:tcW w:type="dxa" w:w="2551"/>
          </w:tcPr>
          <w:p>
            <w:pPr>
              <w:spacing w:after="40" w:before="40"/>
            </w:pPr>
            <w:r/>
            <w:r>
              <w:rPr>
                <w:rFonts w:ascii="Cambria" w:hAnsi="Cambria"/>
                <w:b w:val="0"/>
                <w:i w:val="0"/>
                <w:sz w:val="22"/>
              </w:rPr>
              <w:t>Selection by a duly constituted Selection Committee as per norms of the UGC / AICTE / University / State or Central Government.</w:t>
            </w:r>
          </w:p>
        </w:tc>
      </w:tr>
      <w:tr>
        <w:tc>
          <w:tcPr>
            <w:tcW w:type="dxa" w:w="737"/>
            <w:shd w:val="clear" w:color="auto" w:fill="F0F2F5"/>
          </w:tcPr>
          <w:p>
            <w:pPr>
              <w:spacing w:after="40" w:before="40"/>
            </w:pPr>
            <w:r/>
            <w:r>
              <w:rPr>
                <w:rFonts w:ascii="Cambria" w:hAnsi="Cambria"/>
                <w:b w:val="0"/>
                <w:i w:val="0"/>
                <w:sz w:val="22"/>
              </w:rPr>
              <w:t>02</w:t>
            </w:r>
          </w:p>
        </w:tc>
        <w:tc>
          <w:tcPr>
            <w:tcW w:type="dxa" w:w="1474"/>
            <w:shd w:val="clear" w:color="auto" w:fill="F0F2F5"/>
          </w:tcPr>
          <w:p>
            <w:pPr>
              <w:spacing w:after="40" w:before="40"/>
            </w:pPr>
            <w:r/>
            <w:r>
              <w:rPr>
                <w:rFonts w:ascii="Cambria" w:hAnsi="Cambria"/>
                <w:b w:val="0"/>
                <w:i w:val="0"/>
                <w:sz w:val="22"/>
              </w:rPr>
              <w:t>Associate Professor</w:t>
            </w:r>
          </w:p>
        </w:tc>
        <w:tc>
          <w:tcPr>
            <w:tcW w:type="dxa" w:w="2494"/>
            <w:shd w:val="clear" w:color="auto" w:fill="F0F2F5"/>
          </w:tcPr>
          <w:p>
            <w:pPr>
              <w:spacing w:after="40" w:before="40"/>
            </w:pPr>
            <w:r/>
            <w:r>
              <w:rPr>
                <w:rFonts w:ascii="Cambria" w:hAnsi="Cambria"/>
                <w:b w:val="0"/>
                <w:i w:val="0"/>
                <w:sz w:val="22"/>
              </w:rPr>
              <w:t>As prescribed by the UGC / AICTE / Government from time to time.</w:t>
            </w:r>
          </w:p>
        </w:tc>
        <w:tc>
          <w:tcPr>
            <w:tcW w:type="dxa" w:w="2154"/>
            <w:shd w:val="clear" w:color="auto" w:fill="F0F2F5"/>
          </w:tcPr>
          <w:p>
            <w:pPr>
              <w:spacing w:after="40" w:before="40"/>
            </w:pPr>
            <w:r/>
            <w:r>
              <w:rPr>
                <w:rFonts w:ascii="Cambria" w:hAnsi="Cambria"/>
                <w:b w:val="0"/>
                <w:i w:val="0"/>
                <w:sz w:val="22"/>
              </w:rPr>
              <w:t>Board of Management (BoM) for permanent appointments.</w:t>
            </w:r>
          </w:p>
        </w:tc>
        <w:tc>
          <w:tcPr>
            <w:tcW w:type="dxa" w:w="2551"/>
            <w:shd w:val="clear" w:color="auto" w:fill="F0F2F5"/>
          </w:tcPr>
          <w:p>
            <w:pPr>
              <w:spacing w:after="40" w:before="40"/>
            </w:pPr>
            <w:r/>
            <w:r>
              <w:rPr>
                <w:rFonts w:ascii="Cambria" w:hAnsi="Cambria"/>
                <w:b w:val="0"/>
                <w:i w:val="0"/>
                <w:sz w:val="22"/>
              </w:rPr>
              <w:t>Selection by a regular Selection Committee constituted under UGC/AICTE norms, including subject experts and external members.</w:t>
            </w:r>
          </w:p>
        </w:tc>
      </w:tr>
      <w:tr>
        <w:tc>
          <w:tcPr>
            <w:tcW w:type="dxa" w:w="737"/>
          </w:tcPr>
          <w:p>
            <w:pPr>
              <w:spacing w:after="40" w:before="40"/>
            </w:pPr>
            <w:r/>
            <w:r>
              <w:rPr>
                <w:rFonts w:ascii="Cambria" w:hAnsi="Cambria"/>
                <w:b w:val="0"/>
                <w:i w:val="0"/>
                <w:sz w:val="22"/>
              </w:rPr>
              <w:t>03</w:t>
            </w:r>
          </w:p>
        </w:tc>
        <w:tc>
          <w:tcPr>
            <w:tcW w:type="dxa" w:w="1474"/>
          </w:tcPr>
          <w:p>
            <w:pPr>
              <w:spacing w:after="40" w:before="40"/>
            </w:pPr>
            <w:r/>
            <w:r>
              <w:rPr>
                <w:rFonts w:ascii="Cambria" w:hAnsi="Cambria"/>
                <w:b w:val="0"/>
                <w:i w:val="0"/>
                <w:sz w:val="22"/>
              </w:rPr>
              <w:t>Assistant Professor</w:t>
            </w:r>
          </w:p>
        </w:tc>
        <w:tc>
          <w:tcPr>
            <w:tcW w:type="dxa" w:w="2494"/>
          </w:tcPr>
          <w:p>
            <w:pPr>
              <w:spacing w:after="40" w:before="40"/>
            </w:pPr>
            <w:r/>
            <w:r>
              <w:rPr>
                <w:rFonts w:ascii="Cambria" w:hAnsi="Cambria"/>
                <w:b w:val="0"/>
                <w:i w:val="0"/>
                <w:sz w:val="22"/>
              </w:rPr>
              <w:t>As prescribed by the UGC / AICTE / Government regulations for entry-level faculty positions.</w:t>
            </w:r>
          </w:p>
        </w:tc>
        <w:tc>
          <w:tcPr>
            <w:tcW w:type="dxa" w:w="2154"/>
          </w:tcPr>
          <w:p>
            <w:pPr>
              <w:spacing w:after="40" w:before="40"/>
            </w:pPr>
            <w:r/>
            <w:r>
              <w:rPr>
                <w:rFonts w:ascii="Cambria" w:hAnsi="Cambria"/>
                <w:b w:val="0"/>
                <w:i w:val="0"/>
                <w:sz w:val="22"/>
              </w:rPr>
              <w:t>Vice-Chancellor (V.C.) or Board of Management (BoM) (depending on delegation).</w:t>
            </w:r>
          </w:p>
        </w:tc>
        <w:tc>
          <w:tcPr>
            <w:tcW w:type="dxa" w:w="2551"/>
          </w:tcPr>
          <w:p>
            <w:pPr>
              <w:spacing w:after="40" w:before="40"/>
            </w:pPr>
            <w:r/>
            <w:r>
              <w:rPr>
                <w:rFonts w:ascii="Cambria" w:hAnsi="Cambria"/>
                <w:b w:val="0"/>
                <w:i w:val="0"/>
                <w:sz w:val="22"/>
              </w:rPr>
              <w:t>Selection through a Screening and Selection Committee constituted as per UGC/AICTE/University norms.</w:t>
            </w:r>
          </w:p>
        </w:tc>
      </w:tr>
    </w:tbl>
    <w:p>
      <w:pPr>
        <w:spacing w:after="40"/>
      </w:pPr>
    </w:p>
    <w:p>
      <w:pPr>
        <w:keepNext/>
        <w:spacing w:before="200" w:after="120"/>
      </w:pPr>
      <w:r>
        <w:rPr>
          <w:rFonts w:ascii="Cambria" w:hAnsi="Cambria"/>
          <w:b/>
          <w:color w:val="1F3A5F"/>
          <w:sz w:val="24"/>
        </w:rPr>
        <w:t>Constitution of Selection Committee for Teaching Posts</w:t>
      </w:r>
    </w:p>
    <w:p>
      <w:pPr>
        <w:jc w:val="both"/>
      </w:pPr>
      <w:r>
        <w:rPr>
          <w:rFonts w:ascii="Cambria" w:hAnsi="Cambria"/>
          <w:i w:val="0"/>
          <w:sz w:val="22"/>
        </w:rPr>
        <w:t>Each Selection Committee for faculty recruitment shall be constituted as per UGC/AICTE/University statutes, typically including:</w:t>
      </w:r>
    </w:p>
    <w:p>
      <w:pPr>
        <w:spacing w:line="276" w:lineRule="auto"/>
        <w:ind w:left="357" w:hanging="357"/>
      </w:pPr>
      <w:r>
        <w:rPr>
          <w:rFonts w:ascii="Cambria" w:hAnsi="Cambria"/>
          <w:b w:val="0"/>
          <w:i w:val="0"/>
          <w:sz w:val="22"/>
        </w:rPr>
        <w:t xml:space="preserve">1. </w:t>
      </w:r>
      <w:r>
        <w:rPr>
          <w:rFonts w:ascii="Cambria" w:hAnsi="Cambria"/>
          <w:b w:val="0"/>
          <w:i w:val="0"/>
          <w:sz w:val="22"/>
        </w:rPr>
        <w:t>Chairperson – Vice-Chancellor or nominee.</w:t>
      </w:r>
    </w:p>
    <w:p>
      <w:pPr>
        <w:spacing w:line="276" w:lineRule="auto"/>
        <w:ind w:left="357" w:hanging="357"/>
      </w:pPr>
      <w:r>
        <w:rPr>
          <w:rFonts w:ascii="Cambria" w:hAnsi="Cambria"/>
          <w:b w:val="0"/>
          <w:i w:val="0"/>
          <w:sz w:val="22"/>
        </w:rPr>
        <w:t xml:space="preserve">2. </w:t>
      </w:r>
      <w:r>
        <w:rPr>
          <w:rFonts w:ascii="Cambria" w:hAnsi="Cambria"/>
          <w:b w:val="0"/>
          <w:i w:val="0"/>
          <w:sz w:val="22"/>
        </w:rPr>
        <w:t>Dean / Head of the Department – Member.</w:t>
      </w:r>
    </w:p>
    <w:p>
      <w:pPr>
        <w:spacing w:line="276" w:lineRule="auto"/>
        <w:ind w:left="357" w:hanging="357"/>
      </w:pPr>
      <w:r>
        <w:rPr>
          <w:rFonts w:ascii="Cambria" w:hAnsi="Cambria"/>
          <w:b w:val="0"/>
          <w:i w:val="0"/>
          <w:sz w:val="22"/>
        </w:rPr>
        <w:t xml:space="preserve">3. </w:t>
      </w:r>
      <w:r>
        <w:rPr>
          <w:rFonts w:ascii="Cambria" w:hAnsi="Cambria"/>
          <w:b w:val="0"/>
          <w:i w:val="0"/>
          <w:sz w:val="22"/>
        </w:rPr>
        <w:t>Two or more Subject Experts – Nominated as per UGC/AICTE guidelines.</w:t>
      </w:r>
    </w:p>
    <w:p>
      <w:pPr>
        <w:spacing w:line="276" w:lineRule="auto"/>
        <w:ind w:left="357" w:hanging="357"/>
      </w:pPr>
      <w:r>
        <w:rPr>
          <w:rFonts w:ascii="Cambria" w:hAnsi="Cambria"/>
          <w:b w:val="0"/>
          <w:i w:val="0"/>
          <w:sz w:val="22"/>
        </w:rPr>
        <w:t xml:space="preserve">4. </w:t>
      </w:r>
      <w:r>
        <w:rPr>
          <w:rFonts w:ascii="Cambria" w:hAnsi="Cambria"/>
          <w:b w:val="0"/>
          <w:i w:val="0"/>
          <w:sz w:val="22"/>
        </w:rPr>
        <w:t>Registrar or HR Officer – Member Secretary (non-voting).</w:t>
      </w:r>
    </w:p>
    <w:p>
      <w:pPr>
        <w:spacing w:line="276" w:lineRule="auto"/>
        <w:ind w:left="357" w:hanging="357"/>
      </w:pPr>
      <w:r>
        <w:rPr>
          <w:rFonts w:ascii="Cambria" w:hAnsi="Cambria"/>
          <w:b w:val="0"/>
          <w:i w:val="0"/>
          <w:sz w:val="22"/>
        </w:rPr>
        <w:t xml:space="preserve">5. </w:t>
      </w:r>
      <w:r>
        <w:rPr>
          <w:rFonts w:ascii="Cambria" w:hAnsi="Cambria"/>
          <w:b w:val="0"/>
          <w:i w:val="0"/>
          <w:sz w:val="22"/>
        </w:rPr>
        <w:t>External Member(s) – As per regulatory requirements.</w:t>
      </w:r>
    </w:p>
    <w:p>
      <w:pPr>
        <w:keepNext/>
        <w:spacing w:before="200" w:after="120"/>
      </w:pPr>
      <w:r>
        <w:rPr>
          <w:rFonts w:ascii="Cambria" w:hAnsi="Cambria"/>
          <w:b/>
          <w:color w:val="1F3A5F"/>
          <w:sz w:val="24"/>
        </w:rPr>
        <w:t>General Conditions for Teaching Appointments</w:t>
      </w:r>
    </w:p>
    <w:p>
      <w:pPr>
        <w:pStyle w:val="ListBullet"/>
        <w:spacing w:line="276" w:lineRule="auto"/>
        <w:ind w:left="510"/>
      </w:pPr>
      <w:r>
        <w:rPr>
          <w:rFonts w:ascii="Cambria" w:hAnsi="Cambria"/>
          <w:b w:val="0"/>
          <w:i w:val="0"/>
          <w:sz w:val="22"/>
        </w:rPr>
        <w:t>All teaching appointments shall be made through open advertisement and transparent selection procedures.</w:t>
      </w:r>
    </w:p>
    <w:p>
      <w:pPr>
        <w:pStyle w:val="ListBullet"/>
        <w:spacing w:line="276" w:lineRule="auto"/>
        <w:ind w:left="510"/>
      </w:pPr>
      <w:r>
        <w:rPr>
          <w:rFonts w:ascii="Cambria" w:hAnsi="Cambria"/>
          <w:b w:val="0"/>
          <w:i w:val="0"/>
          <w:sz w:val="22"/>
        </w:rPr>
        <w:t>Qualifications, experience, and age limits shall conform to the latest UGC/AICTE regulations.</w:t>
      </w:r>
    </w:p>
    <w:p>
      <w:pPr>
        <w:pStyle w:val="ListBullet"/>
        <w:spacing w:line="276" w:lineRule="auto"/>
        <w:ind w:left="510"/>
      </w:pPr>
      <w:r>
        <w:rPr>
          <w:rFonts w:ascii="Cambria" w:hAnsi="Cambria"/>
          <w:b w:val="0"/>
          <w:i w:val="0"/>
          <w:sz w:val="22"/>
        </w:rPr>
        <w:t>Appointments shall be initially on probation, followed by confirmation based on performance and evaluation.</w:t>
      </w:r>
    </w:p>
    <w:p>
      <w:pPr>
        <w:pStyle w:val="ListBullet"/>
        <w:spacing w:line="276" w:lineRule="auto"/>
        <w:ind w:left="510"/>
      </w:pPr>
      <w:r>
        <w:rPr>
          <w:rFonts w:ascii="Cambria" w:hAnsi="Cambria"/>
          <w:b w:val="0"/>
          <w:i w:val="0"/>
          <w:sz w:val="22"/>
        </w:rPr>
        <w:t>The Board of Management shall have the final authority to approve or reject the recommendations of the Selection Committee.</w:t>
      </w:r>
    </w:p>
    <w:p>
      <w:pPr>
        <w:pStyle w:val="ListBullet"/>
        <w:spacing w:line="276" w:lineRule="auto"/>
        <w:ind w:left="510"/>
      </w:pPr>
      <w:r>
        <w:rPr>
          <w:rFonts w:ascii="Cambria" w:hAnsi="Cambria"/>
          <w:b w:val="0"/>
          <w:i w:val="0"/>
          <w:sz w:val="22"/>
        </w:rPr>
        <w:t>Reservation norms as applicable under State/Central Government policies shall be duly followed.</w:t>
      </w:r>
    </w:p>
    <w:p>
      <w:r>
        <w:br w:type="page"/>
      </w:r>
    </w:p>
    <w:p>
      <w:pPr>
        <w:keepNext/>
        <w:spacing w:before="200" w:after="120"/>
      </w:pPr>
      <w:r>
        <w:rPr>
          <w:rFonts w:ascii="Cambria" w:hAnsi="Cambria"/>
          <w:b/>
          <w:color w:val="1F3A5F"/>
          <w:sz w:val="27"/>
        </w:rPr>
        <w:t>B. Non-Teaching Posts</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This section outlines the classification, qualifications, experience, appointing authority, and method of selection for all non-teaching, administrative, technical, and support staff positions in the University.</w:t>
      </w:r>
    </w:p>
    <w:p>
      <w:pPr>
        <w:pStyle w:val="ListBullet"/>
        <w:spacing w:line="276" w:lineRule="auto"/>
        <w:ind w:left="510"/>
      </w:pPr>
      <w:r>
        <w:rPr>
          <w:rFonts w:ascii="Cambria" w:hAnsi="Cambria"/>
          <w:b w:val="0"/>
          <w:i w:val="0"/>
          <w:sz w:val="22"/>
        </w:rPr>
        <w:t>These norms ensure transparent recruitment and align with Board of Management (BoM) standards for institutional administration and governance.</w:t>
      </w:r>
    </w:p>
    <w:p>
      <w:pPr>
        <w:keepNext/>
        <w:spacing w:before="200" w:after="120"/>
      </w:pPr>
      <w:r>
        <w:rPr>
          <w:rFonts w:ascii="Cambria" w:hAnsi="Cambria"/>
          <w:b/>
          <w:color w:val="1F3A5F"/>
          <w:sz w:val="24"/>
        </w:rPr>
        <w:t>I. List of Non-Teaching Posts, Qualifications, and Experience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850"/>
            <w:shd w:val="clear" w:color="auto" w:fill="1F3A5F"/>
          </w:tcPr>
          <w:p>
            <w:pPr>
              <w:spacing w:after="40" w:before="40"/>
            </w:pPr>
            <w:r/>
            <w:r>
              <w:rPr>
                <w:rFonts w:ascii="Cambria" w:hAnsi="Cambria"/>
                <w:b/>
                <w:i w:val="0"/>
                <w:color w:val="FFFFFF"/>
                <w:sz w:val="22"/>
              </w:rPr>
              <w:t>S.No.</w:t>
            </w:r>
          </w:p>
        </w:tc>
        <w:tc>
          <w:tcPr>
            <w:tcW w:type="dxa" w:w="2551"/>
            <w:shd w:val="clear" w:color="auto" w:fill="1F3A5F"/>
          </w:tcPr>
          <w:p>
            <w:pPr>
              <w:spacing w:after="40" w:before="40"/>
            </w:pPr>
            <w:r/>
            <w:r>
              <w:rPr>
                <w:rFonts w:ascii="Cambria" w:hAnsi="Cambria"/>
                <w:b/>
                <w:i w:val="0"/>
                <w:color w:val="FFFFFF"/>
                <w:sz w:val="22"/>
              </w:rPr>
              <w:t>Post</w:t>
            </w:r>
          </w:p>
        </w:tc>
        <w:tc>
          <w:tcPr>
            <w:tcW w:type="dxa" w:w="6010"/>
            <w:shd w:val="clear" w:color="auto" w:fill="1F3A5F"/>
          </w:tcPr>
          <w:p>
            <w:pPr>
              <w:spacing w:after="40" w:before="40"/>
            </w:pPr>
            <w:r/>
            <w:r>
              <w:rPr>
                <w:rFonts w:ascii="Cambria" w:hAnsi="Cambria"/>
                <w:b/>
                <w:i w:val="0"/>
                <w:color w:val="FFFFFF"/>
                <w:sz w:val="22"/>
              </w:rPr>
              <w:t>Qualifications &amp; Experience Prescribed</w:t>
            </w:r>
          </w:p>
        </w:tc>
      </w:tr>
      <w:tr>
        <w:tc>
          <w:tcPr>
            <w:tcW w:type="dxa" w:w="850"/>
          </w:tcPr>
          <w:p>
            <w:pPr>
              <w:spacing w:after="40" w:before="40"/>
            </w:pPr>
            <w:r/>
            <w:r>
              <w:rPr>
                <w:rFonts w:ascii="Cambria" w:hAnsi="Cambria"/>
                <w:b w:val="0"/>
                <w:i w:val="0"/>
                <w:sz w:val="22"/>
              </w:rPr>
              <w:t>01.</w:t>
            </w:r>
          </w:p>
        </w:tc>
        <w:tc>
          <w:tcPr>
            <w:tcW w:type="dxa" w:w="2551"/>
          </w:tcPr>
          <w:p>
            <w:pPr>
              <w:spacing w:after="40" w:before="40"/>
            </w:pPr>
            <w:r/>
            <w:r>
              <w:rPr>
                <w:rFonts w:ascii="Cambria" w:hAnsi="Cambria"/>
                <w:b w:val="0"/>
                <w:i w:val="0"/>
                <w:sz w:val="22"/>
              </w:rPr>
              <w:t>Registrar</w:t>
            </w:r>
          </w:p>
        </w:tc>
        <w:tc>
          <w:tcPr>
            <w:tcW w:type="dxa" w:w="6010"/>
          </w:tcPr>
          <w:p>
            <w:pPr>
              <w:spacing w:after="40" w:before="40"/>
            </w:pPr>
            <w:r/>
            <w:r>
              <w:rPr>
                <w:rFonts w:ascii="Cambria" w:hAnsi="Cambria"/>
                <w:b w:val="0"/>
                <w:i w:val="0"/>
                <w:sz w:val="22"/>
              </w:rPr>
              <w:t>As prescribed by the Board of Management (BoM).</w:t>
            </w:r>
          </w:p>
        </w:tc>
      </w:tr>
      <w:tr>
        <w:tc>
          <w:tcPr>
            <w:tcW w:type="dxa" w:w="850"/>
            <w:shd w:val="clear" w:color="auto" w:fill="F0F2F5"/>
          </w:tcPr>
          <w:p>
            <w:pPr>
              <w:spacing w:after="40" w:before="40"/>
            </w:pPr>
            <w:r/>
            <w:r>
              <w:rPr>
                <w:rFonts w:ascii="Cambria" w:hAnsi="Cambria"/>
                <w:b w:val="0"/>
                <w:i w:val="0"/>
                <w:sz w:val="22"/>
              </w:rPr>
              <w:t>02.</w:t>
            </w:r>
          </w:p>
        </w:tc>
        <w:tc>
          <w:tcPr>
            <w:tcW w:type="dxa" w:w="2551"/>
            <w:shd w:val="clear" w:color="auto" w:fill="F0F2F5"/>
          </w:tcPr>
          <w:p>
            <w:pPr>
              <w:spacing w:after="40" w:before="40"/>
            </w:pPr>
            <w:r/>
            <w:r>
              <w:rPr>
                <w:rFonts w:ascii="Cambria" w:hAnsi="Cambria"/>
                <w:b w:val="0"/>
                <w:i w:val="0"/>
                <w:sz w:val="22"/>
              </w:rPr>
              <w:t>Superintendent</w:t>
            </w:r>
          </w:p>
        </w:tc>
        <w:tc>
          <w:tcPr>
            <w:tcW w:type="dxa" w:w="6010"/>
            <w:shd w:val="clear" w:color="auto" w:fill="F0F2F5"/>
          </w:tcPr>
          <w:p>
            <w:pPr>
              <w:spacing w:after="40" w:before="40"/>
            </w:pPr>
            <w:r/>
            <w:r>
              <w:rPr>
                <w:rFonts w:ascii="Cambria" w:hAnsi="Cambria"/>
                <w:b w:val="0"/>
                <w:i w:val="0"/>
                <w:sz w:val="22"/>
              </w:rPr>
              <w:t>Post Graduate with 10 years of experience in administrative posts.</w:t>
            </w:r>
          </w:p>
        </w:tc>
      </w:tr>
      <w:tr>
        <w:tc>
          <w:tcPr>
            <w:tcW w:type="dxa" w:w="850"/>
          </w:tcPr>
          <w:p>
            <w:pPr>
              <w:spacing w:after="40" w:before="40"/>
            </w:pPr>
            <w:r/>
            <w:r>
              <w:rPr>
                <w:rFonts w:ascii="Cambria" w:hAnsi="Cambria"/>
                <w:b w:val="0"/>
                <w:i w:val="0"/>
                <w:sz w:val="22"/>
              </w:rPr>
              <w:t>03.</w:t>
            </w:r>
          </w:p>
        </w:tc>
        <w:tc>
          <w:tcPr>
            <w:tcW w:type="dxa" w:w="2551"/>
          </w:tcPr>
          <w:p>
            <w:pPr>
              <w:spacing w:after="40" w:before="40"/>
            </w:pPr>
            <w:r/>
            <w:r>
              <w:rPr>
                <w:rFonts w:ascii="Cambria" w:hAnsi="Cambria"/>
                <w:b w:val="0"/>
                <w:i w:val="0"/>
                <w:sz w:val="22"/>
              </w:rPr>
              <w:t>Manager</w:t>
            </w:r>
          </w:p>
        </w:tc>
        <w:tc>
          <w:tcPr>
            <w:tcW w:type="dxa" w:w="6010"/>
          </w:tcPr>
          <w:p>
            <w:pPr>
              <w:spacing w:after="40" w:before="40"/>
            </w:pPr>
            <w:r/>
            <w:r>
              <w:rPr>
                <w:rFonts w:ascii="Cambria" w:hAnsi="Cambria"/>
                <w:b w:val="0"/>
                <w:i w:val="0"/>
                <w:sz w:val="22"/>
              </w:rPr>
              <w:t>Post Graduate with 10 years of experience in office management.</w:t>
            </w:r>
          </w:p>
        </w:tc>
      </w:tr>
      <w:tr>
        <w:tc>
          <w:tcPr>
            <w:tcW w:type="dxa" w:w="850"/>
            <w:shd w:val="clear" w:color="auto" w:fill="F0F2F5"/>
          </w:tcPr>
          <w:p>
            <w:pPr>
              <w:spacing w:after="40" w:before="40"/>
            </w:pPr>
            <w:r/>
            <w:r>
              <w:rPr>
                <w:rFonts w:ascii="Cambria" w:hAnsi="Cambria"/>
                <w:b w:val="0"/>
                <w:i w:val="0"/>
                <w:sz w:val="22"/>
              </w:rPr>
              <w:t>04.</w:t>
            </w:r>
          </w:p>
        </w:tc>
        <w:tc>
          <w:tcPr>
            <w:tcW w:type="dxa" w:w="2551"/>
            <w:shd w:val="clear" w:color="auto" w:fill="F0F2F5"/>
          </w:tcPr>
          <w:p>
            <w:pPr>
              <w:spacing w:after="40" w:before="40"/>
            </w:pPr>
            <w:r/>
            <w:r>
              <w:rPr>
                <w:rFonts w:ascii="Cambria" w:hAnsi="Cambria"/>
                <w:b w:val="0"/>
                <w:i w:val="0"/>
                <w:sz w:val="22"/>
              </w:rPr>
              <w:t>Assistant Registrar</w:t>
            </w:r>
          </w:p>
        </w:tc>
        <w:tc>
          <w:tcPr>
            <w:tcW w:type="dxa" w:w="6010"/>
            <w:shd w:val="clear" w:color="auto" w:fill="F0F2F5"/>
          </w:tcPr>
          <w:p>
            <w:pPr>
              <w:spacing w:after="40" w:before="40"/>
            </w:pPr>
            <w:r/>
            <w:r>
              <w:rPr>
                <w:rFonts w:ascii="Cambria" w:hAnsi="Cambria"/>
                <w:b w:val="0"/>
                <w:i w:val="0"/>
                <w:sz w:val="22"/>
              </w:rPr>
              <w:t>Post Graduate with 10 years of experience in office administration, of which 5 years as Superintendent/Manager.</w:t>
            </w:r>
          </w:p>
        </w:tc>
      </w:tr>
      <w:tr>
        <w:tc>
          <w:tcPr>
            <w:tcW w:type="dxa" w:w="850"/>
          </w:tcPr>
          <w:p>
            <w:pPr>
              <w:spacing w:after="40" w:before="40"/>
            </w:pPr>
            <w:r/>
            <w:r>
              <w:rPr>
                <w:rFonts w:ascii="Cambria" w:hAnsi="Cambria"/>
                <w:b w:val="0"/>
                <w:i w:val="0"/>
                <w:sz w:val="22"/>
              </w:rPr>
              <w:t>05.</w:t>
            </w:r>
          </w:p>
        </w:tc>
        <w:tc>
          <w:tcPr>
            <w:tcW w:type="dxa" w:w="2551"/>
          </w:tcPr>
          <w:p>
            <w:pPr>
              <w:spacing w:after="40" w:before="40"/>
            </w:pPr>
            <w:r/>
            <w:r>
              <w:rPr>
                <w:rFonts w:ascii="Cambria" w:hAnsi="Cambria"/>
                <w:b w:val="0"/>
                <w:i w:val="0"/>
                <w:sz w:val="22"/>
              </w:rPr>
              <w:t>Senior Assistant</w:t>
            </w:r>
          </w:p>
        </w:tc>
        <w:tc>
          <w:tcPr>
            <w:tcW w:type="dxa" w:w="6010"/>
          </w:tcPr>
          <w:p>
            <w:pPr>
              <w:spacing w:after="40" w:before="40"/>
            </w:pPr>
            <w:r/>
            <w:r>
              <w:rPr>
                <w:rFonts w:ascii="Cambria" w:hAnsi="Cambria"/>
                <w:b w:val="0"/>
                <w:i w:val="0"/>
                <w:sz w:val="22"/>
              </w:rPr>
              <w:t>Graduate with 10 years of office management experience, including 5 years as Junior Assistant.</w:t>
            </w:r>
          </w:p>
        </w:tc>
      </w:tr>
      <w:tr>
        <w:tc>
          <w:tcPr>
            <w:tcW w:type="dxa" w:w="850"/>
            <w:shd w:val="clear" w:color="auto" w:fill="F0F2F5"/>
          </w:tcPr>
          <w:p>
            <w:pPr>
              <w:spacing w:after="40" w:before="40"/>
            </w:pPr>
            <w:r/>
            <w:r>
              <w:rPr>
                <w:rFonts w:ascii="Cambria" w:hAnsi="Cambria"/>
                <w:b w:val="0"/>
                <w:i w:val="0"/>
                <w:sz w:val="22"/>
              </w:rPr>
              <w:t>06.</w:t>
            </w:r>
          </w:p>
        </w:tc>
        <w:tc>
          <w:tcPr>
            <w:tcW w:type="dxa" w:w="2551"/>
            <w:shd w:val="clear" w:color="auto" w:fill="F0F2F5"/>
          </w:tcPr>
          <w:p>
            <w:pPr>
              <w:spacing w:after="40" w:before="40"/>
            </w:pPr>
            <w:r/>
            <w:r>
              <w:rPr>
                <w:rFonts w:ascii="Cambria" w:hAnsi="Cambria"/>
                <w:b w:val="0"/>
                <w:i w:val="0"/>
                <w:sz w:val="22"/>
              </w:rPr>
              <w:t>Junior Assistant</w:t>
            </w:r>
          </w:p>
        </w:tc>
        <w:tc>
          <w:tcPr>
            <w:tcW w:type="dxa" w:w="6010"/>
            <w:shd w:val="clear" w:color="auto" w:fill="F0F2F5"/>
          </w:tcPr>
          <w:p>
            <w:pPr>
              <w:spacing w:after="40" w:before="40"/>
            </w:pPr>
            <w:r/>
            <w:r>
              <w:rPr>
                <w:rFonts w:ascii="Cambria" w:hAnsi="Cambria"/>
                <w:b w:val="0"/>
                <w:i w:val="0"/>
                <w:sz w:val="22"/>
              </w:rPr>
              <w:t>Graduate with 5 years of office management experience as Office Assistant.</w:t>
            </w:r>
          </w:p>
        </w:tc>
      </w:tr>
      <w:tr>
        <w:tc>
          <w:tcPr>
            <w:tcW w:type="dxa" w:w="850"/>
          </w:tcPr>
          <w:p>
            <w:pPr>
              <w:spacing w:after="40" w:before="40"/>
            </w:pPr>
            <w:r/>
            <w:r>
              <w:rPr>
                <w:rFonts w:ascii="Cambria" w:hAnsi="Cambria"/>
                <w:b w:val="0"/>
                <w:i w:val="0"/>
                <w:sz w:val="22"/>
              </w:rPr>
              <w:t>07.</w:t>
            </w:r>
          </w:p>
        </w:tc>
        <w:tc>
          <w:tcPr>
            <w:tcW w:type="dxa" w:w="2551"/>
          </w:tcPr>
          <w:p>
            <w:pPr>
              <w:spacing w:after="40" w:before="40"/>
            </w:pPr>
            <w:r/>
            <w:r>
              <w:rPr>
                <w:rFonts w:ascii="Cambria" w:hAnsi="Cambria"/>
                <w:b w:val="0"/>
                <w:i w:val="0"/>
                <w:sz w:val="22"/>
              </w:rPr>
              <w:t>Office Assistant</w:t>
            </w:r>
          </w:p>
        </w:tc>
        <w:tc>
          <w:tcPr>
            <w:tcW w:type="dxa" w:w="6010"/>
          </w:tcPr>
          <w:p>
            <w:pPr>
              <w:spacing w:after="40" w:before="40"/>
            </w:pPr>
            <w:r/>
            <w:r>
              <w:rPr>
                <w:rFonts w:ascii="Cambria" w:hAnsi="Cambria"/>
                <w:b w:val="0"/>
                <w:i w:val="0"/>
                <w:sz w:val="22"/>
              </w:rPr>
              <w:t>Graduate with computer knowledge (MS Word, Excel, and Internet).</w:t>
            </w:r>
          </w:p>
        </w:tc>
      </w:tr>
      <w:tr>
        <w:tc>
          <w:tcPr>
            <w:tcW w:type="dxa" w:w="850"/>
            <w:shd w:val="clear" w:color="auto" w:fill="F0F2F5"/>
          </w:tcPr>
          <w:p>
            <w:pPr>
              <w:spacing w:after="40" w:before="40"/>
            </w:pPr>
            <w:r/>
            <w:r>
              <w:rPr>
                <w:rFonts w:ascii="Cambria" w:hAnsi="Cambria"/>
                <w:b w:val="0"/>
                <w:i w:val="0"/>
                <w:sz w:val="22"/>
              </w:rPr>
              <w:t>08.</w:t>
            </w:r>
          </w:p>
        </w:tc>
        <w:tc>
          <w:tcPr>
            <w:tcW w:type="dxa" w:w="2551"/>
            <w:shd w:val="clear" w:color="auto" w:fill="F0F2F5"/>
          </w:tcPr>
          <w:p>
            <w:pPr>
              <w:spacing w:after="40" w:before="40"/>
            </w:pPr>
            <w:r/>
            <w:r>
              <w:rPr>
                <w:rFonts w:ascii="Cambria" w:hAnsi="Cambria"/>
                <w:b w:val="0"/>
                <w:i w:val="0"/>
                <w:sz w:val="22"/>
              </w:rPr>
              <w:t>Junior Accountant</w:t>
            </w:r>
          </w:p>
        </w:tc>
        <w:tc>
          <w:tcPr>
            <w:tcW w:type="dxa" w:w="6010"/>
            <w:shd w:val="clear" w:color="auto" w:fill="F0F2F5"/>
          </w:tcPr>
          <w:p>
            <w:pPr>
              <w:spacing w:after="40" w:before="40"/>
            </w:pPr>
            <w:r/>
            <w:r>
              <w:rPr>
                <w:rFonts w:ascii="Cambria" w:hAnsi="Cambria"/>
                <w:b w:val="0"/>
                <w:i w:val="0"/>
                <w:sz w:val="22"/>
              </w:rPr>
              <w:t>M.Com with 5 years of experience as Accounts Assistant and proficiency in relevant computer applications.</w:t>
            </w:r>
          </w:p>
        </w:tc>
      </w:tr>
      <w:tr>
        <w:tc>
          <w:tcPr>
            <w:tcW w:type="dxa" w:w="850"/>
          </w:tcPr>
          <w:p>
            <w:pPr>
              <w:spacing w:after="40" w:before="40"/>
            </w:pPr>
            <w:r/>
            <w:r>
              <w:rPr>
                <w:rFonts w:ascii="Cambria" w:hAnsi="Cambria"/>
                <w:b w:val="0"/>
                <w:i w:val="0"/>
                <w:sz w:val="22"/>
              </w:rPr>
              <w:t>09.</w:t>
            </w:r>
          </w:p>
        </w:tc>
        <w:tc>
          <w:tcPr>
            <w:tcW w:type="dxa" w:w="2551"/>
          </w:tcPr>
          <w:p>
            <w:pPr>
              <w:spacing w:after="40" w:before="40"/>
            </w:pPr>
            <w:r/>
            <w:r>
              <w:rPr>
                <w:rFonts w:ascii="Cambria" w:hAnsi="Cambria"/>
                <w:b w:val="0"/>
                <w:i w:val="0"/>
                <w:sz w:val="22"/>
              </w:rPr>
              <w:t>Accountant Assistant</w:t>
            </w:r>
          </w:p>
        </w:tc>
        <w:tc>
          <w:tcPr>
            <w:tcW w:type="dxa" w:w="6010"/>
          </w:tcPr>
          <w:p>
            <w:pPr>
              <w:spacing w:after="40" w:before="40"/>
            </w:pPr>
            <w:r/>
            <w:r>
              <w:rPr>
                <w:rFonts w:ascii="Cambria" w:hAnsi="Cambria"/>
                <w:b w:val="0"/>
                <w:i w:val="0"/>
                <w:sz w:val="22"/>
              </w:rPr>
              <w:t>B.Com with 5 years of experience and knowledge of relevant computer operations.</w:t>
            </w:r>
          </w:p>
        </w:tc>
      </w:tr>
      <w:tr>
        <w:tc>
          <w:tcPr>
            <w:tcW w:type="dxa" w:w="850"/>
            <w:shd w:val="clear" w:color="auto" w:fill="F0F2F5"/>
          </w:tcPr>
          <w:p>
            <w:pPr>
              <w:spacing w:after="40" w:before="40"/>
            </w:pPr>
            <w:r/>
            <w:r>
              <w:rPr>
                <w:rFonts w:ascii="Cambria" w:hAnsi="Cambria"/>
                <w:b w:val="0"/>
                <w:i w:val="0"/>
                <w:sz w:val="22"/>
              </w:rPr>
              <w:t>10.</w:t>
            </w:r>
          </w:p>
        </w:tc>
        <w:tc>
          <w:tcPr>
            <w:tcW w:type="dxa" w:w="2551"/>
            <w:shd w:val="clear" w:color="auto" w:fill="F0F2F5"/>
          </w:tcPr>
          <w:p>
            <w:pPr>
              <w:spacing w:after="40" w:before="40"/>
            </w:pPr>
            <w:r/>
            <w:r>
              <w:rPr>
                <w:rFonts w:ascii="Cambria" w:hAnsi="Cambria"/>
                <w:b w:val="0"/>
                <w:i w:val="0"/>
                <w:sz w:val="22"/>
              </w:rPr>
              <w:t>Steno Typist</w:t>
            </w:r>
          </w:p>
        </w:tc>
        <w:tc>
          <w:tcPr>
            <w:tcW w:type="dxa" w:w="6010"/>
            <w:shd w:val="clear" w:color="auto" w:fill="F0F2F5"/>
          </w:tcPr>
          <w:p>
            <w:pPr>
              <w:spacing w:after="40" w:before="40"/>
            </w:pPr>
            <w:r/>
            <w:r>
              <w:rPr>
                <w:rFonts w:ascii="Cambria" w:hAnsi="Cambria"/>
                <w:b w:val="0"/>
                <w:i w:val="0"/>
                <w:sz w:val="22"/>
              </w:rPr>
              <w:t>Graduate with 5 years of experience in shorthand, typing, and word processing.</w:t>
            </w:r>
          </w:p>
        </w:tc>
      </w:tr>
      <w:tr>
        <w:tc>
          <w:tcPr>
            <w:tcW w:type="dxa" w:w="850"/>
          </w:tcPr>
          <w:p>
            <w:pPr>
              <w:spacing w:after="40" w:before="40"/>
            </w:pPr>
            <w:r/>
            <w:r>
              <w:rPr>
                <w:rFonts w:ascii="Cambria" w:hAnsi="Cambria"/>
                <w:b w:val="0"/>
                <w:i w:val="0"/>
                <w:sz w:val="22"/>
              </w:rPr>
              <w:t>11.</w:t>
            </w:r>
          </w:p>
        </w:tc>
        <w:tc>
          <w:tcPr>
            <w:tcW w:type="dxa" w:w="2551"/>
          </w:tcPr>
          <w:p>
            <w:pPr>
              <w:spacing w:after="40" w:before="40"/>
            </w:pPr>
            <w:r/>
            <w:r>
              <w:rPr>
                <w:rFonts w:ascii="Cambria" w:hAnsi="Cambria"/>
                <w:b w:val="0"/>
                <w:i w:val="0"/>
                <w:sz w:val="22"/>
              </w:rPr>
              <w:t>Receptionist</w:t>
            </w:r>
          </w:p>
        </w:tc>
        <w:tc>
          <w:tcPr>
            <w:tcW w:type="dxa" w:w="6010"/>
          </w:tcPr>
          <w:p>
            <w:pPr>
              <w:spacing w:after="40" w:before="40"/>
            </w:pPr>
            <w:r/>
            <w:r>
              <w:rPr>
                <w:rFonts w:ascii="Cambria" w:hAnsi="Cambria"/>
                <w:b w:val="0"/>
                <w:i w:val="0"/>
                <w:sz w:val="22"/>
              </w:rPr>
              <w:t>Graduate with fluency in English and good communication skills.</w:t>
            </w:r>
          </w:p>
        </w:tc>
      </w:tr>
      <w:tr>
        <w:tc>
          <w:tcPr>
            <w:tcW w:type="dxa" w:w="850"/>
            <w:shd w:val="clear" w:color="auto" w:fill="F0F2F5"/>
          </w:tcPr>
          <w:p>
            <w:pPr>
              <w:spacing w:after="40" w:before="40"/>
            </w:pPr>
            <w:r/>
            <w:r>
              <w:rPr>
                <w:rFonts w:ascii="Cambria" w:hAnsi="Cambria"/>
                <w:b w:val="0"/>
                <w:i w:val="0"/>
                <w:sz w:val="22"/>
              </w:rPr>
              <w:t>12.</w:t>
            </w:r>
          </w:p>
        </w:tc>
        <w:tc>
          <w:tcPr>
            <w:tcW w:type="dxa" w:w="2551"/>
            <w:shd w:val="clear" w:color="auto" w:fill="F0F2F5"/>
          </w:tcPr>
          <w:p>
            <w:pPr>
              <w:spacing w:after="40" w:before="40"/>
            </w:pPr>
            <w:r/>
            <w:r>
              <w:rPr>
                <w:rFonts w:ascii="Cambria" w:hAnsi="Cambria"/>
                <w:b w:val="0"/>
                <w:i w:val="0"/>
                <w:sz w:val="22"/>
              </w:rPr>
              <w:t>Senior Lab Assistant</w:t>
            </w:r>
          </w:p>
        </w:tc>
        <w:tc>
          <w:tcPr>
            <w:tcW w:type="dxa" w:w="6010"/>
            <w:shd w:val="clear" w:color="auto" w:fill="F0F2F5"/>
          </w:tcPr>
          <w:p>
            <w:pPr>
              <w:spacing w:after="40" w:before="40"/>
            </w:pPr>
            <w:r/>
            <w:r>
              <w:rPr>
                <w:rFonts w:ascii="Cambria" w:hAnsi="Cambria"/>
                <w:b w:val="0"/>
                <w:i w:val="0"/>
                <w:sz w:val="22"/>
              </w:rPr>
              <w:t>B.Sc./Diploma with 10 years of experience.</w:t>
            </w:r>
          </w:p>
        </w:tc>
      </w:tr>
      <w:tr>
        <w:tc>
          <w:tcPr>
            <w:tcW w:type="dxa" w:w="850"/>
          </w:tcPr>
          <w:p>
            <w:pPr>
              <w:spacing w:after="40" w:before="40"/>
            </w:pPr>
            <w:r/>
            <w:r>
              <w:rPr>
                <w:rFonts w:ascii="Cambria" w:hAnsi="Cambria"/>
                <w:b w:val="0"/>
                <w:i w:val="0"/>
                <w:sz w:val="22"/>
              </w:rPr>
              <w:t>13.</w:t>
            </w:r>
          </w:p>
        </w:tc>
        <w:tc>
          <w:tcPr>
            <w:tcW w:type="dxa" w:w="2551"/>
          </w:tcPr>
          <w:p>
            <w:pPr>
              <w:spacing w:after="40" w:before="40"/>
            </w:pPr>
            <w:r/>
            <w:r>
              <w:rPr>
                <w:rFonts w:ascii="Cambria" w:hAnsi="Cambria"/>
                <w:b w:val="0"/>
                <w:i w:val="0"/>
                <w:sz w:val="22"/>
              </w:rPr>
              <w:t>Senior Lab Technician</w:t>
            </w:r>
          </w:p>
        </w:tc>
        <w:tc>
          <w:tcPr>
            <w:tcW w:type="dxa" w:w="6010"/>
          </w:tcPr>
          <w:p>
            <w:pPr>
              <w:spacing w:after="40" w:before="40"/>
            </w:pPr>
            <w:r/>
            <w:r>
              <w:rPr>
                <w:rFonts w:ascii="Cambria" w:hAnsi="Cambria"/>
                <w:b w:val="0"/>
                <w:i w:val="0"/>
                <w:sz w:val="22"/>
              </w:rPr>
              <w:t>B.Sc./Diploma with 10 years of experience.</w:t>
            </w:r>
          </w:p>
        </w:tc>
      </w:tr>
      <w:tr>
        <w:tc>
          <w:tcPr>
            <w:tcW w:type="dxa" w:w="850"/>
            <w:shd w:val="clear" w:color="auto" w:fill="F0F2F5"/>
          </w:tcPr>
          <w:p>
            <w:pPr>
              <w:spacing w:after="40" w:before="40"/>
            </w:pPr>
            <w:r/>
            <w:r>
              <w:rPr>
                <w:rFonts w:ascii="Cambria" w:hAnsi="Cambria"/>
                <w:b w:val="0"/>
                <w:i w:val="0"/>
                <w:sz w:val="22"/>
              </w:rPr>
              <w:t>14.</w:t>
            </w:r>
          </w:p>
        </w:tc>
        <w:tc>
          <w:tcPr>
            <w:tcW w:type="dxa" w:w="2551"/>
            <w:shd w:val="clear" w:color="auto" w:fill="F0F2F5"/>
          </w:tcPr>
          <w:p>
            <w:pPr>
              <w:spacing w:after="40" w:before="40"/>
            </w:pPr>
            <w:r/>
            <w:r>
              <w:rPr>
                <w:rFonts w:ascii="Cambria" w:hAnsi="Cambria"/>
                <w:b w:val="0"/>
                <w:i w:val="0"/>
                <w:sz w:val="22"/>
              </w:rPr>
              <w:t>Senior Mechanic</w:t>
            </w:r>
          </w:p>
        </w:tc>
        <w:tc>
          <w:tcPr>
            <w:tcW w:type="dxa" w:w="6010"/>
            <w:shd w:val="clear" w:color="auto" w:fill="F0F2F5"/>
          </w:tcPr>
          <w:p>
            <w:pPr>
              <w:spacing w:after="40" w:before="40"/>
            </w:pPr>
            <w:r/>
            <w:r>
              <w:rPr>
                <w:rFonts w:ascii="Cambria" w:hAnsi="Cambria"/>
                <w:b w:val="0"/>
                <w:i w:val="0"/>
                <w:sz w:val="22"/>
              </w:rPr>
              <w:t>Diploma in relevant trade with 10 years of experience.</w:t>
            </w:r>
          </w:p>
        </w:tc>
      </w:tr>
      <w:tr>
        <w:tc>
          <w:tcPr>
            <w:tcW w:type="dxa" w:w="850"/>
          </w:tcPr>
          <w:p>
            <w:pPr>
              <w:spacing w:after="40" w:before="40"/>
            </w:pPr>
            <w:r/>
            <w:r>
              <w:rPr>
                <w:rFonts w:ascii="Cambria" w:hAnsi="Cambria"/>
                <w:b w:val="0"/>
                <w:i w:val="0"/>
                <w:sz w:val="22"/>
              </w:rPr>
              <w:t>15.</w:t>
            </w:r>
          </w:p>
        </w:tc>
        <w:tc>
          <w:tcPr>
            <w:tcW w:type="dxa" w:w="2551"/>
          </w:tcPr>
          <w:p>
            <w:pPr>
              <w:spacing w:after="40" w:before="40"/>
            </w:pPr>
            <w:r/>
            <w:r>
              <w:rPr>
                <w:rFonts w:ascii="Cambria" w:hAnsi="Cambria"/>
                <w:b w:val="0"/>
                <w:i w:val="0"/>
                <w:sz w:val="22"/>
              </w:rPr>
              <w:t>Lab Technician</w:t>
            </w:r>
          </w:p>
        </w:tc>
        <w:tc>
          <w:tcPr>
            <w:tcW w:type="dxa" w:w="6010"/>
          </w:tcPr>
          <w:p>
            <w:pPr>
              <w:spacing w:after="40" w:before="40"/>
            </w:pPr>
            <w:r/>
            <w:r>
              <w:rPr>
                <w:rFonts w:ascii="Cambria" w:hAnsi="Cambria"/>
                <w:b w:val="0"/>
                <w:i w:val="0"/>
                <w:sz w:val="22"/>
              </w:rPr>
              <w:t>B.Sc./Diploma with 5 years of experience.</w:t>
            </w:r>
          </w:p>
        </w:tc>
      </w:tr>
      <w:tr>
        <w:tc>
          <w:tcPr>
            <w:tcW w:type="dxa" w:w="850"/>
            <w:shd w:val="clear" w:color="auto" w:fill="F0F2F5"/>
          </w:tcPr>
          <w:p>
            <w:pPr>
              <w:spacing w:after="40" w:before="40"/>
            </w:pPr>
            <w:r/>
            <w:r>
              <w:rPr>
                <w:rFonts w:ascii="Cambria" w:hAnsi="Cambria"/>
                <w:b w:val="0"/>
                <w:i w:val="0"/>
                <w:sz w:val="22"/>
              </w:rPr>
              <w:t>16.</w:t>
            </w:r>
          </w:p>
        </w:tc>
        <w:tc>
          <w:tcPr>
            <w:tcW w:type="dxa" w:w="2551"/>
            <w:shd w:val="clear" w:color="auto" w:fill="F0F2F5"/>
          </w:tcPr>
          <w:p>
            <w:pPr>
              <w:spacing w:after="40" w:before="40"/>
            </w:pPr>
            <w:r/>
            <w:r>
              <w:rPr>
                <w:rFonts w:ascii="Cambria" w:hAnsi="Cambria"/>
                <w:b w:val="0"/>
                <w:i w:val="0"/>
                <w:sz w:val="22"/>
              </w:rPr>
              <w:t>Lab Assistant</w:t>
            </w:r>
          </w:p>
        </w:tc>
        <w:tc>
          <w:tcPr>
            <w:tcW w:type="dxa" w:w="6010"/>
            <w:shd w:val="clear" w:color="auto" w:fill="F0F2F5"/>
          </w:tcPr>
          <w:p>
            <w:pPr>
              <w:spacing w:after="40" w:before="40"/>
            </w:pPr>
            <w:r/>
            <w:r>
              <w:rPr>
                <w:rFonts w:ascii="Cambria" w:hAnsi="Cambria"/>
                <w:b w:val="0"/>
                <w:i w:val="0"/>
                <w:sz w:val="22"/>
              </w:rPr>
              <w:t>B.Sc./Diploma with 2 years of experience.</w:t>
            </w:r>
          </w:p>
        </w:tc>
      </w:tr>
      <w:tr>
        <w:tc>
          <w:tcPr>
            <w:tcW w:type="dxa" w:w="850"/>
          </w:tcPr>
          <w:p>
            <w:pPr>
              <w:spacing w:after="40" w:before="40"/>
            </w:pPr>
            <w:r/>
            <w:r>
              <w:rPr>
                <w:rFonts w:ascii="Cambria" w:hAnsi="Cambria"/>
                <w:b w:val="0"/>
                <w:i w:val="0"/>
                <w:sz w:val="22"/>
              </w:rPr>
              <w:t>17.</w:t>
            </w:r>
          </w:p>
        </w:tc>
        <w:tc>
          <w:tcPr>
            <w:tcW w:type="dxa" w:w="2551"/>
          </w:tcPr>
          <w:p>
            <w:pPr>
              <w:spacing w:after="40" w:before="40"/>
            </w:pPr>
            <w:r/>
            <w:r>
              <w:rPr>
                <w:rFonts w:ascii="Cambria" w:hAnsi="Cambria"/>
                <w:b w:val="0"/>
                <w:i w:val="0"/>
                <w:sz w:val="22"/>
              </w:rPr>
              <w:t>Instrument Mechanic</w:t>
            </w:r>
          </w:p>
        </w:tc>
        <w:tc>
          <w:tcPr>
            <w:tcW w:type="dxa" w:w="6010"/>
          </w:tcPr>
          <w:p>
            <w:pPr>
              <w:spacing w:after="40" w:before="40"/>
            </w:pPr>
            <w:r/>
            <w:r>
              <w:rPr>
                <w:rFonts w:ascii="Cambria" w:hAnsi="Cambria"/>
                <w:b w:val="0"/>
                <w:i w:val="0"/>
                <w:sz w:val="22"/>
              </w:rPr>
              <w:t>Diploma with 5 years of experience or Degree/Diploma in Civil Engineering.</w:t>
            </w:r>
          </w:p>
        </w:tc>
      </w:tr>
      <w:tr>
        <w:tc>
          <w:tcPr>
            <w:tcW w:type="dxa" w:w="850"/>
            <w:shd w:val="clear" w:color="auto" w:fill="F0F2F5"/>
          </w:tcPr>
          <w:p>
            <w:pPr>
              <w:spacing w:after="40" w:before="40"/>
            </w:pPr>
            <w:r/>
            <w:r>
              <w:rPr>
                <w:rFonts w:ascii="Cambria" w:hAnsi="Cambria"/>
                <w:b w:val="0"/>
                <w:i w:val="0"/>
                <w:sz w:val="22"/>
              </w:rPr>
              <w:t>18.</w:t>
            </w:r>
          </w:p>
        </w:tc>
        <w:tc>
          <w:tcPr>
            <w:tcW w:type="dxa" w:w="2551"/>
            <w:shd w:val="clear" w:color="auto" w:fill="F0F2F5"/>
          </w:tcPr>
          <w:p>
            <w:pPr>
              <w:spacing w:after="40" w:before="40"/>
            </w:pPr>
            <w:r/>
            <w:r>
              <w:rPr>
                <w:rFonts w:ascii="Cambria" w:hAnsi="Cambria"/>
                <w:b w:val="0"/>
                <w:i w:val="0"/>
                <w:sz w:val="22"/>
              </w:rPr>
              <w:t>Construction Engineer</w:t>
            </w:r>
          </w:p>
        </w:tc>
        <w:tc>
          <w:tcPr>
            <w:tcW w:type="dxa" w:w="6010"/>
            <w:shd w:val="clear" w:color="auto" w:fill="F0F2F5"/>
          </w:tcPr>
          <w:p>
            <w:pPr>
              <w:spacing w:after="40" w:before="40"/>
            </w:pPr>
            <w:r/>
            <w:r>
              <w:rPr>
                <w:rFonts w:ascii="Cambria" w:hAnsi="Cambria"/>
                <w:b w:val="0"/>
                <w:i w:val="0"/>
                <w:sz w:val="22"/>
              </w:rPr>
              <w:t>Degree/Diploma in Civil Engineering with 5 years of experience.</w:t>
            </w:r>
          </w:p>
        </w:tc>
      </w:tr>
      <w:tr>
        <w:tc>
          <w:tcPr>
            <w:tcW w:type="dxa" w:w="850"/>
          </w:tcPr>
          <w:p>
            <w:pPr>
              <w:spacing w:after="40" w:before="40"/>
            </w:pPr>
            <w:r/>
            <w:r>
              <w:rPr>
                <w:rFonts w:ascii="Cambria" w:hAnsi="Cambria"/>
                <w:b w:val="0"/>
                <w:i w:val="0"/>
                <w:sz w:val="22"/>
              </w:rPr>
              <w:t>19.</w:t>
            </w:r>
          </w:p>
        </w:tc>
        <w:tc>
          <w:tcPr>
            <w:tcW w:type="dxa" w:w="2551"/>
          </w:tcPr>
          <w:p>
            <w:pPr>
              <w:spacing w:after="40" w:before="40"/>
            </w:pPr>
            <w:r/>
            <w:r>
              <w:rPr>
                <w:rFonts w:ascii="Cambria" w:hAnsi="Cambria"/>
                <w:b w:val="0"/>
                <w:i w:val="0"/>
                <w:sz w:val="22"/>
              </w:rPr>
              <w:t>Draftsman</w:t>
            </w:r>
          </w:p>
        </w:tc>
        <w:tc>
          <w:tcPr>
            <w:tcW w:type="dxa" w:w="6010"/>
          </w:tcPr>
          <w:p>
            <w:pPr>
              <w:spacing w:after="40" w:before="40"/>
            </w:pPr>
            <w:r/>
            <w:r>
              <w:rPr>
                <w:rFonts w:ascii="Cambria" w:hAnsi="Cambria"/>
                <w:b w:val="0"/>
                <w:i w:val="0"/>
                <w:sz w:val="22"/>
              </w:rPr>
              <w:t>Diploma with 5 years of experience.</w:t>
            </w:r>
          </w:p>
        </w:tc>
      </w:tr>
      <w:tr>
        <w:tc>
          <w:tcPr>
            <w:tcW w:type="dxa" w:w="850"/>
            <w:shd w:val="clear" w:color="auto" w:fill="F0F2F5"/>
          </w:tcPr>
          <w:p>
            <w:pPr>
              <w:spacing w:after="40" w:before="40"/>
            </w:pPr>
            <w:r/>
            <w:r>
              <w:rPr>
                <w:rFonts w:ascii="Cambria" w:hAnsi="Cambria"/>
                <w:b w:val="0"/>
                <w:i w:val="0"/>
                <w:sz w:val="22"/>
              </w:rPr>
              <w:t>20.</w:t>
            </w:r>
          </w:p>
        </w:tc>
        <w:tc>
          <w:tcPr>
            <w:tcW w:type="dxa" w:w="2551"/>
            <w:shd w:val="clear" w:color="auto" w:fill="F0F2F5"/>
          </w:tcPr>
          <w:p>
            <w:pPr>
              <w:spacing w:after="40" w:before="40"/>
            </w:pPr>
            <w:r/>
            <w:r>
              <w:rPr>
                <w:rFonts w:ascii="Cambria" w:hAnsi="Cambria"/>
                <w:b w:val="0"/>
                <w:i w:val="0"/>
                <w:sz w:val="22"/>
              </w:rPr>
              <w:t>Physical Director</w:t>
            </w:r>
          </w:p>
        </w:tc>
        <w:tc>
          <w:tcPr>
            <w:tcW w:type="dxa" w:w="6010"/>
            <w:shd w:val="clear" w:color="auto" w:fill="F0F2F5"/>
          </w:tcPr>
          <w:p>
            <w:pPr>
              <w:spacing w:after="40" w:before="40"/>
            </w:pPr>
            <w:r/>
            <w:r>
              <w:rPr>
                <w:rFonts w:ascii="Cambria" w:hAnsi="Cambria"/>
                <w:b w:val="0"/>
                <w:i w:val="0"/>
                <w:sz w:val="22"/>
              </w:rPr>
              <w:t>M.P.Ed. with 10 years of experience, including 5 years as Assistant Physical Director, and Ph.D. in Physical Education.</w:t>
            </w:r>
          </w:p>
        </w:tc>
      </w:tr>
      <w:tr>
        <w:tc>
          <w:tcPr>
            <w:tcW w:type="dxa" w:w="850"/>
          </w:tcPr>
          <w:p>
            <w:pPr>
              <w:spacing w:after="40" w:before="40"/>
            </w:pPr>
            <w:r/>
            <w:r>
              <w:rPr>
                <w:rFonts w:ascii="Cambria" w:hAnsi="Cambria"/>
                <w:b w:val="0"/>
                <w:i w:val="0"/>
                <w:sz w:val="22"/>
              </w:rPr>
              <w:t>21.</w:t>
            </w:r>
          </w:p>
        </w:tc>
        <w:tc>
          <w:tcPr>
            <w:tcW w:type="dxa" w:w="2551"/>
          </w:tcPr>
          <w:p>
            <w:pPr>
              <w:spacing w:after="40" w:before="40"/>
            </w:pPr>
            <w:r/>
            <w:r>
              <w:rPr>
                <w:rFonts w:ascii="Cambria" w:hAnsi="Cambria"/>
                <w:b w:val="0"/>
                <w:i w:val="0"/>
                <w:sz w:val="22"/>
              </w:rPr>
              <w:t>Assistant Physical Director</w:t>
            </w:r>
          </w:p>
        </w:tc>
        <w:tc>
          <w:tcPr>
            <w:tcW w:type="dxa" w:w="6010"/>
          </w:tcPr>
          <w:p>
            <w:pPr>
              <w:spacing w:after="40" w:before="40"/>
            </w:pPr>
            <w:r/>
            <w:r>
              <w:rPr>
                <w:rFonts w:ascii="Cambria" w:hAnsi="Cambria"/>
                <w:b w:val="0"/>
                <w:i w:val="0"/>
                <w:sz w:val="22"/>
              </w:rPr>
              <w:t>M.P.Ed. with 5 years of experience as Physical Instructor.</w:t>
            </w:r>
          </w:p>
        </w:tc>
      </w:tr>
      <w:tr>
        <w:tc>
          <w:tcPr>
            <w:tcW w:type="dxa" w:w="850"/>
            <w:shd w:val="clear" w:color="auto" w:fill="F0F2F5"/>
          </w:tcPr>
          <w:p>
            <w:pPr>
              <w:spacing w:after="40" w:before="40"/>
            </w:pPr>
            <w:r/>
            <w:r>
              <w:rPr>
                <w:rFonts w:ascii="Cambria" w:hAnsi="Cambria"/>
                <w:b w:val="0"/>
                <w:i w:val="0"/>
                <w:sz w:val="22"/>
              </w:rPr>
              <w:t>22.</w:t>
            </w:r>
          </w:p>
        </w:tc>
        <w:tc>
          <w:tcPr>
            <w:tcW w:type="dxa" w:w="2551"/>
            <w:shd w:val="clear" w:color="auto" w:fill="F0F2F5"/>
          </w:tcPr>
          <w:p>
            <w:pPr>
              <w:spacing w:after="40" w:before="40"/>
            </w:pPr>
            <w:r/>
            <w:r>
              <w:rPr>
                <w:rFonts w:ascii="Cambria" w:hAnsi="Cambria"/>
                <w:b w:val="0"/>
                <w:i w:val="0"/>
                <w:sz w:val="22"/>
              </w:rPr>
              <w:t>Physical Instructor</w:t>
            </w:r>
          </w:p>
        </w:tc>
        <w:tc>
          <w:tcPr>
            <w:tcW w:type="dxa" w:w="6010"/>
            <w:shd w:val="clear" w:color="auto" w:fill="F0F2F5"/>
          </w:tcPr>
          <w:p>
            <w:pPr>
              <w:spacing w:after="40" w:before="40"/>
            </w:pPr>
            <w:r/>
            <w:r>
              <w:rPr>
                <w:rFonts w:ascii="Cambria" w:hAnsi="Cambria"/>
                <w:b w:val="0"/>
                <w:i w:val="0"/>
                <w:sz w:val="22"/>
              </w:rPr>
              <w:t>B.P.Ed. with 1 year of experience as PET.</w:t>
            </w:r>
          </w:p>
        </w:tc>
      </w:tr>
      <w:tr>
        <w:tc>
          <w:tcPr>
            <w:tcW w:type="dxa" w:w="850"/>
          </w:tcPr>
          <w:p>
            <w:pPr>
              <w:spacing w:after="40" w:before="40"/>
            </w:pPr>
            <w:r/>
            <w:r>
              <w:rPr>
                <w:rFonts w:ascii="Cambria" w:hAnsi="Cambria"/>
                <w:b w:val="0"/>
                <w:i w:val="0"/>
                <w:sz w:val="22"/>
              </w:rPr>
              <w:t>23.</w:t>
            </w:r>
          </w:p>
        </w:tc>
        <w:tc>
          <w:tcPr>
            <w:tcW w:type="dxa" w:w="2551"/>
          </w:tcPr>
          <w:p>
            <w:pPr>
              <w:spacing w:after="40" w:before="40"/>
            </w:pPr>
            <w:r/>
            <w:r>
              <w:rPr>
                <w:rFonts w:ascii="Cambria" w:hAnsi="Cambria"/>
                <w:b w:val="0"/>
                <w:i w:val="0"/>
                <w:sz w:val="22"/>
              </w:rPr>
              <w:t>Librarian</w:t>
            </w:r>
          </w:p>
        </w:tc>
        <w:tc>
          <w:tcPr>
            <w:tcW w:type="dxa" w:w="6010"/>
          </w:tcPr>
          <w:p>
            <w:pPr>
              <w:spacing w:after="40" w:before="40"/>
            </w:pPr>
            <w:r/>
            <w:r>
              <w:rPr>
                <w:rFonts w:ascii="Cambria" w:hAnsi="Cambria"/>
                <w:b w:val="0"/>
                <w:i w:val="0"/>
                <w:sz w:val="22"/>
              </w:rPr>
              <w:t>M.Lib.Sc. with 5 years of experience and Ph.D. in Library Science.</w:t>
            </w:r>
          </w:p>
        </w:tc>
      </w:tr>
      <w:tr>
        <w:tc>
          <w:tcPr>
            <w:tcW w:type="dxa" w:w="850"/>
            <w:shd w:val="clear" w:color="auto" w:fill="F0F2F5"/>
          </w:tcPr>
          <w:p>
            <w:pPr>
              <w:spacing w:after="40" w:before="40"/>
            </w:pPr>
            <w:r/>
            <w:r>
              <w:rPr>
                <w:rFonts w:ascii="Cambria" w:hAnsi="Cambria"/>
                <w:b w:val="0"/>
                <w:i w:val="0"/>
                <w:sz w:val="22"/>
              </w:rPr>
              <w:t>24.</w:t>
            </w:r>
          </w:p>
        </w:tc>
        <w:tc>
          <w:tcPr>
            <w:tcW w:type="dxa" w:w="2551"/>
            <w:shd w:val="clear" w:color="auto" w:fill="F0F2F5"/>
          </w:tcPr>
          <w:p>
            <w:pPr>
              <w:spacing w:after="40" w:before="40"/>
            </w:pPr>
            <w:r/>
            <w:r>
              <w:rPr>
                <w:rFonts w:ascii="Cambria" w:hAnsi="Cambria"/>
                <w:b w:val="0"/>
                <w:i w:val="0"/>
                <w:sz w:val="22"/>
              </w:rPr>
              <w:t>Assistant Librarian</w:t>
            </w:r>
          </w:p>
        </w:tc>
        <w:tc>
          <w:tcPr>
            <w:tcW w:type="dxa" w:w="6010"/>
            <w:shd w:val="clear" w:color="auto" w:fill="F0F2F5"/>
          </w:tcPr>
          <w:p>
            <w:pPr>
              <w:spacing w:after="40" w:before="40"/>
            </w:pPr>
            <w:r/>
            <w:r>
              <w:rPr>
                <w:rFonts w:ascii="Cambria" w:hAnsi="Cambria"/>
                <w:b w:val="0"/>
                <w:i w:val="0"/>
                <w:sz w:val="22"/>
              </w:rPr>
              <w:t>M.Lib.Sc. with 2 years of experience as Library Assistant.</w:t>
            </w:r>
          </w:p>
        </w:tc>
      </w:tr>
      <w:tr>
        <w:tc>
          <w:tcPr>
            <w:tcW w:type="dxa" w:w="850"/>
          </w:tcPr>
          <w:p>
            <w:pPr>
              <w:spacing w:after="40" w:before="40"/>
            </w:pPr>
            <w:r/>
            <w:r>
              <w:rPr>
                <w:rFonts w:ascii="Cambria" w:hAnsi="Cambria"/>
                <w:b w:val="0"/>
                <w:i w:val="0"/>
                <w:sz w:val="22"/>
              </w:rPr>
              <w:t>25.</w:t>
            </w:r>
          </w:p>
        </w:tc>
        <w:tc>
          <w:tcPr>
            <w:tcW w:type="dxa" w:w="2551"/>
          </w:tcPr>
          <w:p>
            <w:pPr>
              <w:spacing w:after="40" w:before="40"/>
            </w:pPr>
            <w:r/>
            <w:r>
              <w:rPr>
                <w:rFonts w:ascii="Cambria" w:hAnsi="Cambria"/>
                <w:b w:val="0"/>
                <w:i w:val="0"/>
                <w:sz w:val="22"/>
              </w:rPr>
              <w:t>Library Assistant</w:t>
            </w:r>
          </w:p>
        </w:tc>
        <w:tc>
          <w:tcPr>
            <w:tcW w:type="dxa" w:w="6010"/>
          </w:tcPr>
          <w:p>
            <w:pPr>
              <w:spacing w:after="40" w:before="40"/>
            </w:pPr>
            <w:r/>
            <w:r>
              <w:rPr>
                <w:rFonts w:ascii="Cambria" w:hAnsi="Cambria"/>
                <w:b w:val="0"/>
                <w:i w:val="0"/>
                <w:sz w:val="22"/>
              </w:rPr>
              <w:t>B.Lib.Sc./Degree with 1 year of experience in library management.</w:t>
            </w:r>
          </w:p>
        </w:tc>
      </w:tr>
      <w:tr>
        <w:tc>
          <w:tcPr>
            <w:tcW w:type="dxa" w:w="850"/>
            <w:shd w:val="clear" w:color="auto" w:fill="F0F2F5"/>
          </w:tcPr>
          <w:p>
            <w:pPr>
              <w:spacing w:after="40" w:before="40"/>
            </w:pPr>
            <w:r/>
            <w:r>
              <w:rPr>
                <w:rFonts w:ascii="Cambria" w:hAnsi="Cambria"/>
                <w:b w:val="0"/>
                <w:i w:val="0"/>
                <w:sz w:val="22"/>
              </w:rPr>
              <w:t>26.</w:t>
            </w:r>
          </w:p>
        </w:tc>
        <w:tc>
          <w:tcPr>
            <w:tcW w:type="dxa" w:w="2551"/>
            <w:shd w:val="clear" w:color="auto" w:fill="F0F2F5"/>
          </w:tcPr>
          <w:p>
            <w:pPr>
              <w:spacing w:after="40" w:before="40"/>
            </w:pPr>
            <w:r/>
            <w:r>
              <w:rPr>
                <w:rFonts w:ascii="Cambria" w:hAnsi="Cambria"/>
                <w:b w:val="0"/>
                <w:i w:val="0"/>
                <w:sz w:val="22"/>
              </w:rPr>
              <w:t>System Analyst / System Engineer</w:t>
            </w:r>
          </w:p>
        </w:tc>
        <w:tc>
          <w:tcPr>
            <w:tcW w:type="dxa" w:w="6010"/>
            <w:shd w:val="clear" w:color="auto" w:fill="F0F2F5"/>
          </w:tcPr>
          <w:p>
            <w:pPr>
              <w:spacing w:after="40" w:before="40"/>
            </w:pPr>
            <w:r/>
            <w:r>
              <w:rPr>
                <w:rFonts w:ascii="Cambria" w:hAnsi="Cambria"/>
                <w:b w:val="0"/>
                <w:i w:val="0"/>
                <w:sz w:val="22"/>
              </w:rPr>
              <w:t>MCA or equivalent with 5 years of experience in system administration and software debugging.</w:t>
            </w:r>
          </w:p>
        </w:tc>
      </w:tr>
      <w:tr>
        <w:tc>
          <w:tcPr>
            <w:tcW w:type="dxa" w:w="850"/>
          </w:tcPr>
          <w:p>
            <w:pPr>
              <w:spacing w:after="40" w:before="40"/>
            </w:pPr>
            <w:r/>
            <w:r>
              <w:rPr>
                <w:rFonts w:ascii="Cambria" w:hAnsi="Cambria"/>
                <w:b w:val="0"/>
                <w:i w:val="0"/>
                <w:sz w:val="22"/>
              </w:rPr>
              <w:t>27.</w:t>
            </w:r>
          </w:p>
        </w:tc>
        <w:tc>
          <w:tcPr>
            <w:tcW w:type="dxa" w:w="2551"/>
          </w:tcPr>
          <w:p>
            <w:pPr>
              <w:spacing w:after="40" w:before="40"/>
            </w:pPr>
            <w:r/>
            <w:r>
              <w:rPr>
                <w:rFonts w:ascii="Cambria" w:hAnsi="Cambria"/>
                <w:b w:val="0"/>
                <w:i w:val="0"/>
                <w:sz w:val="22"/>
              </w:rPr>
              <w:t>Computer Hardware Technician</w:t>
            </w:r>
          </w:p>
        </w:tc>
        <w:tc>
          <w:tcPr>
            <w:tcW w:type="dxa" w:w="6010"/>
          </w:tcPr>
          <w:p>
            <w:pPr>
              <w:spacing w:after="40" w:before="40"/>
            </w:pPr>
            <w:r/>
            <w:r>
              <w:rPr>
                <w:rFonts w:ascii="Cambria" w:hAnsi="Cambria"/>
                <w:b w:val="0"/>
                <w:i w:val="0"/>
                <w:sz w:val="22"/>
              </w:rPr>
              <w:t>Diploma in Computer Hardware with experience in computer repair and maintenance.</w:t>
            </w:r>
          </w:p>
        </w:tc>
      </w:tr>
      <w:tr>
        <w:tc>
          <w:tcPr>
            <w:tcW w:type="dxa" w:w="850"/>
            <w:shd w:val="clear" w:color="auto" w:fill="F0F2F5"/>
          </w:tcPr>
          <w:p>
            <w:pPr>
              <w:spacing w:after="40" w:before="40"/>
            </w:pPr>
            <w:r/>
            <w:r>
              <w:rPr>
                <w:rFonts w:ascii="Cambria" w:hAnsi="Cambria"/>
                <w:b w:val="0"/>
                <w:i w:val="0"/>
                <w:sz w:val="22"/>
              </w:rPr>
              <w:t>28.</w:t>
            </w:r>
          </w:p>
        </w:tc>
        <w:tc>
          <w:tcPr>
            <w:tcW w:type="dxa" w:w="2551"/>
            <w:shd w:val="clear" w:color="auto" w:fill="F0F2F5"/>
          </w:tcPr>
          <w:p>
            <w:pPr>
              <w:spacing w:after="40" w:before="40"/>
            </w:pPr>
            <w:r/>
            <w:r>
              <w:rPr>
                <w:rFonts w:ascii="Cambria" w:hAnsi="Cambria"/>
                <w:b w:val="0"/>
                <w:i w:val="0"/>
                <w:sz w:val="22"/>
              </w:rPr>
              <w:t>Computer Programmer</w:t>
            </w:r>
          </w:p>
        </w:tc>
        <w:tc>
          <w:tcPr>
            <w:tcW w:type="dxa" w:w="6010"/>
            <w:shd w:val="clear" w:color="auto" w:fill="F0F2F5"/>
          </w:tcPr>
          <w:p>
            <w:pPr>
              <w:spacing w:after="40" w:before="40"/>
            </w:pPr>
            <w:r/>
            <w:r>
              <w:rPr>
                <w:rFonts w:ascii="Cambria" w:hAnsi="Cambria"/>
                <w:b w:val="0"/>
                <w:i w:val="0"/>
                <w:sz w:val="22"/>
              </w:rPr>
              <w:t>M.Sc. (Computer Science) / MCA with 3 years of programming experience across multiple platforms.</w:t>
            </w:r>
          </w:p>
        </w:tc>
      </w:tr>
      <w:tr>
        <w:tc>
          <w:tcPr>
            <w:tcW w:type="dxa" w:w="850"/>
          </w:tcPr>
          <w:p>
            <w:pPr>
              <w:spacing w:after="40" w:before="40"/>
            </w:pPr>
            <w:r/>
            <w:r>
              <w:rPr>
                <w:rFonts w:ascii="Cambria" w:hAnsi="Cambria"/>
                <w:b w:val="0"/>
                <w:i w:val="0"/>
                <w:sz w:val="22"/>
              </w:rPr>
              <w:t>29.</w:t>
            </w:r>
          </w:p>
        </w:tc>
        <w:tc>
          <w:tcPr>
            <w:tcW w:type="dxa" w:w="2551"/>
          </w:tcPr>
          <w:p>
            <w:pPr>
              <w:spacing w:after="40" w:before="40"/>
            </w:pPr>
            <w:r/>
            <w:r>
              <w:rPr>
                <w:rFonts w:ascii="Cambria" w:hAnsi="Cambria"/>
                <w:b w:val="0"/>
                <w:i w:val="0"/>
                <w:sz w:val="22"/>
              </w:rPr>
              <w:t>Junior Computer Programmer</w:t>
            </w:r>
          </w:p>
        </w:tc>
        <w:tc>
          <w:tcPr>
            <w:tcW w:type="dxa" w:w="6010"/>
          </w:tcPr>
          <w:p>
            <w:pPr>
              <w:spacing w:after="40" w:before="40"/>
            </w:pPr>
            <w:r/>
            <w:r>
              <w:rPr>
                <w:rFonts w:ascii="Cambria" w:hAnsi="Cambria"/>
                <w:b w:val="0"/>
                <w:i w:val="0"/>
                <w:sz w:val="22"/>
              </w:rPr>
              <w:t>M.Sc. (CS) / MCA with 1 year of experience in programming.</w:t>
            </w:r>
          </w:p>
        </w:tc>
      </w:tr>
      <w:tr>
        <w:tc>
          <w:tcPr>
            <w:tcW w:type="dxa" w:w="850"/>
            <w:shd w:val="clear" w:color="auto" w:fill="F0F2F5"/>
          </w:tcPr>
          <w:p>
            <w:pPr>
              <w:spacing w:after="40" w:before="40"/>
            </w:pPr>
            <w:r/>
            <w:r>
              <w:rPr>
                <w:rFonts w:ascii="Cambria" w:hAnsi="Cambria"/>
                <w:b w:val="0"/>
                <w:i w:val="0"/>
                <w:sz w:val="22"/>
              </w:rPr>
              <w:t>30.</w:t>
            </w:r>
          </w:p>
        </w:tc>
        <w:tc>
          <w:tcPr>
            <w:tcW w:type="dxa" w:w="2551"/>
            <w:shd w:val="clear" w:color="auto" w:fill="F0F2F5"/>
          </w:tcPr>
          <w:p>
            <w:pPr>
              <w:spacing w:after="40" w:before="40"/>
            </w:pPr>
            <w:r/>
            <w:r>
              <w:rPr>
                <w:rFonts w:ascii="Cambria" w:hAnsi="Cambria"/>
                <w:b w:val="0"/>
                <w:i w:val="0"/>
                <w:sz w:val="22"/>
              </w:rPr>
              <w:t>Senior Electrician</w:t>
            </w:r>
          </w:p>
        </w:tc>
        <w:tc>
          <w:tcPr>
            <w:tcW w:type="dxa" w:w="6010"/>
            <w:shd w:val="clear" w:color="auto" w:fill="F0F2F5"/>
          </w:tcPr>
          <w:p>
            <w:pPr>
              <w:spacing w:after="40" w:before="40"/>
            </w:pPr>
            <w:r/>
            <w:r>
              <w:rPr>
                <w:rFonts w:ascii="Cambria" w:hAnsi="Cambria"/>
                <w:b w:val="0"/>
                <w:i w:val="0"/>
                <w:sz w:val="22"/>
              </w:rPr>
              <w:t>Diploma in Electrical Trade with 10 years of experience.</w:t>
            </w:r>
          </w:p>
        </w:tc>
      </w:tr>
      <w:tr>
        <w:tc>
          <w:tcPr>
            <w:tcW w:type="dxa" w:w="850"/>
          </w:tcPr>
          <w:p>
            <w:pPr>
              <w:spacing w:after="40" w:before="40"/>
            </w:pPr>
            <w:r/>
            <w:r>
              <w:rPr>
                <w:rFonts w:ascii="Cambria" w:hAnsi="Cambria"/>
                <w:b w:val="0"/>
                <w:i w:val="0"/>
                <w:sz w:val="22"/>
              </w:rPr>
              <w:t>31.</w:t>
            </w:r>
          </w:p>
        </w:tc>
        <w:tc>
          <w:tcPr>
            <w:tcW w:type="dxa" w:w="2551"/>
          </w:tcPr>
          <w:p>
            <w:pPr>
              <w:spacing w:after="40" w:before="40"/>
            </w:pPr>
            <w:r/>
            <w:r>
              <w:rPr>
                <w:rFonts w:ascii="Cambria" w:hAnsi="Cambria"/>
                <w:b w:val="0"/>
                <w:i w:val="0"/>
                <w:sz w:val="22"/>
              </w:rPr>
              <w:t>Technician</w:t>
            </w:r>
          </w:p>
        </w:tc>
        <w:tc>
          <w:tcPr>
            <w:tcW w:type="dxa" w:w="6010"/>
          </w:tcPr>
          <w:p>
            <w:pPr>
              <w:spacing w:after="40" w:before="40"/>
            </w:pPr>
            <w:r/>
            <w:r>
              <w:rPr>
                <w:rFonts w:ascii="Cambria" w:hAnsi="Cambria"/>
                <w:b w:val="0"/>
                <w:i w:val="0"/>
                <w:sz w:val="22"/>
              </w:rPr>
              <w:t>ITI with 5 years of experience.</w:t>
            </w:r>
          </w:p>
        </w:tc>
      </w:tr>
      <w:tr>
        <w:tc>
          <w:tcPr>
            <w:tcW w:type="dxa" w:w="850"/>
            <w:shd w:val="clear" w:color="auto" w:fill="F0F2F5"/>
          </w:tcPr>
          <w:p>
            <w:pPr>
              <w:spacing w:after="40" w:before="40"/>
            </w:pPr>
            <w:r/>
            <w:r>
              <w:rPr>
                <w:rFonts w:ascii="Cambria" w:hAnsi="Cambria"/>
                <w:b w:val="0"/>
                <w:i w:val="0"/>
                <w:sz w:val="22"/>
              </w:rPr>
              <w:t>32.</w:t>
            </w:r>
          </w:p>
        </w:tc>
        <w:tc>
          <w:tcPr>
            <w:tcW w:type="dxa" w:w="2551"/>
            <w:shd w:val="clear" w:color="auto" w:fill="F0F2F5"/>
          </w:tcPr>
          <w:p>
            <w:pPr>
              <w:spacing w:after="40" w:before="40"/>
            </w:pPr>
            <w:r/>
            <w:r>
              <w:rPr>
                <w:rFonts w:ascii="Cambria" w:hAnsi="Cambria"/>
                <w:b w:val="0"/>
                <w:i w:val="0"/>
                <w:sz w:val="22"/>
              </w:rPr>
              <w:t>Electrical Mistry / Electrician</w:t>
            </w:r>
          </w:p>
        </w:tc>
        <w:tc>
          <w:tcPr>
            <w:tcW w:type="dxa" w:w="6010"/>
            <w:shd w:val="clear" w:color="auto" w:fill="F0F2F5"/>
          </w:tcPr>
          <w:p>
            <w:pPr>
              <w:spacing w:after="40" w:before="40"/>
            </w:pPr>
            <w:r/>
            <w:r>
              <w:rPr>
                <w:rFonts w:ascii="Cambria" w:hAnsi="Cambria"/>
                <w:b w:val="0"/>
                <w:i w:val="0"/>
                <w:sz w:val="22"/>
              </w:rPr>
              <w:t>ITI with 5 years of experience.</w:t>
            </w:r>
          </w:p>
        </w:tc>
      </w:tr>
      <w:tr>
        <w:tc>
          <w:tcPr>
            <w:tcW w:type="dxa" w:w="850"/>
          </w:tcPr>
          <w:p>
            <w:pPr>
              <w:spacing w:after="40" w:before="40"/>
            </w:pPr>
            <w:r/>
            <w:r>
              <w:rPr>
                <w:rFonts w:ascii="Cambria" w:hAnsi="Cambria"/>
                <w:b w:val="0"/>
                <w:i w:val="0"/>
                <w:sz w:val="22"/>
              </w:rPr>
              <w:t>33.</w:t>
            </w:r>
          </w:p>
        </w:tc>
        <w:tc>
          <w:tcPr>
            <w:tcW w:type="dxa" w:w="2551"/>
          </w:tcPr>
          <w:p>
            <w:pPr>
              <w:spacing w:after="40" w:before="40"/>
            </w:pPr>
            <w:r/>
            <w:r>
              <w:rPr>
                <w:rFonts w:ascii="Cambria" w:hAnsi="Cambria"/>
                <w:b w:val="0"/>
                <w:i w:val="0"/>
                <w:sz w:val="22"/>
              </w:rPr>
              <w:t>Turner</w:t>
            </w:r>
          </w:p>
        </w:tc>
        <w:tc>
          <w:tcPr>
            <w:tcW w:type="dxa" w:w="6010"/>
          </w:tcPr>
          <w:p>
            <w:pPr>
              <w:spacing w:after="40" w:before="40"/>
            </w:pPr>
            <w:r/>
            <w:r>
              <w:rPr>
                <w:rFonts w:ascii="Cambria" w:hAnsi="Cambria"/>
                <w:b w:val="0"/>
                <w:i w:val="0"/>
                <w:sz w:val="22"/>
              </w:rPr>
              <w:t>ITI with 5 years of experience.</w:t>
            </w:r>
          </w:p>
        </w:tc>
      </w:tr>
      <w:tr>
        <w:tc>
          <w:tcPr>
            <w:tcW w:type="dxa" w:w="850"/>
            <w:shd w:val="clear" w:color="auto" w:fill="F0F2F5"/>
          </w:tcPr>
          <w:p>
            <w:pPr>
              <w:spacing w:after="40" w:before="40"/>
            </w:pPr>
            <w:r/>
            <w:r>
              <w:rPr>
                <w:rFonts w:ascii="Cambria" w:hAnsi="Cambria"/>
                <w:b w:val="0"/>
                <w:i w:val="0"/>
                <w:sz w:val="22"/>
              </w:rPr>
              <w:t>34.</w:t>
            </w:r>
          </w:p>
        </w:tc>
        <w:tc>
          <w:tcPr>
            <w:tcW w:type="dxa" w:w="2551"/>
            <w:shd w:val="clear" w:color="auto" w:fill="F0F2F5"/>
          </w:tcPr>
          <w:p>
            <w:pPr>
              <w:spacing w:after="40" w:before="40"/>
            </w:pPr>
            <w:r/>
            <w:r>
              <w:rPr>
                <w:rFonts w:ascii="Cambria" w:hAnsi="Cambria"/>
                <w:b w:val="0"/>
                <w:i w:val="0"/>
                <w:sz w:val="22"/>
              </w:rPr>
              <w:t>Fitter</w:t>
            </w:r>
          </w:p>
        </w:tc>
        <w:tc>
          <w:tcPr>
            <w:tcW w:type="dxa" w:w="6010"/>
            <w:shd w:val="clear" w:color="auto" w:fill="F0F2F5"/>
          </w:tcPr>
          <w:p>
            <w:pPr>
              <w:spacing w:after="40" w:before="40"/>
            </w:pPr>
            <w:r/>
            <w:r>
              <w:rPr>
                <w:rFonts w:ascii="Cambria" w:hAnsi="Cambria"/>
                <w:b w:val="0"/>
                <w:i w:val="0"/>
                <w:sz w:val="22"/>
              </w:rPr>
              <w:t>ITI with 5 years of experience.</w:t>
            </w:r>
          </w:p>
        </w:tc>
      </w:tr>
      <w:tr>
        <w:tc>
          <w:tcPr>
            <w:tcW w:type="dxa" w:w="850"/>
          </w:tcPr>
          <w:p>
            <w:pPr>
              <w:spacing w:after="40" w:before="40"/>
            </w:pPr>
            <w:r/>
            <w:r>
              <w:rPr>
                <w:rFonts w:ascii="Cambria" w:hAnsi="Cambria"/>
                <w:b w:val="0"/>
                <w:i w:val="0"/>
                <w:sz w:val="22"/>
              </w:rPr>
              <w:t>35.</w:t>
            </w:r>
          </w:p>
        </w:tc>
        <w:tc>
          <w:tcPr>
            <w:tcW w:type="dxa" w:w="2551"/>
          </w:tcPr>
          <w:p>
            <w:pPr>
              <w:spacing w:after="40" w:before="40"/>
            </w:pPr>
            <w:r/>
            <w:r>
              <w:rPr>
                <w:rFonts w:ascii="Cambria" w:hAnsi="Cambria"/>
                <w:b w:val="0"/>
                <w:i w:val="0"/>
                <w:sz w:val="22"/>
              </w:rPr>
              <w:t>Junior Mechanic</w:t>
            </w:r>
          </w:p>
        </w:tc>
        <w:tc>
          <w:tcPr>
            <w:tcW w:type="dxa" w:w="6010"/>
          </w:tcPr>
          <w:p>
            <w:pPr>
              <w:spacing w:after="40" w:before="40"/>
            </w:pPr>
            <w:r/>
            <w:r>
              <w:rPr>
                <w:rFonts w:ascii="Cambria" w:hAnsi="Cambria"/>
                <w:b w:val="0"/>
                <w:i w:val="0"/>
                <w:sz w:val="22"/>
              </w:rPr>
              <w:t>ITI with 5 years of experience.</w:t>
            </w:r>
          </w:p>
        </w:tc>
      </w:tr>
      <w:tr>
        <w:tc>
          <w:tcPr>
            <w:tcW w:type="dxa" w:w="850"/>
            <w:shd w:val="clear" w:color="auto" w:fill="F0F2F5"/>
          </w:tcPr>
          <w:p>
            <w:pPr>
              <w:spacing w:after="40" w:before="40"/>
            </w:pPr>
            <w:r/>
            <w:r>
              <w:rPr>
                <w:rFonts w:ascii="Cambria" w:hAnsi="Cambria"/>
                <w:b w:val="0"/>
                <w:i w:val="0"/>
                <w:sz w:val="22"/>
              </w:rPr>
              <w:t>36.</w:t>
            </w:r>
          </w:p>
        </w:tc>
        <w:tc>
          <w:tcPr>
            <w:tcW w:type="dxa" w:w="2551"/>
            <w:shd w:val="clear" w:color="auto" w:fill="F0F2F5"/>
          </w:tcPr>
          <w:p>
            <w:pPr>
              <w:spacing w:after="40" w:before="40"/>
            </w:pPr>
            <w:r/>
            <w:r>
              <w:rPr>
                <w:rFonts w:ascii="Cambria" w:hAnsi="Cambria"/>
                <w:b w:val="0"/>
                <w:i w:val="0"/>
                <w:sz w:val="22"/>
              </w:rPr>
              <w:t>Attender</w:t>
            </w:r>
          </w:p>
        </w:tc>
        <w:tc>
          <w:tcPr>
            <w:tcW w:type="dxa" w:w="6010"/>
            <w:shd w:val="clear" w:color="auto" w:fill="F0F2F5"/>
          </w:tcPr>
          <w:p>
            <w:pPr>
              <w:spacing w:after="40" w:before="40"/>
            </w:pPr>
            <w:r/>
            <w:r>
              <w:rPr>
                <w:rFonts w:ascii="Cambria" w:hAnsi="Cambria"/>
                <w:b w:val="0"/>
                <w:i w:val="0"/>
                <w:sz w:val="22"/>
              </w:rPr>
              <w:t>10th Pass with 50% aggregate and 2 years of experience.</w:t>
            </w:r>
          </w:p>
        </w:tc>
      </w:tr>
      <w:tr>
        <w:tc>
          <w:tcPr>
            <w:tcW w:type="dxa" w:w="850"/>
          </w:tcPr>
          <w:p>
            <w:pPr>
              <w:spacing w:after="40" w:before="40"/>
            </w:pPr>
            <w:r/>
            <w:r>
              <w:rPr>
                <w:rFonts w:ascii="Cambria" w:hAnsi="Cambria"/>
                <w:b w:val="0"/>
                <w:i w:val="0"/>
                <w:sz w:val="22"/>
              </w:rPr>
              <w:t>37.</w:t>
            </w:r>
          </w:p>
        </w:tc>
        <w:tc>
          <w:tcPr>
            <w:tcW w:type="dxa" w:w="2551"/>
          </w:tcPr>
          <w:p>
            <w:pPr>
              <w:spacing w:after="40" w:before="40"/>
            </w:pPr>
            <w:r/>
            <w:r>
              <w:rPr>
                <w:rFonts w:ascii="Cambria" w:hAnsi="Cambria"/>
                <w:b w:val="0"/>
                <w:i w:val="0"/>
                <w:sz w:val="22"/>
              </w:rPr>
              <w:t>Helper / Work Assistant</w:t>
            </w:r>
          </w:p>
        </w:tc>
        <w:tc>
          <w:tcPr>
            <w:tcW w:type="dxa" w:w="6010"/>
          </w:tcPr>
          <w:p>
            <w:pPr>
              <w:spacing w:after="40" w:before="40"/>
            </w:pPr>
            <w:r/>
            <w:r>
              <w:rPr>
                <w:rFonts w:ascii="Cambria" w:hAnsi="Cambria"/>
                <w:b w:val="0"/>
                <w:i w:val="0"/>
                <w:sz w:val="22"/>
              </w:rPr>
              <w:t>10th Pass with 50% aggregate.</w:t>
            </w:r>
          </w:p>
        </w:tc>
      </w:tr>
      <w:tr>
        <w:tc>
          <w:tcPr>
            <w:tcW w:type="dxa" w:w="850"/>
            <w:shd w:val="clear" w:color="auto" w:fill="F0F2F5"/>
          </w:tcPr>
          <w:p>
            <w:pPr>
              <w:spacing w:after="40" w:before="40"/>
            </w:pPr>
            <w:r/>
            <w:r>
              <w:rPr>
                <w:rFonts w:ascii="Cambria" w:hAnsi="Cambria"/>
                <w:b w:val="0"/>
                <w:i w:val="0"/>
                <w:sz w:val="22"/>
              </w:rPr>
              <w:t>38.</w:t>
            </w:r>
          </w:p>
        </w:tc>
        <w:tc>
          <w:tcPr>
            <w:tcW w:type="dxa" w:w="2551"/>
            <w:shd w:val="clear" w:color="auto" w:fill="F0F2F5"/>
          </w:tcPr>
          <w:p>
            <w:pPr>
              <w:spacing w:after="40" w:before="40"/>
            </w:pPr>
            <w:r/>
            <w:r>
              <w:rPr>
                <w:rFonts w:ascii="Cambria" w:hAnsi="Cambria"/>
                <w:b w:val="0"/>
                <w:i w:val="0"/>
                <w:sz w:val="22"/>
              </w:rPr>
              <w:t>Any Other Posts (e.g., HR Executives, HR Manager, HR Assistant Manager, Personal Assistant, Store Clerk, Purchase Officer)</w:t>
            </w:r>
          </w:p>
        </w:tc>
        <w:tc>
          <w:tcPr>
            <w:tcW w:type="dxa" w:w="6010"/>
            <w:shd w:val="clear" w:color="auto" w:fill="F0F2F5"/>
          </w:tcPr>
          <w:p>
            <w:pPr>
              <w:spacing w:after="40" w:before="40"/>
            </w:pPr>
            <w:r/>
            <w:r>
              <w:rPr>
                <w:rFonts w:ascii="Cambria" w:hAnsi="Cambria"/>
                <w:b w:val="0"/>
                <w:i w:val="0"/>
                <w:sz w:val="22"/>
              </w:rPr>
              <w:t>As prescribed by the Board of Management (BoM).</w:t>
            </w:r>
          </w:p>
        </w:tc>
      </w:tr>
    </w:tbl>
    <w:p>
      <w:pPr>
        <w:spacing w:after="40"/>
      </w:pPr>
    </w:p>
    <w:p>
      <w:r>
        <w:br w:type="page"/>
      </w:r>
    </w:p>
    <w:p>
      <w:pPr>
        <w:keepNext/>
        <w:spacing w:before="200" w:after="120"/>
      </w:pPr>
      <w:r>
        <w:rPr>
          <w:rFonts w:ascii="Cambria" w:hAnsi="Cambria"/>
          <w:b/>
          <w:color w:val="1F3A5F"/>
          <w:sz w:val="24"/>
        </w:rPr>
        <w:t>II. General Rules Governing Non-Teaching Appointments</w:t>
      </w:r>
    </w:p>
    <w:p>
      <w:pPr>
        <w:spacing w:line="276" w:lineRule="auto"/>
        <w:ind w:left="357" w:hanging="357"/>
      </w:pPr>
      <w:r>
        <w:rPr>
          <w:rFonts w:ascii="Cambria" w:hAnsi="Cambria"/>
          <w:b w:val="0"/>
          <w:i w:val="0"/>
          <w:sz w:val="22"/>
        </w:rPr>
        <w:t xml:space="preserve">1. </w:t>
      </w:r>
      <w:r>
        <w:rPr>
          <w:rFonts w:ascii="Cambria" w:hAnsi="Cambria"/>
          <w:b w:val="0"/>
          <w:i w:val="0"/>
          <w:sz w:val="22"/>
        </w:rPr>
        <w:t>Appointing Authority:</w:t>
      </w:r>
    </w:p>
    <w:p>
      <w:pPr>
        <w:pStyle w:val="ListBullet2"/>
        <w:spacing w:line="276" w:lineRule="auto"/>
        <w:ind w:left="1020"/>
      </w:pPr>
      <w:r>
        <w:rPr>
          <w:rFonts w:ascii="Cambria" w:hAnsi="Cambria"/>
          <w:b w:val="0"/>
          <w:i w:val="0"/>
          <w:sz w:val="22"/>
        </w:rPr>
        <w:t>For all Non-Teaching positions (S.No. 1–38), the Chairman, Board of Management (BoM) is the Appointing Authority.</w:t>
      </w:r>
    </w:p>
    <w:p>
      <w:pPr>
        <w:spacing w:line="276" w:lineRule="auto"/>
        <w:ind w:left="357" w:hanging="357"/>
      </w:pPr>
      <w:r>
        <w:rPr>
          <w:rFonts w:ascii="Cambria" w:hAnsi="Cambria"/>
          <w:b w:val="0"/>
          <w:i w:val="0"/>
          <w:sz w:val="22"/>
        </w:rPr>
        <w:t xml:space="preserve">2. </w:t>
      </w:r>
      <w:r>
        <w:rPr>
          <w:rFonts w:ascii="Cambria" w:hAnsi="Cambria"/>
          <w:b w:val="0"/>
          <w:i w:val="0"/>
          <w:sz w:val="22"/>
        </w:rPr>
        <w:t>Mode of Selection:</w:t>
      </w:r>
    </w:p>
    <w:p>
      <w:pPr>
        <w:pStyle w:val="ListBullet2"/>
        <w:spacing w:line="276" w:lineRule="auto"/>
        <w:ind w:left="1020"/>
      </w:pPr>
      <w:r>
        <w:rPr>
          <w:rFonts w:ascii="Cambria" w:hAnsi="Cambria"/>
          <w:b w:val="0"/>
          <w:i w:val="0"/>
          <w:sz w:val="22"/>
        </w:rPr>
        <w:t>Selection shall be conducted through:</w:t>
      </w:r>
    </w:p>
    <w:p>
      <w:pPr>
        <w:pStyle w:val="ListBullet2"/>
        <w:ind w:left="1474"/>
      </w:pPr>
      <w:r>
        <w:rPr>
          <w:rFonts w:ascii="Cambria" w:hAnsi="Cambria"/>
          <w:b w:val="0"/>
          <w:i w:val="0"/>
          <w:sz w:val="22"/>
        </w:rPr>
        <w:t>Written Test, and</w:t>
      </w:r>
    </w:p>
    <w:p>
      <w:pPr>
        <w:pStyle w:val="ListBullet2"/>
        <w:ind w:left="1474"/>
      </w:pPr>
      <w:r>
        <w:rPr>
          <w:rFonts w:ascii="Cambria" w:hAnsi="Cambria"/>
          <w:b w:val="0"/>
          <w:i w:val="0"/>
          <w:sz w:val="22"/>
        </w:rPr>
        <w:t>Personal Interview, conducted by a duly constituted Selection Committee.</w:t>
      </w:r>
    </w:p>
    <w:p>
      <w:pPr>
        <w:pStyle w:val="ListBullet2"/>
        <w:spacing w:line="276" w:lineRule="auto"/>
        <w:ind w:left="1020"/>
      </w:pPr>
      <w:r>
        <w:rPr>
          <w:rFonts w:ascii="Cambria" w:hAnsi="Cambria"/>
          <w:b w:val="0"/>
          <w:i w:val="0"/>
          <w:sz w:val="22"/>
        </w:rPr>
        <w:t>The Selection Committee shall comprise:</w:t>
      </w:r>
    </w:p>
    <w:p>
      <w:pPr>
        <w:pStyle w:val="ListBullet2"/>
        <w:ind w:left="1474"/>
      </w:pPr>
      <w:r>
        <w:rPr>
          <w:rFonts w:ascii="Cambria" w:hAnsi="Cambria"/>
          <w:b w:val="0"/>
          <w:i w:val="0"/>
          <w:sz w:val="22"/>
        </w:rPr>
        <w:t>Registrar / Administrative Officer (Convener).</w:t>
      </w:r>
    </w:p>
    <w:p>
      <w:pPr>
        <w:pStyle w:val="ListBullet2"/>
        <w:ind w:left="1474"/>
      </w:pPr>
      <w:r>
        <w:rPr>
          <w:rFonts w:ascii="Cambria" w:hAnsi="Cambria"/>
          <w:b w:val="0"/>
          <w:i w:val="0"/>
          <w:sz w:val="22"/>
        </w:rPr>
        <w:t>Subject or Technical Expert (as applicable).</w:t>
      </w:r>
    </w:p>
    <w:p>
      <w:pPr>
        <w:pStyle w:val="ListBullet2"/>
        <w:ind w:left="1474"/>
      </w:pPr>
      <w:r>
        <w:rPr>
          <w:rFonts w:ascii="Cambria" w:hAnsi="Cambria"/>
          <w:b w:val="0"/>
          <w:i w:val="0"/>
          <w:sz w:val="22"/>
        </w:rPr>
        <w:t>One BoM-nominated member.</w:t>
      </w:r>
    </w:p>
    <w:p>
      <w:pPr>
        <w:pStyle w:val="ListBullet2"/>
        <w:ind w:left="1474"/>
      </w:pPr>
      <w:r>
        <w:rPr>
          <w:rFonts w:ascii="Cambria" w:hAnsi="Cambria"/>
          <w:b w:val="0"/>
          <w:i w:val="0"/>
          <w:sz w:val="22"/>
        </w:rPr>
        <w:t>HR or Establishment Officer (Member Secretary).</w:t>
      </w:r>
    </w:p>
    <w:p>
      <w:pPr>
        <w:spacing w:line="276" w:lineRule="auto"/>
        <w:ind w:left="357" w:hanging="357"/>
      </w:pPr>
      <w:r>
        <w:rPr>
          <w:rFonts w:ascii="Cambria" w:hAnsi="Cambria"/>
          <w:b w:val="0"/>
          <w:i w:val="0"/>
          <w:sz w:val="22"/>
        </w:rPr>
        <w:t xml:space="preserve">3. </w:t>
      </w:r>
      <w:r>
        <w:rPr>
          <w:rFonts w:ascii="Cambria" w:hAnsi="Cambria"/>
          <w:b w:val="0"/>
          <w:i w:val="0"/>
          <w:sz w:val="22"/>
        </w:rPr>
        <w:t>Final Authority:</w:t>
      </w:r>
    </w:p>
    <w:p>
      <w:pPr>
        <w:pStyle w:val="ListBullet2"/>
        <w:spacing w:line="276" w:lineRule="auto"/>
        <w:ind w:left="1020"/>
      </w:pPr>
      <w:r>
        <w:rPr>
          <w:rFonts w:ascii="Cambria" w:hAnsi="Cambria"/>
          <w:b w:val="0"/>
          <w:i w:val="0"/>
          <w:sz w:val="22"/>
        </w:rPr>
        <w:t>The Board of Management reserves the right to:</w:t>
      </w:r>
    </w:p>
    <w:p>
      <w:pPr>
        <w:pStyle w:val="ListBullet2"/>
        <w:ind w:left="1474"/>
      </w:pPr>
      <w:r>
        <w:rPr>
          <w:rFonts w:ascii="Cambria" w:hAnsi="Cambria"/>
          <w:b w:val="0"/>
          <w:i w:val="0"/>
          <w:sz w:val="22"/>
        </w:rPr>
        <w:t>Accept or reject any recommendation of the Selection Committee.</w:t>
      </w:r>
    </w:p>
    <w:p>
      <w:pPr>
        <w:pStyle w:val="ListBullet2"/>
        <w:ind w:left="1474"/>
      </w:pPr>
      <w:r>
        <w:rPr>
          <w:rFonts w:ascii="Cambria" w:hAnsi="Cambria"/>
          <w:b w:val="0"/>
          <w:i w:val="0"/>
          <w:sz w:val="22"/>
        </w:rPr>
        <w:t>Withhold or defer appointment based on institutional needs or financial constraints.</w:t>
      </w:r>
    </w:p>
    <w:p>
      <w:pPr>
        <w:spacing w:line="276" w:lineRule="auto"/>
        <w:ind w:left="357" w:hanging="357"/>
      </w:pPr>
      <w:r>
        <w:rPr>
          <w:rFonts w:ascii="Cambria" w:hAnsi="Cambria"/>
          <w:b w:val="0"/>
          <w:i w:val="0"/>
          <w:sz w:val="22"/>
        </w:rPr>
        <w:t xml:space="preserve">4. </w:t>
      </w:r>
      <w:r>
        <w:rPr>
          <w:rFonts w:ascii="Cambria" w:hAnsi="Cambria"/>
          <w:b w:val="0"/>
          <w:i w:val="0"/>
          <w:sz w:val="22"/>
        </w:rPr>
        <w:t>Contractual Engagement:</w:t>
      </w:r>
    </w:p>
    <w:p>
      <w:pPr>
        <w:pStyle w:val="ListBullet2"/>
        <w:spacing w:line="276" w:lineRule="auto"/>
        <w:ind w:left="1020"/>
      </w:pPr>
      <w:r>
        <w:rPr>
          <w:rFonts w:ascii="Cambria" w:hAnsi="Cambria"/>
          <w:b w:val="0"/>
          <w:i w:val="0"/>
          <w:sz w:val="22"/>
        </w:rPr>
        <w:t>Any post not covered under the above list may be filled on a contractual basis by the University as per need and project funding.</w:t>
      </w:r>
    </w:p>
    <w:p>
      <w:pPr>
        <w:spacing w:line="276" w:lineRule="auto"/>
        <w:ind w:left="357" w:hanging="357"/>
      </w:pPr>
      <w:r>
        <w:rPr>
          <w:rFonts w:ascii="Cambria" w:hAnsi="Cambria"/>
          <w:b w:val="0"/>
          <w:i w:val="0"/>
          <w:sz w:val="22"/>
        </w:rPr>
        <w:t xml:space="preserve">5. </w:t>
      </w:r>
      <w:r>
        <w:rPr>
          <w:rFonts w:ascii="Cambria" w:hAnsi="Cambria"/>
          <w:b w:val="0"/>
          <w:i w:val="0"/>
          <w:sz w:val="22"/>
        </w:rPr>
        <w:t>Computer Proficiency:</w:t>
      </w:r>
    </w:p>
    <w:p>
      <w:pPr>
        <w:pStyle w:val="ListBullet2"/>
        <w:spacing w:line="276" w:lineRule="auto"/>
        <w:ind w:left="1020"/>
      </w:pPr>
      <w:r>
        <w:rPr>
          <w:rFonts w:ascii="Cambria" w:hAnsi="Cambria"/>
          <w:b w:val="0"/>
          <w:i w:val="0"/>
          <w:sz w:val="22"/>
        </w:rPr>
        <w:t>For all posts listed from B-1 to B-25, possession of a valid certificate in computer proficiency (covering Word, Excel, and Internet operations) is mandatory.</w:t>
      </w:r>
    </w:p>
    <w:p>
      <w:pPr>
        <w:spacing w:line="276" w:lineRule="auto"/>
        <w:ind w:left="357" w:hanging="357"/>
      </w:pPr>
      <w:r>
        <w:rPr>
          <w:rFonts w:ascii="Cambria" w:hAnsi="Cambria"/>
          <w:b w:val="0"/>
          <w:i w:val="0"/>
          <w:sz w:val="22"/>
        </w:rPr>
        <w:t xml:space="preserve">6. </w:t>
      </w:r>
      <w:r>
        <w:rPr>
          <w:rFonts w:ascii="Cambria" w:hAnsi="Cambria"/>
          <w:b w:val="0"/>
          <w:i w:val="0"/>
          <w:sz w:val="22"/>
        </w:rPr>
        <w:t>Reservation Policy:</w:t>
      </w:r>
    </w:p>
    <w:p>
      <w:pPr>
        <w:pStyle w:val="ListBullet2"/>
        <w:spacing w:line="276" w:lineRule="auto"/>
        <w:ind w:left="1020"/>
      </w:pPr>
      <w:r>
        <w:rPr>
          <w:rFonts w:ascii="Cambria" w:hAnsi="Cambria"/>
          <w:b w:val="0"/>
          <w:i w:val="0"/>
          <w:sz w:val="22"/>
        </w:rPr>
        <w:t>All appointments shall conform to the reservation norms of the State/Central Government and University policy.</w:t>
      </w:r>
    </w:p>
    <w:p>
      <w:pPr>
        <w:keepNext/>
        <w:spacing w:before="200" w:after="120"/>
      </w:pPr>
      <w:r>
        <w:rPr>
          <w:rFonts w:ascii="Cambria" w:hAnsi="Cambria"/>
          <w:b/>
          <w:color w:val="1F3A5F"/>
          <w:sz w:val="24"/>
        </w:rPr>
        <w:t>III. Summary Overview</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Pr>
          <w:p>
            <w:pPr>
              <w:spacing w:after="40" w:before="40"/>
            </w:pPr>
            <w:r/>
            <w:r>
              <w:rPr>
                <w:rFonts w:ascii="Cambria" w:hAnsi="Cambria"/>
                <w:b/>
                <w:i w:val="0"/>
                <w:color w:val="FFFFFF"/>
                <w:sz w:val="22"/>
              </w:rPr>
              <w:t>Category</w:t>
            </w:r>
          </w:p>
        </w:tc>
        <w:tc>
          <w:tcPr>
            <w:tcW w:type="dxa" w:w="2154"/>
            <w:shd w:val="clear" w:color="auto" w:fill="1F3A5F"/>
          </w:tcPr>
          <w:p>
            <w:pPr>
              <w:spacing w:after="40" w:before="40"/>
            </w:pPr>
            <w:r/>
            <w:r>
              <w:rPr>
                <w:rFonts w:ascii="Cambria" w:hAnsi="Cambria"/>
                <w:b/>
                <w:i w:val="0"/>
                <w:color w:val="FFFFFF"/>
                <w:sz w:val="22"/>
              </w:rPr>
              <w:t>Qualification Level</w:t>
            </w:r>
          </w:p>
        </w:tc>
        <w:tc>
          <w:tcPr>
            <w:tcW w:type="dxa" w:w="1587"/>
            <w:shd w:val="clear" w:color="auto" w:fill="1F3A5F"/>
          </w:tcPr>
          <w:p>
            <w:pPr>
              <w:spacing w:after="40" w:before="40"/>
            </w:pPr>
            <w:r/>
            <w:r>
              <w:rPr>
                <w:rFonts w:ascii="Cambria" w:hAnsi="Cambria"/>
                <w:b/>
                <w:i w:val="0"/>
                <w:color w:val="FFFFFF"/>
                <w:sz w:val="22"/>
              </w:rPr>
              <w:t>Experience Requirement</w:t>
            </w:r>
          </w:p>
        </w:tc>
        <w:tc>
          <w:tcPr>
            <w:tcW w:type="dxa" w:w="1474"/>
            <w:shd w:val="clear" w:color="auto" w:fill="1F3A5F"/>
          </w:tcPr>
          <w:p>
            <w:pPr>
              <w:spacing w:after="40" w:before="40"/>
            </w:pPr>
            <w:r/>
            <w:r>
              <w:rPr>
                <w:rFonts w:ascii="Cambria" w:hAnsi="Cambria"/>
                <w:b/>
                <w:i w:val="0"/>
                <w:color w:val="FFFFFF"/>
                <w:sz w:val="22"/>
              </w:rPr>
              <w:t>Appointing Authority</w:t>
            </w:r>
          </w:p>
        </w:tc>
        <w:tc>
          <w:tcPr>
            <w:tcW w:type="dxa" w:w="1587"/>
            <w:shd w:val="clear" w:color="auto" w:fill="1F3A5F"/>
          </w:tcPr>
          <w:p>
            <w:pPr>
              <w:spacing w:after="40" w:before="40"/>
            </w:pPr>
            <w:r/>
            <w:r>
              <w:rPr>
                <w:rFonts w:ascii="Cambria" w:hAnsi="Cambria"/>
                <w:b/>
                <w:i w:val="0"/>
                <w:color w:val="FFFFFF"/>
                <w:sz w:val="22"/>
              </w:rPr>
              <w:t>Selection Method</w:t>
            </w:r>
          </w:p>
        </w:tc>
      </w:tr>
      <w:tr>
        <w:tc>
          <w:tcPr>
            <w:tcW w:type="dxa" w:w="2041"/>
          </w:tcPr>
          <w:p>
            <w:pPr>
              <w:spacing w:after="40" w:before="40"/>
            </w:pPr>
            <w:r/>
            <w:r>
              <w:rPr>
                <w:rFonts w:ascii="Cambria" w:hAnsi="Cambria"/>
                <w:b w:val="0"/>
                <w:i w:val="0"/>
                <w:sz w:val="22"/>
              </w:rPr>
              <w:t>Administrative / Managerial</w:t>
            </w:r>
          </w:p>
        </w:tc>
        <w:tc>
          <w:tcPr>
            <w:tcW w:type="dxa" w:w="2154"/>
          </w:tcPr>
          <w:p>
            <w:pPr>
              <w:spacing w:after="40" w:before="40"/>
            </w:pPr>
            <w:r/>
            <w:r>
              <w:rPr>
                <w:rFonts w:ascii="Cambria" w:hAnsi="Cambria"/>
                <w:b w:val="0"/>
                <w:i w:val="0"/>
                <w:sz w:val="22"/>
              </w:rPr>
              <w:t>Postgraduate</w:t>
            </w:r>
          </w:p>
        </w:tc>
        <w:tc>
          <w:tcPr>
            <w:tcW w:type="dxa" w:w="1587"/>
          </w:tcPr>
          <w:p>
            <w:pPr>
              <w:spacing w:after="40" w:before="40"/>
            </w:pPr>
            <w:r/>
            <w:r>
              <w:rPr>
                <w:rFonts w:ascii="Cambria" w:hAnsi="Cambria"/>
                <w:b w:val="0"/>
                <w:i w:val="0"/>
                <w:sz w:val="22"/>
              </w:rPr>
              <w:t>10 years</w:t>
            </w:r>
          </w:p>
        </w:tc>
        <w:tc>
          <w:tcPr>
            <w:tcW w:type="dxa" w:w="1474"/>
          </w:tcPr>
          <w:p>
            <w:pPr>
              <w:spacing w:after="40" w:before="40"/>
            </w:pPr>
            <w:r/>
            <w:r>
              <w:rPr>
                <w:rFonts w:ascii="Cambria" w:hAnsi="Cambria"/>
                <w:b w:val="0"/>
                <w:i w:val="0"/>
                <w:sz w:val="22"/>
              </w:rPr>
              <w:t>Chairman, BoM</w:t>
            </w:r>
          </w:p>
        </w:tc>
        <w:tc>
          <w:tcPr>
            <w:tcW w:type="dxa" w:w="1587"/>
          </w:tcPr>
          <w:p>
            <w:pPr>
              <w:spacing w:after="40" w:before="40"/>
            </w:pPr>
            <w:r/>
            <w:r>
              <w:rPr>
                <w:rFonts w:ascii="Cambria" w:hAnsi="Cambria"/>
                <w:b w:val="0"/>
                <w:i w:val="0"/>
                <w:sz w:val="22"/>
              </w:rPr>
              <w:t>Written Test + Interview</w:t>
            </w:r>
          </w:p>
        </w:tc>
      </w:tr>
      <w:tr>
        <w:tc>
          <w:tcPr>
            <w:tcW w:type="dxa" w:w="2041"/>
            <w:shd w:val="clear" w:color="auto" w:fill="F0F2F5"/>
          </w:tcPr>
          <w:p>
            <w:pPr>
              <w:spacing w:after="40" w:before="40"/>
            </w:pPr>
            <w:r/>
            <w:r>
              <w:rPr>
                <w:rFonts w:ascii="Cambria" w:hAnsi="Cambria"/>
                <w:b w:val="0"/>
                <w:i w:val="0"/>
                <w:sz w:val="22"/>
              </w:rPr>
              <w:t>Clerical / Support Staff</w:t>
            </w:r>
          </w:p>
        </w:tc>
        <w:tc>
          <w:tcPr>
            <w:tcW w:type="dxa" w:w="2154"/>
            <w:shd w:val="clear" w:color="auto" w:fill="F0F2F5"/>
          </w:tcPr>
          <w:p>
            <w:pPr>
              <w:spacing w:after="40" w:before="40"/>
            </w:pPr>
            <w:r/>
            <w:r>
              <w:rPr>
                <w:rFonts w:ascii="Cambria" w:hAnsi="Cambria"/>
                <w:b w:val="0"/>
                <w:i w:val="0"/>
                <w:sz w:val="22"/>
              </w:rPr>
              <w:t>Graduate</w:t>
            </w:r>
          </w:p>
        </w:tc>
        <w:tc>
          <w:tcPr>
            <w:tcW w:type="dxa" w:w="1587"/>
            <w:shd w:val="clear" w:color="auto" w:fill="F0F2F5"/>
          </w:tcPr>
          <w:p>
            <w:pPr>
              <w:spacing w:after="40" w:before="40"/>
            </w:pPr>
            <w:r/>
            <w:r>
              <w:rPr>
                <w:rFonts w:ascii="Cambria" w:hAnsi="Cambria"/>
                <w:b w:val="0"/>
                <w:i w:val="0"/>
                <w:sz w:val="22"/>
              </w:rPr>
              <w:t>2–10 years</w:t>
            </w:r>
          </w:p>
        </w:tc>
        <w:tc>
          <w:tcPr>
            <w:tcW w:type="dxa" w:w="1474"/>
            <w:shd w:val="clear" w:color="auto" w:fill="F0F2F5"/>
          </w:tcPr>
          <w:p>
            <w:pPr>
              <w:spacing w:after="40" w:before="40"/>
            </w:pPr>
            <w:r/>
            <w:r>
              <w:rPr>
                <w:rFonts w:ascii="Cambria" w:hAnsi="Cambria"/>
                <w:b w:val="0"/>
                <w:i w:val="0"/>
                <w:sz w:val="22"/>
              </w:rPr>
              <w:t>Chairman, BoM</w:t>
            </w:r>
          </w:p>
        </w:tc>
        <w:tc>
          <w:tcPr>
            <w:tcW w:type="dxa" w:w="1587"/>
            <w:shd w:val="clear" w:color="auto" w:fill="F0F2F5"/>
          </w:tcPr>
          <w:p>
            <w:pPr>
              <w:spacing w:after="40" w:before="40"/>
            </w:pPr>
            <w:r/>
            <w:r>
              <w:rPr>
                <w:rFonts w:ascii="Cambria" w:hAnsi="Cambria"/>
                <w:b w:val="0"/>
                <w:i w:val="0"/>
                <w:sz w:val="22"/>
              </w:rPr>
              <w:t>Written Test + Interview</w:t>
            </w:r>
          </w:p>
        </w:tc>
      </w:tr>
      <w:tr>
        <w:tc>
          <w:tcPr>
            <w:tcW w:type="dxa" w:w="2041"/>
          </w:tcPr>
          <w:p>
            <w:pPr>
              <w:spacing w:after="40" w:before="40"/>
            </w:pPr>
            <w:r/>
            <w:r>
              <w:rPr>
                <w:rFonts w:ascii="Cambria" w:hAnsi="Cambria"/>
                <w:b w:val="0"/>
                <w:i w:val="0"/>
                <w:sz w:val="22"/>
              </w:rPr>
              <w:t>Technical / Lab / Engineering</w:t>
            </w:r>
          </w:p>
        </w:tc>
        <w:tc>
          <w:tcPr>
            <w:tcW w:type="dxa" w:w="2154"/>
          </w:tcPr>
          <w:p>
            <w:pPr>
              <w:spacing w:after="40" w:before="40"/>
            </w:pPr>
            <w:r/>
            <w:r>
              <w:rPr>
                <w:rFonts w:ascii="Cambria" w:hAnsi="Cambria"/>
                <w:b w:val="0"/>
                <w:i w:val="0"/>
                <w:sz w:val="22"/>
              </w:rPr>
              <w:t>Diploma / Degree / ITI</w:t>
            </w:r>
          </w:p>
        </w:tc>
        <w:tc>
          <w:tcPr>
            <w:tcW w:type="dxa" w:w="1587"/>
          </w:tcPr>
          <w:p>
            <w:pPr>
              <w:spacing w:after="40" w:before="40"/>
            </w:pPr>
            <w:r/>
            <w:r>
              <w:rPr>
                <w:rFonts w:ascii="Cambria" w:hAnsi="Cambria"/>
                <w:b w:val="0"/>
                <w:i w:val="0"/>
                <w:sz w:val="22"/>
              </w:rPr>
              <w:t>2–10 years</w:t>
            </w:r>
          </w:p>
        </w:tc>
        <w:tc>
          <w:tcPr>
            <w:tcW w:type="dxa" w:w="1474"/>
          </w:tcPr>
          <w:p>
            <w:pPr>
              <w:spacing w:after="40" w:before="40"/>
            </w:pPr>
            <w:r/>
            <w:r>
              <w:rPr>
                <w:rFonts w:ascii="Cambria" w:hAnsi="Cambria"/>
                <w:b w:val="0"/>
                <w:i w:val="0"/>
                <w:sz w:val="22"/>
              </w:rPr>
              <w:t>Chairman, BoM</w:t>
            </w:r>
          </w:p>
        </w:tc>
        <w:tc>
          <w:tcPr>
            <w:tcW w:type="dxa" w:w="1587"/>
          </w:tcPr>
          <w:p>
            <w:pPr>
              <w:spacing w:after="40" w:before="40"/>
            </w:pPr>
            <w:r/>
            <w:r>
              <w:rPr>
                <w:rFonts w:ascii="Cambria" w:hAnsi="Cambria"/>
                <w:b w:val="0"/>
                <w:i w:val="0"/>
                <w:sz w:val="22"/>
              </w:rPr>
              <w:t>Written Test + Skill Test + Interview</w:t>
            </w:r>
          </w:p>
        </w:tc>
      </w:tr>
      <w:tr>
        <w:tc>
          <w:tcPr>
            <w:tcW w:type="dxa" w:w="2041"/>
            <w:shd w:val="clear" w:color="auto" w:fill="F0F2F5"/>
          </w:tcPr>
          <w:p>
            <w:pPr>
              <w:spacing w:after="40" w:before="40"/>
            </w:pPr>
            <w:r/>
            <w:r>
              <w:rPr>
                <w:rFonts w:ascii="Cambria" w:hAnsi="Cambria"/>
                <w:b w:val="0"/>
                <w:i w:val="0"/>
                <w:sz w:val="22"/>
              </w:rPr>
              <w:t>Library / Sports / Computer</w:t>
            </w:r>
          </w:p>
        </w:tc>
        <w:tc>
          <w:tcPr>
            <w:tcW w:type="dxa" w:w="2154"/>
            <w:shd w:val="clear" w:color="auto" w:fill="F0F2F5"/>
          </w:tcPr>
          <w:p>
            <w:pPr>
              <w:spacing w:after="40" w:before="40"/>
            </w:pPr>
            <w:r/>
            <w:r>
              <w:rPr>
                <w:rFonts w:ascii="Cambria" w:hAnsi="Cambria"/>
                <w:b w:val="0"/>
                <w:i w:val="0"/>
                <w:sz w:val="22"/>
              </w:rPr>
              <w:t>B.Lib/M.Lib, B.P.Ed/M.P.Ed, MCA/M.Sc</w:t>
            </w:r>
          </w:p>
        </w:tc>
        <w:tc>
          <w:tcPr>
            <w:tcW w:type="dxa" w:w="1587"/>
            <w:shd w:val="clear" w:color="auto" w:fill="F0F2F5"/>
          </w:tcPr>
          <w:p>
            <w:pPr>
              <w:spacing w:after="40" w:before="40"/>
            </w:pPr>
            <w:r/>
            <w:r>
              <w:rPr>
                <w:rFonts w:ascii="Cambria" w:hAnsi="Cambria"/>
                <w:b w:val="0"/>
                <w:i w:val="0"/>
                <w:sz w:val="22"/>
              </w:rPr>
              <w:t>1–10 years</w:t>
            </w:r>
          </w:p>
        </w:tc>
        <w:tc>
          <w:tcPr>
            <w:tcW w:type="dxa" w:w="1474"/>
            <w:shd w:val="clear" w:color="auto" w:fill="F0F2F5"/>
          </w:tcPr>
          <w:p>
            <w:pPr>
              <w:spacing w:after="40" w:before="40"/>
            </w:pPr>
            <w:r/>
            <w:r>
              <w:rPr>
                <w:rFonts w:ascii="Cambria" w:hAnsi="Cambria"/>
                <w:b w:val="0"/>
                <w:i w:val="0"/>
                <w:sz w:val="22"/>
              </w:rPr>
              <w:t>Chairman, BoM</w:t>
            </w:r>
          </w:p>
        </w:tc>
        <w:tc>
          <w:tcPr>
            <w:tcW w:type="dxa" w:w="1587"/>
            <w:shd w:val="clear" w:color="auto" w:fill="F0F2F5"/>
          </w:tcPr>
          <w:p>
            <w:pPr>
              <w:spacing w:after="40" w:before="40"/>
            </w:pPr>
            <w:r/>
            <w:r>
              <w:rPr>
                <w:rFonts w:ascii="Cambria" w:hAnsi="Cambria"/>
                <w:b w:val="0"/>
                <w:i w:val="0"/>
                <w:sz w:val="22"/>
              </w:rPr>
              <w:t>Written Test + Interview</w:t>
            </w:r>
          </w:p>
        </w:tc>
      </w:tr>
    </w:tbl>
    <w:p>
      <w:pPr>
        <w:spacing w:after="40"/>
      </w:pPr>
    </w:p>
    <w:p>
      <w:pPr>
        <w:keepNext/>
        <w:spacing w:before="200" w:after="120"/>
      </w:pPr>
      <w:r>
        <w:rPr>
          <w:rFonts w:ascii="Cambria" w:hAnsi="Cambria"/>
          <w:b/>
          <w:color w:val="1F3A5F"/>
          <w:sz w:val="27"/>
        </w:rPr>
        <w:t>C. Technical / Skilled Posts Under Contract or Project-Based Appointments</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define the categories, eligibility criteria, appointment process, and service conditions for Technical and Skilled personnel appointed on contract, project, or time-bound basis under University-approved projects, research grants, consultancy works, or externally funded schemes.</w:t>
      </w:r>
    </w:p>
    <w:p>
      <w:pPr>
        <w:pStyle w:val="ListBullet"/>
        <w:spacing w:line="276" w:lineRule="auto"/>
        <w:ind w:left="510"/>
      </w:pPr>
      <w:r>
        <w:rPr>
          <w:rFonts w:ascii="Cambria" w:hAnsi="Cambria"/>
          <w:b w:val="0"/>
          <w:i w:val="0"/>
          <w:sz w:val="22"/>
        </w:rPr>
        <w:t>These provisions ensure flexibility, accountability, and transparency in hiring short-term or project-specific staff without affecting the regular establishment.</w:t>
      </w:r>
    </w:p>
    <w:p>
      <w:pPr>
        <w:keepNext/>
        <w:spacing w:before="200" w:after="120"/>
      </w:pPr>
      <w:r>
        <w:rPr>
          <w:rFonts w:ascii="Cambria" w:hAnsi="Cambria"/>
          <w:b/>
          <w:color w:val="1F3A5F"/>
          <w:sz w:val="24"/>
        </w:rPr>
        <w:t>I. Nature of Engagement</w:t>
      </w:r>
    </w:p>
    <w:p>
      <w:pPr>
        <w:pStyle w:val="ListBullet"/>
        <w:spacing w:line="276" w:lineRule="auto"/>
        <w:ind w:left="510"/>
      </w:pPr>
      <w:r>
        <w:rPr>
          <w:rFonts w:ascii="Cambria" w:hAnsi="Cambria"/>
          <w:b w:val="0"/>
          <w:i w:val="0"/>
          <w:sz w:val="22"/>
        </w:rPr>
        <w:t>Contractual or project-based appointments shall be:</w:t>
      </w:r>
    </w:p>
    <w:p>
      <w:pPr>
        <w:pStyle w:val="ListBullet2"/>
        <w:spacing w:line="276" w:lineRule="auto"/>
        <w:ind w:left="1020"/>
      </w:pPr>
      <w:r>
        <w:rPr>
          <w:rFonts w:ascii="Cambria" w:hAnsi="Cambria"/>
          <w:b w:val="0"/>
          <w:i w:val="0"/>
          <w:sz w:val="22"/>
        </w:rPr>
        <w:t>Time-bound, co-terminus with the project or assignment.</w:t>
      </w:r>
    </w:p>
    <w:p>
      <w:pPr>
        <w:pStyle w:val="ListBullet2"/>
        <w:spacing w:line="276" w:lineRule="auto"/>
        <w:ind w:left="1020"/>
      </w:pPr>
      <w:r>
        <w:rPr>
          <w:rFonts w:ascii="Cambria" w:hAnsi="Cambria"/>
          <w:b w:val="0"/>
          <w:i w:val="0"/>
          <w:sz w:val="22"/>
        </w:rPr>
        <w:t>Non-permanent, with no claim to regular absorption in University service.</w:t>
      </w:r>
    </w:p>
    <w:p>
      <w:pPr>
        <w:pStyle w:val="ListBullet2"/>
        <w:spacing w:line="276" w:lineRule="auto"/>
        <w:ind w:left="1020"/>
      </w:pPr>
      <w:r>
        <w:rPr>
          <w:rFonts w:ascii="Cambria" w:hAnsi="Cambria"/>
          <w:b w:val="0"/>
          <w:i w:val="0"/>
          <w:sz w:val="22"/>
        </w:rPr>
        <w:t>Renewable, based on performance evaluation and project continuity.</w:t>
      </w:r>
    </w:p>
    <w:p>
      <w:pPr>
        <w:pStyle w:val="ListBullet"/>
        <w:spacing w:line="276" w:lineRule="auto"/>
        <w:ind w:left="510"/>
      </w:pPr>
      <w:r>
        <w:rPr>
          <w:rFonts w:ascii="Cambria" w:hAnsi="Cambria"/>
          <w:b w:val="0"/>
          <w:i w:val="0"/>
          <w:sz w:val="22"/>
        </w:rPr>
        <w:t>The appointment terms shall be clearly mentioned in the Contract Agreement / Offer Letter issued by the University.</w:t>
      </w:r>
    </w:p>
    <w:p>
      <w:pPr>
        <w:keepNext/>
        <w:spacing w:before="200" w:after="120"/>
      </w:pPr>
      <w:r>
        <w:rPr>
          <w:rFonts w:ascii="Cambria" w:hAnsi="Cambria"/>
          <w:b/>
          <w:color w:val="1F3A5F"/>
          <w:sz w:val="24"/>
        </w:rPr>
        <w:t>II. Categories of Technical / Skilled Contractual Posts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A5F"/>
          </w:tcPr>
          <w:p>
            <w:pPr>
              <w:spacing w:after="40" w:before="40"/>
            </w:pPr>
            <w:r/>
            <w:r>
              <w:rPr>
                <w:rFonts w:ascii="Cambria" w:hAnsi="Cambria"/>
                <w:b/>
                <w:i w:val="0"/>
                <w:color w:val="FFFFFF"/>
                <w:sz w:val="22"/>
              </w:rPr>
              <w:t>S.No.</w:t>
            </w:r>
          </w:p>
        </w:tc>
        <w:tc>
          <w:tcPr>
            <w:tcW w:type="dxa" w:w="2041"/>
            <w:shd w:val="clear" w:color="auto" w:fill="1F3A5F"/>
          </w:tcPr>
          <w:p>
            <w:pPr>
              <w:spacing w:after="40" w:before="40"/>
            </w:pPr>
            <w:r/>
            <w:r>
              <w:rPr>
                <w:rFonts w:ascii="Cambria" w:hAnsi="Cambria"/>
                <w:b/>
                <w:i w:val="0"/>
                <w:color w:val="FFFFFF"/>
                <w:sz w:val="22"/>
              </w:rPr>
              <w:t>Post Title</w:t>
            </w:r>
          </w:p>
        </w:tc>
        <w:tc>
          <w:tcPr>
            <w:tcW w:type="dxa" w:w="4536"/>
            <w:shd w:val="clear" w:color="auto" w:fill="1F3A5F"/>
          </w:tcPr>
          <w:p>
            <w:pPr>
              <w:spacing w:after="40" w:before="40"/>
            </w:pPr>
            <w:r/>
            <w:r>
              <w:rPr>
                <w:rFonts w:ascii="Cambria" w:hAnsi="Cambria"/>
                <w:b/>
                <w:i w:val="0"/>
                <w:color w:val="FFFFFF"/>
                <w:sz w:val="22"/>
              </w:rPr>
              <w:t>Minimum Qualification &amp; Experience</w:t>
            </w:r>
          </w:p>
        </w:tc>
        <w:tc>
          <w:tcPr>
            <w:tcW w:type="dxa" w:w="1871"/>
            <w:shd w:val="clear" w:color="auto" w:fill="1F3A5F"/>
          </w:tcPr>
          <w:p>
            <w:pPr>
              <w:spacing w:after="40" w:before="40"/>
            </w:pPr>
            <w:r/>
            <w:r>
              <w:rPr>
                <w:rFonts w:ascii="Cambria" w:hAnsi="Cambria"/>
                <w:b/>
                <w:i w:val="0"/>
                <w:color w:val="FFFFFF"/>
                <w:sz w:val="22"/>
              </w:rPr>
              <w:t>Nature of Appointment</w:t>
            </w:r>
          </w:p>
        </w:tc>
      </w:tr>
      <w:tr>
        <w:tc>
          <w:tcPr>
            <w:tcW w:type="dxa" w:w="680"/>
          </w:tcPr>
          <w:p>
            <w:pPr>
              <w:spacing w:after="40" w:before="40"/>
            </w:pPr>
            <w:r/>
            <w:r>
              <w:rPr>
                <w:rFonts w:ascii="Cambria" w:hAnsi="Cambria"/>
                <w:b w:val="0"/>
                <w:i w:val="0"/>
                <w:sz w:val="22"/>
              </w:rPr>
              <w:t>1.</w:t>
            </w:r>
          </w:p>
        </w:tc>
        <w:tc>
          <w:tcPr>
            <w:tcW w:type="dxa" w:w="2041"/>
          </w:tcPr>
          <w:p>
            <w:pPr>
              <w:spacing w:after="40" w:before="40"/>
            </w:pPr>
            <w:r/>
            <w:r>
              <w:rPr>
                <w:rFonts w:ascii="Cambria" w:hAnsi="Cambria"/>
                <w:b w:val="0"/>
                <w:i w:val="0"/>
                <w:sz w:val="22"/>
              </w:rPr>
              <w:t>Project Engineer</w:t>
            </w:r>
          </w:p>
        </w:tc>
        <w:tc>
          <w:tcPr>
            <w:tcW w:type="dxa" w:w="4536"/>
          </w:tcPr>
          <w:p>
            <w:pPr>
              <w:spacing w:after="40" w:before="40"/>
            </w:pPr>
            <w:r/>
            <w:r>
              <w:rPr>
                <w:rFonts w:ascii="Cambria" w:hAnsi="Cambria"/>
                <w:b w:val="0"/>
                <w:i w:val="0"/>
                <w:sz w:val="22"/>
              </w:rPr>
              <w:t>B.E./B.Tech in relevant field with minimum 3 years of experience in project implementation or supervision.</w:t>
            </w:r>
          </w:p>
        </w:tc>
        <w:tc>
          <w:tcPr>
            <w:tcW w:type="dxa" w:w="1871"/>
          </w:tcPr>
          <w:p>
            <w:pPr>
              <w:spacing w:after="40" w:before="40"/>
            </w:pPr>
            <w:r/>
            <w:r>
              <w:rPr>
                <w:rFonts w:ascii="Cambria" w:hAnsi="Cambria"/>
                <w:b w:val="0"/>
                <w:i w:val="0"/>
                <w:sz w:val="22"/>
              </w:rPr>
              <w:t>Contract-based / Project tenure.</w:t>
            </w:r>
          </w:p>
        </w:tc>
      </w:tr>
      <w:tr>
        <w:tc>
          <w:tcPr>
            <w:tcW w:type="dxa" w:w="680"/>
            <w:shd w:val="clear" w:color="auto" w:fill="F0F2F5"/>
          </w:tcPr>
          <w:p>
            <w:pPr>
              <w:spacing w:after="40" w:before="40"/>
            </w:pPr>
            <w:r/>
            <w:r>
              <w:rPr>
                <w:rFonts w:ascii="Cambria" w:hAnsi="Cambria"/>
                <w:b w:val="0"/>
                <w:i w:val="0"/>
                <w:sz w:val="22"/>
              </w:rPr>
              <w:t>2.</w:t>
            </w:r>
          </w:p>
        </w:tc>
        <w:tc>
          <w:tcPr>
            <w:tcW w:type="dxa" w:w="2041"/>
            <w:shd w:val="clear" w:color="auto" w:fill="F0F2F5"/>
          </w:tcPr>
          <w:p>
            <w:pPr>
              <w:spacing w:after="40" w:before="40"/>
            </w:pPr>
            <w:r/>
            <w:r>
              <w:rPr>
                <w:rFonts w:ascii="Cambria" w:hAnsi="Cambria"/>
                <w:b w:val="0"/>
                <w:i w:val="0"/>
                <w:sz w:val="22"/>
              </w:rPr>
              <w:t>Technical Officer</w:t>
            </w:r>
          </w:p>
        </w:tc>
        <w:tc>
          <w:tcPr>
            <w:tcW w:type="dxa" w:w="4536"/>
            <w:shd w:val="clear" w:color="auto" w:fill="F0F2F5"/>
          </w:tcPr>
          <w:p>
            <w:pPr>
              <w:spacing w:after="40" w:before="40"/>
            </w:pPr>
            <w:r/>
            <w:r>
              <w:rPr>
                <w:rFonts w:ascii="Cambria" w:hAnsi="Cambria"/>
                <w:b w:val="0"/>
                <w:i w:val="0"/>
                <w:sz w:val="22"/>
              </w:rPr>
              <w:t>B.E./B.Tech / M.Sc (Science stream) with 2 years of experience in laboratory or R&amp;D settings.</w:t>
            </w:r>
          </w:p>
        </w:tc>
        <w:tc>
          <w:tcPr>
            <w:tcW w:type="dxa" w:w="1871"/>
            <w:shd w:val="clear" w:color="auto" w:fill="F0F2F5"/>
          </w:tcPr>
          <w:p>
            <w:pPr>
              <w:spacing w:after="40" w:before="40"/>
            </w:pPr>
            <w:r/>
            <w:r>
              <w:rPr>
                <w:rFonts w:ascii="Cambria" w:hAnsi="Cambria"/>
                <w:b w:val="0"/>
                <w:i w:val="0"/>
                <w:sz w:val="22"/>
              </w:rPr>
              <w:t>Project or contract basis.</w:t>
            </w:r>
          </w:p>
        </w:tc>
      </w:tr>
      <w:tr>
        <w:tc>
          <w:tcPr>
            <w:tcW w:type="dxa" w:w="680"/>
          </w:tcPr>
          <w:p>
            <w:pPr>
              <w:spacing w:after="40" w:before="40"/>
            </w:pPr>
            <w:r/>
            <w:r>
              <w:rPr>
                <w:rFonts w:ascii="Cambria" w:hAnsi="Cambria"/>
                <w:b w:val="0"/>
                <w:i w:val="0"/>
                <w:sz w:val="22"/>
              </w:rPr>
              <w:t>3.</w:t>
            </w:r>
          </w:p>
        </w:tc>
        <w:tc>
          <w:tcPr>
            <w:tcW w:type="dxa" w:w="2041"/>
          </w:tcPr>
          <w:p>
            <w:pPr>
              <w:spacing w:after="40" w:before="40"/>
            </w:pPr>
            <w:r/>
            <w:r>
              <w:rPr>
                <w:rFonts w:ascii="Cambria" w:hAnsi="Cambria"/>
                <w:b w:val="0"/>
                <w:i w:val="0"/>
                <w:sz w:val="22"/>
              </w:rPr>
              <w:t>Project Assistant / Research Assistant</w:t>
            </w:r>
          </w:p>
        </w:tc>
        <w:tc>
          <w:tcPr>
            <w:tcW w:type="dxa" w:w="4536"/>
          </w:tcPr>
          <w:p>
            <w:pPr>
              <w:spacing w:after="40" w:before="40"/>
            </w:pPr>
            <w:r/>
            <w:r>
              <w:rPr>
                <w:rFonts w:ascii="Cambria" w:hAnsi="Cambria"/>
                <w:b w:val="0"/>
                <w:i w:val="0"/>
                <w:sz w:val="22"/>
              </w:rPr>
              <w:t>B.Sc / M.Sc / B.Tech in relevant discipline with 1–2 years of field/lab experience.</w:t>
            </w:r>
          </w:p>
        </w:tc>
        <w:tc>
          <w:tcPr>
            <w:tcW w:type="dxa" w:w="1871"/>
          </w:tcPr>
          <w:p>
            <w:pPr>
              <w:spacing w:after="40" w:before="40"/>
            </w:pPr>
            <w:r/>
            <w:r>
              <w:rPr>
                <w:rFonts w:ascii="Cambria" w:hAnsi="Cambria"/>
                <w:b w:val="0"/>
                <w:i w:val="0"/>
                <w:sz w:val="22"/>
              </w:rPr>
              <w:t>Project-specific contractual appointment.</w:t>
            </w:r>
          </w:p>
        </w:tc>
      </w:tr>
      <w:tr>
        <w:tc>
          <w:tcPr>
            <w:tcW w:type="dxa" w:w="680"/>
            <w:shd w:val="clear" w:color="auto" w:fill="F0F2F5"/>
          </w:tcPr>
          <w:p>
            <w:pPr>
              <w:spacing w:after="40" w:before="40"/>
            </w:pPr>
            <w:r/>
            <w:r>
              <w:rPr>
                <w:rFonts w:ascii="Cambria" w:hAnsi="Cambria"/>
                <w:b w:val="0"/>
                <w:i w:val="0"/>
                <w:sz w:val="22"/>
              </w:rPr>
              <w:t>4.</w:t>
            </w:r>
          </w:p>
        </w:tc>
        <w:tc>
          <w:tcPr>
            <w:tcW w:type="dxa" w:w="2041"/>
            <w:shd w:val="clear" w:color="auto" w:fill="F0F2F5"/>
          </w:tcPr>
          <w:p>
            <w:pPr>
              <w:spacing w:after="40" w:before="40"/>
            </w:pPr>
            <w:r/>
            <w:r>
              <w:rPr>
                <w:rFonts w:ascii="Cambria" w:hAnsi="Cambria"/>
                <w:b w:val="0"/>
                <w:i w:val="0"/>
                <w:sz w:val="22"/>
              </w:rPr>
              <w:t>Skilled Technician / Operator</w:t>
            </w:r>
          </w:p>
        </w:tc>
        <w:tc>
          <w:tcPr>
            <w:tcW w:type="dxa" w:w="4536"/>
            <w:shd w:val="clear" w:color="auto" w:fill="F0F2F5"/>
          </w:tcPr>
          <w:p>
            <w:pPr>
              <w:spacing w:after="40" w:before="40"/>
            </w:pPr>
            <w:r/>
            <w:r>
              <w:rPr>
                <w:rFonts w:ascii="Cambria" w:hAnsi="Cambria"/>
                <w:b w:val="0"/>
                <w:i w:val="0"/>
                <w:sz w:val="22"/>
              </w:rPr>
              <w:t>ITI / Diploma in Engineering with 3–5 years of practical experience in equipment handling or industrial operations.</w:t>
            </w:r>
          </w:p>
        </w:tc>
        <w:tc>
          <w:tcPr>
            <w:tcW w:type="dxa" w:w="1871"/>
            <w:shd w:val="clear" w:color="auto" w:fill="F0F2F5"/>
          </w:tcPr>
          <w:p>
            <w:pPr>
              <w:spacing w:after="40" w:before="40"/>
            </w:pPr>
            <w:r/>
            <w:r>
              <w:rPr>
                <w:rFonts w:ascii="Cambria" w:hAnsi="Cambria"/>
                <w:b w:val="0"/>
                <w:i w:val="0"/>
                <w:sz w:val="22"/>
              </w:rPr>
              <w:t>Contractual / Daily wage / Project mode.</w:t>
            </w:r>
          </w:p>
        </w:tc>
      </w:tr>
      <w:tr>
        <w:tc>
          <w:tcPr>
            <w:tcW w:type="dxa" w:w="680"/>
          </w:tcPr>
          <w:p>
            <w:pPr>
              <w:spacing w:after="40" w:before="40"/>
            </w:pPr>
            <w:r/>
            <w:r>
              <w:rPr>
                <w:rFonts w:ascii="Cambria" w:hAnsi="Cambria"/>
                <w:b w:val="0"/>
                <w:i w:val="0"/>
                <w:sz w:val="22"/>
              </w:rPr>
              <w:t>5.</w:t>
            </w:r>
          </w:p>
        </w:tc>
        <w:tc>
          <w:tcPr>
            <w:tcW w:type="dxa" w:w="2041"/>
          </w:tcPr>
          <w:p>
            <w:pPr>
              <w:spacing w:after="40" w:before="40"/>
            </w:pPr>
            <w:r/>
            <w:r>
              <w:rPr>
                <w:rFonts w:ascii="Cambria" w:hAnsi="Cambria"/>
                <w:b w:val="0"/>
                <w:i w:val="0"/>
                <w:sz w:val="22"/>
              </w:rPr>
              <w:t>Technical Helper / Assistant Technician</w:t>
            </w:r>
          </w:p>
        </w:tc>
        <w:tc>
          <w:tcPr>
            <w:tcW w:type="dxa" w:w="4536"/>
          </w:tcPr>
          <w:p>
            <w:pPr>
              <w:spacing w:after="40" w:before="40"/>
            </w:pPr>
            <w:r/>
            <w:r>
              <w:rPr>
                <w:rFonts w:ascii="Cambria" w:hAnsi="Cambria"/>
                <w:b w:val="0"/>
                <w:i w:val="0"/>
                <w:sz w:val="22"/>
              </w:rPr>
              <w:t>ITI or equivalent with basic skills in machinery, electrical, plumbing, or laboratory support work.</w:t>
            </w:r>
          </w:p>
        </w:tc>
        <w:tc>
          <w:tcPr>
            <w:tcW w:type="dxa" w:w="1871"/>
          </w:tcPr>
          <w:p>
            <w:pPr>
              <w:spacing w:after="40" w:before="40"/>
            </w:pPr>
            <w:r/>
            <w:r>
              <w:rPr>
                <w:rFonts w:ascii="Cambria" w:hAnsi="Cambria"/>
                <w:b w:val="0"/>
                <w:i w:val="0"/>
                <w:sz w:val="22"/>
              </w:rPr>
              <w:t>Time-bound or daily wage basis.</w:t>
            </w:r>
          </w:p>
        </w:tc>
      </w:tr>
      <w:tr>
        <w:tc>
          <w:tcPr>
            <w:tcW w:type="dxa" w:w="680"/>
            <w:shd w:val="clear" w:color="auto" w:fill="F0F2F5"/>
          </w:tcPr>
          <w:p>
            <w:pPr>
              <w:spacing w:after="40" w:before="40"/>
            </w:pPr>
            <w:r/>
            <w:r>
              <w:rPr>
                <w:rFonts w:ascii="Cambria" w:hAnsi="Cambria"/>
                <w:b w:val="0"/>
                <w:i w:val="0"/>
                <w:sz w:val="22"/>
              </w:rPr>
              <w:t>6.</w:t>
            </w:r>
          </w:p>
        </w:tc>
        <w:tc>
          <w:tcPr>
            <w:tcW w:type="dxa" w:w="2041"/>
            <w:shd w:val="clear" w:color="auto" w:fill="F0F2F5"/>
          </w:tcPr>
          <w:p>
            <w:pPr>
              <w:spacing w:after="40" w:before="40"/>
            </w:pPr>
            <w:r/>
            <w:r>
              <w:rPr>
                <w:rFonts w:ascii="Cambria" w:hAnsi="Cambria"/>
                <w:b w:val="0"/>
                <w:i w:val="0"/>
                <w:sz w:val="22"/>
              </w:rPr>
              <w:t>Field Assistant / Data Collector</w:t>
            </w:r>
          </w:p>
        </w:tc>
        <w:tc>
          <w:tcPr>
            <w:tcW w:type="dxa" w:w="4536"/>
            <w:shd w:val="clear" w:color="auto" w:fill="F0F2F5"/>
          </w:tcPr>
          <w:p>
            <w:pPr>
              <w:spacing w:after="40" w:before="40"/>
            </w:pPr>
            <w:r/>
            <w:r>
              <w:rPr>
                <w:rFonts w:ascii="Cambria" w:hAnsi="Cambria"/>
                <w:b w:val="0"/>
                <w:i w:val="0"/>
                <w:sz w:val="22"/>
              </w:rPr>
              <w:t>Graduate or Diploma holder with field survey / data entry skills.</w:t>
            </w:r>
          </w:p>
        </w:tc>
        <w:tc>
          <w:tcPr>
            <w:tcW w:type="dxa" w:w="1871"/>
            <w:shd w:val="clear" w:color="auto" w:fill="F0F2F5"/>
          </w:tcPr>
          <w:p>
            <w:pPr>
              <w:spacing w:after="40" w:before="40"/>
            </w:pPr>
            <w:r/>
            <w:r>
              <w:rPr>
                <w:rFonts w:ascii="Cambria" w:hAnsi="Cambria"/>
                <w:b w:val="0"/>
                <w:i w:val="0"/>
                <w:sz w:val="22"/>
              </w:rPr>
              <w:t>Project-based, subject to task completion.</w:t>
            </w:r>
          </w:p>
        </w:tc>
      </w:tr>
      <w:tr>
        <w:tc>
          <w:tcPr>
            <w:tcW w:type="dxa" w:w="680"/>
          </w:tcPr>
          <w:p>
            <w:pPr>
              <w:spacing w:after="40" w:before="40"/>
            </w:pPr>
            <w:r/>
            <w:r>
              <w:rPr>
                <w:rFonts w:ascii="Cambria" w:hAnsi="Cambria"/>
                <w:b w:val="0"/>
                <w:i w:val="0"/>
                <w:sz w:val="22"/>
              </w:rPr>
              <w:t>7.</w:t>
            </w:r>
          </w:p>
        </w:tc>
        <w:tc>
          <w:tcPr>
            <w:tcW w:type="dxa" w:w="2041"/>
          </w:tcPr>
          <w:p>
            <w:pPr>
              <w:spacing w:after="40" w:before="40"/>
            </w:pPr>
            <w:r/>
            <w:r>
              <w:rPr>
                <w:rFonts w:ascii="Cambria" w:hAnsi="Cambria"/>
                <w:b w:val="0"/>
                <w:i w:val="0"/>
                <w:sz w:val="22"/>
              </w:rPr>
              <w:t>Project Clerk / Office Assistant (Contract)</w:t>
            </w:r>
          </w:p>
        </w:tc>
        <w:tc>
          <w:tcPr>
            <w:tcW w:type="dxa" w:w="4536"/>
          </w:tcPr>
          <w:p>
            <w:pPr>
              <w:spacing w:after="40" w:before="40"/>
            </w:pPr>
            <w:r/>
            <w:r>
              <w:rPr>
                <w:rFonts w:ascii="Cambria" w:hAnsi="Cambria"/>
                <w:b w:val="0"/>
                <w:i w:val="0"/>
                <w:sz w:val="22"/>
              </w:rPr>
              <w:t>Graduate with computer proficiency (MS Word, Excel, Internet) and 1–2 years of office experience.</w:t>
            </w:r>
          </w:p>
        </w:tc>
        <w:tc>
          <w:tcPr>
            <w:tcW w:type="dxa" w:w="1871"/>
          </w:tcPr>
          <w:p>
            <w:pPr>
              <w:spacing w:after="40" w:before="40"/>
            </w:pPr>
            <w:r/>
            <w:r>
              <w:rPr>
                <w:rFonts w:ascii="Cambria" w:hAnsi="Cambria"/>
                <w:b w:val="0"/>
                <w:i w:val="0"/>
                <w:sz w:val="22"/>
              </w:rPr>
              <w:t>Contractual support staff under projects.</w:t>
            </w:r>
          </w:p>
        </w:tc>
      </w:tr>
      <w:tr>
        <w:tc>
          <w:tcPr>
            <w:tcW w:type="dxa" w:w="680"/>
            <w:shd w:val="clear" w:color="auto" w:fill="F0F2F5"/>
          </w:tcPr>
          <w:p>
            <w:pPr>
              <w:spacing w:after="40" w:before="40"/>
            </w:pPr>
            <w:r/>
            <w:r>
              <w:rPr>
                <w:rFonts w:ascii="Cambria" w:hAnsi="Cambria"/>
                <w:b w:val="0"/>
                <w:i w:val="0"/>
                <w:sz w:val="22"/>
              </w:rPr>
              <w:t>8.</w:t>
            </w:r>
          </w:p>
        </w:tc>
        <w:tc>
          <w:tcPr>
            <w:tcW w:type="dxa" w:w="2041"/>
            <w:shd w:val="clear" w:color="auto" w:fill="F0F2F5"/>
          </w:tcPr>
          <w:p>
            <w:pPr>
              <w:spacing w:after="40" w:before="40"/>
            </w:pPr>
            <w:r/>
            <w:r>
              <w:rPr>
                <w:rFonts w:ascii="Cambria" w:hAnsi="Cambria"/>
                <w:b w:val="0"/>
                <w:i w:val="0"/>
                <w:sz w:val="22"/>
              </w:rPr>
              <w:t>Project Driver / Vehicle Operator</w:t>
            </w:r>
          </w:p>
        </w:tc>
        <w:tc>
          <w:tcPr>
            <w:tcW w:type="dxa" w:w="4536"/>
            <w:shd w:val="clear" w:color="auto" w:fill="F0F2F5"/>
          </w:tcPr>
          <w:p>
            <w:pPr>
              <w:spacing w:after="40" w:before="40"/>
            </w:pPr>
            <w:r/>
            <w:r>
              <w:rPr>
                <w:rFonts w:ascii="Cambria" w:hAnsi="Cambria"/>
                <w:b w:val="0"/>
                <w:i w:val="0"/>
                <w:sz w:val="22"/>
              </w:rPr>
              <w:t>Valid driving license with 3 years of experience in official vehicle operation.</w:t>
            </w:r>
          </w:p>
        </w:tc>
        <w:tc>
          <w:tcPr>
            <w:tcW w:type="dxa" w:w="1871"/>
            <w:shd w:val="clear" w:color="auto" w:fill="F0F2F5"/>
          </w:tcPr>
          <w:p>
            <w:pPr>
              <w:spacing w:after="40" w:before="40"/>
            </w:pPr>
            <w:r/>
            <w:r>
              <w:rPr>
                <w:rFonts w:ascii="Cambria" w:hAnsi="Cambria"/>
                <w:b w:val="0"/>
                <w:i w:val="0"/>
                <w:sz w:val="22"/>
              </w:rPr>
              <w:t>Project-based / Institutional requirement.</w:t>
            </w:r>
          </w:p>
        </w:tc>
      </w:tr>
      <w:tr>
        <w:tc>
          <w:tcPr>
            <w:tcW w:type="dxa" w:w="680"/>
          </w:tcPr>
          <w:p>
            <w:pPr>
              <w:spacing w:after="40" w:before="40"/>
            </w:pPr>
            <w:r/>
            <w:r>
              <w:rPr>
                <w:rFonts w:ascii="Cambria" w:hAnsi="Cambria"/>
                <w:b w:val="0"/>
                <w:i w:val="0"/>
                <w:sz w:val="22"/>
              </w:rPr>
              <w:t>9.</w:t>
            </w:r>
          </w:p>
        </w:tc>
        <w:tc>
          <w:tcPr>
            <w:tcW w:type="dxa" w:w="2041"/>
          </w:tcPr>
          <w:p>
            <w:pPr>
              <w:spacing w:after="40" w:before="40"/>
            </w:pPr>
            <w:r/>
            <w:r>
              <w:rPr>
                <w:rFonts w:ascii="Cambria" w:hAnsi="Cambria"/>
                <w:b w:val="0"/>
                <w:i w:val="0"/>
                <w:sz w:val="22"/>
              </w:rPr>
              <w:t>Laboratory Attendant / Helper (Contract)</w:t>
            </w:r>
          </w:p>
        </w:tc>
        <w:tc>
          <w:tcPr>
            <w:tcW w:type="dxa" w:w="4536"/>
          </w:tcPr>
          <w:p>
            <w:pPr>
              <w:spacing w:after="40" w:before="40"/>
            </w:pPr>
            <w:r/>
            <w:r>
              <w:rPr>
                <w:rFonts w:ascii="Cambria" w:hAnsi="Cambria"/>
                <w:b w:val="0"/>
                <w:i w:val="0"/>
                <w:sz w:val="22"/>
              </w:rPr>
              <w:t>10th pass with relevant experience in lab or workshop handling.</w:t>
            </w:r>
          </w:p>
        </w:tc>
        <w:tc>
          <w:tcPr>
            <w:tcW w:type="dxa" w:w="1871"/>
          </w:tcPr>
          <w:p>
            <w:pPr>
              <w:spacing w:after="40" w:before="40"/>
            </w:pPr>
            <w:r/>
            <w:r>
              <w:rPr>
                <w:rFonts w:ascii="Cambria" w:hAnsi="Cambria"/>
                <w:b w:val="0"/>
                <w:i w:val="0"/>
                <w:sz w:val="22"/>
              </w:rPr>
              <w:t>Daily wage / Short-term contract.</w:t>
            </w:r>
          </w:p>
        </w:tc>
      </w:tr>
      <w:tr>
        <w:tc>
          <w:tcPr>
            <w:tcW w:type="dxa" w:w="680"/>
            <w:shd w:val="clear" w:color="auto" w:fill="F0F2F5"/>
          </w:tcPr>
          <w:p>
            <w:pPr>
              <w:spacing w:after="40" w:before="40"/>
            </w:pPr>
            <w:r/>
            <w:r>
              <w:rPr>
                <w:rFonts w:ascii="Cambria" w:hAnsi="Cambria"/>
                <w:b w:val="0"/>
                <w:i w:val="0"/>
                <w:sz w:val="22"/>
              </w:rPr>
              <w:t>10.</w:t>
            </w:r>
          </w:p>
        </w:tc>
        <w:tc>
          <w:tcPr>
            <w:tcW w:type="dxa" w:w="2041"/>
            <w:shd w:val="clear" w:color="auto" w:fill="F0F2F5"/>
          </w:tcPr>
          <w:p>
            <w:pPr>
              <w:spacing w:after="40" w:before="40"/>
            </w:pPr>
            <w:r/>
            <w:r>
              <w:rPr>
                <w:rFonts w:ascii="Cambria" w:hAnsi="Cambria"/>
                <w:b w:val="0"/>
                <w:i w:val="0"/>
                <w:sz w:val="22"/>
              </w:rPr>
              <w:t>Data Entry Operator / IT Assistant</w:t>
            </w:r>
          </w:p>
        </w:tc>
        <w:tc>
          <w:tcPr>
            <w:tcW w:type="dxa" w:w="4536"/>
            <w:shd w:val="clear" w:color="auto" w:fill="F0F2F5"/>
          </w:tcPr>
          <w:p>
            <w:pPr>
              <w:spacing w:after="40" w:before="40"/>
            </w:pPr>
            <w:r/>
            <w:r>
              <w:rPr>
                <w:rFonts w:ascii="Cambria" w:hAnsi="Cambria"/>
                <w:b w:val="0"/>
                <w:i w:val="0"/>
                <w:sz w:val="22"/>
              </w:rPr>
              <w:t>Diploma / Certificate in Computer Applications with typing and data processing skills.</w:t>
            </w:r>
          </w:p>
        </w:tc>
        <w:tc>
          <w:tcPr>
            <w:tcW w:type="dxa" w:w="1871"/>
            <w:shd w:val="clear" w:color="auto" w:fill="F0F2F5"/>
          </w:tcPr>
          <w:p>
            <w:pPr>
              <w:spacing w:after="40" w:before="40"/>
            </w:pPr>
            <w:r/>
            <w:r>
              <w:rPr>
                <w:rFonts w:ascii="Cambria" w:hAnsi="Cambria"/>
                <w:b w:val="0"/>
                <w:i w:val="0"/>
                <w:sz w:val="22"/>
              </w:rPr>
              <w:t>Contractual; extendable based on performance.</w:t>
            </w:r>
          </w:p>
        </w:tc>
      </w:tr>
    </w:tbl>
    <w:p>
      <w:pPr>
        <w:spacing w:after="40"/>
      </w:pPr>
    </w:p>
    <w:p>
      <w:pPr>
        <w:keepNext/>
        <w:spacing w:before="200" w:after="120"/>
      </w:pPr>
      <w:r>
        <w:rPr>
          <w:rFonts w:ascii="Cambria" w:hAnsi="Cambria"/>
          <w:b/>
          <w:color w:val="1F3A5F"/>
          <w:sz w:val="24"/>
        </w:rPr>
        <w:t>III. Appointment and Selection Procedure</w:t>
      </w:r>
    </w:p>
    <w:p>
      <w:pPr>
        <w:spacing w:line="276" w:lineRule="auto"/>
        <w:ind w:left="357" w:hanging="357"/>
      </w:pPr>
      <w:r>
        <w:rPr>
          <w:rFonts w:ascii="Cambria" w:hAnsi="Cambria"/>
          <w:b w:val="0"/>
          <w:i w:val="0"/>
          <w:sz w:val="22"/>
        </w:rPr>
        <w:t xml:space="preserve">1. </w:t>
      </w:r>
      <w:r>
        <w:rPr>
          <w:rFonts w:ascii="Cambria" w:hAnsi="Cambria"/>
          <w:b w:val="0"/>
          <w:i w:val="0"/>
          <w:sz w:val="22"/>
        </w:rPr>
        <w:t>Appointing Authority:</w:t>
      </w:r>
    </w:p>
    <w:p>
      <w:pPr>
        <w:pStyle w:val="ListBullet2"/>
        <w:ind w:left="1020"/>
      </w:pPr>
      <w:r>
        <w:rPr>
          <w:rFonts w:ascii="Cambria" w:hAnsi="Cambria"/>
          <w:b w:val="0"/>
          <w:i w:val="0"/>
          <w:sz w:val="22"/>
        </w:rPr>
        <w:t>Principal Investigator (PI) for project-funded staff.</w:t>
      </w:r>
    </w:p>
    <w:p>
      <w:pPr>
        <w:pStyle w:val="ListBullet2"/>
        <w:ind w:left="1020"/>
      </w:pPr>
      <w:r>
        <w:rPr>
          <w:rFonts w:ascii="Cambria" w:hAnsi="Cambria"/>
          <w:b w:val="0"/>
          <w:i w:val="0"/>
          <w:sz w:val="22"/>
        </w:rPr>
        <w:t>Registrar / Dean (Research) for University-level or centrally managed projects.</w:t>
      </w:r>
    </w:p>
    <w:p>
      <w:pPr>
        <w:pStyle w:val="ListBullet2"/>
        <w:ind w:left="1020"/>
      </w:pPr>
      <w:r>
        <w:rPr>
          <w:rFonts w:ascii="Cambria" w:hAnsi="Cambria"/>
          <w:b w:val="0"/>
          <w:i w:val="0"/>
          <w:sz w:val="22"/>
        </w:rPr>
        <w:t>Vice-Chancellor / Board of Management (BoM) for large-scale or externally funded projects involving multiple departments.</w:t>
      </w:r>
    </w:p>
    <w:p>
      <w:pPr>
        <w:spacing w:line="276" w:lineRule="auto"/>
        <w:ind w:left="357" w:hanging="357"/>
      </w:pPr>
      <w:r>
        <w:rPr>
          <w:rFonts w:ascii="Cambria" w:hAnsi="Cambria"/>
          <w:b w:val="0"/>
          <w:i w:val="0"/>
          <w:sz w:val="22"/>
        </w:rPr>
        <w:t xml:space="preserve">2. </w:t>
      </w:r>
      <w:r>
        <w:rPr>
          <w:rFonts w:ascii="Cambria" w:hAnsi="Cambria"/>
          <w:b w:val="0"/>
          <w:i w:val="0"/>
          <w:sz w:val="22"/>
        </w:rPr>
        <w:t>Mode of Selection:</w:t>
      </w:r>
    </w:p>
    <w:p>
      <w:pPr>
        <w:pStyle w:val="ListBullet2"/>
        <w:ind w:left="1020"/>
      </w:pPr>
      <w:r>
        <w:rPr>
          <w:rFonts w:ascii="Cambria" w:hAnsi="Cambria"/>
          <w:b w:val="0"/>
          <w:i w:val="0"/>
          <w:sz w:val="22"/>
        </w:rPr>
        <w:t>Screening of Applications based on qualifications and project requirements.</w:t>
      </w:r>
    </w:p>
    <w:p>
      <w:pPr>
        <w:pStyle w:val="ListBullet2"/>
        <w:ind w:left="1020"/>
      </w:pPr>
      <w:r>
        <w:rPr>
          <w:rFonts w:ascii="Cambria" w:hAnsi="Cambria"/>
          <w:b w:val="0"/>
          <w:i w:val="0"/>
          <w:sz w:val="22"/>
        </w:rPr>
        <w:t>Skill Test / Technical Evaluation for technical posts.</w:t>
      </w:r>
    </w:p>
    <w:p>
      <w:pPr>
        <w:pStyle w:val="ListBullet2"/>
        <w:ind w:left="1020"/>
      </w:pPr>
      <w:r>
        <w:rPr>
          <w:rFonts w:ascii="Cambria" w:hAnsi="Cambria"/>
          <w:b w:val="0"/>
          <w:i w:val="0"/>
          <w:sz w:val="22"/>
        </w:rPr>
        <w:t>Personal Interview by the Project or Selection Committee constituted for the specific project.</w:t>
      </w:r>
    </w:p>
    <w:p>
      <w:pPr>
        <w:spacing w:line="276" w:lineRule="auto"/>
        <w:ind w:left="357" w:hanging="357"/>
      </w:pPr>
      <w:r>
        <w:rPr>
          <w:rFonts w:ascii="Cambria" w:hAnsi="Cambria"/>
          <w:b w:val="0"/>
          <w:i w:val="0"/>
          <w:sz w:val="22"/>
        </w:rPr>
        <w:t xml:space="preserve">3. </w:t>
      </w:r>
      <w:r>
        <w:rPr>
          <w:rFonts w:ascii="Cambria" w:hAnsi="Cambria"/>
          <w:b w:val="0"/>
          <w:i w:val="0"/>
          <w:sz w:val="22"/>
        </w:rPr>
        <w:t>Selection Committee Composition:</w:t>
      </w:r>
    </w:p>
    <w:p>
      <w:pPr>
        <w:pStyle w:val="ListBullet2"/>
        <w:ind w:left="1020"/>
      </w:pPr>
      <w:r>
        <w:rPr>
          <w:rFonts w:ascii="Cambria" w:hAnsi="Cambria"/>
          <w:b w:val="0"/>
          <w:i w:val="0"/>
          <w:sz w:val="22"/>
        </w:rPr>
        <w:t>Principal Investigator / Project Coordinator (Chairperson).</w:t>
      </w:r>
    </w:p>
    <w:p>
      <w:pPr>
        <w:pStyle w:val="ListBullet2"/>
        <w:ind w:left="1020"/>
      </w:pPr>
      <w:r>
        <w:rPr>
          <w:rFonts w:ascii="Cambria" w:hAnsi="Cambria"/>
          <w:b w:val="0"/>
          <w:i w:val="0"/>
          <w:sz w:val="22"/>
        </w:rPr>
        <w:t>One Subject Expert (external/internal).</w:t>
      </w:r>
    </w:p>
    <w:p>
      <w:pPr>
        <w:pStyle w:val="ListBullet2"/>
        <w:ind w:left="1020"/>
      </w:pPr>
      <w:r>
        <w:rPr>
          <w:rFonts w:ascii="Cambria" w:hAnsi="Cambria"/>
          <w:b w:val="0"/>
          <w:i w:val="0"/>
          <w:sz w:val="22"/>
        </w:rPr>
        <w:t>Representative from Finance / HR Department.</w:t>
      </w:r>
    </w:p>
    <w:p>
      <w:pPr>
        <w:pStyle w:val="ListBullet2"/>
        <w:ind w:left="1020"/>
      </w:pPr>
      <w:r>
        <w:rPr>
          <w:rFonts w:ascii="Cambria" w:hAnsi="Cambria"/>
          <w:b w:val="0"/>
          <w:i w:val="0"/>
          <w:sz w:val="22"/>
        </w:rPr>
        <w:t>Registrar or nominee (for major projects).</w:t>
      </w:r>
    </w:p>
    <w:p>
      <w:pPr>
        <w:spacing w:line="276" w:lineRule="auto"/>
        <w:ind w:left="357" w:hanging="357"/>
      </w:pPr>
      <w:r>
        <w:rPr>
          <w:rFonts w:ascii="Cambria" w:hAnsi="Cambria"/>
          <w:b w:val="0"/>
          <w:i w:val="0"/>
          <w:sz w:val="22"/>
        </w:rPr>
        <w:t xml:space="preserve">4. </w:t>
      </w:r>
      <w:r>
        <w:rPr>
          <w:rFonts w:ascii="Cambria" w:hAnsi="Cambria"/>
          <w:b w:val="0"/>
          <w:i w:val="0"/>
          <w:sz w:val="22"/>
        </w:rPr>
        <w:t>Approval:</w:t>
      </w:r>
    </w:p>
    <w:p>
      <w:pPr>
        <w:pStyle w:val="ListBullet2"/>
        <w:spacing w:line="276" w:lineRule="auto"/>
        <w:ind w:left="1020"/>
      </w:pPr>
      <w:r>
        <w:rPr>
          <w:rFonts w:ascii="Cambria" w:hAnsi="Cambria"/>
          <w:b w:val="0"/>
          <w:i w:val="0"/>
          <w:sz w:val="22"/>
        </w:rPr>
        <w:t>Appointments shall be ratified by the BoM or Research Advisory Committee (RAC) where applicable.</w:t>
      </w:r>
    </w:p>
    <w:p>
      <w:pPr>
        <w:keepNext/>
        <w:spacing w:before="200" w:after="120"/>
      </w:pPr>
      <w:r>
        <w:rPr>
          <w:rFonts w:ascii="Cambria" w:hAnsi="Cambria"/>
          <w:b/>
          <w:color w:val="1F3A5F"/>
          <w:sz w:val="24"/>
        </w:rPr>
        <w:t>IV. Terms and Conditions of Service</w:t>
      </w:r>
    </w:p>
    <w:p>
      <w:pPr>
        <w:jc w:val="both"/>
      </w:pPr>
      <w:r>
        <w:rPr>
          <w:rFonts w:ascii="Cambria" w:hAnsi="Cambria"/>
          <w:b/>
          <w:i w:val="0"/>
          <w:sz w:val="22"/>
        </w:rPr>
        <w:t xml:space="preserve">Tenure: </w:t>
      </w:r>
      <w:r>
        <w:rPr>
          <w:rFonts w:ascii="Cambria" w:hAnsi="Cambria"/>
          <w:b w:val="0"/>
          <w:i w:val="0"/>
          <w:sz w:val="22"/>
        </w:rPr>
        <w:t>Co-terminus with the project or assignment period.</w:t>
      </w:r>
    </w:p>
    <w:p>
      <w:pPr>
        <w:jc w:val="both"/>
      </w:pPr>
      <w:r>
        <w:rPr>
          <w:rFonts w:ascii="Cambria" w:hAnsi="Cambria"/>
          <w:b/>
          <w:i w:val="0"/>
          <w:sz w:val="22"/>
        </w:rPr>
        <w:t xml:space="preserve">Remuneration: </w:t>
      </w:r>
      <w:r>
        <w:rPr>
          <w:rFonts w:ascii="Cambria" w:hAnsi="Cambria"/>
          <w:b w:val="0"/>
          <w:i w:val="0"/>
          <w:sz w:val="22"/>
        </w:rPr>
        <w:t>As fixed in the project budget or sanctioned by the funding agency.</w:t>
      </w:r>
    </w:p>
    <w:p>
      <w:pPr>
        <w:jc w:val="both"/>
      </w:pPr>
      <w:r>
        <w:rPr>
          <w:rFonts w:ascii="Cambria" w:hAnsi="Cambria"/>
          <w:b/>
          <w:i w:val="0"/>
          <w:sz w:val="22"/>
        </w:rPr>
        <w:t xml:space="preserve">Leave Entitlement: </w:t>
      </w:r>
      <w:r>
        <w:rPr>
          <w:rFonts w:ascii="Cambria" w:hAnsi="Cambria"/>
          <w:b w:val="0"/>
          <w:i w:val="0"/>
          <w:sz w:val="22"/>
        </w:rPr>
        <w:t>Limited to proportionate casual leave or as approved by the PI/Funding Agency.</w:t>
      </w:r>
    </w:p>
    <w:p>
      <w:pPr>
        <w:jc w:val="both"/>
      </w:pPr>
      <w:r>
        <w:rPr>
          <w:rFonts w:ascii="Cambria" w:hAnsi="Cambria"/>
          <w:b/>
          <w:i w:val="0"/>
          <w:sz w:val="22"/>
        </w:rPr>
        <w:t xml:space="preserve">Performance Review: </w:t>
      </w:r>
      <w:r>
        <w:rPr>
          <w:rFonts w:ascii="Cambria" w:hAnsi="Cambria"/>
          <w:b w:val="0"/>
          <w:i w:val="0"/>
          <w:sz w:val="22"/>
        </w:rPr>
        <w:t>Conducted periodically; continuation depends on satisfactory performance and funding availability.</w:t>
      </w:r>
    </w:p>
    <w:p>
      <w:pPr>
        <w:jc w:val="both"/>
      </w:pPr>
      <w:r>
        <w:rPr>
          <w:rFonts w:ascii="Cambria" w:hAnsi="Cambria"/>
          <w:b/>
          <w:i w:val="0"/>
          <w:sz w:val="22"/>
        </w:rPr>
        <w:t>Termination:</w:t>
      </w:r>
      <w:r>
        <w:rPr>
          <w:rFonts w:ascii="Cambria" w:hAnsi="Cambria"/>
          <w:b w:val="0"/>
          <w:i w:val="0"/>
          <w:sz w:val="22"/>
        </w:rPr>
      </w:r>
    </w:p>
    <w:p>
      <w:pPr>
        <w:pStyle w:val="ListBullet2"/>
        <w:spacing w:line="276" w:lineRule="auto"/>
        <w:ind w:left="1020"/>
      </w:pPr>
      <w:r>
        <w:rPr>
          <w:rFonts w:ascii="Cambria" w:hAnsi="Cambria"/>
          <w:b w:val="0"/>
          <w:i w:val="0"/>
          <w:sz w:val="22"/>
        </w:rPr>
        <w:t>Either party may terminate the contract with one month’s notice or payment in lieu of notice.</w:t>
      </w:r>
    </w:p>
    <w:p>
      <w:pPr>
        <w:pStyle w:val="ListBullet2"/>
        <w:spacing w:line="276" w:lineRule="auto"/>
        <w:ind w:left="1020"/>
      </w:pPr>
      <w:r>
        <w:rPr>
          <w:rFonts w:ascii="Cambria" w:hAnsi="Cambria"/>
          <w:b w:val="0"/>
          <w:i w:val="0"/>
          <w:sz w:val="22"/>
        </w:rPr>
        <w:t>Termination without notice in cases of misconduct, negligence, or non-performance.</w:t>
      </w:r>
    </w:p>
    <w:p>
      <w:pPr>
        <w:jc w:val="both"/>
      </w:pPr>
      <w:r>
        <w:rPr>
          <w:rFonts w:ascii="Cambria" w:hAnsi="Cambria"/>
          <w:b/>
          <w:i w:val="0"/>
          <w:sz w:val="22"/>
        </w:rPr>
        <w:t>No Claim for Regularization:</w:t>
      </w:r>
      <w:r>
        <w:rPr>
          <w:rFonts w:ascii="Cambria" w:hAnsi="Cambria"/>
          <w:b w:val="0"/>
          <w:i w:val="0"/>
          <w:sz w:val="22"/>
        </w:rPr>
      </w:r>
    </w:p>
    <w:p>
      <w:pPr>
        <w:pStyle w:val="ListBullet2"/>
        <w:spacing w:line="276" w:lineRule="auto"/>
        <w:ind w:left="1020"/>
      </w:pPr>
      <w:r>
        <w:rPr>
          <w:rFonts w:ascii="Cambria" w:hAnsi="Cambria"/>
          <w:b w:val="0"/>
          <w:i w:val="0"/>
          <w:sz w:val="22"/>
        </w:rPr>
        <w:t>Services rendered under project/contractual basis do not confer any right to permanent absorption in University service.</w:t>
      </w:r>
    </w:p>
    <w:p>
      <w:pPr>
        <w:keepNext/>
        <w:spacing w:before="200" w:after="120"/>
      </w:pPr>
      <w:r>
        <w:rPr>
          <w:rFonts w:ascii="Cambria" w:hAnsi="Cambria"/>
          <w:b/>
          <w:color w:val="1F3A5F"/>
          <w:sz w:val="24"/>
        </w:rPr>
        <w:t>V. Administrative Notes</w:t>
      </w:r>
    </w:p>
    <w:p>
      <w:pPr>
        <w:spacing w:line="276" w:lineRule="auto"/>
        <w:ind w:left="357" w:hanging="357"/>
      </w:pPr>
      <w:r>
        <w:rPr>
          <w:rFonts w:ascii="Cambria" w:hAnsi="Cambria"/>
          <w:b w:val="0"/>
          <w:i w:val="0"/>
          <w:sz w:val="22"/>
        </w:rPr>
        <w:t xml:space="preserve">1. </w:t>
      </w:r>
      <w:r>
        <w:rPr>
          <w:rFonts w:ascii="Cambria" w:hAnsi="Cambria"/>
          <w:b w:val="0"/>
          <w:i w:val="0"/>
          <w:sz w:val="22"/>
        </w:rPr>
        <w:t>All project appointments shall be recorded in the Project Employment Register maintained by the HR/Research Section.</w:t>
      </w:r>
    </w:p>
    <w:p>
      <w:pPr>
        <w:spacing w:line="276" w:lineRule="auto"/>
        <w:ind w:left="357" w:hanging="357"/>
      </w:pPr>
      <w:r>
        <w:rPr>
          <w:rFonts w:ascii="Cambria" w:hAnsi="Cambria"/>
          <w:b w:val="0"/>
          <w:i w:val="0"/>
          <w:sz w:val="22"/>
        </w:rPr>
        <w:t xml:space="preserve">2. </w:t>
      </w:r>
      <w:r>
        <w:rPr>
          <w:rFonts w:ascii="Cambria" w:hAnsi="Cambria"/>
          <w:b w:val="0"/>
          <w:i w:val="0"/>
          <w:sz w:val="22"/>
        </w:rPr>
        <w:t>Contractual employees shall sign a Service Agreement / Bond, defining duties, tenure, and termination conditions.</w:t>
      </w:r>
    </w:p>
    <w:p>
      <w:pPr>
        <w:spacing w:line="276" w:lineRule="auto"/>
        <w:ind w:left="357" w:hanging="357"/>
      </w:pPr>
      <w:r>
        <w:rPr>
          <w:rFonts w:ascii="Cambria" w:hAnsi="Cambria"/>
          <w:b w:val="0"/>
          <w:i w:val="0"/>
          <w:sz w:val="22"/>
        </w:rPr>
        <w:t xml:space="preserve">3. </w:t>
      </w:r>
      <w:r>
        <w:rPr>
          <w:rFonts w:ascii="Cambria" w:hAnsi="Cambria"/>
          <w:b w:val="0"/>
          <w:i w:val="0"/>
          <w:sz w:val="22"/>
        </w:rPr>
        <w:t>The University may engage external manpower through outsourcing for specific technical functions when justified by workload.</w:t>
      </w:r>
    </w:p>
    <w:p>
      <w:pPr>
        <w:spacing w:line="276" w:lineRule="auto"/>
        <w:ind w:left="357" w:hanging="357"/>
      </w:pPr>
      <w:r>
        <w:rPr>
          <w:rFonts w:ascii="Cambria" w:hAnsi="Cambria"/>
          <w:b w:val="0"/>
          <w:i w:val="0"/>
          <w:sz w:val="22"/>
        </w:rPr>
        <w:t xml:space="preserve">4. </w:t>
      </w:r>
      <w:r>
        <w:rPr>
          <w:rFonts w:ascii="Cambria" w:hAnsi="Cambria"/>
          <w:b w:val="0"/>
          <w:i w:val="0"/>
          <w:sz w:val="22"/>
        </w:rPr>
        <w:t>Any extension of contract beyond the original project term shall require BoM / Funding Agency approval.</w:t>
      </w:r>
    </w:p>
    <w:p>
      <w:pPr>
        <w:keepNext/>
        <w:spacing w:before="200" w:after="120"/>
      </w:pPr>
      <w:r>
        <w:rPr>
          <w:rFonts w:ascii="Cambria" w:hAnsi="Cambria"/>
          <w:b/>
          <w:color w:val="1F3A5F"/>
          <w:sz w:val="24"/>
        </w:rPr>
        <w:t>VI. 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814"/>
            <w:shd w:val="clear" w:color="auto" w:fill="1F3A5F"/>
          </w:tcPr>
          <w:p>
            <w:pPr>
              <w:spacing w:after="40" w:before="40"/>
            </w:pPr>
            <w:r/>
            <w:r>
              <w:rPr>
                <w:rFonts w:ascii="Cambria" w:hAnsi="Cambria"/>
                <w:b/>
                <w:i w:val="0"/>
                <w:color w:val="FFFFFF"/>
                <w:sz w:val="22"/>
              </w:rPr>
              <w:t>Category</w:t>
            </w:r>
          </w:p>
        </w:tc>
        <w:tc>
          <w:tcPr>
            <w:tcW w:type="dxa" w:w="1360"/>
            <w:shd w:val="clear" w:color="auto" w:fill="1F3A5F"/>
          </w:tcPr>
          <w:p>
            <w:pPr>
              <w:spacing w:after="40" w:before="40"/>
            </w:pPr>
            <w:r/>
            <w:r>
              <w:rPr>
                <w:rFonts w:ascii="Cambria" w:hAnsi="Cambria"/>
                <w:b/>
                <w:i w:val="0"/>
                <w:color w:val="FFFFFF"/>
                <w:sz w:val="22"/>
              </w:rPr>
              <w:t>Qualification</w:t>
            </w:r>
          </w:p>
        </w:tc>
        <w:tc>
          <w:tcPr>
            <w:tcW w:type="dxa" w:w="1134"/>
            <w:shd w:val="clear" w:color="auto" w:fill="1F3A5F"/>
          </w:tcPr>
          <w:p>
            <w:pPr>
              <w:spacing w:after="40" w:before="40"/>
            </w:pPr>
            <w:r/>
            <w:r>
              <w:rPr>
                <w:rFonts w:ascii="Cambria" w:hAnsi="Cambria"/>
                <w:b/>
                <w:i w:val="0"/>
                <w:color w:val="FFFFFF"/>
                <w:sz w:val="22"/>
              </w:rPr>
              <w:t>Experience Range</w:t>
            </w:r>
          </w:p>
        </w:tc>
        <w:tc>
          <w:tcPr>
            <w:tcW w:type="dxa" w:w="1474"/>
            <w:shd w:val="clear" w:color="auto" w:fill="1F3A5F"/>
          </w:tcPr>
          <w:p>
            <w:pPr>
              <w:spacing w:after="40" w:before="40"/>
            </w:pPr>
            <w:r/>
            <w:r>
              <w:rPr>
                <w:rFonts w:ascii="Cambria" w:hAnsi="Cambria"/>
                <w:b/>
                <w:i w:val="0"/>
                <w:color w:val="FFFFFF"/>
                <w:sz w:val="22"/>
              </w:rPr>
              <w:t>Authority</w:t>
            </w:r>
          </w:p>
        </w:tc>
        <w:tc>
          <w:tcPr>
            <w:tcW w:type="dxa" w:w="1701"/>
            <w:shd w:val="clear" w:color="auto" w:fill="1F3A5F"/>
          </w:tcPr>
          <w:p>
            <w:pPr>
              <w:spacing w:after="40" w:before="40"/>
            </w:pPr>
            <w:r/>
            <w:r>
              <w:rPr>
                <w:rFonts w:ascii="Cambria" w:hAnsi="Cambria"/>
                <w:b/>
                <w:i w:val="0"/>
                <w:color w:val="FFFFFF"/>
                <w:sz w:val="22"/>
              </w:rPr>
              <w:t>Mode of Selection</w:t>
            </w:r>
          </w:p>
        </w:tc>
        <w:tc>
          <w:tcPr>
            <w:tcW w:type="dxa" w:w="1304"/>
            <w:shd w:val="clear" w:color="auto" w:fill="1F3A5F"/>
          </w:tcPr>
          <w:p>
            <w:pPr>
              <w:spacing w:after="40" w:before="40"/>
            </w:pPr>
            <w:r/>
            <w:r>
              <w:rPr>
                <w:rFonts w:ascii="Cambria" w:hAnsi="Cambria"/>
                <w:b/>
                <w:i w:val="0"/>
                <w:color w:val="FFFFFF"/>
                <w:sz w:val="22"/>
              </w:rPr>
              <w:t>Tenure</w:t>
            </w:r>
          </w:p>
        </w:tc>
      </w:tr>
      <w:tr>
        <w:tc>
          <w:tcPr>
            <w:tcW w:type="dxa" w:w="1814"/>
          </w:tcPr>
          <w:p>
            <w:pPr>
              <w:spacing w:after="40" w:before="40"/>
            </w:pPr>
            <w:r/>
            <w:r>
              <w:rPr>
                <w:rFonts w:ascii="Cambria" w:hAnsi="Cambria"/>
                <w:b w:val="0"/>
                <w:i w:val="0"/>
                <w:sz w:val="22"/>
              </w:rPr>
              <w:t>Project Engineer / Technical Officer</w:t>
            </w:r>
          </w:p>
        </w:tc>
        <w:tc>
          <w:tcPr>
            <w:tcW w:type="dxa" w:w="1360"/>
          </w:tcPr>
          <w:p>
            <w:pPr>
              <w:spacing w:after="40" w:before="40"/>
            </w:pPr>
            <w:r/>
            <w:r>
              <w:rPr>
                <w:rFonts w:ascii="Cambria" w:hAnsi="Cambria"/>
                <w:b w:val="0"/>
                <w:i w:val="0"/>
                <w:sz w:val="22"/>
              </w:rPr>
              <w:t>B.E./B.Tech / M.Sc</w:t>
            </w:r>
          </w:p>
        </w:tc>
        <w:tc>
          <w:tcPr>
            <w:tcW w:type="dxa" w:w="1134"/>
          </w:tcPr>
          <w:p>
            <w:pPr>
              <w:spacing w:after="40" w:before="40"/>
            </w:pPr>
            <w:r/>
            <w:r>
              <w:rPr>
                <w:rFonts w:ascii="Cambria" w:hAnsi="Cambria"/>
                <w:b w:val="0"/>
                <w:i w:val="0"/>
                <w:sz w:val="22"/>
              </w:rPr>
              <w:t>2–5 years</w:t>
            </w:r>
          </w:p>
        </w:tc>
        <w:tc>
          <w:tcPr>
            <w:tcW w:type="dxa" w:w="1474"/>
          </w:tcPr>
          <w:p>
            <w:pPr>
              <w:spacing w:after="40" w:before="40"/>
            </w:pPr>
            <w:r/>
            <w:r>
              <w:rPr>
                <w:rFonts w:ascii="Cambria" w:hAnsi="Cambria"/>
                <w:b w:val="0"/>
                <w:i w:val="0"/>
                <w:sz w:val="22"/>
              </w:rPr>
              <w:t>BoM / Dean (Research) / PI</w:t>
            </w:r>
          </w:p>
        </w:tc>
        <w:tc>
          <w:tcPr>
            <w:tcW w:type="dxa" w:w="1701"/>
          </w:tcPr>
          <w:p>
            <w:pPr>
              <w:spacing w:after="40" w:before="40"/>
            </w:pPr>
            <w:r/>
            <w:r>
              <w:rPr>
                <w:rFonts w:ascii="Cambria" w:hAnsi="Cambria"/>
                <w:b w:val="0"/>
                <w:i w:val="0"/>
                <w:sz w:val="22"/>
              </w:rPr>
              <w:t>Technical Test + Interview</w:t>
            </w:r>
          </w:p>
        </w:tc>
        <w:tc>
          <w:tcPr>
            <w:tcW w:type="dxa" w:w="1304"/>
          </w:tcPr>
          <w:p>
            <w:pPr>
              <w:spacing w:after="40" w:before="40"/>
            </w:pPr>
            <w:r/>
            <w:r>
              <w:rPr>
                <w:rFonts w:ascii="Cambria" w:hAnsi="Cambria"/>
                <w:b w:val="0"/>
                <w:i w:val="0"/>
                <w:sz w:val="22"/>
              </w:rPr>
              <w:t>Co-terminus with project</w:t>
            </w:r>
          </w:p>
        </w:tc>
      </w:tr>
      <w:tr>
        <w:tc>
          <w:tcPr>
            <w:tcW w:type="dxa" w:w="1814"/>
            <w:shd w:val="clear" w:color="auto" w:fill="F0F2F5"/>
          </w:tcPr>
          <w:p>
            <w:pPr>
              <w:spacing w:after="40" w:before="40"/>
            </w:pPr>
            <w:r/>
            <w:r>
              <w:rPr>
                <w:rFonts w:ascii="Cambria" w:hAnsi="Cambria"/>
                <w:b w:val="0"/>
                <w:i w:val="0"/>
                <w:sz w:val="22"/>
              </w:rPr>
              <w:t>Project / Research Assistant</w:t>
            </w:r>
          </w:p>
        </w:tc>
        <w:tc>
          <w:tcPr>
            <w:tcW w:type="dxa" w:w="1360"/>
            <w:shd w:val="clear" w:color="auto" w:fill="F0F2F5"/>
          </w:tcPr>
          <w:p>
            <w:pPr>
              <w:spacing w:after="40" w:before="40"/>
            </w:pPr>
            <w:r/>
            <w:r>
              <w:rPr>
                <w:rFonts w:ascii="Cambria" w:hAnsi="Cambria"/>
                <w:b w:val="0"/>
                <w:i w:val="0"/>
                <w:sz w:val="22"/>
              </w:rPr>
              <w:t>B.Sc / M.Sc / B.Tech</w:t>
            </w:r>
          </w:p>
        </w:tc>
        <w:tc>
          <w:tcPr>
            <w:tcW w:type="dxa" w:w="1134"/>
            <w:shd w:val="clear" w:color="auto" w:fill="F0F2F5"/>
          </w:tcPr>
          <w:p>
            <w:pPr>
              <w:spacing w:after="40" w:before="40"/>
            </w:pPr>
            <w:r/>
            <w:r>
              <w:rPr>
                <w:rFonts w:ascii="Cambria" w:hAnsi="Cambria"/>
                <w:b w:val="0"/>
                <w:i w:val="0"/>
                <w:sz w:val="22"/>
              </w:rPr>
              <w:t>1–2 years</w:t>
            </w:r>
          </w:p>
        </w:tc>
        <w:tc>
          <w:tcPr>
            <w:tcW w:type="dxa" w:w="1474"/>
            <w:shd w:val="clear" w:color="auto" w:fill="F0F2F5"/>
          </w:tcPr>
          <w:p>
            <w:pPr>
              <w:spacing w:after="40" w:before="40"/>
            </w:pPr>
            <w:r/>
            <w:r>
              <w:rPr>
                <w:rFonts w:ascii="Cambria" w:hAnsi="Cambria"/>
                <w:b w:val="0"/>
                <w:i w:val="0"/>
                <w:sz w:val="22"/>
              </w:rPr>
              <w:t>PI / Registrar</w:t>
            </w:r>
          </w:p>
        </w:tc>
        <w:tc>
          <w:tcPr>
            <w:tcW w:type="dxa" w:w="1701"/>
            <w:shd w:val="clear" w:color="auto" w:fill="F0F2F5"/>
          </w:tcPr>
          <w:p>
            <w:pPr>
              <w:spacing w:after="40" w:before="40"/>
            </w:pPr>
            <w:r/>
            <w:r>
              <w:rPr>
                <w:rFonts w:ascii="Cambria" w:hAnsi="Cambria"/>
                <w:b w:val="0"/>
                <w:i w:val="0"/>
                <w:sz w:val="22"/>
              </w:rPr>
              <w:t>Screening + Interview</w:t>
            </w:r>
          </w:p>
        </w:tc>
        <w:tc>
          <w:tcPr>
            <w:tcW w:type="dxa" w:w="1304"/>
            <w:shd w:val="clear" w:color="auto" w:fill="F0F2F5"/>
          </w:tcPr>
          <w:p>
            <w:pPr>
              <w:spacing w:after="40" w:before="40"/>
            </w:pPr>
            <w:r/>
            <w:r>
              <w:rPr>
                <w:rFonts w:ascii="Cambria" w:hAnsi="Cambria"/>
                <w:b w:val="0"/>
                <w:i w:val="0"/>
                <w:sz w:val="22"/>
              </w:rPr>
              <w:t>Project duration</w:t>
            </w:r>
          </w:p>
        </w:tc>
      </w:tr>
      <w:tr>
        <w:tc>
          <w:tcPr>
            <w:tcW w:type="dxa" w:w="1814"/>
          </w:tcPr>
          <w:p>
            <w:pPr>
              <w:spacing w:after="40" w:before="40"/>
            </w:pPr>
            <w:r/>
            <w:r>
              <w:rPr>
                <w:rFonts w:ascii="Cambria" w:hAnsi="Cambria"/>
                <w:b w:val="0"/>
                <w:i w:val="0"/>
                <w:sz w:val="22"/>
              </w:rPr>
              <w:t>Skilled Technician / Operator</w:t>
            </w:r>
          </w:p>
        </w:tc>
        <w:tc>
          <w:tcPr>
            <w:tcW w:type="dxa" w:w="1360"/>
          </w:tcPr>
          <w:p>
            <w:pPr>
              <w:spacing w:after="40" w:before="40"/>
            </w:pPr>
            <w:r/>
            <w:r>
              <w:rPr>
                <w:rFonts w:ascii="Cambria" w:hAnsi="Cambria"/>
                <w:b w:val="0"/>
                <w:i w:val="0"/>
                <w:sz w:val="22"/>
              </w:rPr>
              <w:t>ITI / Diploma</w:t>
            </w:r>
          </w:p>
        </w:tc>
        <w:tc>
          <w:tcPr>
            <w:tcW w:type="dxa" w:w="1134"/>
          </w:tcPr>
          <w:p>
            <w:pPr>
              <w:spacing w:after="40" w:before="40"/>
            </w:pPr>
            <w:r/>
            <w:r>
              <w:rPr>
                <w:rFonts w:ascii="Cambria" w:hAnsi="Cambria"/>
                <w:b w:val="0"/>
                <w:i w:val="0"/>
                <w:sz w:val="22"/>
              </w:rPr>
              <w:t>3–5 years</w:t>
            </w:r>
          </w:p>
        </w:tc>
        <w:tc>
          <w:tcPr>
            <w:tcW w:type="dxa" w:w="1474"/>
          </w:tcPr>
          <w:p>
            <w:pPr>
              <w:spacing w:after="40" w:before="40"/>
            </w:pPr>
            <w:r/>
            <w:r>
              <w:rPr>
                <w:rFonts w:ascii="Cambria" w:hAnsi="Cambria"/>
                <w:b w:val="0"/>
                <w:i w:val="0"/>
                <w:sz w:val="22"/>
              </w:rPr>
              <w:t>PI / Dept. Head</w:t>
            </w:r>
          </w:p>
        </w:tc>
        <w:tc>
          <w:tcPr>
            <w:tcW w:type="dxa" w:w="1701"/>
          </w:tcPr>
          <w:p>
            <w:pPr>
              <w:spacing w:after="40" w:before="40"/>
            </w:pPr>
            <w:r/>
            <w:r>
              <w:rPr>
                <w:rFonts w:ascii="Cambria" w:hAnsi="Cambria"/>
                <w:b w:val="0"/>
                <w:i w:val="0"/>
                <w:sz w:val="22"/>
              </w:rPr>
              <w:t>Skill Test + Interview</w:t>
            </w:r>
          </w:p>
        </w:tc>
        <w:tc>
          <w:tcPr>
            <w:tcW w:type="dxa" w:w="1304"/>
          </w:tcPr>
          <w:p>
            <w:pPr>
              <w:spacing w:after="40" w:before="40"/>
            </w:pPr>
            <w:r/>
            <w:r>
              <w:rPr>
                <w:rFonts w:ascii="Cambria" w:hAnsi="Cambria"/>
                <w:b w:val="0"/>
                <w:i w:val="0"/>
                <w:sz w:val="22"/>
              </w:rPr>
              <w:t>Contract / Daily wage</w:t>
            </w:r>
          </w:p>
        </w:tc>
      </w:tr>
      <w:tr>
        <w:tc>
          <w:tcPr>
            <w:tcW w:type="dxa" w:w="1814"/>
            <w:shd w:val="clear" w:color="auto" w:fill="F0F2F5"/>
          </w:tcPr>
          <w:p>
            <w:pPr>
              <w:spacing w:after="40" w:before="40"/>
            </w:pPr>
            <w:r/>
            <w:r>
              <w:rPr>
                <w:rFonts w:ascii="Cambria" w:hAnsi="Cambria"/>
                <w:b w:val="0"/>
                <w:i w:val="0"/>
                <w:sz w:val="22"/>
              </w:rPr>
              <w:t>Project Clerk / DEO</w:t>
            </w:r>
          </w:p>
        </w:tc>
        <w:tc>
          <w:tcPr>
            <w:tcW w:type="dxa" w:w="1360"/>
            <w:shd w:val="clear" w:color="auto" w:fill="F0F2F5"/>
          </w:tcPr>
          <w:p>
            <w:pPr>
              <w:spacing w:after="40" w:before="40"/>
            </w:pPr>
            <w:r/>
            <w:r>
              <w:rPr>
                <w:rFonts w:ascii="Cambria" w:hAnsi="Cambria"/>
                <w:b w:val="0"/>
                <w:i w:val="0"/>
                <w:sz w:val="22"/>
              </w:rPr>
              <w:t>Graduate / Diploma</w:t>
            </w:r>
          </w:p>
        </w:tc>
        <w:tc>
          <w:tcPr>
            <w:tcW w:type="dxa" w:w="1134"/>
            <w:shd w:val="clear" w:color="auto" w:fill="F0F2F5"/>
          </w:tcPr>
          <w:p>
            <w:pPr>
              <w:spacing w:after="40" w:before="40"/>
            </w:pPr>
            <w:r/>
            <w:r>
              <w:rPr>
                <w:rFonts w:ascii="Cambria" w:hAnsi="Cambria"/>
                <w:b w:val="0"/>
                <w:i w:val="0"/>
                <w:sz w:val="22"/>
              </w:rPr>
              <w:t>1–3 years</w:t>
            </w:r>
          </w:p>
        </w:tc>
        <w:tc>
          <w:tcPr>
            <w:tcW w:type="dxa" w:w="1474"/>
            <w:shd w:val="clear" w:color="auto" w:fill="F0F2F5"/>
          </w:tcPr>
          <w:p>
            <w:pPr>
              <w:spacing w:after="40" w:before="40"/>
            </w:pPr>
            <w:r/>
            <w:r>
              <w:rPr>
                <w:rFonts w:ascii="Cambria" w:hAnsi="Cambria"/>
                <w:b w:val="0"/>
                <w:i w:val="0"/>
                <w:sz w:val="22"/>
              </w:rPr>
              <w:t>PI / HR</w:t>
            </w:r>
          </w:p>
        </w:tc>
        <w:tc>
          <w:tcPr>
            <w:tcW w:type="dxa" w:w="1701"/>
            <w:shd w:val="clear" w:color="auto" w:fill="F0F2F5"/>
          </w:tcPr>
          <w:p>
            <w:pPr>
              <w:spacing w:after="40" w:before="40"/>
            </w:pPr>
            <w:r/>
            <w:r>
              <w:rPr>
                <w:rFonts w:ascii="Cambria" w:hAnsi="Cambria"/>
                <w:b w:val="0"/>
                <w:i w:val="0"/>
                <w:sz w:val="22"/>
              </w:rPr>
              <w:t>Skill Test + Interview</w:t>
            </w:r>
          </w:p>
        </w:tc>
        <w:tc>
          <w:tcPr>
            <w:tcW w:type="dxa" w:w="1304"/>
            <w:shd w:val="clear" w:color="auto" w:fill="F0F2F5"/>
          </w:tcPr>
          <w:p>
            <w:pPr>
              <w:spacing w:after="40" w:before="40"/>
            </w:pPr>
            <w:r/>
            <w:r>
              <w:rPr>
                <w:rFonts w:ascii="Cambria" w:hAnsi="Cambria"/>
                <w:b w:val="0"/>
                <w:i w:val="0"/>
                <w:sz w:val="22"/>
              </w:rPr>
              <w:t>Time-bound</w:t>
            </w:r>
          </w:p>
        </w:tc>
      </w:tr>
      <w:tr>
        <w:tc>
          <w:tcPr>
            <w:tcW w:type="dxa" w:w="1814"/>
          </w:tcPr>
          <w:p>
            <w:pPr>
              <w:spacing w:after="40" w:before="40"/>
            </w:pPr>
            <w:r/>
            <w:r>
              <w:rPr>
                <w:rFonts w:ascii="Cambria" w:hAnsi="Cambria"/>
                <w:b w:val="0"/>
                <w:i w:val="0"/>
                <w:sz w:val="22"/>
              </w:rPr>
              <w:t>Helper / Attendant</w:t>
            </w:r>
          </w:p>
        </w:tc>
        <w:tc>
          <w:tcPr>
            <w:tcW w:type="dxa" w:w="1360"/>
          </w:tcPr>
          <w:p>
            <w:pPr>
              <w:spacing w:after="40" w:before="40"/>
            </w:pPr>
            <w:r/>
            <w:r>
              <w:rPr>
                <w:rFonts w:ascii="Cambria" w:hAnsi="Cambria"/>
                <w:b w:val="0"/>
                <w:i w:val="0"/>
                <w:sz w:val="22"/>
              </w:rPr>
              <w:t>10th / ITI</w:t>
            </w:r>
          </w:p>
        </w:tc>
        <w:tc>
          <w:tcPr>
            <w:tcW w:type="dxa" w:w="1134"/>
          </w:tcPr>
          <w:p>
            <w:pPr>
              <w:spacing w:after="40" w:before="40"/>
            </w:pPr>
            <w:r/>
            <w:r>
              <w:rPr>
                <w:rFonts w:ascii="Cambria" w:hAnsi="Cambria"/>
                <w:b w:val="0"/>
                <w:i w:val="0"/>
                <w:sz w:val="22"/>
              </w:rPr>
              <w:t>Up to 2 years</w:t>
            </w:r>
          </w:p>
        </w:tc>
        <w:tc>
          <w:tcPr>
            <w:tcW w:type="dxa" w:w="1474"/>
          </w:tcPr>
          <w:p>
            <w:pPr>
              <w:spacing w:after="40" w:before="40"/>
            </w:pPr>
            <w:r/>
            <w:r>
              <w:rPr>
                <w:rFonts w:ascii="Cambria" w:hAnsi="Cambria"/>
                <w:b w:val="0"/>
                <w:i w:val="0"/>
                <w:sz w:val="22"/>
              </w:rPr>
              <w:t>PI / Admin Officer</w:t>
            </w:r>
          </w:p>
        </w:tc>
        <w:tc>
          <w:tcPr>
            <w:tcW w:type="dxa" w:w="1701"/>
          </w:tcPr>
          <w:p>
            <w:pPr>
              <w:spacing w:after="40" w:before="40"/>
            </w:pPr>
            <w:r/>
            <w:r>
              <w:rPr>
                <w:rFonts w:ascii="Cambria" w:hAnsi="Cambria"/>
                <w:b w:val="0"/>
                <w:i w:val="0"/>
                <w:sz w:val="22"/>
              </w:rPr>
              <w:t>Screening</w:t>
            </w:r>
          </w:p>
        </w:tc>
        <w:tc>
          <w:tcPr>
            <w:tcW w:type="dxa" w:w="1304"/>
          </w:tcPr>
          <w:p>
            <w:pPr>
              <w:spacing w:after="40" w:before="40"/>
            </w:pPr>
            <w:r/>
            <w:r>
              <w:rPr>
                <w:rFonts w:ascii="Cambria" w:hAnsi="Cambria"/>
                <w:b w:val="0"/>
                <w:i w:val="0"/>
                <w:sz w:val="22"/>
              </w:rPr>
              <w:t>Short-term / Casual</w:t>
            </w:r>
          </w:p>
        </w:tc>
      </w:tr>
    </w:tbl>
    <w:p>
      <w:pPr>
        <w:spacing w:after="40"/>
      </w:pPr>
    </w:p>
    <w:p>
      <w:r>
        <w:br w:type="page"/>
      </w:r>
    </w:p>
    <w:p>
      <w:pPr>
        <w:keepNext/>
        <w:spacing w:before="200" w:after="120"/>
      </w:pPr>
      <w:r>
        <w:rPr>
          <w:rFonts w:ascii="Cambria" w:hAnsi="Cambria"/>
          <w:b/>
          <w:color w:val="1F3A5F"/>
          <w:sz w:val="27"/>
        </w:rPr>
        <w:t>D. Temporary and Daily Wage Appointments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define the policy framework, eligibility conditions, selection procedure, and service terms governing the appointment of temporary and daily wage employees in the University.</w:t>
      </w:r>
    </w:p>
    <w:p>
      <w:pPr>
        <w:pStyle w:val="ListBullet"/>
        <w:spacing w:line="276" w:lineRule="auto"/>
        <w:ind w:left="510"/>
      </w:pPr>
      <w:r>
        <w:rPr>
          <w:rFonts w:ascii="Cambria" w:hAnsi="Cambria"/>
          <w:b w:val="0"/>
          <w:i w:val="0"/>
          <w:sz w:val="22"/>
        </w:rPr>
        <w:t>This ensures that all such appointments are made transparently, fairly, and in compliance with statutory norms while meeting short-term or urgent institutional requirements.</w:t>
      </w:r>
    </w:p>
    <w:p>
      <w:pPr>
        <w:keepNext/>
        <w:spacing w:before="200" w:after="120"/>
      </w:pPr>
      <w:r>
        <w:rPr>
          <w:rFonts w:ascii="Cambria" w:hAnsi="Cambria"/>
          <w:b/>
          <w:color w:val="1F3A5F"/>
          <w:sz w:val="24"/>
        </w:rPr>
        <w:t>I. Nature and Objective of Appointment</w:t>
      </w:r>
    </w:p>
    <w:p>
      <w:pPr>
        <w:spacing w:line="276" w:lineRule="auto"/>
        <w:ind w:left="357" w:hanging="357"/>
      </w:pPr>
      <w:r>
        <w:rPr>
          <w:rFonts w:ascii="Cambria" w:hAnsi="Cambria"/>
          <w:b w:val="0"/>
          <w:i w:val="0"/>
          <w:sz w:val="22"/>
        </w:rPr>
        <w:t xml:space="preserve">1. </w:t>
      </w:r>
      <w:r>
        <w:rPr>
          <w:rFonts w:ascii="Cambria" w:hAnsi="Cambria"/>
          <w:b w:val="0"/>
          <w:i w:val="0"/>
          <w:sz w:val="22"/>
        </w:rPr>
        <w:t>Temporary Appointments:</w:t>
      </w:r>
    </w:p>
    <w:p>
      <w:pPr>
        <w:pStyle w:val="ListBullet2"/>
        <w:spacing w:line="276" w:lineRule="auto"/>
        <w:ind w:left="1020"/>
      </w:pPr>
      <w:r>
        <w:rPr>
          <w:rFonts w:ascii="Cambria" w:hAnsi="Cambria"/>
          <w:b w:val="0"/>
          <w:i w:val="0"/>
          <w:sz w:val="22"/>
        </w:rPr>
        <w:t>Made for a specific and limited duration to meet temporary requirements, such as:</w:t>
      </w:r>
    </w:p>
    <w:p>
      <w:pPr>
        <w:pStyle w:val="ListBullet2"/>
        <w:ind w:left="1474"/>
      </w:pPr>
      <w:r>
        <w:rPr>
          <w:rFonts w:ascii="Cambria" w:hAnsi="Cambria"/>
          <w:b w:val="0"/>
          <w:i w:val="0"/>
          <w:sz w:val="22"/>
        </w:rPr>
        <w:t>Replacement of an employee on leave, deputation, or suspension.</w:t>
      </w:r>
    </w:p>
    <w:p>
      <w:pPr>
        <w:pStyle w:val="ListBullet2"/>
        <w:ind w:left="1474"/>
      </w:pPr>
      <w:r>
        <w:rPr>
          <w:rFonts w:ascii="Cambria" w:hAnsi="Cambria"/>
          <w:b w:val="0"/>
          <w:i w:val="0"/>
          <w:sz w:val="22"/>
        </w:rPr>
        <w:t>Handling additional academic or administrative workload.</w:t>
      </w:r>
    </w:p>
    <w:p>
      <w:pPr>
        <w:pStyle w:val="ListBullet2"/>
        <w:ind w:left="1474"/>
      </w:pPr>
      <w:r>
        <w:rPr>
          <w:rFonts w:ascii="Cambria" w:hAnsi="Cambria"/>
          <w:b w:val="0"/>
          <w:i w:val="0"/>
          <w:sz w:val="22"/>
        </w:rPr>
        <w:t>Engagement for seasonal or time-bound tasks.</w:t>
      </w:r>
    </w:p>
    <w:p>
      <w:pPr>
        <w:pStyle w:val="ListBullet2"/>
        <w:spacing w:line="276" w:lineRule="auto"/>
        <w:ind w:left="1020"/>
      </w:pPr>
      <w:r>
        <w:rPr>
          <w:rFonts w:ascii="Cambria" w:hAnsi="Cambria"/>
          <w:b w:val="0"/>
          <w:i w:val="0"/>
          <w:sz w:val="22"/>
        </w:rPr>
        <w:t>Such appointments do not confer any right to permanent employment or future absorption.</w:t>
      </w:r>
    </w:p>
    <w:p>
      <w:pPr>
        <w:spacing w:line="276" w:lineRule="auto"/>
        <w:ind w:left="357" w:hanging="357"/>
      </w:pPr>
      <w:r>
        <w:rPr>
          <w:rFonts w:ascii="Cambria" w:hAnsi="Cambria"/>
          <w:b w:val="0"/>
          <w:i w:val="0"/>
          <w:sz w:val="22"/>
        </w:rPr>
        <w:t xml:space="preserve">2. </w:t>
      </w:r>
      <w:r>
        <w:rPr>
          <w:rFonts w:ascii="Cambria" w:hAnsi="Cambria"/>
          <w:b w:val="0"/>
          <w:i w:val="0"/>
          <w:sz w:val="22"/>
        </w:rPr>
        <w:t>Daily Wage Appointments:</w:t>
      </w:r>
    </w:p>
    <w:p>
      <w:pPr>
        <w:pStyle w:val="ListBullet2"/>
        <w:spacing w:line="276" w:lineRule="auto"/>
        <w:ind w:left="1020"/>
      </w:pPr>
      <w:r>
        <w:rPr>
          <w:rFonts w:ascii="Cambria" w:hAnsi="Cambria"/>
          <w:b w:val="0"/>
          <w:i w:val="0"/>
          <w:sz w:val="22"/>
        </w:rPr>
        <w:t>Made to meet immediate or short-term operational needs, such as maintenance, housekeeping, gardening, security, laboratory assistance, or office support.</w:t>
      </w:r>
    </w:p>
    <w:p>
      <w:pPr>
        <w:pStyle w:val="ListBullet2"/>
        <w:spacing w:line="276" w:lineRule="auto"/>
        <w:ind w:left="1020"/>
      </w:pPr>
      <w:r>
        <w:rPr>
          <w:rFonts w:ascii="Cambria" w:hAnsi="Cambria"/>
          <w:b w:val="0"/>
          <w:i w:val="0"/>
          <w:sz w:val="22"/>
        </w:rPr>
        <w:t>Engagement is on a per-day or per-shift basis, and payment is made strictly for days actually worked.</w:t>
      </w:r>
    </w:p>
    <w:p>
      <w:pPr>
        <w:keepNext/>
        <w:spacing w:before="200" w:after="120"/>
      </w:pPr>
      <w:r>
        <w:rPr>
          <w:rFonts w:ascii="Cambria" w:hAnsi="Cambria"/>
          <w:b/>
          <w:color w:val="1F3A5F"/>
          <w:sz w:val="24"/>
        </w:rPr>
        <w:t>II. Eligibility Criteria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721"/>
            <w:shd w:val="clear" w:color="auto" w:fill="1F3A5F"/>
          </w:tcPr>
          <w:p>
            <w:pPr>
              <w:spacing w:after="40" w:before="40"/>
            </w:pPr>
            <w:r/>
            <w:r>
              <w:rPr>
                <w:rFonts w:ascii="Cambria" w:hAnsi="Cambria"/>
                <w:b/>
                <w:i w:val="0"/>
                <w:color w:val="FFFFFF"/>
                <w:sz w:val="22"/>
              </w:rPr>
              <w:t>Category</w:t>
            </w:r>
          </w:p>
        </w:tc>
        <w:tc>
          <w:tcPr>
            <w:tcW w:type="dxa" w:w="2154"/>
            <w:shd w:val="clear" w:color="auto" w:fill="1F3A5F"/>
          </w:tcPr>
          <w:p>
            <w:pPr>
              <w:spacing w:after="40" w:before="40"/>
            </w:pPr>
            <w:r/>
            <w:r>
              <w:rPr>
                <w:rFonts w:ascii="Cambria" w:hAnsi="Cambria"/>
                <w:b/>
                <w:i w:val="0"/>
                <w:color w:val="FFFFFF"/>
                <w:sz w:val="22"/>
              </w:rPr>
              <w:t>Minimum Qualification</w:t>
            </w:r>
          </w:p>
        </w:tc>
        <w:tc>
          <w:tcPr>
            <w:tcW w:type="dxa" w:w="4195"/>
            <w:shd w:val="clear" w:color="auto" w:fill="1F3A5F"/>
          </w:tcPr>
          <w:p>
            <w:pPr>
              <w:spacing w:after="40" w:before="40"/>
            </w:pPr>
            <w:r/>
            <w:r>
              <w:rPr>
                <w:rFonts w:ascii="Cambria" w:hAnsi="Cambria"/>
                <w:b/>
                <w:i w:val="0"/>
                <w:color w:val="FFFFFF"/>
                <w:sz w:val="22"/>
              </w:rPr>
              <w:t>Experience / Skills</w:t>
            </w:r>
          </w:p>
        </w:tc>
      </w:tr>
      <w:tr>
        <w:tc>
          <w:tcPr>
            <w:tcW w:type="dxa" w:w="2721"/>
          </w:tcPr>
          <w:p>
            <w:pPr>
              <w:spacing w:after="40" w:before="40"/>
            </w:pPr>
            <w:r/>
            <w:r>
              <w:rPr>
                <w:rFonts w:ascii="Cambria" w:hAnsi="Cambria"/>
                <w:b w:val="0"/>
                <w:i w:val="0"/>
                <w:sz w:val="22"/>
              </w:rPr>
              <w:t>Clerical / Office Support</w:t>
            </w:r>
          </w:p>
        </w:tc>
        <w:tc>
          <w:tcPr>
            <w:tcW w:type="dxa" w:w="2154"/>
          </w:tcPr>
          <w:p>
            <w:pPr>
              <w:spacing w:after="40" w:before="40"/>
            </w:pPr>
            <w:r/>
            <w:r>
              <w:rPr>
                <w:rFonts w:ascii="Cambria" w:hAnsi="Cambria"/>
                <w:b w:val="0"/>
                <w:i w:val="0"/>
                <w:sz w:val="22"/>
              </w:rPr>
              <w:t>Graduate / Diploma</w:t>
            </w:r>
          </w:p>
        </w:tc>
        <w:tc>
          <w:tcPr>
            <w:tcW w:type="dxa" w:w="4195"/>
          </w:tcPr>
          <w:p>
            <w:pPr>
              <w:spacing w:after="40" w:before="40"/>
            </w:pPr>
            <w:r/>
            <w:r>
              <w:rPr>
                <w:rFonts w:ascii="Cambria" w:hAnsi="Cambria"/>
                <w:b w:val="0"/>
                <w:i w:val="0"/>
                <w:sz w:val="22"/>
              </w:rPr>
              <w:t>Basic computer literacy, English communication</w:t>
            </w:r>
          </w:p>
        </w:tc>
      </w:tr>
      <w:tr>
        <w:tc>
          <w:tcPr>
            <w:tcW w:type="dxa" w:w="2721"/>
            <w:shd w:val="clear" w:color="auto" w:fill="F0F2F5"/>
          </w:tcPr>
          <w:p>
            <w:pPr>
              <w:spacing w:after="40" w:before="40"/>
            </w:pPr>
            <w:r/>
            <w:r>
              <w:rPr>
                <w:rFonts w:ascii="Cambria" w:hAnsi="Cambria"/>
                <w:b w:val="0"/>
                <w:i w:val="0"/>
                <w:sz w:val="22"/>
              </w:rPr>
              <w:t>Technical / Skilled Work</w:t>
            </w:r>
          </w:p>
        </w:tc>
        <w:tc>
          <w:tcPr>
            <w:tcW w:type="dxa" w:w="2154"/>
            <w:shd w:val="clear" w:color="auto" w:fill="F0F2F5"/>
          </w:tcPr>
          <w:p>
            <w:pPr>
              <w:spacing w:after="40" w:before="40"/>
            </w:pPr>
            <w:r/>
            <w:r>
              <w:rPr>
                <w:rFonts w:ascii="Cambria" w:hAnsi="Cambria"/>
                <w:b w:val="0"/>
                <w:i w:val="0"/>
                <w:sz w:val="22"/>
              </w:rPr>
              <w:t>ITI / Diploma</w:t>
            </w:r>
          </w:p>
        </w:tc>
        <w:tc>
          <w:tcPr>
            <w:tcW w:type="dxa" w:w="4195"/>
            <w:shd w:val="clear" w:color="auto" w:fill="F0F2F5"/>
          </w:tcPr>
          <w:p>
            <w:pPr>
              <w:spacing w:after="40" w:before="40"/>
            </w:pPr>
            <w:r/>
            <w:r>
              <w:rPr>
                <w:rFonts w:ascii="Cambria" w:hAnsi="Cambria"/>
                <w:b w:val="0"/>
                <w:i w:val="0"/>
                <w:sz w:val="22"/>
              </w:rPr>
              <w:t>Relevant trade experience</w:t>
            </w:r>
          </w:p>
        </w:tc>
      </w:tr>
      <w:tr>
        <w:tc>
          <w:tcPr>
            <w:tcW w:type="dxa" w:w="2721"/>
          </w:tcPr>
          <w:p>
            <w:pPr>
              <w:spacing w:after="40" w:before="40"/>
            </w:pPr>
            <w:r/>
            <w:r>
              <w:rPr>
                <w:rFonts w:ascii="Cambria" w:hAnsi="Cambria"/>
                <w:b w:val="0"/>
                <w:i w:val="0"/>
                <w:sz w:val="22"/>
              </w:rPr>
              <w:t>Laboratory / Workshop Assistants</w:t>
            </w:r>
          </w:p>
        </w:tc>
        <w:tc>
          <w:tcPr>
            <w:tcW w:type="dxa" w:w="2154"/>
          </w:tcPr>
          <w:p>
            <w:pPr>
              <w:spacing w:after="40" w:before="40"/>
            </w:pPr>
            <w:r/>
            <w:r>
              <w:rPr>
                <w:rFonts w:ascii="Cambria" w:hAnsi="Cambria"/>
                <w:b w:val="0"/>
                <w:i w:val="0"/>
                <w:sz w:val="22"/>
              </w:rPr>
              <w:t>10th Pass / ITI</w:t>
            </w:r>
          </w:p>
        </w:tc>
        <w:tc>
          <w:tcPr>
            <w:tcW w:type="dxa" w:w="4195"/>
          </w:tcPr>
          <w:p>
            <w:pPr>
              <w:spacing w:after="40" w:before="40"/>
            </w:pPr>
            <w:r/>
            <w:r>
              <w:rPr>
                <w:rFonts w:ascii="Cambria" w:hAnsi="Cambria"/>
                <w:b w:val="0"/>
                <w:i w:val="0"/>
                <w:sz w:val="22"/>
              </w:rPr>
              <w:t>Handling instruments, maintaining records</w:t>
            </w:r>
          </w:p>
        </w:tc>
      </w:tr>
      <w:tr>
        <w:tc>
          <w:tcPr>
            <w:tcW w:type="dxa" w:w="2721"/>
            <w:shd w:val="clear" w:color="auto" w:fill="F0F2F5"/>
          </w:tcPr>
          <w:p>
            <w:pPr>
              <w:spacing w:after="40" w:before="40"/>
            </w:pPr>
            <w:r/>
            <w:r>
              <w:rPr>
                <w:rFonts w:ascii="Cambria" w:hAnsi="Cambria"/>
                <w:b w:val="0"/>
                <w:i w:val="0"/>
                <w:sz w:val="22"/>
              </w:rPr>
              <w:t>Housekeeping / Security / Maintenance</w:t>
            </w:r>
          </w:p>
        </w:tc>
        <w:tc>
          <w:tcPr>
            <w:tcW w:type="dxa" w:w="2154"/>
            <w:shd w:val="clear" w:color="auto" w:fill="F0F2F5"/>
          </w:tcPr>
          <w:p>
            <w:pPr>
              <w:spacing w:after="40" w:before="40"/>
            </w:pPr>
            <w:r/>
            <w:r>
              <w:rPr>
                <w:rFonts w:ascii="Cambria" w:hAnsi="Cambria"/>
                <w:b w:val="0"/>
                <w:i w:val="0"/>
                <w:sz w:val="22"/>
              </w:rPr>
              <w:t>8th–10th Pass</w:t>
            </w:r>
          </w:p>
        </w:tc>
        <w:tc>
          <w:tcPr>
            <w:tcW w:type="dxa" w:w="4195"/>
            <w:shd w:val="clear" w:color="auto" w:fill="F0F2F5"/>
          </w:tcPr>
          <w:p>
            <w:pPr>
              <w:spacing w:after="40" w:before="40"/>
            </w:pPr>
            <w:r/>
            <w:r>
              <w:rPr>
                <w:rFonts w:ascii="Cambria" w:hAnsi="Cambria"/>
                <w:b w:val="0"/>
                <w:i w:val="0"/>
                <w:sz w:val="22"/>
              </w:rPr>
              <w:t>Physical fitness and relevant experience</w:t>
            </w:r>
          </w:p>
        </w:tc>
      </w:tr>
    </w:tbl>
    <w:p>
      <w:pPr>
        <w:spacing w:after="40"/>
      </w:pPr>
    </w:p>
    <w:p>
      <w:pPr>
        <w:jc w:val="both"/>
      </w:pPr>
      <w:r>
        <w:rPr>
          <w:rFonts w:ascii="Cambria" w:hAnsi="Cambria"/>
          <w:i/>
          <w:sz w:val="22"/>
        </w:rPr>
        <w:t>Note: Age limits, educational qualifications, and experience requirements may be relaxed by the competent authority for deserving candidates, subject to documentation.</w:t>
      </w:r>
    </w:p>
    <w:p>
      <w:r>
        <w:br w:type="page"/>
      </w:r>
    </w:p>
    <w:p>
      <w:pPr>
        <w:keepNext/>
        <w:spacing w:before="200" w:after="120"/>
      </w:pPr>
      <w:r>
        <w:rPr>
          <w:rFonts w:ascii="Cambria" w:hAnsi="Cambria"/>
          <w:b/>
          <w:color w:val="1F3A5F"/>
          <w:sz w:val="24"/>
        </w:rPr>
        <w:t>III. Appointment Procedure</w:t>
      </w:r>
    </w:p>
    <w:p>
      <w:pPr>
        <w:spacing w:line="276" w:lineRule="auto"/>
        <w:ind w:left="357" w:hanging="357"/>
      </w:pPr>
      <w:r>
        <w:rPr>
          <w:rFonts w:ascii="Cambria" w:hAnsi="Cambria"/>
          <w:b w:val="0"/>
          <w:i w:val="0"/>
          <w:sz w:val="22"/>
        </w:rPr>
        <w:t xml:space="preserve">1. </w:t>
      </w:r>
      <w:r>
        <w:rPr>
          <w:rFonts w:ascii="Cambria" w:hAnsi="Cambria"/>
          <w:b w:val="0"/>
          <w:i w:val="0"/>
          <w:sz w:val="22"/>
        </w:rPr>
        <w:t>Initiation of Request:</w:t>
      </w:r>
    </w:p>
    <w:p>
      <w:pPr>
        <w:pStyle w:val="ListBullet2"/>
        <w:spacing w:line="276" w:lineRule="auto"/>
        <w:ind w:left="1020"/>
      </w:pPr>
      <w:r>
        <w:rPr>
          <w:rFonts w:ascii="Cambria" w:hAnsi="Cambria"/>
          <w:b w:val="0"/>
          <w:i w:val="0"/>
          <w:sz w:val="22"/>
        </w:rPr>
        <w:t>Department Head / Section Officer shall submit a written justification to HR / Registrar specifying:</w:t>
      </w:r>
    </w:p>
    <w:p>
      <w:pPr>
        <w:pStyle w:val="ListBullet2"/>
        <w:ind w:left="1474"/>
      </w:pPr>
      <w:r>
        <w:rPr>
          <w:rFonts w:ascii="Cambria" w:hAnsi="Cambria"/>
          <w:b w:val="0"/>
          <w:i w:val="0"/>
          <w:sz w:val="22"/>
        </w:rPr>
        <w:t>Duration of requirement.</w:t>
      </w:r>
    </w:p>
    <w:p>
      <w:pPr>
        <w:pStyle w:val="ListBullet2"/>
        <w:ind w:left="1474"/>
      </w:pPr>
      <w:r>
        <w:rPr>
          <w:rFonts w:ascii="Cambria" w:hAnsi="Cambria"/>
          <w:b w:val="0"/>
          <w:i w:val="0"/>
          <w:sz w:val="22"/>
        </w:rPr>
        <w:t>Nature of work.</w:t>
      </w:r>
    </w:p>
    <w:p>
      <w:pPr>
        <w:pStyle w:val="ListBullet2"/>
        <w:ind w:left="1474"/>
      </w:pPr>
      <w:r>
        <w:rPr>
          <w:rFonts w:ascii="Cambria" w:hAnsi="Cambria"/>
          <w:b w:val="0"/>
          <w:i w:val="0"/>
          <w:sz w:val="22"/>
        </w:rPr>
        <w:t>Source of funding (if project-linked).</w:t>
      </w:r>
    </w:p>
    <w:p>
      <w:pPr>
        <w:spacing w:line="276" w:lineRule="auto"/>
        <w:ind w:left="357" w:hanging="357"/>
      </w:pPr>
      <w:r>
        <w:rPr>
          <w:rFonts w:ascii="Cambria" w:hAnsi="Cambria"/>
          <w:b w:val="0"/>
          <w:i w:val="0"/>
          <w:sz w:val="22"/>
        </w:rPr>
        <w:t xml:space="preserve">2. </w:t>
      </w:r>
      <w:r>
        <w:rPr>
          <w:rFonts w:ascii="Cambria" w:hAnsi="Cambria"/>
          <w:b w:val="0"/>
          <w:i w:val="0"/>
          <w:sz w:val="22"/>
        </w:rPr>
        <w:t>Approval:</w:t>
      </w:r>
    </w:p>
    <w:p>
      <w:pPr>
        <w:pStyle w:val="ListBullet2"/>
        <w:spacing w:line="276" w:lineRule="auto"/>
        <w:ind w:left="1020"/>
      </w:pPr>
      <w:r>
        <w:rPr>
          <w:rFonts w:ascii="Cambria" w:hAnsi="Cambria"/>
          <w:b w:val="0"/>
          <w:i w:val="0"/>
          <w:sz w:val="22"/>
        </w:rPr>
        <w:t>All appointments shall be approved by the Registrar, with final sanction by the Vice-Chancellor / Chairman, BoM if tenure exceeds 90 days.</w:t>
      </w:r>
    </w:p>
    <w:p>
      <w:pPr>
        <w:spacing w:line="276" w:lineRule="auto"/>
        <w:ind w:left="357" w:hanging="357"/>
      </w:pPr>
      <w:r>
        <w:rPr>
          <w:rFonts w:ascii="Cambria" w:hAnsi="Cambria"/>
          <w:b w:val="0"/>
          <w:i w:val="0"/>
          <w:sz w:val="22"/>
        </w:rPr>
        <w:t xml:space="preserve">3. </w:t>
      </w:r>
      <w:r>
        <w:rPr>
          <w:rFonts w:ascii="Cambria" w:hAnsi="Cambria"/>
          <w:b w:val="0"/>
          <w:i w:val="0"/>
          <w:sz w:val="22"/>
        </w:rPr>
        <w:t>Selection Process:</w:t>
      </w:r>
    </w:p>
    <w:p>
      <w:pPr>
        <w:pStyle w:val="ListBullet2"/>
        <w:spacing w:line="276" w:lineRule="auto"/>
        <w:ind w:left="1020"/>
      </w:pPr>
      <w:r>
        <w:rPr>
          <w:rFonts w:ascii="Cambria" w:hAnsi="Cambria"/>
          <w:b w:val="0"/>
          <w:i w:val="0"/>
          <w:sz w:val="22"/>
        </w:rPr>
        <w:t>Temporary Staff:</w:t>
      </w:r>
    </w:p>
    <w:p>
      <w:pPr>
        <w:pStyle w:val="ListBullet2"/>
        <w:ind w:left="1474"/>
      </w:pPr>
      <w:r>
        <w:rPr>
          <w:rFonts w:ascii="Cambria" w:hAnsi="Cambria"/>
          <w:b w:val="0"/>
          <w:i w:val="0"/>
          <w:sz w:val="22"/>
        </w:rPr>
        <w:t>Screening of applications.</w:t>
      </w:r>
    </w:p>
    <w:p>
      <w:pPr>
        <w:pStyle w:val="ListBullet2"/>
        <w:ind w:left="1474"/>
      </w:pPr>
      <w:r>
        <w:rPr>
          <w:rFonts w:ascii="Cambria" w:hAnsi="Cambria"/>
          <w:b w:val="0"/>
          <w:i w:val="0"/>
          <w:sz w:val="22"/>
        </w:rPr>
        <w:t>Interview / Skill Test by departmental or central selection committee.</w:t>
      </w:r>
    </w:p>
    <w:p>
      <w:pPr>
        <w:pStyle w:val="ListBullet2"/>
        <w:spacing w:line="276" w:lineRule="auto"/>
        <w:ind w:left="1020"/>
      </w:pPr>
      <w:r>
        <w:rPr>
          <w:rFonts w:ascii="Cambria" w:hAnsi="Cambria"/>
          <w:b w:val="0"/>
          <w:i w:val="0"/>
          <w:sz w:val="22"/>
        </w:rPr>
        <w:t>Daily Wage Staff:</w:t>
      </w:r>
    </w:p>
    <w:p>
      <w:pPr>
        <w:pStyle w:val="ListBullet2"/>
        <w:ind w:left="1474"/>
      </w:pPr>
      <w:r>
        <w:rPr>
          <w:rFonts w:ascii="Cambria" w:hAnsi="Cambria"/>
          <w:b w:val="0"/>
          <w:i w:val="0"/>
          <w:sz w:val="22"/>
        </w:rPr>
        <w:t>Shortlisting based on local advertisement or approved manpower roster.</w:t>
      </w:r>
    </w:p>
    <w:p>
      <w:pPr>
        <w:pStyle w:val="ListBullet2"/>
        <w:ind w:left="1474"/>
      </w:pPr>
      <w:r>
        <w:rPr>
          <w:rFonts w:ascii="Cambria" w:hAnsi="Cambria"/>
          <w:b w:val="0"/>
          <w:i w:val="0"/>
          <w:sz w:val="22"/>
        </w:rPr>
        <w:t>Selection based on experience, physical fitness, and conduct.</w:t>
      </w:r>
    </w:p>
    <w:p>
      <w:pPr>
        <w:spacing w:line="276" w:lineRule="auto"/>
        <w:ind w:left="357" w:hanging="357"/>
      </w:pPr>
      <w:r>
        <w:rPr>
          <w:rFonts w:ascii="Cambria" w:hAnsi="Cambria"/>
          <w:b w:val="0"/>
          <w:i w:val="0"/>
          <w:sz w:val="22"/>
        </w:rPr>
        <w:t xml:space="preserve">4. </w:t>
      </w:r>
      <w:r>
        <w:rPr>
          <w:rFonts w:ascii="Cambria" w:hAnsi="Cambria"/>
          <w:b w:val="0"/>
          <w:i w:val="0"/>
          <w:sz w:val="22"/>
        </w:rPr>
        <w:t>Documentation:</w:t>
      </w:r>
    </w:p>
    <w:p>
      <w:pPr>
        <w:pStyle w:val="ListBullet2"/>
        <w:spacing w:line="276" w:lineRule="auto"/>
        <w:ind w:left="1020"/>
      </w:pPr>
      <w:r>
        <w:rPr>
          <w:rFonts w:ascii="Cambria" w:hAnsi="Cambria"/>
          <w:b w:val="0"/>
          <w:i w:val="0"/>
          <w:sz w:val="22"/>
        </w:rPr>
        <w:t>Appointment order specifying:</w:t>
      </w:r>
    </w:p>
    <w:p>
      <w:pPr>
        <w:pStyle w:val="ListBullet2"/>
        <w:ind w:left="1474"/>
      </w:pPr>
      <w:r>
        <w:rPr>
          <w:rFonts w:ascii="Cambria" w:hAnsi="Cambria"/>
          <w:b w:val="0"/>
          <w:i w:val="0"/>
          <w:sz w:val="22"/>
        </w:rPr>
        <w:t>Nature of duties,</w:t>
      </w:r>
    </w:p>
    <w:p>
      <w:pPr>
        <w:pStyle w:val="ListBullet2"/>
        <w:ind w:left="1474"/>
      </w:pPr>
      <w:r>
        <w:rPr>
          <w:rFonts w:ascii="Cambria" w:hAnsi="Cambria"/>
          <w:b w:val="0"/>
          <w:i w:val="0"/>
          <w:sz w:val="22"/>
        </w:rPr>
        <w:t>Tenure,</w:t>
      </w:r>
    </w:p>
    <w:p>
      <w:pPr>
        <w:pStyle w:val="ListBullet2"/>
        <w:ind w:left="1474"/>
      </w:pPr>
      <w:r>
        <w:rPr>
          <w:rFonts w:ascii="Cambria" w:hAnsi="Cambria"/>
          <w:b w:val="0"/>
          <w:i w:val="0"/>
          <w:sz w:val="22"/>
        </w:rPr>
        <w:t>Rate of remuneration, and</w:t>
      </w:r>
    </w:p>
    <w:p>
      <w:pPr>
        <w:pStyle w:val="ListBullet2"/>
        <w:ind w:left="1474"/>
      </w:pPr>
      <w:r>
        <w:rPr>
          <w:rFonts w:ascii="Cambria" w:hAnsi="Cambria"/>
          <w:b w:val="0"/>
          <w:i w:val="0"/>
          <w:sz w:val="22"/>
        </w:rPr>
        <w:t>Terms of termination.</w:t>
      </w:r>
    </w:p>
    <w:p>
      <w:pPr>
        <w:pStyle w:val="ListBullet2"/>
        <w:spacing w:line="276" w:lineRule="auto"/>
        <w:ind w:left="1020"/>
      </w:pPr>
      <w:r>
        <w:rPr>
          <w:rFonts w:ascii="Cambria" w:hAnsi="Cambria"/>
          <w:b w:val="0"/>
          <w:i w:val="0"/>
          <w:sz w:val="22"/>
        </w:rPr>
        <w:t>Copy filed in the Service Records Register and Establishment Section.</w:t>
      </w:r>
    </w:p>
    <w:p>
      <w:pPr>
        <w:keepNext/>
        <w:spacing w:before="200" w:after="120"/>
      </w:pPr>
      <w:r>
        <w:rPr>
          <w:rFonts w:ascii="Cambria" w:hAnsi="Cambria"/>
          <w:b/>
          <w:color w:val="1F3A5F"/>
          <w:sz w:val="24"/>
        </w:rPr>
        <w:t>IV. Tenure and Renewal</w:t>
      </w:r>
    </w:p>
    <w:p>
      <w:pPr>
        <w:pStyle w:val="ListBullet"/>
        <w:spacing w:line="276" w:lineRule="auto"/>
        <w:ind w:left="510"/>
      </w:pPr>
      <w:r>
        <w:rPr>
          <w:rFonts w:ascii="Cambria" w:hAnsi="Cambria"/>
          <w:b w:val="0"/>
          <w:i w:val="0"/>
          <w:sz w:val="22"/>
        </w:rPr>
        <w:t>Temporary Appointments:</w:t>
      </w:r>
    </w:p>
    <w:p>
      <w:pPr>
        <w:pStyle w:val="ListBullet2"/>
        <w:spacing w:line="276" w:lineRule="auto"/>
        <w:ind w:left="1020"/>
      </w:pPr>
      <w:r>
        <w:rPr>
          <w:rFonts w:ascii="Cambria" w:hAnsi="Cambria"/>
          <w:b w:val="0"/>
          <w:i w:val="0"/>
          <w:sz w:val="22"/>
        </w:rPr>
        <w:t>Normally limited to 11 months or as per project/academic requirement.</w:t>
      </w:r>
    </w:p>
    <w:p>
      <w:pPr>
        <w:pStyle w:val="ListBullet2"/>
        <w:spacing w:line="276" w:lineRule="auto"/>
        <w:ind w:left="1020"/>
      </w:pPr>
      <w:r>
        <w:rPr>
          <w:rFonts w:ascii="Cambria" w:hAnsi="Cambria"/>
          <w:b w:val="0"/>
          <w:i w:val="0"/>
          <w:sz w:val="22"/>
        </w:rPr>
        <w:t>Extension may be granted with a break in service of at least one day to maintain compliance.</w:t>
      </w:r>
    </w:p>
    <w:p>
      <w:pPr>
        <w:pStyle w:val="ListBullet"/>
        <w:spacing w:line="276" w:lineRule="auto"/>
        <w:ind w:left="510"/>
      </w:pPr>
      <w:r>
        <w:rPr>
          <w:rFonts w:ascii="Cambria" w:hAnsi="Cambria"/>
          <w:b w:val="0"/>
          <w:i w:val="0"/>
          <w:sz w:val="22"/>
        </w:rPr>
        <w:t>Daily Wage Engagement:</w:t>
      </w:r>
    </w:p>
    <w:p>
      <w:pPr>
        <w:pStyle w:val="ListBullet2"/>
        <w:spacing w:line="276" w:lineRule="auto"/>
        <w:ind w:left="1020"/>
      </w:pPr>
      <w:r>
        <w:rPr>
          <w:rFonts w:ascii="Cambria" w:hAnsi="Cambria"/>
          <w:b w:val="0"/>
          <w:i w:val="0"/>
          <w:sz w:val="22"/>
        </w:rPr>
        <w:t>Valid for up to 90 days at a time; beyond that requires BoM approval.</w:t>
      </w:r>
    </w:p>
    <w:p>
      <w:pPr>
        <w:pStyle w:val="ListBullet2"/>
        <w:spacing w:line="276" w:lineRule="auto"/>
        <w:ind w:left="1020"/>
      </w:pPr>
      <w:r>
        <w:rPr>
          <w:rFonts w:ascii="Cambria" w:hAnsi="Cambria"/>
          <w:b w:val="0"/>
          <w:i w:val="0"/>
          <w:sz w:val="22"/>
        </w:rPr>
        <w:t>Engagement automatically ends upon completion of assigned work or expiry of the sanctioned period.</w:t>
      </w:r>
    </w:p>
    <w:p>
      <w:pPr>
        <w:keepNext/>
        <w:spacing w:before="200" w:after="120"/>
      </w:pPr>
      <w:r>
        <w:rPr>
          <w:rFonts w:ascii="Cambria" w:hAnsi="Cambria"/>
          <w:b/>
          <w:color w:val="1F3A5F"/>
          <w:sz w:val="24"/>
        </w:rPr>
        <w:t>V. Remuneration and Entitlements</w:t>
      </w:r>
    </w:p>
    <w:p>
      <w:pPr>
        <w:spacing w:line="276" w:lineRule="auto"/>
        <w:ind w:left="357" w:hanging="357"/>
      </w:pPr>
      <w:r>
        <w:rPr>
          <w:rFonts w:ascii="Cambria" w:hAnsi="Cambria"/>
          <w:b w:val="0"/>
          <w:i w:val="0"/>
          <w:sz w:val="22"/>
        </w:rPr>
        <w:t xml:space="preserve">1. </w:t>
      </w:r>
      <w:r>
        <w:rPr>
          <w:rFonts w:ascii="Cambria" w:hAnsi="Cambria"/>
          <w:b w:val="0"/>
          <w:i w:val="0"/>
          <w:sz w:val="22"/>
        </w:rPr>
        <w:t>Temporary Staff:</w:t>
      </w:r>
    </w:p>
    <w:p>
      <w:pPr>
        <w:pStyle w:val="ListBullet2"/>
        <w:ind w:left="1020"/>
      </w:pPr>
      <w:r>
        <w:rPr>
          <w:rFonts w:ascii="Cambria" w:hAnsi="Cambria"/>
          <w:b w:val="0"/>
          <w:i w:val="0"/>
          <w:sz w:val="22"/>
        </w:rPr>
        <w:t>Paid a consolidated monthly remuneration fixed by the University or BoM.</w:t>
      </w:r>
    </w:p>
    <w:p>
      <w:pPr>
        <w:pStyle w:val="ListBullet2"/>
        <w:ind w:left="1020"/>
      </w:pPr>
      <w:r>
        <w:rPr>
          <w:rFonts w:ascii="Cambria" w:hAnsi="Cambria"/>
          <w:b w:val="0"/>
          <w:i w:val="0"/>
          <w:sz w:val="22"/>
        </w:rPr>
        <w:t>No entitlement to DA, HRA, increment, or pension benefits.</w:t>
      </w:r>
    </w:p>
    <w:p>
      <w:pPr>
        <w:pStyle w:val="ListBullet2"/>
        <w:ind w:left="1020"/>
      </w:pPr>
      <w:r>
        <w:rPr>
          <w:rFonts w:ascii="Cambria" w:hAnsi="Cambria"/>
          <w:b w:val="0"/>
          <w:i w:val="0"/>
          <w:sz w:val="22"/>
        </w:rPr>
        <w:t>Eligible for proportionate casual leave (1 day per completed month).</w:t>
      </w:r>
    </w:p>
    <w:p>
      <w:pPr>
        <w:spacing w:line="276" w:lineRule="auto"/>
        <w:ind w:left="357" w:hanging="357"/>
      </w:pPr>
      <w:r>
        <w:rPr>
          <w:rFonts w:ascii="Cambria" w:hAnsi="Cambria"/>
          <w:b w:val="0"/>
          <w:i w:val="0"/>
          <w:sz w:val="22"/>
        </w:rPr>
        <w:t xml:space="preserve">2. </w:t>
      </w:r>
      <w:r>
        <w:rPr>
          <w:rFonts w:ascii="Cambria" w:hAnsi="Cambria"/>
          <w:b w:val="0"/>
          <w:i w:val="0"/>
          <w:sz w:val="22"/>
        </w:rPr>
        <w:t>Daily Wage Staff:</w:t>
      </w:r>
    </w:p>
    <w:p>
      <w:pPr>
        <w:pStyle w:val="ListBullet2"/>
        <w:ind w:left="1020"/>
      </w:pPr>
      <w:r>
        <w:rPr>
          <w:rFonts w:ascii="Cambria" w:hAnsi="Cambria"/>
          <w:b w:val="0"/>
          <w:i w:val="0"/>
          <w:sz w:val="22"/>
        </w:rPr>
        <w:t>Paid strictly on the basis of actual attendance, as per rates approved by the University / State Government.</w:t>
      </w:r>
    </w:p>
    <w:p>
      <w:pPr>
        <w:pStyle w:val="ListBullet2"/>
        <w:ind w:left="1020"/>
      </w:pPr>
      <w:r>
        <w:rPr>
          <w:rFonts w:ascii="Cambria" w:hAnsi="Cambria"/>
          <w:b w:val="0"/>
          <w:i w:val="0"/>
          <w:sz w:val="22"/>
        </w:rPr>
        <w:t>No other allowances or leave benefits admissible.</w:t>
      </w:r>
    </w:p>
    <w:p>
      <w:pPr>
        <w:pStyle w:val="ListBullet2"/>
        <w:ind w:left="1020"/>
      </w:pPr>
      <w:r>
        <w:rPr>
          <w:rFonts w:ascii="Cambria" w:hAnsi="Cambria"/>
          <w:b w:val="0"/>
          <w:i w:val="0"/>
          <w:sz w:val="22"/>
        </w:rPr>
        <w:t>Payment to be disbursed weekly or monthly through the Finance Section.</w:t>
      </w:r>
    </w:p>
    <w:p>
      <w:pPr>
        <w:spacing w:line="276" w:lineRule="auto"/>
        <w:ind w:left="357" w:hanging="357"/>
      </w:pPr>
      <w:r>
        <w:rPr>
          <w:rFonts w:ascii="Cambria" w:hAnsi="Cambria"/>
          <w:b w:val="0"/>
          <w:i w:val="0"/>
          <w:sz w:val="22"/>
        </w:rPr>
        <w:t xml:space="preserve">3. </w:t>
      </w:r>
      <w:r>
        <w:rPr>
          <w:rFonts w:ascii="Cambria" w:hAnsi="Cambria"/>
          <w:b w:val="0"/>
          <w:i w:val="0"/>
          <w:sz w:val="22"/>
        </w:rPr>
        <w:t>Tax and Statutory Deductions:</w:t>
      </w:r>
    </w:p>
    <w:p>
      <w:pPr>
        <w:pStyle w:val="ListBullet2"/>
        <w:spacing w:line="276" w:lineRule="auto"/>
        <w:ind w:left="1020"/>
      </w:pPr>
      <w:r>
        <w:rPr>
          <w:rFonts w:ascii="Cambria" w:hAnsi="Cambria"/>
          <w:b w:val="0"/>
          <w:i w:val="0"/>
          <w:sz w:val="22"/>
        </w:rPr>
        <w:t>Applicable deductions such as TDS, EPF, or ESI (where applicable) shall be made as per prevailing laws.</w:t>
      </w:r>
    </w:p>
    <w:p>
      <w:pPr>
        <w:keepNext/>
        <w:spacing w:before="200" w:after="120"/>
      </w:pPr>
      <w:r>
        <w:rPr>
          <w:rFonts w:ascii="Cambria" w:hAnsi="Cambria"/>
          <w:b/>
          <w:color w:val="1F3A5F"/>
          <w:sz w:val="24"/>
        </w:rPr>
        <w:t>VI. Termination of Service</w:t>
      </w:r>
    </w:p>
    <w:p>
      <w:pPr>
        <w:pStyle w:val="ListBullet"/>
        <w:spacing w:line="276" w:lineRule="auto"/>
        <w:ind w:left="510"/>
      </w:pPr>
      <w:r>
        <w:rPr>
          <w:rFonts w:ascii="Cambria" w:hAnsi="Cambria"/>
          <w:b w:val="0"/>
          <w:i w:val="0"/>
          <w:sz w:val="22"/>
        </w:rPr>
        <w:t>Temporary Appointments:</w:t>
      </w:r>
    </w:p>
    <w:p>
      <w:pPr>
        <w:pStyle w:val="ListBullet2"/>
        <w:spacing w:line="276" w:lineRule="auto"/>
        <w:ind w:left="1020"/>
      </w:pPr>
      <w:r>
        <w:rPr>
          <w:rFonts w:ascii="Cambria" w:hAnsi="Cambria"/>
          <w:b w:val="0"/>
          <w:i w:val="0"/>
          <w:sz w:val="22"/>
        </w:rPr>
        <w:t>May be terminated with one week’s notice or salary in lieu thereof, without assigning any reason.</w:t>
      </w:r>
    </w:p>
    <w:p>
      <w:pPr>
        <w:pStyle w:val="ListBullet2"/>
        <w:spacing w:line="276" w:lineRule="auto"/>
        <w:ind w:left="1020"/>
      </w:pPr>
      <w:r>
        <w:rPr>
          <w:rFonts w:ascii="Cambria" w:hAnsi="Cambria"/>
          <w:b w:val="0"/>
          <w:i w:val="0"/>
          <w:sz w:val="22"/>
        </w:rPr>
        <w:t>Automatically terminates on completion of tenure unless formally extended.</w:t>
      </w:r>
    </w:p>
    <w:p>
      <w:pPr>
        <w:pStyle w:val="ListBullet"/>
        <w:spacing w:line="276" w:lineRule="auto"/>
        <w:ind w:left="510"/>
      </w:pPr>
      <w:r>
        <w:rPr>
          <w:rFonts w:ascii="Cambria" w:hAnsi="Cambria"/>
          <w:b w:val="0"/>
          <w:i w:val="0"/>
          <w:sz w:val="22"/>
        </w:rPr>
        <w:t>Daily Wage Workers:</w:t>
      </w:r>
    </w:p>
    <w:p>
      <w:pPr>
        <w:pStyle w:val="ListBullet2"/>
        <w:spacing w:line="276" w:lineRule="auto"/>
        <w:ind w:left="1020"/>
      </w:pPr>
      <w:r>
        <w:rPr>
          <w:rFonts w:ascii="Cambria" w:hAnsi="Cambria"/>
          <w:b w:val="0"/>
          <w:i w:val="0"/>
          <w:sz w:val="22"/>
        </w:rPr>
        <w:t>Engagement may be discontinued at any time without notice if performance or conduct is unsatisfactory, or if work ceases.</w:t>
      </w:r>
    </w:p>
    <w:p>
      <w:pPr>
        <w:pStyle w:val="ListBullet"/>
        <w:spacing w:line="276" w:lineRule="auto"/>
        <w:ind w:left="510"/>
      </w:pPr>
      <w:r>
        <w:rPr>
          <w:rFonts w:ascii="Cambria" w:hAnsi="Cambria"/>
          <w:b w:val="0"/>
          <w:i w:val="0"/>
          <w:sz w:val="22"/>
        </w:rPr>
        <w:t>No Legal Right:</w:t>
      </w:r>
    </w:p>
    <w:p>
      <w:pPr>
        <w:pStyle w:val="ListBullet2"/>
        <w:spacing w:line="276" w:lineRule="auto"/>
        <w:ind w:left="1020"/>
      </w:pPr>
      <w:r>
        <w:rPr>
          <w:rFonts w:ascii="Cambria" w:hAnsi="Cambria"/>
          <w:b w:val="0"/>
          <w:i w:val="0"/>
          <w:sz w:val="22"/>
        </w:rPr>
        <w:t>Both categories have no claim for regularization, absorption, or continuation beyond the sanctioned term.</w:t>
      </w:r>
    </w:p>
    <w:p>
      <w:pPr>
        <w:keepNext/>
        <w:spacing w:before="200" w:after="120"/>
      </w:pPr>
      <w:r>
        <w:rPr>
          <w:rFonts w:ascii="Cambria" w:hAnsi="Cambria"/>
          <w:b/>
          <w:color w:val="1F3A5F"/>
          <w:sz w:val="24"/>
        </w:rPr>
        <w:t>VII. Administrative Responsibilities</w:t>
      </w:r>
    </w:p>
    <w:p>
      <w:pPr>
        <w:pStyle w:val="ListBullet"/>
        <w:spacing w:line="276" w:lineRule="auto"/>
        <w:ind w:left="510"/>
      </w:pPr>
      <w:r>
        <w:rPr>
          <w:rFonts w:ascii="Cambria" w:hAnsi="Cambria"/>
          <w:b w:val="0"/>
          <w:i w:val="0"/>
          <w:sz w:val="22"/>
        </w:rPr>
        <w:t>The HR / Establishment Section shall maintain:</w:t>
      </w:r>
    </w:p>
    <w:p>
      <w:pPr>
        <w:pStyle w:val="ListBullet2"/>
        <w:spacing w:line="276" w:lineRule="auto"/>
        <w:ind w:left="1020"/>
      </w:pPr>
      <w:r>
        <w:rPr>
          <w:rFonts w:ascii="Cambria" w:hAnsi="Cambria"/>
          <w:b w:val="0"/>
          <w:i w:val="0"/>
          <w:sz w:val="22"/>
        </w:rPr>
        <w:t>Temporary &amp; Daily Wage Employee Registers.</w:t>
      </w:r>
    </w:p>
    <w:p>
      <w:pPr>
        <w:pStyle w:val="ListBullet2"/>
        <w:spacing w:line="276" w:lineRule="auto"/>
        <w:ind w:left="1020"/>
      </w:pPr>
      <w:r>
        <w:rPr>
          <w:rFonts w:ascii="Cambria" w:hAnsi="Cambria"/>
          <w:b w:val="0"/>
          <w:i w:val="0"/>
          <w:sz w:val="22"/>
        </w:rPr>
        <w:t>Attendance and payment records.</w:t>
      </w:r>
    </w:p>
    <w:p>
      <w:pPr>
        <w:pStyle w:val="ListBullet2"/>
        <w:spacing w:line="276" w:lineRule="auto"/>
        <w:ind w:left="1020"/>
      </w:pPr>
      <w:r>
        <w:rPr>
          <w:rFonts w:ascii="Cambria" w:hAnsi="Cambria"/>
          <w:b w:val="0"/>
          <w:i w:val="0"/>
          <w:sz w:val="22"/>
        </w:rPr>
        <w:t>Tenure extension approvals and compliance documentation.</w:t>
      </w:r>
    </w:p>
    <w:p>
      <w:pPr>
        <w:pStyle w:val="ListBullet"/>
        <w:spacing w:line="276" w:lineRule="auto"/>
        <w:ind w:left="510"/>
      </w:pPr>
      <w:r>
        <w:rPr>
          <w:rFonts w:ascii="Cambria" w:hAnsi="Cambria"/>
          <w:b w:val="0"/>
          <w:i w:val="0"/>
          <w:sz w:val="22"/>
        </w:rPr>
        <w:t>The Registrar shall ensure that:</w:t>
      </w:r>
    </w:p>
    <w:p>
      <w:pPr>
        <w:pStyle w:val="ListBullet2"/>
        <w:spacing w:line="276" w:lineRule="auto"/>
        <w:ind w:left="1020"/>
      </w:pPr>
      <w:r>
        <w:rPr>
          <w:rFonts w:ascii="Cambria" w:hAnsi="Cambria"/>
          <w:b w:val="0"/>
          <w:i w:val="0"/>
          <w:sz w:val="22"/>
        </w:rPr>
        <w:t>No appointment exceeds approved tenure limits.</w:t>
      </w:r>
    </w:p>
    <w:p>
      <w:pPr>
        <w:pStyle w:val="ListBullet2"/>
        <w:spacing w:line="276" w:lineRule="auto"/>
        <w:ind w:left="1020"/>
      </w:pPr>
      <w:r>
        <w:rPr>
          <w:rFonts w:ascii="Cambria" w:hAnsi="Cambria"/>
          <w:b w:val="0"/>
          <w:i w:val="0"/>
          <w:sz w:val="22"/>
        </w:rPr>
        <w:t>Payments are released only for verified attendance.</w:t>
      </w:r>
    </w:p>
    <w:p>
      <w:pPr>
        <w:pStyle w:val="ListBullet2"/>
        <w:spacing w:line="276" w:lineRule="auto"/>
        <w:ind w:left="1020"/>
      </w:pPr>
      <w:r>
        <w:rPr>
          <w:rFonts w:ascii="Cambria" w:hAnsi="Cambria"/>
          <w:b w:val="0"/>
          <w:i w:val="0"/>
          <w:sz w:val="22"/>
        </w:rPr>
        <w:t>Periodic audit reports are submitted to the Finance Committee / BoM.</w:t>
      </w:r>
    </w:p>
    <w:p>
      <w:pPr>
        <w:keepNext/>
        <w:spacing w:before="200" w:after="120"/>
      </w:pPr>
      <w:r>
        <w:rPr>
          <w:rFonts w:ascii="Cambria" w:hAnsi="Cambria"/>
          <w:b/>
          <w:color w:val="1F3A5F"/>
          <w:sz w:val="24"/>
        </w:rPr>
        <w:t>VIII. Summary Table</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1360"/>
            <w:shd w:val="clear" w:color="auto" w:fill="1F3A5F"/>
          </w:tcPr>
          <w:p>
            <w:pPr>
              <w:spacing w:after="40" w:before="40"/>
            </w:pPr>
            <w:r/>
            <w:r>
              <w:rPr>
                <w:rFonts w:ascii="Cambria" w:hAnsi="Cambria"/>
                <w:b/>
                <w:i w:val="0"/>
                <w:color w:val="FFFFFF"/>
                <w:sz w:val="22"/>
              </w:rPr>
              <w:t>Category</w:t>
            </w:r>
          </w:p>
        </w:tc>
        <w:tc>
          <w:tcPr>
            <w:tcW w:type="dxa" w:w="1474"/>
            <w:shd w:val="clear" w:color="auto" w:fill="1F3A5F"/>
          </w:tcPr>
          <w:p>
            <w:pPr>
              <w:spacing w:after="40" w:before="40"/>
            </w:pPr>
            <w:r/>
            <w:r>
              <w:rPr>
                <w:rFonts w:ascii="Cambria" w:hAnsi="Cambria"/>
                <w:b/>
                <w:i w:val="0"/>
                <w:color w:val="FFFFFF"/>
                <w:sz w:val="22"/>
              </w:rPr>
              <w:t>Tenure</w:t>
            </w:r>
          </w:p>
        </w:tc>
        <w:tc>
          <w:tcPr>
            <w:tcW w:type="dxa" w:w="1587"/>
            <w:shd w:val="clear" w:color="auto" w:fill="1F3A5F"/>
          </w:tcPr>
          <w:p>
            <w:pPr>
              <w:spacing w:after="40" w:before="40"/>
            </w:pPr>
            <w:r/>
            <w:r>
              <w:rPr>
                <w:rFonts w:ascii="Cambria" w:hAnsi="Cambria"/>
                <w:b/>
                <w:i w:val="0"/>
                <w:color w:val="FFFFFF"/>
                <w:sz w:val="22"/>
              </w:rPr>
              <w:t>Remuneration</w:t>
            </w:r>
          </w:p>
        </w:tc>
        <w:tc>
          <w:tcPr>
            <w:tcW w:type="dxa" w:w="1304"/>
            <w:shd w:val="clear" w:color="auto" w:fill="1F3A5F"/>
          </w:tcPr>
          <w:p>
            <w:pPr>
              <w:spacing w:after="40" w:before="40"/>
            </w:pPr>
            <w:r/>
            <w:r>
              <w:rPr>
                <w:rFonts w:ascii="Cambria" w:hAnsi="Cambria"/>
                <w:b/>
                <w:i w:val="0"/>
                <w:color w:val="FFFFFF"/>
                <w:sz w:val="22"/>
              </w:rPr>
              <w:t>Leave Entitlement</w:t>
            </w:r>
          </w:p>
        </w:tc>
        <w:tc>
          <w:tcPr>
            <w:tcW w:type="dxa" w:w="1304"/>
            <w:shd w:val="clear" w:color="auto" w:fill="1F3A5F"/>
          </w:tcPr>
          <w:p>
            <w:pPr>
              <w:spacing w:after="40" w:before="40"/>
            </w:pPr>
            <w:r/>
            <w:r>
              <w:rPr>
                <w:rFonts w:ascii="Cambria" w:hAnsi="Cambria"/>
                <w:b/>
                <w:i w:val="0"/>
                <w:color w:val="FFFFFF"/>
                <w:sz w:val="22"/>
              </w:rPr>
              <w:t>Termination Notice</w:t>
            </w:r>
          </w:p>
        </w:tc>
        <w:tc>
          <w:tcPr>
            <w:tcW w:type="dxa" w:w="1757"/>
            <w:shd w:val="clear" w:color="auto" w:fill="1F3A5F"/>
          </w:tcPr>
          <w:p>
            <w:pPr>
              <w:spacing w:after="40" w:before="40"/>
            </w:pPr>
            <w:r/>
            <w:r>
              <w:rPr>
                <w:rFonts w:ascii="Cambria" w:hAnsi="Cambria"/>
                <w:b/>
                <w:i w:val="0"/>
                <w:color w:val="FFFFFF"/>
                <w:sz w:val="22"/>
              </w:rPr>
              <w:t>Authority</w:t>
            </w:r>
          </w:p>
        </w:tc>
      </w:tr>
      <w:tr>
        <w:tc>
          <w:tcPr>
            <w:tcW w:type="dxa" w:w="1360"/>
          </w:tcPr>
          <w:p>
            <w:pPr>
              <w:spacing w:after="40" w:before="40"/>
            </w:pPr>
            <w:r/>
            <w:r>
              <w:rPr>
                <w:rFonts w:ascii="Cambria" w:hAnsi="Cambria"/>
                <w:b w:val="0"/>
                <w:i w:val="0"/>
                <w:sz w:val="22"/>
              </w:rPr>
              <w:t>Temporary Staff</w:t>
            </w:r>
          </w:p>
        </w:tc>
        <w:tc>
          <w:tcPr>
            <w:tcW w:type="dxa" w:w="1474"/>
          </w:tcPr>
          <w:p>
            <w:pPr>
              <w:spacing w:after="40" w:before="40"/>
            </w:pPr>
            <w:r/>
            <w:r>
              <w:rPr>
                <w:rFonts w:ascii="Cambria" w:hAnsi="Cambria"/>
                <w:b w:val="0"/>
                <w:i w:val="0"/>
                <w:sz w:val="22"/>
              </w:rPr>
              <w:t>Up to 11 months (extendable)</w:t>
            </w:r>
          </w:p>
        </w:tc>
        <w:tc>
          <w:tcPr>
            <w:tcW w:type="dxa" w:w="1587"/>
          </w:tcPr>
          <w:p>
            <w:pPr>
              <w:spacing w:after="40" w:before="40"/>
            </w:pPr>
            <w:r/>
            <w:r>
              <w:rPr>
                <w:rFonts w:ascii="Cambria" w:hAnsi="Cambria"/>
                <w:b w:val="0"/>
                <w:i w:val="0"/>
                <w:sz w:val="22"/>
              </w:rPr>
              <w:t>Consolidated monthly pay</w:t>
            </w:r>
          </w:p>
        </w:tc>
        <w:tc>
          <w:tcPr>
            <w:tcW w:type="dxa" w:w="1304"/>
          </w:tcPr>
          <w:p>
            <w:pPr>
              <w:spacing w:after="40" w:before="40"/>
            </w:pPr>
            <w:r/>
            <w:r>
              <w:rPr>
                <w:rFonts w:ascii="Cambria" w:hAnsi="Cambria"/>
                <w:b w:val="0"/>
                <w:i w:val="0"/>
                <w:sz w:val="22"/>
              </w:rPr>
              <w:t>1 day CL per month</w:t>
            </w:r>
          </w:p>
        </w:tc>
        <w:tc>
          <w:tcPr>
            <w:tcW w:type="dxa" w:w="1304"/>
          </w:tcPr>
          <w:p>
            <w:pPr>
              <w:spacing w:after="40" w:before="40"/>
            </w:pPr>
            <w:r/>
            <w:r>
              <w:rPr>
                <w:rFonts w:ascii="Cambria" w:hAnsi="Cambria"/>
                <w:b w:val="0"/>
                <w:i w:val="0"/>
                <w:sz w:val="22"/>
              </w:rPr>
              <w:t>1 week</w:t>
            </w:r>
          </w:p>
        </w:tc>
        <w:tc>
          <w:tcPr>
            <w:tcW w:type="dxa" w:w="1757"/>
          </w:tcPr>
          <w:p>
            <w:pPr>
              <w:spacing w:after="40" w:before="40"/>
            </w:pPr>
            <w:r/>
            <w:r>
              <w:rPr>
                <w:rFonts w:ascii="Cambria" w:hAnsi="Cambria"/>
                <w:b w:val="0"/>
                <w:i w:val="0"/>
                <w:sz w:val="22"/>
              </w:rPr>
              <w:t>Registrar / V.C. / BoM</w:t>
            </w:r>
          </w:p>
        </w:tc>
      </w:tr>
      <w:tr>
        <w:tc>
          <w:tcPr>
            <w:tcW w:type="dxa" w:w="1360"/>
            <w:shd w:val="clear" w:color="auto" w:fill="F0F2F5"/>
          </w:tcPr>
          <w:p>
            <w:pPr>
              <w:spacing w:after="40" w:before="40"/>
            </w:pPr>
            <w:r/>
            <w:r>
              <w:rPr>
                <w:rFonts w:ascii="Cambria" w:hAnsi="Cambria"/>
                <w:b w:val="0"/>
                <w:i w:val="0"/>
                <w:sz w:val="22"/>
              </w:rPr>
              <w:t>Daily Wage Staff</w:t>
            </w:r>
          </w:p>
        </w:tc>
        <w:tc>
          <w:tcPr>
            <w:tcW w:type="dxa" w:w="1474"/>
            <w:shd w:val="clear" w:color="auto" w:fill="F0F2F5"/>
          </w:tcPr>
          <w:p>
            <w:pPr>
              <w:spacing w:after="40" w:before="40"/>
            </w:pPr>
            <w:r/>
            <w:r>
              <w:rPr>
                <w:rFonts w:ascii="Cambria" w:hAnsi="Cambria"/>
                <w:b w:val="0"/>
                <w:i w:val="0"/>
                <w:sz w:val="22"/>
              </w:rPr>
              <w:t>Up to 90 days</w:t>
            </w:r>
          </w:p>
        </w:tc>
        <w:tc>
          <w:tcPr>
            <w:tcW w:type="dxa" w:w="1587"/>
            <w:shd w:val="clear" w:color="auto" w:fill="F0F2F5"/>
          </w:tcPr>
          <w:p>
            <w:pPr>
              <w:spacing w:after="40" w:before="40"/>
            </w:pPr>
            <w:r/>
            <w:r>
              <w:rPr>
                <w:rFonts w:ascii="Cambria" w:hAnsi="Cambria"/>
                <w:b w:val="0"/>
                <w:i w:val="0"/>
                <w:sz w:val="22"/>
              </w:rPr>
              <w:t>Per-day wage (approved rate)</w:t>
            </w:r>
          </w:p>
        </w:tc>
        <w:tc>
          <w:tcPr>
            <w:tcW w:type="dxa" w:w="1304"/>
            <w:shd w:val="clear" w:color="auto" w:fill="F0F2F5"/>
          </w:tcPr>
          <w:p>
            <w:pPr>
              <w:spacing w:after="40" w:before="40"/>
            </w:pPr>
            <w:r/>
            <w:r>
              <w:rPr>
                <w:rFonts w:ascii="Cambria" w:hAnsi="Cambria"/>
                <w:b w:val="0"/>
                <w:i w:val="0"/>
                <w:sz w:val="22"/>
              </w:rPr>
              <w:t>None</w:t>
            </w:r>
          </w:p>
        </w:tc>
        <w:tc>
          <w:tcPr>
            <w:tcW w:type="dxa" w:w="1304"/>
            <w:shd w:val="clear" w:color="auto" w:fill="F0F2F5"/>
          </w:tcPr>
          <w:p>
            <w:pPr>
              <w:spacing w:after="40" w:before="40"/>
            </w:pPr>
            <w:r/>
            <w:r>
              <w:rPr>
                <w:rFonts w:ascii="Cambria" w:hAnsi="Cambria"/>
                <w:b w:val="0"/>
                <w:i w:val="0"/>
                <w:sz w:val="22"/>
              </w:rPr>
              <w:t>None (instant)</w:t>
            </w:r>
          </w:p>
        </w:tc>
        <w:tc>
          <w:tcPr>
            <w:tcW w:type="dxa" w:w="1757"/>
            <w:shd w:val="clear" w:color="auto" w:fill="F0F2F5"/>
          </w:tcPr>
          <w:p>
            <w:pPr>
              <w:spacing w:after="40" w:before="40"/>
            </w:pPr>
            <w:r/>
            <w:r>
              <w:rPr>
                <w:rFonts w:ascii="Cambria" w:hAnsi="Cambria"/>
                <w:b w:val="0"/>
                <w:i w:val="0"/>
                <w:sz w:val="22"/>
              </w:rPr>
              <w:t>Registrar / Department Head</w:t>
            </w:r>
          </w:p>
        </w:tc>
      </w:tr>
    </w:tbl>
    <w:p>
      <w:pPr>
        <w:spacing w:after="40"/>
      </w:pPr>
    </w:p>
    <w:p>
      <w:pPr>
        <w:keepNext/>
        <w:spacing w:before="200" w:after="120"/>
      </w:pPr>
      <w:r>
        <w:rPr>
          <w:rFonts w:ascii="Cambria" w:hAnsi="Cambria"/>
          <w:b/>
          <w:color w:val="1F3A5F"/>
          <w:sz w:val="24"/>
        </w:rPr>
        <w:t>IX. Key Policy Guidelines</w:t>
      </w:r>
    </w:p>
    <w:p>
      <w:pPr>
        <w:pStyle w:val="ListBullet"/>
        <w:spacing w:line="276" w:lineRule="auto"/>
        <w:ind w:left="510"/>
      </w:pPr>
      <w:r>
        <w:rPr>
          <w:rFonts w:ascii="Cambria" w:hAnsi="Cambria"/>
          <w:b w:val="0"/>
          <w:i w:val="0"/>
          <w:sz w:val="22"/>
        </w:rPr>
        <w:t>Temporary and daily wage staff are to be engaged only when absolutely necessary and after verifying that no regular or contractual staff is available for the work.</w:t>
      </w:r>
    </w:p>
    <w:p>
      <w:pPr>
        <w:pStyle w:val="ListBullet"/>
        <w:spacing w:line="276" w:lineRule="auto"/>
        <w:ind w:left="510"/>
      </w:pPr>
      <w:r>
        <w:rPr>
          <w:rFonts w:ascii="Cambria" w:hAnsi="Cambria"/>
          <w:b w:val="0"/>
          <w:i w:val="0"/>
          <w:sz w:val="22"/>
        </w:rPr>
        <w:t>Engagement of such staff is subject to financial sanction and budgetary allocation.</w:t>
      </w:r>
    </w:p>
    <w:p>
      <w:pPr>
        <w:pStyle w:val="ListBullet"/>
        <w:spacing w:line="276" w:lineRule="auto"/>
        <w:ind w:left="510"/>
      </w:pPr>
      <w:r>
        <w:rPr>
          <w:rFonts w:ascii="Cambria" w:hAnsi="Cambria"/>
          <w:b w:val="0"/>
          <w:i w:val="0"/>
          <w:sz w:val="22"/>
        </w:rPr>
        <w:t>The University reserves the right to discontinue or modify this policy in alignment with UGC, AICTE, or Government directives.</w:t>
      </w:r>
    </w:p>
    <w:p>
      <w:pPr>
        <w:keepNext/>
        <w:spacing w:before="200" w:after="120"/>
      </w:pPr>
      <w:r>
        <w:rPr>
          <w:rFonts w:ascii="Cambria" w:hAnsi="Cambria"/>
          <w:b/>
          <w:color w:val="1F3A5F"/>
          <w:sz w:val="27"/>
        </w:rPr>
        <w:t>E. Contract Renewal, Disengagement, and Absorption Restrictions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lay down the regulations governing renewal, termination (disengagement), and absorption restrictions for personnel appointed on contract, project-based, or temporary terms in the University.</w:t>
      </w:r>
    </w:p>
    <w:p>
      <w:pPr>
        <w:pStyle w:val="ListBullet"/>
        <w:spacing w:line="276" w:lineRule="auto"/>
        <w:ind w:left="510"/>
      </w:pPr>
      <w:r>
        <w:rPr>
          <w:rFonts w:ascii="Cambria" w:hAnsi="Cambria"/>
          <w:b w:val="0"/>
          <w:i w:val="0"/>
          <w:sz w:val="22"/>
        </w:rPr>
        <w:t>This policy ensures transparency, fairness, and compliance with the University’s administrative and financial norms while maintaining institutional flexibility in workforce management.</w:t>
      </w:r>
    </w:p>
    <w:p>
      <w:pPr>
        <w:keepNext/>
        <w:spacing w:before="200" w:after="120"/>
      </w:pPr>
      <w:r>
        <w:rPr>
          <w:rFonts w:ascii="Cambria" w:hAnsi="Cambria"/>
          <w:b/>
          <w:color w:val="1F3A5F"/>
          <w:sz w:val="24"/>
        </w:rPr>
        <w:t>I. Contract Renewal Policy</w:t>
      </w:r>
    </w:p>
    <w:p>
      <w:pPr>
        <w:spacing w:line="276" w:lineRule="auto"/>
        <w:ind w:left="357" w:hanging="357"/>
      </w:pPr>
      <w:r>
        <w:rPr>
          <w:rFonts w:ascii="Cambria" w:hAnsi="Cambria"/>
          <w:b w:val="0"/>
          <w:i w:val="0"/>
          <w:sz w:val="22"/>
        </w:rPr>
        <w:t xml:space="preserve">1. </w:t>
      </w:r>
      <w:r>
        <w:rPr>
          <w:rFonts w:ascii="Cambria" w:hAnsi="Cambria"/>
          <w:b w:val="0"/>
          <w:i w:val="0"/>
          <w:sz w:val="22"/>
        </w:rPr>
        <w:t>Eligibility for Renewal:</w:t>
      </w:r>
    </w:p>
    <w:p>
      <w:pPr>
        <w:pStyle w:val="ListBullet2"/>
        <w:spacing w:line="276" w:lineRule="auto"/>
        <w:ind w:left="1020"/>
      </w:pPr>
      <w:r>
        <w:rPr>
          <w:rFonts w:ascii="Cambria" w:hAnsi="Cambria"/>
          <w:b w:val="0"/>
          <w:i w:val="0"/>
          <w:sz w:val="22"/>
        </w:rPr>
        <w:t>Renewal of a contractual or project-based appointment shall be considered only if:</w:t>
      </w:r>
    </w:p>
    <w:p>
      <w:pPr>
        <w:pStyle w:val="ListBullet2"/>
        <w:ind w:left="1474"/>
      </w:pPr>
      <w:r>
        <w:rPr>
          <w:rFonts w:ascii="Cambria" w:hAnsi="Cambria"/>
          <w:b w:val="0"/>
          <w:i w:val="0"/>
          <w:sz w:val="22"/>
        </w:rPr>
        <w:t>The project or assignment continues to exist;</w:t>
      </w:r>
    </w:p>
    <w:p>
      <w:pPr>
        <w:pStyle w:val="ListBullet2"/>
        <w:ind w:left="1474"/>
      </w:pPr>
      <w:r>
        <w:rPr>
          <w:rFonts w:ascii="Cambria" w:hAnsi="Cambria"/>
          <w:b w:val="0"/>
          <w:i w:val="0"/>
          <w:sz w:val="22"/>
        </w:rPr>
        <w:t>Performance and conduct of the employee are satisfactory; and</w:t>
      </w:r>
    </w:p>
    <w:p>
      <w:pPr>
        <w:pStyle w:val="ListBullet2"/>
        <w:ind w:left="1474"/>
      </w:pPr>
      <w:r>
        <w:rPr>
          <w:rFonts w:ascii="Cambria" w:hAnsi="Cambria"/>
          <w:b w:val="0"/>
          <w:i w:val="0"/>
          <w:sz w:val="22"/>
        </w:rPr>
        <w:t>Funds are available for continued engagement.</w:t>
      </w:r>
    </w:p>
    <w:p>
      <w:pPr>
        <w:spacing w:line="276" w:lineRule="auto"/>
        <w:ind w:left="357" w:hanging="357"/>
      </w:pPr>
      <w:r>
        <w:rPr>
          <w:rFonts w:ascii="Cambria" w:hAnsi="Cambria"/>
          <w:b w:val="0"/>
          <w:i w:val="0"/>
          <w:sz w:val="22"/>
        </w:rPr>
        <w:t xml:space="preserve">2. </w:t>
      </w:r>
      <w:r>
        <w:rPr>
          <w:rFonts w:ascii="Cambria" w:hAnsi="Cambria"/>
          <w:b w:val="0"/>
          <w:i w:val="0"/>
          <w:sz w:val="22"/>
        </w:rPr>
        <w:t>Performance Evaluation:</w:t>
      </w:r>
    </w:p>
    <w:p>
      <w:pPr>
        <w:pStyle w:val="ListBullet2"/>
        <w:spacing w:line="276" w:lineRule="auto"/>
        <w:ind w:left="1020"/>
      </w:pPr>
      <w:r>
        <w:rPr>
          <w:rFonts w:ascii="Cambria" w:hAnsi="Cambria"/>
          <w:b w:val="0"/>
          <w:i w:val="0"/>
          <w:sz w:val="22"/>
        </w:rPr>
        <w:t>A performance appraisal report must be submitted by the Immediate Supervisor / Principal Investigator (PI) at least one month before contract expiry.</w:t>
      </w:r>
    </w:p>
    <w:p>
      <w:pPr>
        <w:pStyle w:val="ListBullet2"/>
        <w:spacing w:line="276" w:lineRule="auto"/>
        <w:ind w:left="1020"/>
      </w:pPr>
      <w:r>
        <w:rPr>
          <w:rFonts w:ascii="Cambria" w:hAnsi="Cambria"/>
          <w:b w:val="0"/>
          <w:i w:val="0"/>
          <w:sz w:val="22"/>
        </w:rPr>
        <w:t>Evaluation shall include:</w:t>
      </w:r>
    </w:p>
    <w:p>
      <w:pPr>
        <w:pStyle w:val="ListBullet2"/>
        <w:ind w:left="1474"/>
      </w:pPr>
      <w:r>
        <w:rPr>
          <w:rFonts w:ascii="Cambria" w:hAnsi="Cambria"/>
          <w:b w:val="0"/>
          <w:i w:val="0"/>
          <w:sz w:val="22"/>
        </w:rPr>
        <w:t>Quality of work and punctuality.</w:t>
      </w:r>
    </w:p>
    <w:p>
      <w:pPr>
        <w:pStyle w:val="ListBullet2"/>
        <w:ind w:left="1474"/>
      </w:pPr>
      <w:r>
        <w:rPr>
          <w:rFonts w:ascii="Cambria" w:hAnsi="Cambria"/>
          <w:b w:val="0"/>
          <w:i w:val="0"/>
          <w:sz w:val="22"/>
        </w:rPr>
        <w:t>Attitude and cooperation with peers.</w:t>
      </w:r>
    </w:p>
    <w:p>
      <w:pPr>
        <w:pStyle w:val="ListBullet2"/>
        <w:ind w:left="1474"/>
      </w:pPr>
      <w:r>
        <w:rPr>
          <w:rFonts w:ascii="Cambria" w:hAnsi="Cambria"/>
          <w:b w:val="0"/>
          <w:i w:val="0"/>
          <w:sz w:val="22"/>
        </w:rPr>
        <w:t>Adherence to institutional discipline and project goals.</w:t>
      </w:r>
    </w:p>
    <w:p>
      <w:pPr>
        <w:spacing w:line="276" w:lineRule="auto"/>
        <w:ind w:left="357" w:hanging="357"/>
      </w:pPr>
      <w:r>
        <w:rPr>
          <w:rFonts w:ascii="Cambria" w:hAnsi="Cambria"/>
          <w:b w:val="0"/>
          <w:i w:val="0"/>
          <w:sz w:val="22"/>
        </w:rPr>
        <w:t xml:space="preserve">3. </w:t>
      </w:r>
      <w:r>
        <w:rPr>
          <w:rFonts w:ascii="Cambria" w:hAnsi="Cambria"/>
          <w:b w:val="0"/>
          <w:i w:val="0"/>
          <w:sz w:val="22"/>
        </w:rPr>
        <w:t>Duration of Renewal:</w:t>
      </w:r>
    </w:p>
    <w:p>
      <w:pPr>
        <w:pStyle w:val="ListBullet2"/>
        <w:spacing w:line="276" w:lineRule="auto"/>
        <w:ind w:left="1020"/>
      </w:pPr>
      <w:r>
        <w:rPr>
          <w:rFonts w:ascii="Cambria" w:hAnsi="Cambria"/>
          <w:b w:val="0"/>
          <w:i w:val="0"/>
          <w:sz w:val="22"/>
        </w:rPr>
        <w:t>Renewal may be granted for a period not exceeding the original term or until the project’s completion, whichever is earlier.</w:t>
      </w:r>
    </w:p>
    <w:p>
      <w:pPr>
        <w:pStyle w:val="ListBullet2"/>
        <w:spacing w:line="276" w:lineRule="auto"/>
        <w:ind w:left="1020"/>
      </w:pPr>
      <w:r>
        <w:rPr>
          <w:rFonts w:ascii="Cambria" w:hAnsi="Cambria"/>
          <w:b w:val="0"/>
          <w:i w:val="0"/>
          <w:sz w:val="22"/>
        </w:rPr>
        <w:t>Normally, contracts are renewed annually or as per funding agency terms.</w:t>
      </w:r>
    </w:p>
    <w:p>
      <w:pPr>
        <w:spacing w:line="276" w:lineRule="auto"/>
        <w:ind w:left="357" w:hanging="357"/>
      </w:pPr>
      <w:r>
        <w:rPr>
          <w:rFonts w:ascii="Cambria" w:hAnsi="Cambria"/>
          <w:b w:val="0"/>
          <w:i w:val="0"/>
          <w:sz w:val="22"/>
        </w:rPr>
        <w:t xml:space="preserve">4. </w:t>
      </w:r>
      <w:r>
        <w:rPr>
          <w:rFonts w:ascii="Cambria" w:hAnsi="Cambria"/>
          <w:b w:val="0"/>
          <w:i w:val="0"/>
          <w:sz w:val="22"/>
        </w:rPr>
        <w:t>Approval Process:</w:t>
      </w:r>
    </w:p>
    <w:p>
      <w:pPr>
        <w:pStyle w:val="ListBullet2"/>
        <w:spacing w:line="276" w:lineRule="auto"/>
        <w:ind w:left="1020"/>
      </w:pPr>
      <w:r>
        <w:rPr>
          <w:rFonts w:ascii="Cambria" w:hAnsi="Cambria"/>
          <w:b w:val="0"/>
          <w:i w:val="0"/>
          <w:sz w:val="22"/>
        </w:rPr>
        <w:t>Renewal shall be approved by the competent authority, depending on post type:</w:t>
      </w:r>
    </w:p>
    <w:p>
      <w:pPr>
        <w:pStyle w:val="ListBullet2"/>
        <w:ind w:left="1474"/>
      </w:pPr>
      <w:r>
        <w:rPr>
          <w:rFonts w:ascii="Cambria" w:hAnsi="Cambria"/>
          <w:b w:val="0"/>
          <w:i w:val="0"/>
          <w:sz w:val="22"/>
        </w:rPr>
        <w:t>Registrar / Dean (Research) for project staff.</w:t>
      </w:r>
    </w:p>
    <w:p>
      <w:pPr>
        <w:pStyle w:val="ListBullet2"/>
        <w:ind w:left="1474"/>
      </w:pPr>
      <w:r>
        <w:rPr>
          <w:rFonts w:ascii="Cambria" w:hAnsi="Cambria"/>
          <w:b w:val="0"/>
          <w:i w:val="0"/>
          <w:sz w:val="22"/>
        </w:rPr>
        <w:t>Vice-Chancellor (V.C.) for University contract staff.</w:t>
      </w:r>
    </w:p>
    <w:p>
      <w:pPr>
        <w:pStyle w:val="ListBullet2"/>
        <w:ind w:left="1474"/>
      </w:pPr>
      <w:r>
        <w:rPr>
          <w:rFonts w:ascii="Cambria" w:hAnsi="Cambria"/>
          <w:b w:val="0"/>
          <w:i w:val="0"/>
          <w:sz w:val="22"/>
        </w:rPr>
        <w:t>Board of Management (BoM) for high-value or senior contract appointments.</w:t>
      </w:r>
    </w:p>
    <w:p>
      <w:pPr>
        <w:spacing w:line="276" w:lineRule="auto"/>
        <w:ind w:left="357" w:hanging="357"/>
      </w:pPr>
      <w:r>
        <w:rPr>
          <w:rFonts w:ascii="Cambria" w:hAnsi="Cambria"/>
          <w:b w:val="0"/>
          <w:i w:val="0"/>
          <w:sz w:val="22"/>
        </w:rPr>
        <w:t xml:space="preserve">5. </w:t>
      </w:r>
      <w:r>
        <w:rPr>
          <w:rFonts w:ascii="Cambria" w:hAnsi="Cambria"/>
          <w:b w:val="0"/>
          <w:i w:val="0"/>
          <w:sz w:val="22"/>
        </w:rPr>
        <w:t>Documentation:</w:t>
      </w:r>
    </w:p>
    <w:p>
      <w:pPr>
        <w:pStyle w:val="ListBullet2"/>
        <w:spacing w:line="276" w:lineRule="auto"/>
        <w:ind w:left="1020"/>
      </w:pPr>
      <w:r>
        <w:rPr>
          <w:rFonts w:ascii="Cambria" w:hAnsi="Cambria"/>
          <w:b w:val="0"/>
          <w:i w:val="0"/>
          <w:sz w:val="22"/>
        </w:rPr>
        <w:t>Each renewal shall be supported by:</w:t>
      </w:r>
    </w:p>
    <w:p>
      <w:pPr>
        <w:pStyle w:val="ListBullet2"/>
        <w:ind w:left="1474"/>
      </w:pPr>
      <w:r>
        <w:rPr>
          <w:rFonts w:ascii="Cambria" w:hAnsi="Cambria"/>
          <w:b w:val="0"/>
          <w:i w:val="0"/>
          <w:sz w:val="22"/>
        </w:rPr>
        <w:t>Previous appointment order.</w:t>
      </w:r>
    </w:p>
    <w:p>
      <w:pPr>
        <w:pStyle w:val="ListBullet2"/>
        <w:ind w:left="1474"/>
      </w:pPr>
      <w:r>
        <w:rPr>
          <w:rFonts w:ascii="Cambria" w:hAnsi="Cambria"/>
          <w:b w:val="0"/>
          <w:i w:val="0"/>
          <w:sz w:val="22"/>
        </w:rPr>
        <w:t>Performance appraisal.</w:t>
      </w:r>
    </w:p>
    <w:p>
      <w:pPr>
        <w:pStyle w:val="ListBullet2"/>
        <w:ind w:left="1474"/>
      </w:pPr>
      <w:r>
        <w:rPr>
          <w:rFonts w:ascii="Cambria" w:hAnsi="Cambria"/>
          <w:b w:val="0"/>
          <w:i w:val="0"/>
          <w:sz w:val="22"/>
        </w:rPr>
        <w:t>Updated contract agreement with revised tenure.</w:t>
      </w:r>
    </w:p>
    <w:p>
      <w:pPr>
        <w:pStyle w:val="ListBullet2"/>
        <w:spacing w:line="276" w:lineRule="auto"/>
        <w:ind w:left="1020"/>
      </w:pPr>
      <w:r>
        <w:rPr>
          <w:rFonts w:ascii="Cambria" w:hAnsi="Cambria"/>
          <w:b w:val="0"/>
          <w:i w:val="0"/>
          <w:sz w:val="22"/>
        </w:rPr>
        <w:t>Renewal orders must be issued before the expiry date to avoid service gaps.</w:t>
      </w:r>
    </w:p>
    <w:p>
      <w:pPr>
        <w:keepNext/>
        <w:spacing w:before="200" w:after="120"/>
      </w:pPr>
      <w:r>
        <w:rPr>
          <w:rFonts w:ascii="Cambria" w:hAnsi="Cambria"/>
          <w:b/>
          <w:color w:val="1F3A5F"/>
          <w:sz w:val="24"/>
        </w:rPr>
        <w:t>II. Disengagement (Termination) Policy</w:t>
      </w:r>
    </w:p>
    <w:p>
      <w:pPr>
        <w:spacing w:line="276" w:lineRule="auto"/>
        <w:ind w:left="357" w:hanging="357"/>
      </w:pPr>
      <w:r>
        <w:rPr>
          <w:rFonts w:ascii="Cambria" w:hAnsi="Cambria"/>
          <w:b w:val="0"/>
          <w:i w:val="0"/>
          <w:sz w:val="22"/>
        </w:rPr>
        <w:t xml:space="preserve">1. </w:t>
      </w:r>
      <w:r>
        <w:rPr>
          <w:rFonts w:ascii="Cambria" w:hAnsi="Cambria"/>
          <w:b w:val="0"/>
          <w:i w:val="0"/>
          <w:sz w:val="22"/>
        </w:rPr>
        <w:t>Grounds for Disengagement:</w:t>
      </w:r>
    </w:p>
    <w:p>
      <w:pPr>
        <w:pStyle w:val="ListBullet2"/>
        <w:spacing w:line="276" w:lineRule="auto"/>
        <w:ind w:left="1020"/>
      </w:pPr>
      <w:r>
        <w:rPr>
          <w:rFonts w:ascii="Cambria" w:hAnsi="Cambria"/>
          <w:b w:val="0"/>
          <w:i w:val="0"/>
          <w:sz w:val="22"/>
        </w:rPr>
        <w:t>Disengagement or early termination of a contract may occur under the following conditions:</w:t>
      </w:r>
    </w:p>
    <w:p>
      <w:pPr>
        <w:pStyle w:val="ListBullet2"/>
        <w:ind w:left="1474"/>
      </w:pPr>
      <w:r>
        <w:rPr>
          <w:rFonts w:ascii="Cambria" w:hAnsi="Cambria"/>
          <w:b w:val="0"/>
          <w:i w:val="0"/>
          <w:sz w:val="22"/>
        </w:rPr>
        <w:t>Completion or discontinuation of the project / assignment.</w:t>
      </w:r>
    </w:p>
    <w:p>
      <w:pPr>
        <w:pStyle w:val="ListBullet2"/>
        <w:ind w:left="1474"/>
      </w:pPr>
      <w:r>
        <w:rPr>
          <w:rFonts w:ascii="Cambria" w:hAnsi="Cambria"/>
          <w:b w:val="0"/>
          <w:i w:val="0"/>
          <w:sz w:val="22"/>
        </w:rPr>
        <w:t>Unsatisfactory performance or misconduct.</w:t>
      </w:r>
    </w:p>
    <w:p>
      <w:pPr>
        <w:pStyle w:val="ListBullet2"/>
        <w:ind w:left="1474"/>
      </w:pPr>
      <w:r>
        <w:rPr>
          <w:rFonts w:ascii="Cambria" w:hAnsi="Cambria"/>
          <w:b w:val="0"/>
          <w:i w:val="0"/>
          <w:sz w:val="22"/>
        </w:rPr>
        <w:t>Violation of service rules or breach of confidentiality.</w:t>
      </w:r>
    </w:p>
    <w:p>
      <w:pPr>
        <w:pStyle w:val="ListBullet2"/>
        <w:ind w:left="1474"/>
      </w:pPr>
      <w:r>
        <w:rPr>
          <w:rFonts w:ascii="Cambria" w:hAnsi="Cambria"/>
          <w:b w:val="0"/>
          <w:i w:val="0"/>
          <w:sz w:val="22"/>
        </w:rPr>
        <w:t>Financial constraints or withdrawal of funding support.</w:t>
      </w:r>
    </w:p>
    <w:p>
      <w:pPr>
        <w:spacing w:line="276" w:lineRule="auto"/>
        <w:ind w:left="357" w:hanging="357"/>
      </w:pPr>
      <w:r>
        <w:rPr>
          <w:rFonts w:ascii="Cambria" w:hAnsi="Cambria"/>
          <w:b w:val="0"/>
          <w:i w:val="0"/>
          <w:sz w:val="22"/>
        </w:rPr>
        <w:t xml:space="preserve">2. </w:t>
      </w:r>
      <w:r>
        <w:rPr>
          <w:rFonts w:ascii="Cambria" w:hAnsi="Cambria"/>
          <w:b w:val="0"/>
          <w:i w:val="0"/>
          <w:sz w:val="22"/>
        </w:rPr>
        <w:t>Notice Period:</w:t>
      </w:r>
    </w:p>
    <w:p>
      <w:pPr>
        <w:pStyle w:val="ListBullet2"/>
        <w:spacing w:line="276" w:lineRule="auto"/>
        <w:ind w:left="1020"/>
      </w:pPr>
      <w:r>
        <w:rPr>
          <w:rFonts w:ascii="Cambria" w:hAnsi="Cambria"/>
          <w:b w:val="0"/>
          <w:i w:val="0"/>
          <w:sz w:val="22"/>
        </w:rPr>
        <w:t>Unless otherwise specified in the appointment order:</w:t>
      </w:r>
    </w:p>
    <w:p>
      <w:pPr>
        <w:pStyle w:val="ListBullet2"/>
        <w:ind w:left="1474"/>
      </w:pPr>
      <w:r>
        <w:rPr>
          <w:rFonts w:ascii="Cambria" w:hAnsi="Cambria"/>
          <w:b w:val="0"/>
          <w:i w:val="0"/>
          <w:sz w:val="22"/>
        </w:rPr>
        <w:t>Either party may terminate the contract with one month’s notice or one month’s pay in lieu of notice.</w:t>
      </w:r>
    </w:p>
    <w:p>
      <w:pPr>
        <w:pStyle w:val="ListBullet2"/>
        <w:ind w:left="1474"/>
      </w:pPr>
      <w:r>
        <w:rPr>
          <w:rFonts w:ascii="Cambria" w:hAnsi="Cambria"/>
          <w:b w:val="0"/>
          <w:i w:val="0"/>
          <w:sz w:val="22"/>
        </w:rPr>
        <w:t>In cases of misconduct or moral turpitude, the employee may be terminated without notice.</w:t>
      </w:r>
    </w:p>
    <w:p>
      <w:pPr>
        <w:spacing w:line="276" w:lineRule="auto"/>
        <w:ind w:left="357" w:hanging="357"/>
      </w:pPr>
      <w:r>
        <w:rPr>
          <w:rFonts w:ascii="Cambria" w:hAnsi="Cambria"/>
          <w:b w:val="0"/>
          <w:i w:val="0"/>
          <w:sz w:val="22"/>
        </w:rPr>
        <w:t xml:space="preserve">3. </w:t>
      </w:r>
      <w:r>
        <w:rPr>
          <w:rFonts w:ascii="Cambria" w:hAnsi="Cambria"/>
          <w:b w:val="0"/>
          <w:i w:val="0"/>
          <w:sz w:val="22"/>
        </w:rPr>
        <w:t>Exit Formalities:</w:t>
      </w:r>
    </w:p>
    <w:p>
      <w:pPr>
        <w:pStyle w:val="ListBullet2"/>
        <w:spacing w:line="276" w:lineRule="auto"/>
        <w:ind w:left="1020"/>
      </w:pPr>
      <w:r>
        <w:rPr>
          <w:rFonts w:ascii="Cambria" w:hAnsi="Cambria"/>
          <w:b w:val="0"/>
          <w:i w:val="0"/>
          <w:sz w:val="22"/>
        </w:rPr>
        <w:t>Before disengagement, the employee shall:</w:t>
      </w:r>
    </w:p>
    <w:p>
      <w:pPr>
        <w:pStyle w:val="ListBullet2"/>
        <w:ind w:left="1474"/>
      </w:pPr>
      <w:r>
        <w:rPr>
          <w:rFonts w:ascii="Cambria" w:hAnsi="Cambria"/>
          <w:b w:val="0"/>
          <w:i w:val="0"/>
          <w:sz w:val="22"/>
        </w:rPr>
        <w:t>Submit No Dues Certificate (NDC) from concerned departments.</w:t>
      </w:r>
    </w:p>
    <w:p>
      <w:pPr>
        <w:pStyle w:val="ListBullet2"/>
        <w:ind w:left="1474"/>
      </w:pPr>
      <w:r>
        <w:rPr>
          <w:rFonts w:ascii="Cambria" w:hAnsi="Cambria"/>
          <w:b w:val="0"/>
          <w:i w:val="0"/>
          <w:sz w:val="22"/>
        </w:rPr>
        <w:t>Return all University property, documents, and equipment.</w:t>
      </w:r>
    </w:p>
    <w:p>
      <w:pPr>
        <w:pStyle w:val="ListBullet2"/>
        <w:ind w:left="1474"/>
      </w:pPr>
      <w:r>
        <w:rPr>
          <w:rFonts w:ascii="Cambria" w:hAnsi="Cambria"/>
          <w:b w:val="0"/>
          <w:i w:val="0"/>
          <w:sz w:val="22"/>
        </w:rPr>
        <w:t>Complete handover of records, passwords, and project materials.</w:t>
      </w:r>
    </w:p>
    <w:p>
      <w:pPr>
        <w:spacing w:line="276" w:lineRule="auto"/>
        <w:ind w:left="357" w:hanging="357"/>
      </w:pPr>
      <w:r>
        <w:rPr>
          <w:rFonts w:ascii="Cambria" w:hAnsi="Cambria"/>
          <w:b w:val="0"/>
          <w:i w:val="0"/>
          <w:sz w:val="22"/>
        </w:rPr>
        <w:t xml:space="preserve">4. </w:t>
      </w:r>
      <w:r>
        <w:rPr>
          <w:rFonts w:ascii="Cambria" w:hAnsi="Cambria"/>
          <w:b w:val="0"/>
          <w:i w:val="0"/>
          <w:sz w:val="22"/>
        </w:rPr>
        <w:t>Final Settlement:</w:t>
      </w:r>
    </w:p>
    <w:p>
      <w:pPr>
        <w:pStyle w:val="ListBullet2"/>
        <w:spacing w:line="276" w:lineRule="auto"/>
        <w:ind w:left="1020"/>
      </w:pPr>
      <w:r>
        <w:rPr>
          <w:rFonts w:ascii="Cambria" w:hAnsi="Cambria"/>
          <w:b w:val="0"/>
          <w:i w:val="0"/>
          <w:sz w:val="22"/>
        </w:rPr>
        <w:t>The HR/Finance Section shall ensure:</w:t>
      </w:r>
    </w:p>
    <w:p>
      <w:pPr>
        <w:pStyle w:val="ListBullet2"/>
        <w:ind w:left="1474"/>
      </w:pPr>
      <w:r>
        <w:rPr>
          <w:rFonts w:ascii="Cambria" w:hAnsi="Cambria"/>
          <w:b w:val="0"/>
          <w:i w:val="0"/>
          <w:sz w:val="22"/>
        </w:rPr>
        <w:t>Payment of outstanding remuneration up to the last working day.</w:t>
      </w:r>
    </w:p>
    <w:p>
      <w:pPr>
        <w:pStyle w:val="ListBullet2"/>
        <w:ind w:left="1474"/>
      </w:pPr>
      <w:r>
        <w:rPr>
          <w:rFonts w:ascii="Cambria" w:hAnsi="Cambria"/>
          <w:b w:val="0"/>
          <w:i w:val="0"/>
          <w:sz w:val="22"/>
        </w:rPr>
        <w:t>Deduction of any recoveries as per institutional rules.</w:t>
      </w:r>
    </w:p>
    <w:p>
      <w:pPr>
        <w:pStyle w:val="ListBullet2"/>
        <w:ind w:left="1474"/>
      </w:pPr>
      <w:r>
        <w:rPr>
          <w:rFonts w:ascii="Cambria" w:hAnsi="Cambria"/>
          <w:b w:val="0"/>
          <w:i w:val="0"/>
          <w:sz w:val="22"/>
        </w:rPr>
        <w:t>Issue of Service Certificate for the completed period.</w:t>
      </w:r>
    </w:p>
    <w:p>
      <w:pPr>
        <w:keepNext/>
        <w:spacing w:before="200" w:after="120"/>
      </w:pPr>
      <w:r>
        <w:rPr>
          <w:rFonts w:ascii="Cambria" w:hAnsi="Cambria"/>
          <w:b/>
          <w:color w:val="1F3A5F"/>
          <w:sz w:val="24"/>
        </w:rPr>
        <w:t>III. Absorption Restrictions Policy</w:t>
      </w:r>
    </w:p>
    <w:p>
      <w:pPr>
        <w:spacing w:line="276" w:lineRule="auto"/>
        <w:ind w:left="357" w:hanging="357"/>
      </w:pPr>
      <w:r>
        <w:rPr>
          <w:rFonts w:ascii="Cambria" w:hAnsi="Cambria"/>
          <w:b w:val="0"/>
          <w:i w:val="0"/>
          <w:sz w:val="22"/>
        </w:rPr>
        <w:t xml:space="preserve">1. </w:t>
      </w:r>
      <w:r>
        <w:rPr>
          <w:rFonts w:ascii="Cambria" w:hAnsi="Cambria"/>
          <w:b w:val="0"/>
          <w:i w:val="0"/>
          <w:sz w:val="22"/>
        </w:rPr>
        <w:t>No Right to Regularization:</w:t>
      </w:r>
    </w:p>
    <w:p>
      <w:pPr>
        <w:pStyle w:val="ListBullet2"/>
        <w:spacing w:line="276" w:lineRule="auto"/>
        <w:ind w:left="1020"/>
      </w:pPr>
      <w:r>
        <w:rPr>
          <w:rFonts w:ascii="Cambria" w:hAnsi="Cambria"/>
          <w:b w:val="0"/>
          <w:i w:val="0"/>
          <w:sz w:val="22"/>
        </w:rPr>
        <w:t>Employees appointed on contract, temporary, daily wage, or project basis shall have no claim to regular absorption in the University’s permanent establishment.</w:t>
      </w:r>
    </w:p>
    <w:p>
      <w:pPr>
        <w:pStyle w:val="ListBullet2"/>
        <w:spacing w:line="276" w:lineRule="auto"/>
        <w:ind w:left="1020"/>
      </w:pPr>
      <w:r>
        <w:rPr>
          <w:rFonts w:ascii="Cambria" w:hAnsi="Cambria"/>
          <w:b w:val="0"/>
          <w:i w:val="0"/>
          <w:sz w:val="22"/>
        </w:rPr>
        <w:t>Their engagement is purely time-bound and co-terminus with the purpose for which they were appointed.</w:t>
      </w:r>
    </w:p>
    <w:p>
      <w:pPr>
        <w:spacing w:line="276" w:lineRule="auto"/>
        <w:ind w:left="357" w:hanging="357"/>
      </w:pPr>
      <w:r>
        <w:rPr>
          <w:rFonts w:ascii="Cambria" w:hAnsi="Cambria"/>
          <w:b w:val="0"/>
          <w:i w:val="0"/>
          <w:sz w:val="22"/>
        </w:rPr>
        <w:t xml:space="preserve">2. </w:t>
      </w:r>
      <w:r>
        <w:rPr>
          <w:rFonts w:ascii="Cambria" w:hAnsi="Cambria"/>
          <w:b w:val="0"/>
          <w:i w:val="0"/>
          <w:sz w:val="22"/>
        </w:rPr>
        <w:t>Fresh Recruitment Requirement:</w:t>
      </w:r>
    </w:p>
    <w:p>
      <w:pPr>
        <w:pStyle w:val="ListBullet2"/>
        <w:spacing w:line="276" w:lineRule="auto"/>
        <w:ind w:left="1020"/>
      </w:pPr>
      <w:r>
        <w:rPr>
          <w:rFonts w:ascii="Cambria" w:hAnsi="Cambria"/>
          <w:b w:val="0"/>
          <w:i w:val="0"/>
          <w:sz w:val="22"/>
        </w:rPr>
        <w:t>All regular posts must be filled through open advertisement and formal selection procedures as per UGC / AICTE / University norms.</w:t>
      </w:r>
    </w:p>
    <w:p>
      <w:pPr>
        <w:pStyle w:val="ListBullet2"/>
        <w:spacing w:line="276" w:lineRule="auto"/>
        <w:ind w:left="1020"/>
      </w:pPr>
      <w:r>
        <w:rPr>
          <w:rFonts w:ascii="Cambria" w:hAnsi="Cambria"/>
          <w:b w:val="0"/>
          <w:i w:val="0"/>
          <w:sz w:val="22"/>
        </w:rPr>
        <w:t>Past service on contract may be considered for experience but not for seniority or continuity in regular cadre.</w:t>
      </w:r>
    </w:p>
    <w:p>
      <w:pPr>
        <w:spacing w:line="276" w:lineRule="auto"/>
        <w:ind w:left="357" w:hanging="357"/>
      </w:pPr>
      <w:r>
        <w:rPr>
          <w:rFonts w:ascii="Cambria" w:hAnsi="Cambria"/>
          <w:b w:val="0"/>
          <w:i w:val="0"/>
          <w:sz w:val="22"/>
        </w:rPr>
        <w:t xml:space="preserve">3. </w:t>
      </w:r>
      <w:r>
        <w:rPr>
          <w:rFonts w:ascii="Cambria" w:hAnsi="Cambria"/>
          <w:b w:val="0"/>
          <w:i w:val="0"/>
          <w:sz w:val="22"/>
        </w:rPr>
        <w:t>Restriction on Automatic Absorption:</w:t>
      </w:r>
    </w:p>
    <w:p>
      <w:pPr>
        <w:pStyle w:val="ListBullet2"/>
        <w:spacing w:line="276" w:lineRule="auto"/>
        <w:ind w:left="1020"/>
      </w:pPr>
      <w:r>
        <w:rPr>
          <w:rFonts w:ascii="Cambria" w:hAnsi="Cambria"/>
          <w:b w:val="0"/>
          <w:i w:val="0"/>
          <w:sz w:val="22"/>
        </w:rPr>
        <w:t>Continuation in successive contracts does not constitute regularization.</w:t>
      </w:r>
    </w:p>
    <w:p>
      <w:pPr>
        <w:pStyle w:val="ListBullet2"/>
        <w:spacing w:line="276" w:lineRule="auto"/>
        <w:ind w:left="1020"/>
      </w:pPr>
      <w:r>
        <w:rPr>
          <w:rFonts w:ascii="Cambria" w:hAnsi="Cambria"/>
          <w:b w:val="0"/>
          <w:i w:val="0"/>
          <w:sz w:val="22"/>
        </w:rPr>
        <w:t>Any conversion of contract service to regular appointment shall require:</w:t>
      </w:r>
    </w:p>
    <w:p>
      <w:pPr>
        <w:pStyle w:val="ListBullet2"/>
        <w:ind w:left="1474"/>
      </w:pPr>
      <w:r>
        <w:rPr>
          <w:rFonts w:ascii="Cambria" w:hAnsi="Cambria"/>
          <w:b w:val="0"/>
          <w:i w:val="0"/>
          <w:sz w:val="22"/>
        </w:rPr>
        <w:t>Specific BoM approval, and</w:t>
      </w:r>
    </w:p>
    <w:p>
      <w:pPr>
        <w:pStyle w:val="ListBullet2"/>
        <w:ind w:left="1474"/>
      </w:pPr>
      <w:r>
        <w:rPr>
          <w:rFonts w:ascii="Cambria" w:hAnsi="Cambria"/>
          <w:b w:val="0"/>
          <w:i w:val="0"/>
          <w:sz w:val="22"/>
        </w:rPr>
        <w:t>Compliance with statutory recruitment norms.</w:t>
      </w:r>
    </w:p>
    <w:p>
      <w:pPr>
        <w:spacing w:line="276" w:lineRule="auto"/>
        <w:ind w:left="357" w:hanging="357"/>
      </w:pPr>
      <w:r>
        <w:rPr>
          <w:rFonts w:ascii="Cambria" w:hAnsi="Cambria"/>
          <w:b w:val="0"/>
          <w:i w:val="0"/>
          <w:sz w:val="22"/>
        </w:rPr>
        <w:t xml:space="preserve">4. </w:t>
      </w:r>
      <w:r>
        <w:rPr>
          <w:rFonts w:ascii="Cambria" w:hAnsi="Cambria"/>
          <w:b w:val="0"/>
          <w:i w:val="0"/>
          <w:sz w:val="22"/>
        </w:rPr>
        <w:t>Deputation / Transfer Cases:</w:t>
      </w:r>
    </w:p>
    <w:p>
      <w:pPr>
        <w:pStyle w:val="ListBullet2"/>
        <w:spacing w:line="276" w:lineRule="auto"/>
        <w:ind w:left="1020"/>
      </w:pPr>
      <w:r>
        <w:rPr>
          <w:rFonts w:ascii="Cambria" w:hAnsi="Cambria"/>
          <w:b w:val="0"/>
          <w:i w:val="0"/>
          <w:sz w:val="22"/>
        </w:rPr>
        <w:t>In cases where contractual employees are deputed to other projects or departments, their lien or continuity remains limited to their original project or contract term.</w:t>
      </w:r>
    </w:p>
    <w:p>
      <w:pPr>
        <w:pStyle w:val="ListBullet2"/>
        <w:spacing w:line="276" w:lineRule="auto"/>
        <w:ind w:left="1020"/>
      </w:pPr>
      <w:r>
        <w:rPr>
          <w:rFonts w:ascii="Cambria" w:hAnsi="Cambria"/>
          <w:b w:val="0"/>
          <w:i w:val="0"/>
          <w:sz w:val="22"/>
        </w:rPr>
        <w:t>No claim for permanent transfer or absorption shall be entertained.</w:t>
      </w:r>
    </w:p>
    <w:p>
      <w:pPr>
        <w:spacing w:line="276" w:lineRule="auto"/>
        <w:ind w:left="357" w:hanging="357"/>
      </w:pPr>
      <w:r>
        <w:rPr>
          <w:rFonts w:ascii="Cambria" w:hAnsi="Cambria"/>
          <w:b w:val="0"/>
          <w:i w:val="0"/>
          <w:sz w:val="22"/>
        </w:rPr>
        <w:t xml:space="preserve">5. </w:t>
      </w:r>
      <w:r>
        <w:rPr>
          <w:rFonts w:ascii="Cambria" w:hAnsi="Cambria"/>
          <w:b w:val="0"/>
          <w:i w:val="0"/>
          <w:sz w:val="22"/>
        </w:rPr>
        <w:t>Government / UGC Guidelines:</w:t>
      </w:r>
    </w:p>
    <w:p>
      <w:pPr>
        <w:pStyle w:val="ListBullet2"/>
        <w:spacing w:line="276" w:lineRule="auto"/>
        <w:ind w:left="1020"/>
      </w:pPr>
      <w:r>
        <w:rPr>
          <w:rFonts w:ascii="Cambria" w:hAnsi="Cambria"/>
          <w:b w:val="0"/>
          <w:i w:val="0"/>
          <w:sz w:val="22"/>
        </w:rPr>
        <w:t>The University shall comply with all directives of the UGC, AICTE, or State Government regarding:</w:t>
      </w:r>
    </w:p>
    <w:p>
      <w:pPr>
        <w:pStyle w:val="ListBullet2"/>
        <w:ind w:left="1474"/>
      </w:pPr>
      <w:r>
        <w:rPr>
          <w:rFonts w:ascii="Cambria" w:hAnsi="Cambria"/>
          <w:b w:val="0"/>
          <w:i w:val="0"/>
          <w:sz w:val="22"/>
        </w:rPr>
        <w:t>Engagement and renewal of contractual staff.</w:t>
      </w:r>
    </w:p>
    <w:p>
      <w:pPr>
        <w:pStyle w:val="ListBullet2"/>
        <w:ind w:left="1474"/>
      </w:pPr>
      <w:r>
        <w:rPr>
          <w:rFonts w:ascii="Cambria" w:hAnsi="Cambria"/>
          <w:b w:val="0"/>
          <w:i w:val="0"/>
          <w:sz w:val="22"/>
        </w:rPr>
        <w:t>Restriction on conversion of temporary employment into regular positions.</w:t>
      </w:r>
    </w:p>
    <w:p>
      <w:pPr>
        <w:keepNext/>
        <w:spacing w:before="200" w:after="120"/>
      </w:pPr>
      <w:r>
        <w:rPr>
          <w:rFonts w:ascii="Cambria" w:hAnsi="Cambria"/>
          <w:b/>
          <w:color w:val="1F3A5F"/>
          <w:sz w:val="24"/>
        </w:rPr>
        <w:t>IV. Administrative Control and Monitoring</w:t>
      </w:r>
    </w:p>
    <w:p>
      <w:pPr>
        <w:spacing w:line="276" w:lineRule="auto"/>
        <w:ind w:left="357" w:hanging="357"/>
      </w:pPr>
      <w:r>
        <w:rPr>
          <w:rFonts w:ascii="Cambria" w:hAnsi="Cambria"/>
          <w:b w:val="0"/>
          <w:i w:val="0"/>
          <w:sz w:val="22"/>
        </w:rPr>
        <w:t xml:space="preserve">1. </w:t>
      </w:r>
      <w:r>
        <w:rPr>
          <w:rFonts w:ascii="Cambria" w:hAnsi="Cambria"/>
          <w:b w:val="0"/>
          <w:i w:val="0"/>
          <w:sz w:val="22"/>
        </w:rPr>
        <w:t>HR &amp; Establishment Section:</w:t>
      </w:r>
    </w:p>
    <w:p>
      <w:pPr>
        <w:pStyle w:val="ListBullet2"/>
        <w:spacing w:line="276" w:lineRule="auto"/>
        <w:ind w:left="1020"/>
      </w:pPr>
      <w:r>
        <w:rPr>
          <w:rFonts w:ascii="Cambria" w:hAnsi="Cambria"/>
          <w:b w:val="0"/>
          <w:i w:val="0"/>
          <w:sz w:val="22"/>
        </w:rPr>
        <w:t>Shall maintain a Contract Employee Register recording:</w:t>
      </w:r>
    </w:p>
    <w:p>
      <w:pPr>
        <w:pStyle w:val="ListBullet2"/>
        <w:ind w:left="1474"/>
      </w:pPr>
      <w:r>
        <w:rPr>
          <w:rFonts w:ascii="Cambria" w:hAnsi="Cambria"/>
          <w:b w:val="0"/>
          <w:i w:val="0"/>
          <w:sz w:val="22"/>
        </w:rPr>
        <w:t>Appointment date, renewal history, and performance ratings.</w:t>
      </w:r>
    </w:p>
    <w:p>
      <w:pPr>
        <w:pStyle w:val="ListBullet2"/>
        <w:ind w:left="1474"/>
      </w:pPr>
      <w:r>
        <w:rPr>
          <w:rFonts w:ascii="Cambria" w:hAnsi="Cambria"/>
          <w:b w:val="0"/>
          <w:i w:val="0"/>
          <w:sz w:val="22"/>
        </w:rPr>
        <w:t>Notices of termination or disengagement.</w:t>
      </w:r>
    </w:p>
    <w:p>
      <w:pPr>
        <w:pStyle w:val="ListBullet2"/>
        <w:ind w:left="1474"/>
      </w:pPr>
      <w:r>
        <w:rPr>
          <w:rFonts w:ascii="Cambria" w:hAnsi="Cambria"/>
          <w:b w:val="0"/>
          <w:i w:val="0"/>
          <w:sz w:val="22"/>
        </w:rPr>
        <w:t>Compliance with audit and service verification.</w:t>
      </w:r>
    </w:p>
    <w:p>
      <w:pPr>
        <w:spacing w:line="276" w:lineRule="auto"/>
        <w:ind w:left="357" w:hanging="357"/>
      </w:pPr>
      <w:r>
        <w:rPr>
          <w:rFonts w:ascii="Cambria" w:hAnsi="Cambria"/>
          <w:b w:val="0"/>
          <w:i w:val="0"/>
          <w:sz w:val="22"/>
        </w:rPr>
        <w:t xml:space="preserve">2. </w:t>
      </w:r>
      <w:r>
        <w:rPr>
          <w:rFonts w:ascii="Cambria" w:hAnsi="Cambria"/>
          <w:b w:val="0"/>
          <w:i w:val="0"/>
          <w:sz w:val="22"/>
        </w:rPr>
        <w:t>Registrar / Dean (Research):</w:t>
      </w:r>
    </w:p>
    <w:p>
      <w:pPr>
        <w:pStyle w:val="ListBullet2"/>
        <w:spacing w:line="276" w:lineRule="auto"/>
        <w:ind w:left="1020"/>
      </w:pPr>
      <w:r>
        <w:rPr>
          <w:rFonts w:ascii="Cambria" w:hAnsi="Cambria"/>
          <w:b w:val="0"/>
          <w:i w:val="0"/>
          <w:sz w:val="22"/>
        </w:rPr>
        <w:t>Responsible for ensuring timely renewal or disengagement in line with project timelines.</w:t>
      </w:r>
    </w:p>
    <w:p>
      <w:pPr>
        <w:pStyle w:val="ListBullet2"/>
        <w:spacing w:line="276" w:lineRule="auto"/>
        <w:ind w:left="1020"/>
      </w:pPr>
      <w:r>
        <w:rPr>
          <w:rFonts w:ascii="Cambria" w:hAnsi="Cambria"/>
          <w:b w:val="0"/>
          <w:i w:val="0"/>
          <w:sz w:val="22"/>
        </w:rPr>
        <w:t>Must submit quarterly reports on contract staff status to the Vice-Chancellor and BoM.</w:t>
      </w:r>
    </w:p>
    <w:p>
      <w:pPr>
        <w:spacing w:line="276" w:lineRule="auto"/>
        <w:ind w:left="357" w:hanging="357"/>
      </w:pPr>
      <w:r>
        <w:rPr>
          <w:rFonts w:ascii="Cambria" w:hAnsi="Cambria"/>
          <w:b w:val="0"/>
          <w:i w:val="0"/>
          <w:sz w:val="22"/>
        </w:rPr>
        <w:t xml:space="preserve">3. </w:t>
      </w:r>
      <w:r>
        <w:rPr>
          <w:rFonts w:ascii="Cambria" w:hAnsi="Cambria"/>
          <w:b w:val="0"/>
          <w:i w:val="0"/>
          <w:sz w:val="22"/>
        </w:rPr>
        <w:t>Finance Department:</w:t>
      </w:r>
    </w:p>
    <w:p>
      <w:pPr>
        <w:pStyle w:val="ListBullet2"/>
        <w:spacing w:line="276" w:lineRule="auto"/>
        <w:ind w:left="1020"/>
      </w:pPr>
      <w:r>
        <w:rPr>
          <w:rFonts w:ascii="Cambria" w:hAnsi="Cambria"/>
          <w:b w:val="0"/>
          <w:i w:val="0"/>
          <w:sz w:val="22"/>
        </w:rPr>
        <w:t>Shall ensure budgetary provision and fund utilization are in compliance with sanction orders and institutional audit norms.</w:t>
      </w:r>
    </w:p>
    <w:p>
      <w:pPr>
        <w:keepNext/>
        <w:spacing w:before="200" w:after="120"/>
      </w:pPr>
      <w:r>
        <w:rPr>
          <w:rFonts w:ascii="Cambria" w:hAnsi="Cambria"/>
          <w:b/>
          <w:color w:val="1F3A5F"/>
          <w:sz w:val="24"/>
        </w:rPr>
        <w:t>V.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84"/>
            <w:shd w:val="clear" w:color="auto" w:fill="1F3A5F"/>
          </w:tcPr>
          <w:p>
            <w:pPr>
              <w:spacing w:after="40" w:before="40"/>
            </w:pPr>
            <w:r/>
            <w:r>
              <w:rPr>
                <w:rFonts w:ascii="Cambria" w:hAnsi="Cambria"/>
                <w:b/>
                <w:i w:val="0"/>
                <w:color w:val="FFFFFF"/>
                <w:sz w:val="22"/>
              </w:rPr>
              <w:t>Aspect</w:t>
            </w:r>
          </w:p>
        </w:tc>
        <w:tc>
          <w:tcPr>
            <w:tcW w:type="dxa" w:w="5386"/>
            <w:shd w:val="clear" w:color="auto" w:fill="1F3A5F"/>
          </w:tcPr>
          <w:p>
            <w:pPr>
              <w:spacing w:after="40" w:before="40"/>
            </w:pPr>
            <w:r/>
            <w:r>
              <w:rPr>
                <w:rFonts w:ascii="Cambria" w:hAnsi="Cambria"/>
                <w:b/>
                <w:i w:val="0"/>
                <w:color w:val="FFFFFF"/>
                <w:sz w:val="22"/>
              </w:rPr>
              <w:t>Provision</w:t>
            </w:r>
          </w:p>
        </w:tc>
        <w:tc>
          <w:tcPr>
            <w:tcW w:type="dxa" w:w="2041"/>
            <w:shd w:val="clear" w:color="auto" w:fill="1F3A5F"/>
          </w:tcPr>
          <w:p>
            <w:pPr>
              <w:spacing w:after="40" w:before="40"/>
            </w:pPr>
            <w:r/>
            <w:r>
              <w:rPr>
                <w:rFonts w:ascii="Cambria" w:hAnsi="Cambria"/>
                <w:b/>
                <w:i w:val="0"/>
                <w:color w:val="FFFFFF"/>
                <w:sz w:val="22"/>
              </w:rPr>
              <w:t>Authority</w:t>
            </w:r>
          </w:p>
        </w:tc>
      </w:tr>
      <w:tr>
        <w:tc>
          <w:tcPr>
            <w:tcW w:type="dxa" w:w="1984"/>
          </w:tcPr>
          <w:p>
            <w:pPr>
              <w:spacing w:after="40" w:before="40"/>
            </w:pPr>
            <w:r/>
            <w:r>
              <w:rPr>
                <w:rFonts w:ascii="Cambria" w:hAnsi="Cambria"/>
                <w:b w:val="0"/>
                <w:i w:val="0"/>
                <w:sz w:val="22"/>
              </w:rPr>
              <w:t>Contract Renewal</w:t>
            </w:r>
          </w:p>
        </w:tc>
        <w:tc>
          <w:tcPr>
            <w:tcW w:type="dxa" w:w="5386"/>
          </w:tcPr>
          <w:p>
            <w:pPr>
              <w:spacing w:after="40" w:before="40"/>
            </w:pPr>
            <w:r/>
            <w:r>
              <w:rPr>
                <w:rFonts w:ascii="Cambria" w:hAnsi="Cambria"/>
                <w:b w:val="0"/>
                <w:i w:val="0"/>
                <w:sz w:val="22"/>
              </w:rPr>
              <w:t>Based on performance and project continuity</w:t>
            </w:r>
          </w:p>
        </w:tc>
        <w:tc>
          <w:tcPr>
            <w:tcW w:type="dxa" w:w="2041"/>
          </w:tcPr>
          <w:p>
            <w:pPr>
              <w:spacing w:after="40" w:before="40"/>
            </w:pPr>
            <w:r/>
            <w:r>
              <w:rPr>
                <w:rFonts w:ascii="Cambria" w:hAnsi="Cambria"/>
                <w:b w:val="0"/>
                <w:i w:val="0"/>
                <w:sz w:val="22"/>
              </w:rPr>
              <w:t>Registrar / V.C. / BoM</w:t>
            </w:r>
          </w:p>
        </w:tc>
      </w:tr>
      <w:tr>
        <w:tc>
          <w:tcPr>
            <w:tcW w:type="dxa" w:w="1984"/>
            <w:shd w:val="clear" w:color="auto" w:fill="F0F2F5"/>
          </w:tcPr>
          <w:p>
            <w:pPr>
              <w:spacing w:after="40" w:before="40"/>
            </w:pPr>
            <w:r/>
            <w:r>
              <w:rPr>
                <w:rFonts w:ascii="Cambria" w:hAnsi="Cambria"/>
                <w:b w:val="0"/>
                <w:i w:val="0"/>
                <w:sz w:val="22"/>
              </w:rPr>
              <w:t>Renewal Tenure</w:t>
            </w:r>
          </w:p>
        </w:tc>
        <w:tc>
          <w:tcPr>
            <w:tcW w:type="dxa" w:w="5386"/>
            <w:shd w:val="clear" w:color="auto" w:fill="F0F2F5"/>
          </w:tcPr>
          <w:p>
            <w:pPr>
              <w:spacing w:after="40" w:before="40"/>
            </w:pPr>
            <w:r/>
            <w:r>
              <w:rPr>
                <w:rFonts w:ascii="Cambria" w:hAnsi="Cambria"/>
                <w:b w:val="0"/>
                <w:i w:val="0"/>
                <w:sz w:val="22"/>
              </w:rPr>
              <w:t>Up to the duration of project or original contract term</w:t>
            </w:r>
          </w:p>
        </w:tc>
        <w:tc>
          <w:tcPr>
            <w:tcW w:type="dxa" w:w="2041"/>
            <w:shd w:val="clear" w:color="auto" w:fill="F0F2F5"/>
          </w:tcPr>
          <w:p>
            <w:pPr>
              <w:spacing w:after="40" w:before="40"/>
            </w:pPr>
            <w:r/>
            <w:r>
              <w:rPr>
                <w:rFonts w:ascii="Cambria" w:hAnsi="Cambria"/>
                <w:b w:val="0"/>
                <w:i w:val="0"/>
                <w:sz w:val="22"/>
              </w:rPr>
              <w:t>Registrar / Dean (Research)</w:t>
            </w:r>
          </w:p>
        </w:tc>
      </w:tr>
      <w:tr>
        <w:tc>
          <w:tcPr>
            <w:tcW w:type="dxa" w:w="1984"/>
          </w:tcPr>
          <w:p>
            <w:pPr>
              <w:spacing w:after="40" w:before="40"/>
            </w:pPr>
            <w:r/>
            <w:r>
              <w:rPr>
                <w:rFonts w:ascii="Cambria" w:hAnsi="Cambria"/>
                <w:b w:val="0"/>
                <w:i w:val="0"/>
                <w:sz w:val="22"/>
              </w:rPr>
              <w:t>Disengagement</w:t>
            </w:r>
          </w:p>
        </w:tc>
        <w:tc>
          <w:tcPr>
            <w:tcW w:type="dxa" w:w="5386"/>
          </w:tcPr>
          <w:p>
            <w:pPr>
              <w:spacing w:after="40" w:before="40"/>
            </w:pPr>
            <w:r/>
            <w:r>
              <w:rPr>
                <w:rFonts w:ascii="Cambria" w:hAnsi="Cambria"/>
                <w:b w:val="0"/>
                <w:i w:val="0"/>
                <w:sz w:val="22"/>
              </w:rPr>
              <w:t>One month’s notice or pay; immediate termination for misconduct</w:t>
            </w:r>
          </w:p>
        </w:tc>
        <w:tc>
          <w:tcPr>
            <w:tcW w:type="dxa" w:w="2041"/>
          </w:tcPr>
          <w:p>
            <w:pPr>
              <w:spacing w:after="40" w:before="40"/>
            </w:pPr>
            <w:r/>
            <w:r>
              <w:rPr>
                <w:rFonts w:ascii="Cambria" w:hAnsi="Cambria"/>
                <w:b w:val="0"/>
                <w:i w:val="0"/>
                <w:sz w:val="22"/>
              </w:rPr>
              <w:t>Appointing Authority</w:t>
            </w:r>
          </w:p>
        </w:tc>
      </w:tr>
      <w:tr>
        <w:tc>
          <w:tcPr>
            <w:tcW w:type="dxa" w:w="1984"/>
            <w:shd w:val="clear" w:color="auto" w:fill="F0F2F5"/>
          </w:tcPr>
          <w:p>
            <w:pPr>
              <w:spacing w:after="40" w:before="40"/>
            </w:pPr>
            <w:r/>
            <w:r>
              <w:rPr>
                <w:rFonts w:ascii="Cambria" w:hAnsi="Cambria"/>
                <w:b w:val="0"/>
                <w:i w:val="0"/>
                <w:sz w:val="22"/>
              </w:rPr>
              <w:t>Absorption Restriction</w:t>
            </w:r>
          </w:p>
        </w:tc>
        <w:tc>
          <w:tcPr>
            <w:tcW w:type="dxa" w:w="5386"/>
            <w:shd w:val="clear" w:color="auto" w:fill="F0F2F5"/>
          </w:tcPr>
          <w:p>
            <w:pPr>
              <w:spacing w:after="40" w:before="40"/>
            </w:pPr>
            <w:r/>
            <w:r>
              <w:rPr>
                <w:rFonts w:ascii="Cambria" w:hAnsi="Cambria"/>
                <w:b w:val="0"/>
                <w:i w:val="0"/>
                <w:sz w:val="22"/>
              </w:rPr>
              <w:t>No claim for regularization or seniority</w:t>
            </w:r>
          </w:p>
        </w:tc>
        <w:tc>
          <w:tcPr>
            <w:tcW w:type="dxa" w:w="2041"/>
            <w:shd w:val="clear" w:color="auto" w:fill="F0F2F5"/>
          </w:tcPr>
          <w:p>
            <w:pPr>
              <w:spacing w:after="40" w:before="40"/>
            </w:pPr>
            <w:r/>
            <w:r>
              <w:rPr>
                <w:rFonts w:ascii="Cambria" w:hAnsi="Cambria"/>
                <w:b w:val="0"/>
                <w:i w:val="0"/>
                <w:sz w:val="22"/>
              </w:rPr>
              <w:t>BoM / HR Section</w:t>
            </w:r>
          </w:p>
        </w:tc>
      </w:tr>
      <w:tr>
        <w:tc>
          <w:tcPr>
            <w:tcW w:type="dxa" w:w="1984"/>
          </w:tcPr>
          <w:p>
            <w:pPr>
              <w:spacing w:after="40" w:before="40"/>
            </w:pPr>
            <w:r/>
            <w:r>
              <w:rPr>
                <w:rFonts w:ascii="Cambria" w:hAnsi="Cambria"/>
                <w:b w:val="0"/>
                <w:i w:val="0"/>
                <w:sz w:val="22"/>
              </w:rPr>
              <w:t>Record Maintenance</w:t>
            </w:r>
          </w:p>
        </w:tc>
        <w:tc>
          <w:tcPr>
            <w:tcW w:type="dxa" w:w="5386"/>
          </w:tcPr>
          <w:p>
            <w:pPr>
              <w:spacing w:after="40" w:before="40"/>
            </w:pPr>
            <w:r/>
            <w:r>
              <w:rPr>
                <w:rFonts w:ascii="Cambria" w:hAnsi="Cambria"/>
                <w:b w:val="0"/>
                <w:i w:val="0"/>
                <w:sz w:val="22"/>
              </w:rPr>
              <w:t>HR to maintain Contract Register and submit quarterly report</w:t>
            </w:r>
          </w:p>
        </w:tc>
        <w:tc>
          <w:tcPr>
            <w:tcW w:type="dxa" w:w="2041"/>
          </w:tcPr>
          <w:p>
            <w:pPr>
              <w:spacing w:after="40" w:before="40"/>
            </w:pPr>
            <w:r/>
            <w:r>
              <w:rPr>
                <w:rFonts w:ascii="Cambria" w:hAnsi="Cambria"/>
                <w:b w:val="0"/>
                <w:i w:val="0"/>
                <w:sz w:val="22"/>
              </w:rPr>
              <w:t>Registrar</w:t>
            </w:r>
          </w:p>
        </w:tc>
      </w:tr>
    </w:tbl>
    <w:p>
      <w:pPr>
        <w:spacing w:after="40"/>
      </w:pPr>
    </w:p>
    <w:p>
      <w:pPr>
        <w:keepNext/>
        <w:spacing w:before="200" w:after="120"/>
      </w:pPr>
      <w:r>
        <w:rPr>
          <w:rFonts w:ascii="Cambria" w:hAnsi="Cambria"/>
          <w:b/>
          <w:color w:val="1F3A5F"/>
          <w:sz w:val="24"/>
        </w:rPr>
        <w:t>VI. Key Policy Principles</w:t>
      </w:r>
    </w:p>
    <w:p>
      <w:pPr>
        <w:pStyle w:val="ListBullet"/>
        <w:spacing w:line="276" w:lineRule="auto"/>
        <w:ind w:left="510"/>
      </w:pPr>
      <w:r>
        <w:rPr>
          <w:rFonts w:ascii="Cambria" w:hAnsi="Cambria"/>
          <w:b w:val="0"/>
          <w:i w:val="0"/>
          <w:sz w:val="22"/>
        </w:rPr>
        <w:t>Renewal or continuation of contract is not automatic and depends solely on performance and institutional requirement.</w:t>
      </w:r>
    </w:p>
    <w:p>
      <w:pPr>
        <w:pStyle w:val="ListBullet"/>
        <w:spacing w:line="276" w:lineRule="auto"/>
        <w:ind w:left="510"/>
      </w:pPr>
      <w:r>
        <w:rPr>
          <w:rFonts w:ascii="Cambria" w:hAnsi="Cambria"/>
          <w:b w:val="0"/>
          <w:i w:val="0"/>
          <w:sz w:val="22"/>
        </w:rPr>
        <w:t>Disengagement shall not be treated as retrenchment and no compensation is payable beyond notice or salary period.</w:t>
      </w:r>
    </w:p>
    <w:p>
      <w:pPr>
        <w:pStyle w:val="ListBullet"/>
        <w:spacing w:line="276" w:lineRule="auto"/>
        <w:ind w:left="510"/>
      </w:pPr>
      <w:r>
        <w:rPr>
          <w:rFonts w:ascii="Cambria" w:hAnsi="Cambria"/>
          <w:b w:val="0"/>
          <w:i w:val="0"/>
          <w:sz w:val="22"/>
        </w:rPr>
        <w:t>All contractual and temporary appointments are subject to audit review and BoM oversight.</w:t>
      </w:r>
    </w:p>
    <w:p>
      <w:pPr>
        <w:pStyle w:val="ListBullet"/>
        <w:spacing w:line="276" w:lineRule="auto"/>
        <w:ind w:left="510"/>
      </w:pPr>
      <w:r>
        <w:rPr>
          <w:rFonts w:ascii="Cambria" w:hAnsi="Cambria"/>
          <w:b w:val="0"/>
          <w:i w:val="0"/>
          <w:sz w:val="22"/>
        </w:rPr>
        <w:t>The University reserves the right to revise, modify, or rescind this policy in compliance with updated UGC, AICTE, or government directives.</w:t>
      </w:r>
    </w:p>
    <w:p>
      <w:pPr>
        <w:keepNext/>
        <w:spacing w:before="200" w:after="120"/>
      </w:pPr>
      <w:r>
        <w:rPr>
          <w:rFonts w:ascii="Cambria" w:hAnsi="Cambria"/>
          <w:b/>
          <w:color w:val="1F3A5F"/>
          <w:sz w:val="27"/>
        </w:rPr>
        <w:t>F. Probation, Confirmation, and Seniority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define the rules and procedures governing the probation, confirmation, and determination of seniority for employees of the University.</w:t>
      </w:r>
    </w:p>
    <w:p>
      <w:pPr>
        <w:pStyle w:val="ListBullet"/>
        <w:spacing w:line="276" w:lineRule="auto"/>
        <w:ind w:left="510"/>
      </w:pPr>
      <w:r>
        <w:rPr>
          <w:rFonts w:ascii="Cambria" w:hAnsi="Cambria"/>
          <w:b w:val="0"/>
          <w:i w:val="0"/>
          <w:sz w:val="22"/>
        </w:rPr>
        <w:t>This policy ensures that appointments are regularized only after satisfactory assessment, and seniority is maintained in a transparent and equitable manner across all cadres.</w:t>
      </w:r>
    </w:p>
    <w:p>
      <w:pPr>
        <w:keepNext/>
        <w:spacing w:before="200" w:after="120"/>
      </w:pPr>
      <w:r>
        <w:rPr>
          <w:rFonts w:ascii="Cambria" w:hAnsi="Cambria"/>
          <w:b/>
          <w:color w:val="1F3A5F"/>
          <w:sz w:val="24"/>
        </w:rPr>
        <w:t>I. Probation Policy</w:t>
      </w:r>
    </w:p>
    <w:p>
      <w:pPr>
        <w:keepNext/>
        <w:spacing w:before="200" w:after="120"/>
      </w:pPr>
      <w:r>
        <w:rPr>
          <w:rFonts w:ascii="Cambria" w:hAnsi="Cambria"/>
          <w:b/>
          <w:color w:val="1F3A5F"/>
          <w:sz w:val="24"/>
        </w:rPr>
        <w:t>1. Definition</w:t>
      </w:r>
    </w:p>
    <w:p>
      <w:pPr>
        <w:pStyle w:val="ListBullet"/>
        <w:spacing w:line="276" w:lineRule="auto"/>
        <w:ind w:left="510"/>
      </w:pPr>
      <w:r>
        <w:rPr>
          <w:rFonts w:ascii="Cambria" w:hAnsi="Cambria"/>
          <w:b w:val="0"/>
          <w:i w:val="0"/>
          <w:sz w:val="22"/>
        </w:rPr>
        <w:t>“Probation” refers to the trial period during which an employee’s suitability, conduct, efficiency, and integrity are assessed prior to confirmation in the post.</w:t>
      </w:r>
    </w:p>
    <w:p>
      <w:pPr>
        <w:pStyle w:val="ListBullet"/>
        <w:spacing w:line="276" w:lineRule="auto"/>
        <w:ind w:left="510"/>
      </w:pPr>
      <w:r>
        <w:rPr>
          <w:rFonts w:ascii="Cambria" w:hAnsi="Cambria"/>
          <w:b w:val="0"/>
          <w:i w:val="0"/>
          <w:sz w:val="22"/>
        </w:rPr>
        <w:t>The probation period is intended to evaluate both technical competence and behavioral adaptability within the University system.</w:t>
      </w:r>
    </w:p>
    <w:p>
      <w:pPr>
        <w:keepNext/>
        <w:spacing w:before="200" w:after="120"/>
      </w:pPr>
      <w:r>
        <w:rPr>
          <w:rFonts w:ascii="Cambria" w:hAnsi="Cambria"/>
          <w:b/>
          <w:color w:val="1F3A5F"/>
          <w:sz w:val="24"/>
        </w:rPr>
        <w:t>2. Duration of Probation</w:t>
      </w:r>
    </w:p>
    <w:p>
      <w:pPr>
        <w:pStyle w:val="ListBullet"/>
        <w:spacing w:line="276" w:lineRule="auto"/>
        <w:ind w:left="510"/>
      </w:pPr>
      <w:r>
        <w:rPr>
          <w:rFonts w:ascii="Cambria" w:hAnsi="Cambria"/>
          <w:b w:val="0"/>
          <w:i w:val="0"/>
          <w:sz w:val="22"/>
        </w:rPr>
        <w:t>The Board of Management (BoM) or the Appointment Order prescribes the specific period of probation.</w:t>
      </w:r>
    </w:p>
    <w:p>
      <w:pPr>
        <w:pStyle w:val="ListBullet2"/>
        <w:spacing w:line="276" w:lineRule="auto"/>
        <w:ind w:left="1020"/>
      </w:pPr>
      <w:r>
        <w:rPr>
          <w:rFonts w:ascii="Cambria" w:hAnsi="Cambria"/>
          <w:b w:val="0"/>
          <w:i w:val="0"/>
          <w:sz w:val="22"/>
        </w:rPr>
        <w:t>Teaching and Administrative Staff: Normally two years.</w:t>
      </w:r>
    </w:p>
    <w:p>
      <w:pPr>
        <w:pStyle w:val="ListBullet2"/>
        <w:spacing w:line="276" w:lineRule="auto"/>
        <w:ind w:left="1020"/>
      </w:pPr>
      <w:r>
        <w:rPr>
          <w:rFonts w:ascii="Cambria" w:hAnsi="Cambria"/>
          <w:b w:val="0"/>
          <w:i w:val="0"/>
          <w:sz w:val="22"/>
        </w:rPr>
        <w:t>Non-Teaching and Technical Staff: Normally one year.</w:t>
      </w:r>
    </w:p>
    <w:p>
      <w:pPr>
        <w:pStyle w:val="ListBullet"/>
        <w:spacing w:line="276" w:lineRule="auto"/>
        <w:ind w:left="510"/>
      </w:pPr>
      <w:r>
        <w:rPr>
          <w:rFonts w:ascii="Cambria" w:hAnsi="Cambria"/>
          <w:b w:val="0"/>
          <w:i w:val="0"/>
          <w:sz w:val="22"/>
        </w:rPr>
        <w:t>The BoM may extend or reduce this duration based on performance and organizational requirement.</w:t>
      </w:r>
    </w:p>
    <w:p>
      <w:pPr>
        <w:keepNext/>
        <w:spacing w:before="200" w:after="120"/>
      </w:pPr>
      <w:r>
        <w:rPr>
          <w:rFonts w:ascii="Cambria" w:hAnsi="Cambria"/>
          <w:b/>
          <w:color w:val="1F3A5F"/>
          <w:sz w:val="24"/>
        </w:rPr>
        <w:t>3. Assessment During Probation</w:t>
      </w:r>
    </w:p>
    <w:p>
      <w:pPr>
        <w:pStyle w:val="ListBullet"/>
        <w:spacing w:line="276" w:lineRule="auto"/>
        <w:ind w:left="510"/>
      </w:pPr>
      <w:r>
        <w:rPr>
          <w:rFonts w:ascii="Cambria" w:hAnsi="Cambria"/>
          <w:b w:val="0"/>
          <w:i w:val="0"/>
          <w:sz w:val="22"/>
        </w:rPr>
        <w:t>The Head of Department (HoD) / Immediate Supervisor shall prepare periodic performance reports assessing:</w:t>
      </w:r>
    </w:p>
    <w:p>
      <w:pPr>
        <w:pStyle w:val="ListBullet2"/>
        <w:spacing w:line="276" w:lineRule="auto"/>
        <w:ind w:left="1020"/>
      </w:pPr>
      <w:r>
        <w:rPr>
          <w:rFonts w:ascii="Cambria" w:hAnsi="Cambria"/>
          <w:b w:val="0"/>
          <w:i w:val="0"/>
          <w:sz w:val="22"/>
        </w:rPr>
        <w:t>Knowledge of work and efficiency.</w:t>
      </w:r>
    </w:p>
    <w:p>
      <w:pPr>
        <w:pStyle w:val="ListBullet2"/>
        <w:spacing w:line="276" w:lineRule="auto"/>
        <w:ind w:left="1020"/>
      </w:pPr>
      <w:r>
        <w:rPr>
          <w:rFonts w:ascii="Cambria" w:hAnsi="Cambria"/>
          <w:b w:val="0"/>
          <w:i w:val="0"/>
          <w:sz w:val="22"/>
        </w:rPr>
        <w:t>Conduct, punctuality, and discipline.</w:t>
      </w:r>
    </w:p>
    <w:p>
      <w:pPr>
        <w:pStyle w:val="ListBullet2"/>
        <w:spacing w:line="276" w:lineRule="auto"/>
        <w:ind w:left="1020"/>
      </w:pPr>
      <w:r>
        <w:rPr>
          <w:rFonts w:ascii="Cambria" w:hAnsi="Cambria"/>
          <w:b w:val="0"/>
          <w:i w:val="0"/>
          <w:sz w:val="22"/>
        </w:rPr>
        <w:t>Initiative, teamwork, and sense of responsibility.</w:t>
      </w:r>
    </w:p>
    <w:p>
      <w:pPr>
        <w:pStyle w:val="ListBullet"/>
        <w:spacing w:line="276" w:lineRule="auto"/>
        <w:ind w:left="510"/>
      </w:pPr>
      <w:r>
        <w:rPr>
          <w:rFonts w:ascii="Cambria" w:hAnsi="Cambria"/>
          <w:b w:val="0"/>
          <w:i w:val="0"/>
          <w:sz w:val="22"/>
        </w:rPr>
        <w:t>Reports are submitted every six months to the Registrar / HR Section for review and record.</w:t>
      </w:r>
    </w:p>
    <w:p>
      <w:pPr>
        <w:keepNext/>
        <w:spacing w:before="200" w:after="120"/>
      </w:pPr>
      <w:r>
        <w:rPr>
          <w:rFonts w:ascii="Cambria" w:hAnsi="Cambria"/>
          <w:b/>
          <w:color w:val="1F3A5F"/>
          <w:sz w:val="24"/>
        </w:rPr>
        <w:t>4. Extension of Probation</w:t>
      </w:r>
    </w:p>
    <w:p>
      <w:pPr>
        <w:pStyle w:val="ListBullet"/>
        <w:spacing w:line="276" w:lineRule="auto"/>
        <w:ind w:left="510"/>
      </w:pPr>
      <w:r>
        <w:rPr>
          <w:rFonts w:ascii="Cambria" w:hAnsi="Cambria"/>
          <w:b w:val="0"/>
          <w:i w:val="0"/>
          <w:sz w:val="22"/>
        </w:rPr>
        <w:t>Probation may be extended if:</w:t>
      </w:r>
    </w:p>
    <w:p>
      <w:pPr>
        <w:pStyle w:val="ListBullet2"/>
        <w:spacing w:line="276" w:lineRule="auto"/>
        <w:ind w:left="1020"/>
      </w:pPr>
      <w:r>
        <w:rPr>
          <w:rFonts w:ascii="Cambria" w:hAnsi="Cambria"/>
          <w:b w:val="0"/>
          <w:i w:val="0"/>
          <w:sz w:val="22"/>
        </w:rPr>
        <w:t>Performance is below expectations.</w:t>
      </w:r>
    </w:p>
    <w:p>
      <w:pPr>
        <w:pStyle w:val="ListBullet2"/>
        <w:spacing w:line="276" w:lineRule="auto"/>
        <w:ind w:left="1020"/>
      </w:pPr>
      <w:r>
        <w:rPr>
          <w:rFonts w:ascii="Cambria" w:hAnsi="Cambria"/>
          <w:b w:val="0"/>
          <w:i w:val="0"/>
          <w:sz w:val="22"/>
        </w:rPr>
        <w:t>Integrity or conduct requires further observation.</w:t>
      </w:r>
    </w:p>
    <w:p>
      <w:pPr>
        <w:pStyle w:val="ListBullet2"/>
        <w:spacing w:line="276" w:lineRule="auto"/>
        <w:ind w:left="1020"/>
      </w:pPr>
      <w:r>
        <w:rPr>
          <w:rFonts w:ascii="Cambria" w:hAnsi="Cambria"/>
          <w:b w:val="0"/>
          <w:i w:val="0"/>
          <w:sz w:val="22"/>
        </w:rPr>
        <w:t>The employee has taken long leave (other than casual leave) during probation.</w:t>
      </w:r>
    </w:p>
    <w:p>
      <w:pPr>
        <w:pStyle w:val="ListBullet"/>
        <w:spacing w:line="276" w:lineRule="auto"/>
        <w:ind w:left="510"/>
      </w:pPr>
      <w:r>
        <w:rPr>
          <w:rFonts w:ascii="Cambria" w:hAnsi="Cambria"/>
          <w:b w:val="0"/>
          <w:i w:val="0"/>
          <w:sz w:val="22"/>
        </w:rPr>
        <w:t>Extension shall be formally communicated in writing before the expiry of the original probation period.</w:t>
      </w:r>
    </w:p>
    <w:p>
      <w:pPr>
        <w:pStyle w:val="ListBullet"/>
        <w:spacing w:line="276" w:lineRule="auto"/>
        <w:ind w:left="510"/>
      </w:pPr>
      <w:r>
        <w:rPr>
          <w:rFonts w:ascii="Cambria" w:hAnsi="Cambria"/>
          <w:b w:val="0"/>
          <w:i w:val="0"/>
          <w:sz w:val="22"/>
        </w:rPr>
        <w:t>The total probation period, including extensions, shall not ordinarily exceed double the prescribed duration.</w:t>
      </w:r>
    </w:p>
    <w:p>
      <w:pPr>
        <w:keepNext/>
        <w:spacing w:before="200" w:after="120"/>
      </w:pPr>
      <w:r>
        <w:rPr>
          <w:rFonts w:ascii="Cambria" w:hAnsi="Cambria"/>
          <w:b/>
          <w:color w:val="1F3A5F"/>
          <w:sz w:val="24"/>
        </w:rPr>
        <w:t>5. Termination During Probation</w:t>
      </w:r>
    </w:p>
    <w:p>
      <w:pPr>
        <w:pStyle w:val="ListBullet"/>
        <w:spacing w:line="276" w:lineRule="auto"/>
        <w:ind w:left="510"/>
      </w:pPr>
      <w:r>
        <w:rPr>
          <w:rFonts w:ascii="Cambria" w:hAnsi="Cambria"/>
          <w:b w:val="0"/>
          <w:i w:val="0"/>
          <w:sz w:val="22"/>
        </w:rPr>
        <w:t>The services of a probationer may be terminated at any time during probation:</w:t>
      </w:r>
    </w:p>
    <w:p>
      <w:pPr>
        <w:pStyle w:val="ListBullet2"/>
        <w:spacing w:line="276" w:lineRule="auto"/>
        <w:ind w:left="1020"/>
      </w:pPr>
      <w:r>
        <w:rPr>
          <w:rFonts w:ascii="Cambria" w:hAnsi="Cambria"/>
          <w:b w:val="0"/>
          <w:i w:val="0"/>
          <w:sz w:val="22"/>
        </w:rPr>
        <w:t>Without assigning any reason, by giving one month’s notice or one month’s salary in lieu thereof.</w:t>
      </w:r>
    </w:p>
    <w:p>
      <w:pPr>
        <w:pStyle w:val="ListBullet2"/>
        <w:spacing w:line="276" w:lineRule="auto"/>
        <w:ind w:left="1020"/>
      </w:pPr>
      <w:r>
        <w:rPr>
          <w:rFonts w:ascii="Cambria" w:hAnsi="Cambria"/>
          <w:b w:val="0"/>
          <w:i w:val="0"/>
          <w:sz w:val="22"/>
        </w:rPr>
        <w:t>Such termination shall not be treated as a penalty, but as non-confirmation in the post.</w:t>
      </w:r>
    </w:p>
    <w:p>
      <w:pPr>
        <w:keepNext/>
        <w:spacing w:before="200" w:after="120"/>
      </w:pPr>
      <w:r>
        <w:rPr>
          <w:rFonts w:ascii="Cambria" w:hAnsi="Cambria"/>
          <w:b/>
          <w:color w:val="1F3A5F"/>
          <w:sz w:val="24"/>
        </w:rPr>
        <w:t>II. Confirmation Policy</w:t>
      </w:r>
    </w:p>
    <w:p>
      <w:pPr>
        <w:keepNext/>
        <w:spacing w:before="200" w:after="120"/>
      </w:pPr>
      <w:r>
        <w:rPr>
          <w:rFonts w:ascii="Cambria" w:hAnsi="Cambria"/>
          <w:b/>
          <w:color w:val="1F3A5F"/>
          <w:sz w:val="24"/>
        </w:rPr>
        <w:t>1. Definition</w:t>
      </w:r>
    </w:p>
    <w:p>
      <w:pPr>
        <w:pStyle w:val="ListBullet"/>
        <w:spacing w:line="276" w:lineRule="auto"/>
        <w:ind w:left="510"/>
      </w:pPr>
      <w:r>
        <w:rPr>
          <w:rFonts w:ascii="Cambria" w:hAnsi="Cambria"/>
          <w:b w:val="0"/>
          <w:i w:val="0"/>
          <w:sz w:val="22"/>
        </w:rPr>
        <w:t>“Confirmation” refers to the formal recognition of an employee’s permanent appointment to a post after successful completion of probation and performance evaluation.</w:t>
      </w:r>
    </w:p>
    <w:p>
      <w:pPr>
        <w:keepNext/>
        <w:spacing w:before="200" w:after="120"/>
      </w:pPr>
      <w:r>
        <w:rPr>
          <w:rFonts w:ascii="Cambria" w:hAnsi="Cambria"/>
          <w:b/>
          <w:color w:val="1F3A5F"/>
          <w:sz w:val="24"/>
        </w:rPr>
        <w:t>2. Conditions for Confirmation</w:t>
      </w:r>
    </w:p>
    <w:p>
      <w:pPr>
        <w:jc w:val="both"/>
      </w:pPr>
      <w:r>
        <w:rPr>
          <w:rFonts w:ascii="Cambria" w:hAnsi="Cambria"/>
          <w:i w:val="0"/>
          <w:sz w:val="22"/>
        </w:rPr>
        <w:t>An employee shall be confirmed in a post only if:</w:t>
      </w:r>
    </w:p>
    <w:p>
      <w:pPr>
        <w:pStyle w:val="ListBullet"/>
        <w:spacing w:line="276" w:lineRule="auto"/>
        <w:ind w:left="510"/>
      </w:pPr>
      <w:r>
        <w:rPr>
          <w:rFonts w:ascii="Cambria" w:hAnsi="Cambria"/>
          <w:b w:val="0"/>
          <w:i w:val="0"/>
          <w:sz w:val="22"/>
        </w:rPr>
        <w:t>The prescribed probation period has been satisfactorily completed.</w:t>
      </w:r>
    </w:p>
    <w:p>
      <w:pPr>
        <w:pStyle w:val="ListBullet"/>
        <w:spacing w:line="276" w:lineRule="auto"/>
        <w:ind w:left="510"/>
      </w:pPr>
      <w:r>
        <w:rPr>
          <w:rFonts w:ascii="Cambria" w:hAnsi="Cambria"/>
          <w:b w:val="0"/>
          <w:i w:val="0"/>
          <w:sz w:val="22"/>
        </w:rPr>
        <w:t>The employee’s performance appraisal reports are favorable.</w:t>
      </w:r>
    </w:p>
    <w:p>
      <w:pPr>
        <w:pStyle w:val="ListBullet"/>
        <w:spacing w:line="276" w:lineRule="auto"/>
        <w:ind w:left="510"/>
      </w:pPr>
      <w:r>
        <w:rPr>
          <w:rFonts w:ascii="Cambria" w:hAnsi="Cambria"/>
          <w:b w:val="0"/>
          <w:i w:val="0"/>
          <w:sz w:val="22"/>
        </w:rPr>
        <w:t>There is no disciplinary or vigilance case pending against the employee.</w:t>
      </w:r>
    </w:p>
    <w:p>
      <w:pPr>
        <w:pStyle w:val="ListBullet"/>
        <w:spacing w:line="276" w:lineRule="auto"/>
        <w:ind w:left="510"/>
      </w:pPr>
      <w:r>
        <w:rPr>
          <w:rFonts w:ascii="Cambria" w:hAnsi="Cambria"/>
          <w:b w:val="0"/>
          <w:i w:val="0"/>
          <w:sz w:val="22"/>
        </w:rPr>
        <w:t>The Appointing Authority approves the recommendation for confirmation.</w:t>
      </w:r>
    </w:p>
    <w:p>
      <w:pPr>
        <w:keepNext/>
        <w:spacing w:before="200" w:after="120"/>
      </w:pPr>
      <w:r>
        <w:rPr>
          <w:rFonts w:ascii="Cambria" w:hAnsi="Cambria"/>
          <w:b/>
          <w:color w:val="1F3A5F"/>
          <w:sz w:val="24"/>
        </w:rPr>
        <w:t>3. Confirmation Process</w:t>
      </w:r>
    </w:p>
    <w:p>
      <w:pPr>
        <w:spacing w:line="276" w:lineRule="auto"/>
        <w:ind w:left="357" w:hanging="357"/>
      </w:pPr>
      <w:r>
        <w:rPr>
          <w:rFonts w:ascii="Cambria" w:hAnsi="Cambria"/>
          <w:b w:val="0"/>
          <w:i w:val="0"/>
          <w:sz w:val="22"/>
        </w:rPr>
        <w:t xml:space="preserve">1. </w:t>
      </w:r>
      <w:r>
        <w:rPr>
          <w:rFonts w:ascii="Cambria" w:hAnsi="Cambria"/>
          <w:b/>
          <w:i w:val="0"/>
          <w:sz w:val="22"/>
        </w:rPr>
        <w:t xml:space="preserve">Performance Review: </w:t>
      </w:r>
      <w:r>
        <w:rPr>
          <w:rFonts w:ascii="Cambria" w:hAnsi="Cambria"/>
          <w:b w:val="0"/>
          <w:i w:val="0"/>
          <w:sz w:val="22"/>
        </w:rPr>
        <w:t>Conducted by the HoD / Registrar and forwarded to the Appointing Authority.</w:t>
      </w:r>
    </w:p>
    <w:p>
      <w:pPr>
        <w:spacing w:line="276" w:lineRule="auto"/>
        <w:ind w:left="357" w:hanging="357"/>
      </w:pPr>
      <w:r>
        <w:rPr>
          <w:rFonts w:ascii="Cambria" w:hAnsi="Cambria"/>
          <w:b w:val="0"/>
          <w:i w:val="0"/>
          <w:sz w:val="22"/>
        </w:rPr>
        <w:t xml:space="preserve">2. </w:t>
      </w:r>
      <w:r>
        <w:rPr>
          <w:rFonts w:ascii="Cambria" w:hAnsi="Cambria"/>
          <w:b/>
          <w:i w:val="0"/>
          <w:sz w:val="22"/>
        </w:rPr>
        <w:t xml:space="preserve">Recommendation: </w:t>
      </w:r>
      <w:r>
        <w:rPr>
          <w:rFonts w:ascii="Cambria" w:hAnsi="Cambria"/>
          <w:b w:val="0"/>
          <w:i w:val="0"/>
          <w:sz w:val="22"/>
        </w:rPr>
        <w:t>The Evaluation Committee recommends confirmation or extension.</w:t>
      </w:r>
    </w:p>
    <w:p>
      <w:pPr>
        <w:spacing w:line="276" w:lineRule="auto"/>
        <w:ind w:left="357" w:hanging="357"/>
      </w:pPr>
      <w:r>
        <w:rPr>
          <w:rFonts w:ascii="Cambria" w:hAnsi="Cambria"/>
          <w:b w:val="0"/>
          <w:i w:val="0"/>
          <w:sz w:val="22"/>
        </w:rPr>
        <w:t xml:space="preserve">3. </w:t>
      </w:r>
      <w:r>
        <w:rPr>
          <w:rFonts w:ascii="Cambria" w:hAnsi="Cambria"/>
          <w:b w:val="0"/>
          <w:i w:val="0"/>
          <w:sz w:val="22"/>
        </w:rPr>
        <w:t>Approval:</w:t>
      </w:r>
    </w:p>
    <w:p>
      <w:pPr>
        <w:pStyle w:val="ListBullet2"/>
        <w:spacing w:line="276" w:lineRule="auto"/>
        <w:ind w:left="1020"/>
      </w:pPr>
      <w:r>
        <w:rPr>
          <w:rFonts w:ascii="Cambria" w:hAnsi="Cambria"/>
          <w:b w:val="0"/>
          <w:i w:val="0"/>
          <w:sz w:val="22"/>
        </w:rPr>
        <w:t>Teaching &amp; Administrative Staff: Vice-Chancellor / Board of Management.</w:t>
      </w:r>
    </w:p>
    <w:p>
      <w:pPr>
        <w:pStyle w:val="ListBullet2"/>
        <w:spacing w:line="276" w:lineRule="auto"/>
        <w:ind w:left="1020"/>
      </w:pPr>
      <w:r>
        <w:rPr>
          <w:rFonts w:ascii="Cambria" w:hAnsi="Cambria"/>
          <w:b w:val="0"/>
          <w:i w:val="0"/>
          <w:sz w:val="22"/>
        </w:rPr>
        <w:t>Non-Teaching Staff: Registrar / Vice-Chancellor (depending on level).</w:t>
      </w:r>
    </w:p>
    <w:p>
      <w:pPr>
        <w:spacing w:line="276" w:lineRule="auto"/>
        <w:ind w:left="357" w:hanging="357"/>
      </w:pPr>
      <w:r>
        <w:rPr>
          <w:rFonts w:ascii="Cambria" w:hAnsi="Cambria"/>
          <w:b w:val="0"/>
          <w:i w:val="0"/>
          <w:sz w:val="22"/>
        </w:rPr>
        <w:t xml:space="preserve">4. </w:t>
      </w:r>
      <w:r>
        <w:rPr>
          <w:rFonts w:ascii="Cambria" w:hAnsi="Cambria"/>
          <w:b/>
          <w:i w:val="0"/>
          <w:sz w:val="22"/>
        </w:rPr>
        <w:t xml:space="preserve">Order of Confirmation: </w:t>
      </w:r>
      <w:r>
        <w:rPr>
          <w:rFonts w:ascii="Cambria" w:hAnsi="Cambria"/>
          <w:b w:val="0"/>
          <w:i w:val="0"/>
          <w:sz w:val="22"/>
        </w:rPr>
        <w:t>A formal written confirmation order shall be issued to the employee.</w:t>
      </w:r>
    </w:p>
    <w:p>
      <w:pPr>
        <w:keepNext/>
        <w:spacing w:before="200" w:after="120"/>
      </w:pPr>
      <w:r>
        <w:rPr>
          <w:rFonts w:ascii="Cambria" w:hAnsi="Cambria"/>
          <w:b/>
          <w:color w:val="1F3A5F"/>
          <w:sz w:val="24"/>
        </w:rPr>
        <w:t>4. Effect of Confirmation</w:t>
      </w:r>
    </w:p>
    <w:p>
      <w:pPr>
        <w:pStyle w:val="ListBullet"/>
        <w:spacing w:line="276" w:lineRule="auto"/>
        <w:ind w:left="510"/>
      </w:pPr>
      <w:r>
        <w:rPr>
          <w:rFonts w:ascii="Cambria" w:hAnsi="Cambria"/>
          <w:b w:val="0"/>
          <w:i w:val="0"/>
          <w:sz w:val="22"/>
        </w:rPr>
        <w:t>Upon confirmation:</w:t>
      </w:r>
    </w:p>
    <w:p>
      <w:pPr>
        <w:pStyle w:val="ListBullet2"/>
        <w:spacing w:line="276" w:lineRule="auto"/>
        <w:ind w:left="1020"/>
      </w:pPr>
      <w:r>
        <w:rPr>
          <w:rFonts w:ascii="Cambria" w:hAnsi="Cambria"/>
          <w:b w:val="0"/>
          <w:i w:val="0"/>
          <w:sz w:val="22"/>
        </w:rPr>
        <w:t>The employee’s service becomes permanent in the post.</w:t>
      </w:r>
    </w:p>
    <w:p>
      <w:pPr>
        <w:pStyle w:val="ListBullet2"/>
        <w:spacing w:line="276" w:lineRule="auto"/>
        <w:ind w:left="1020"/>
      </w:pPr>
      <w:r>
        <w:rPr>
          <w:rFonts w:ascii="Cambria" w:hAnsi="Cambria"/>
          <w:b w:val="0"/>
          <w:i w:val="0"/>
          <w:sz w:val="22"/>
        </w:rPr>
        <w:t>The employee gains eligibility for:</w:t>
      </w:r>
    </w:p>
    <w:p>
      <w:pPr>
        <w:pStyle w:val="ListBullet2"/>
        <w:ind w:left="1474"/>
      </w:pPr>
      <w:r>
        <w:rPr>
          <w:rFonts w:ascii="Cambria" w:hAnsi="Cambria"/>
          <w:b w:val="0"/>
          <w:i w:val="0"/>
          <w:sz w:val="22"/>
        </w:rPr>
        <w:t>Annual increments.</w:t>
      </w:r>
    </w:p>
    <w:p>
      <w:pPr>
        <w:pStyle w:val="ListBullet2"/>
        <w:ind w:left="1474"/>
      </w:pPr>
      <w:r>
        <w:rPr>
          <w:rFonts w:ascii="Cambria" w:hAnsi="Cambria"/>
          <w:b w:val="0"/>
          <w:i w:val="0"/>
          <w:sz w:val="22"/>
        </w:rPr>
        <w:t>Full leave and service benefits.</w:t>
      </w:r>
    </w:p>
    <w:p>
      <w:pPr>
        <w:pStyle w:val="ListBullet2"/>
        <w:ind w:left="1474"/>
      </w:pPr>
      <w:r>
        <w:rPr>
          <w:rFonts w:ascii="Cambria" w:hAnsi="Cambria"/>
          <w:b w:val="0"/>
          <w:i w:val="0"/>
          <w:sz w:val="22"/>
        </w:rPr>
        <w:t>Participation in promotions and selection processes.</w:t>
      </w:r>
    </w:p>
    <w:p>
      <w:pPr>
        <w:pStyle w:val="ListBullet2"/>
        <w:spacing w:line="276" w:lineRule="auto"/>
        <w:ind w:left="1020"/>
      </w:pPr>
      <w:r>
        <w:rPr>
          <w:rFonts w:ascii="Cambria" w:hAnsi="Cambria"/>
          <w:b w:val="0"/>
          <w:i w:val="0"/>
          <w:sz w:val="22"/>
        </w:rPr>
        <w:t>The employee’s lien on the post is established permanently.</w:t>
      </w:r>
    </w:p>
    <w:p>
      <w:pPr>
        <w:keepNext/>
        <w:spacing w:before="200" w:after="120"/>
      </w:pPr>
      <w:r>
        <w:rPr>
          <w:rFonts w:ascii="Cambria" w:hAnsi="Cambria"/>
          <w:b/>
          <w:color w:val="1F3A5F"/>
          <w:sz w:val="24"/>
        </w:rPr>
        <w:t>III. Seniority Policy</w:t>
      </w:r>
    </w:p>
    <w:p>
      <w:pPr>
        <w:keepNext/>
        <w:spacing w:before="200" w:after="120"/>
      </w:pPr>
      <w:r>
        <w:rPr>
          <w:rFonts w:ascii="Cambria" w:hAnsi="Cambria"/>
          <w:b/>
          <w:color w:val="1F3A5F"/>
          <w:sz w:val="24"/>
        </w:rPr>
        <w:t>1. Definition</w:t>
      </w:r>
    </w:p>
    <w:p>
      <w:pPr>
        <w:pStyle w:val="ListBullet"/>
        <w:spacing w:line="276" w:lineRule="auto"/>
        <w:ind w:left="510"/>
      </w:pPr>
      <w:r>
        <w:rPr>
          <w:rFonts w:ascii="Cambria" w:hAnsi="Cambria"/>
          <w:b w:val="0"/>
          <w:i w:val="0"/>
          <w:sz w:val="22"/>
        </w:rPr>
        <w:t>“Seniority” means the relative position of an employee in a cadre or grade determined with reference to the date of appointment, confirmation, or promotion, as per University regulations.</w:t>
      </w:r>
    </w:p>
    <w:p>
      <w:pPr>
        <w:keepNext/>
        <w:spacing w:before="200" w:after="120"/>
      </w:pPr>
      <w:r>
        <w:rPr>
          <w:rFonts w:ascii="Cambria" w:hAnsi="Cambria"/>
          <w:b/>
          <w:color w:val="1F3A5F"/>
          <w:sz w:val="24"/>
        </w:rPr>
        <w:t>2. Determination of Seniority</w:t>
      </w:r>
    </w:p>
    <w:p>
      <w:pPr>
        <w:spacing w:line="276" w:lineRule="auto"/>
        <w:ind w:left="357" w:hanging="357"/>
      </w:pPr>
      <w:r>
        <w:rPr>
          <w:rFonts w:ascii="Cambria" w:hAnsi="Cambria"/>
          <w:b w:val="0"/>
          <w:i w:val="0"/>
          <w:sz w:val="22"/>
        </w:rPr>
        <w:t xml:space="preserve">1. </w:t>
      </w:r>
      <w:r>
        <w:rPr>
          <w:rFonts w:ascii="Cambria" w:hAnsi="Cambria"/>
          <w:b w:val="0"/>
          <w:i w:val="0"/>
          <w:sz w:val="22"/>
        </w:rPr>
        <w:t>Direct Recruits:</w:t>
      </w:r>
    </w:p>
    <w:p>
      <w:pPr>
        <w:pStyle w:val="ListBullet2"/>
        <w:spacing w:line="276" w:lineRule="auto"/>
        <w:ind w:left="1020"/>
      </w:pPr>
      <w:r>
        <w:rPr>
          <w:rFonts w:ascii="Cambria" w:hAnsi="Cambria"/>
          <w:b w:val="0"/>
          <w:i w:val="0"/>
          <w:sz w:val="22"/>
        </w:rPr>
        <w:t>Seniority shall be determined by the date of joining duty after selection.</w:t>
      </w:r>
    </w:p>
    <w:p>
      <w:pPr>
        <w:pStyle w:val="ListBullet2"/>
        <w:spacing w:line="276" w:lineRule="auto"/>
        <w:ind w:left="1020"/>
      </w:pPr>
      <w:r>
        <w:rPr>
          <w:rFonts w:ascii="Cambria" w:hAnsi="Cambria"/>
          <w:b w:val="0"/>
          <w:i w:val="0"/>
          <w:sz w:val="22"/>
        </w:rPr>
        <w:t>When two or more candidates join on the same day, merit position in the selection panel shall determine seniority.</w:t>
      </w:r>
    </w:p>
    <w:p>
      <w:pPr>
        <w:spacing w:line="276" w:lineRule="auto"/>
        <w:ind w:left="357" w:hanging="357"/>
      </w:pPr>
      <w:r>
        <w:rPr>
          <w:rFonts w:ascii="Cambria" w:hAnsi="Cambria"/>
          <w:b w:val="0"/>
          <w:i w:val="0"/>
          <w:sz w:val="22"/>
        </w:rPr>
        <w:t xml:space="preserve">2. </w:t>
      </w:r>
      <w:r>
        <w:rPr>
          <w:rFonts w:ascii="Cambria" w:hAnsi="Cambria"/>
          <w:b w:val="0"/>
          <w:i w:val="0"/>
          <w:sz w:val="22"/>
        </w:rPr>
        <w:t>Promoted Employees:</w:t>
      </w:r>
    </w:p>
    <w:p>
      <w:pPr>
        <w:pStyle w:val="ListBullet2"/>
        <w:spacing w:line="276" w:lineRule="auto"/>
        <w:ind w:left="1020"/>
      </w:pPr>
      <w:r>
        <w:rPr>
          <w:rFonts w:ascii="Cambria" w:hAnsi="Cambria"/>
          <w:b w:val="0"/>
          <w:i w:val="0"/>
          <w:sz w:val="22"/>
        </w:rPr>
        <w:t>Seniority shall be determined by the date of promotion to the higher post.</w:t>
      </w:r>
    </w:p>
    <w:p>
      <w:pPr>
        <w:pStyle w:val="ListBullet2"/>
        <w:spacing w:line="276" w:lineRule="auto"/>
        <w:ind w:left="1020"/>
      </w:pPr>
      <w:r>
        <w:rPr>
          <w:rFonts w:ascii="Cambria" w:hAnsi="Cambria"/>
          <w:b w:val="0"/>
          <w:i w:val="0"/>
          <w:sz w:val="22"/>
        </w:rPr>
        <w:t>When multiple promotions occur on the same date, previous lower-grade seniority shall prevail.</w:t>
      </w:r>
    </w:p>
    <w:p>
      <w:pPr>
        <w:spacing w:line="276" w:lineRule="auto"/>
        <w:ind w:left="357" w:hanging="357"/>
      </w:pPr>
      <w:r>
        <w:rPr>
          <w:rFonts w:ascii="Cambria" w:hAnsi="Cambria"/>
          <w:b w:val="0"/>
          <w:i w:val="0"/>
          <w:sz w:val="22"/>
        </w:rPr>
        <w:t xml:space="preserve">3. </w:t>
      </w:r>
      <w:r>
        <w:rPr>
          <w:rFonts w:ascii="Cambria" w:hAnsi="Cambria"/>
          <w:b w:val="0"/>
          <w:i w:val="0"/>
          <w:sz w:val="22"/>
        </w:rPr>
        <w:t>Transfer Cases:</w:t>
      </w:r>
    </w:p>
    <w:p>
      <w:pPr>
        <w:pStyle w:val="ListBullet2"/>
        <w:spacing w:line="276" w:lineRule="auto"/>
        <w:ind w:left="1020"/>
      </w:pPr>
      <w:r>
        <w:rPr>
          <w:rFonts w:ascii="Cambria" w:hAnsi="Cambria"/>
          <w:b w:val="0"/>
          <w:i w:val="0"/>
          <w:sz w:val="22"/>
        </w:rPr>
        <w:t>Employees transferred from another institution (with BoM approval) shall take seniority after the last regular employee in the corresponding cadre, unless otherwise specified.</w:t>
      </w:r>
    </w:p>
    <w:p>
      <w:pPr>
        <w:spacing w:line="276" w:lineRule="auto"/>
        <w:ind w:left="357" w:hanging="357"/>
      </w:pPr>
      <w:r>
        <w:rPr>
          <w:rFonts w:ascii="Cambria" w:hAnsi="Cambria"/>
          <w:b w:val="0"/>
          <w:i w:val="0"/>
          <w:sz w:val="22"/>
        </w:rPr>
        <w:t xml:space="preserve">4. </w:t>
      </w:r>
      <w:r>
        <w:rPr>
          <w:rFonts w:ascii="Cambria" w:hAnsi="Cambria"/>
          <w:b w:val="0"/>
          <w:i w:val="0"/>
          <w:sz w:val="22"/>
        </w:rPr>
        <w:t>Probationers and Temporary Appointments:</w:t>
      </w:r>
    </w:p>
    <w:p>
      <w:pPr>
        <w:pStyle w:val="ListBullet2"/>
        <w:spacing w:line="276" w:lineRule="auto"/>
        <w:ind w:left="1020"/>
      </w:pPr>
      <w:r>
        <w:rPr>
          <w:rFonts w:ascii="Cambria" w:hAnsi="Cambria"/>
          <w:b w:val="0"/>
          <w:i w:val="0"/>
          <w:sz w:val="22"/>
        </w:rPr>
        <w:t>Seniority shall accrue only after confirmation in the post.</w:t>
      </w:r>
    </w:p>
    <w:p>
      <w:pPr>
        <w:pStyle w:val="ListBullet2"/>
        <w:spacing w:line="276" w:lineRule="auto"/>
        <w:ind w:left="1020"/>
      </w:pPr>
      <w:r>
        <w:rPr>
          <w:rFonts w:ascii="Cambria" w:hAnsi="Cambria"/>
          <w:b w:val="0"/>
          <w:i w:val="0"/>
          <w:sz w:val="22"/>
        </w:rPr>
        <w:t>Temporary service before confirmation does not count for seniority unless explicitly approved.</w:t>
      </w:r>
    </w:p>
    <w:p>
      <w:pPr>
        <w:keepNext/>
        <w:spacing w:before="200" w:after="120"/>
      </w:pPr>
      <w:r>
        <w:rPr>
          <w:rFonts w:ascii="Cambria" w:hAnsi="Cambria"/>
          <w:b/>
          <w:color w:val="1F3A5F"/>
          <w:sz w:val="24"/>
        </w:rPr>
        <w:t>3. Maintenance of Seniority List</w:t>
      </w:r>
    </w:p>
    <w:p>
      <w:pPr>
        <w:pStyle w:val="ListBullet"/>
        <w:spacing w:line="276" w:lineRule="auto"/>
        <w:ind w:left="510"/>
      </w:pPr>
      <w:r>
        <w:rPr>
          <w:rFonts w:ascii="Cambria" w:hAnsi="Cambria"/>
          <w:b w:val="0"/>
          <w:i w:val="0"/>
          <w:sz w:val="22"/>
        </w:rPr>
        <w:t>The Registrar / Establishment Section shall maintain an updated seniority list for each category of post (Teaching, Non-Teaching, Technical).</w:t>
      </w:r>
    </w:p>
    <w:p>
      <w:pPr>
        <w:pStyle w:val="ListBullet"/>
        <w:spacing w:line="276" w:lineRule="auto"/>
        <w:ind w:left="510"/>
      </w:pPr>
      <w:r>
        <w:rPr>
          <w:rFonts w:ascii="Cambria" w:hAnsi="Cambria"/>
          <w:b w:val="0"/>
          <w:i w:val="0"/>
          <w:sz w:val="22"/>
        </w:rPr>
        <w:t>The list shall be:</w:t>
      </w:r>
    </w:p>
    <w:p>
      <w:pPr>
        <w:pStyle w:val="ListBullet2"/>
        <w:spacing w:line="276" w:lineRule="auto"/>
        <w:ind w:left="1020"/>
      </w:pPr>
      <w:r>
        <w:rPr>
          <w:rFonts w:ascii="Cambria" w:hAnsi="Cambria"/>
          <w:b w:val="0"/>
          <w:i w:val="0"/>
          <w:sz w:val="22"/>
        </w:rPr>
        <w:t>Reviewed annually and displayed for verification.</w:t>
      </w:r>
    </w:p>
    <w:p>
      <w:pPr>
        <w:pStyle w:val="ListBullet2"/>
        <w:spacing w:line="276" w:lineRule="auto"/>
        <w:ind w:left="1020"/>
      </w:pPr>
      <w:r>
        <w:rPr>
          <w:rFonts w:ascii="Cambria" w:hAnsi="Cambria"/>
          <w:b w:val="0"/>
          <w:i w:val="0"/>
          <w:sz w:val="22"/>
        </w:rPr>
        <w:t>Open for representation within 15 days of publication.</w:t>
      </w:r>
    </w:p>
    <w:p>
      <w:pPr>
        <w:pStyle w:val="ListBullet2"/>
        <w:spacing w:line="276" w:lineRule="auto"/>
        <w:ind w:left="1020"/>
      </w:pPr>
      <w:r>
        <w:rPr>
          <w:rFonts w:ascii="Cambria" w:hAnsi="Cambria"/>
          <w:b w:val="0"/>
          <w:i w:val="0"/>
          <w:sz w:val="22"/>
        </w:rPr>
        <w:t>Finalized after disposal of any objections.</w:t>
      </w:r>
    </w:p>
    <w:p>
      <w:pPr>
        <w:keepNext/>
        <w:spacing w:before="200" w:after="120"/>
      </w:pPr>
      <w:r>
        <w:rPr>
          <w:rFonts w:ascii="Cambria" w:hAnsi="Cambria"/>
          <w:b/>
          <w:color w:val="1F3A5F"/>
          <w:sz w:val="24"/>
        </w:rPr>
        <w:t>4. Inter-Se Seniority Between Direct Recruits and Promotees</w:t>
      </w:r>
    </w:p>
    <w:p>
      <w:pPr>
        <w:pStyle w:val="ListBullet"/>
        <w:spacing w:line="276" w:lineRule="auto"/>
        <w:ind w:left="510"/>
      </w:pPr>
      <w:r>
        <w:rPr>
          <w:rFonts w:ascii="Cambria" w:hAnsi="Cambria"/>
          <w:b w:val="0"/>
          <w:i w:val="0"/>
          <w:sz w:val="22"/>
        </w:rPr>
        <w:t>When both direct recruits and promotees are appointed in the same year, their inter-se seniority shall be fixed according to the rotation of quota (e.g., 1:1 or 2:1) approved by the BoM.</w:t>
      </w:r>
    </w:p>
    <w:p>
      <w:pPr>
        <w:keepNext/>
        <w:spacing w:before="200" w:after="120"/>
      </w:pPr>
      <w:r>
        <w:rPr>
          <w:rFonts w:ascii="Cambria" w:hAnsi="Cambria"/>
          <w:b/>
          <w:color w:val="1F3A5F"/>
          <w:sz w:val="24"/>
        </w:rPr>
        <w:t>5. Loss of Seniority</w:t>
      </w:r>
    </w:p>
    <w:p>
      <w:pPr>
        <w:jc w:val="both"/>
      </w:pPr>
      <w:r>
        <w:rPr>
          <w:rFonts w:ascii="Cambria" w:hAnsi="Cambria"/>
          <w:i w:val="0"/>
          <w:sz w:val="22"/>
        </w:rPr>
        <w:t>Seniority shall be lost if:</w:t>
      </w:r>
    </w:p>
    <w:p>
      <w:pPr>
        <w:pStyle w:val="ListBullet"/>
        <w:spacing w:line="276" w:lineRule="auto"/>
        <w:ind w:left="510"/>
      </w:pPr>
      <w:r>
        <w:rPr>
          <w:rFonts w:ascii="Cambria" w:hAnsi="Cambria"/>
          <w:b w:val="0"/>
          <w:i w:val="0"/>
          <w:sz w:val="22"/>
        </w:rPr>
        <w:t>The employee resigns or is terminated and later reappointed.</w:t>
      </w:r>
    </w:p>
    <w:p>
      <w:pPr>
        <w:pStyle w:val="ListBullet"/>
        <w:spacing w:line="276" w:lineRule="auto"/>
        <w:ind w:left="510"/>
      </w:pPr>
      <w:r>
        <w:rPr>
          <w:rFonts w:ascii="Cambria" w:hAnsi="Cambria"/>
          <w:b w:val="0"/>
          <w:i w:val="0"/>
          <w:sz w:val="22"/>
        </w:rPr>
        <w:t>The employee remains absent without authorization or overstays leave beyond permissible limits.</w:t>
      </w:r>
    </w:p>
    <w:p>
      <w:pPr>
        <w:pStyle w:val="ListBullet"/>
        <w:spacing w:line="276" w:lineRule="auto"/>
        <w:ind w:left="510"/>
      </w:pPr>
      <w:r>
        <w:rPr>
          <w:rFonts w:ascii="Cambria" w:hAnsi="Cambria"/>
          <w:b w:val="0"/>
          <w:i w:val="0"/>
          <w:sz w:val="22"/>
        </w:rPr>
        <w:t>The employee is demoted as a result of disciplinary action.</w:t>
      </w:r>
    </w:p>
    <w:p>
      <w:pPr>
        <w:keepNext/>
        <w:spacing w:before="200" w:after="120"/>
      </w:pPr>
      <w:r>
        <w:rPr>
          <w:rFonts w:ascii="Cambria" w:hAnsi="Cambria"/>
          <w:b/>
          <w:color w:val="1F3A5F"/>
          <w:sz w:val="24"/>
        </w:rPr>
        <w:t>IV. Administrative Responsibilities</w:t>
      </w:r>
    </w:p>
    <w:p>
      <w:pPr>
        <w:pStyle w:val="ListBullet"/>
        <w:spacing w:line="276" w:lineRule="auto"/>
        <w:ind w:left="510"/>
      </w:pPr>
      <w:r>
        <w:rPr>
          <w:rFonts w:ascii="Cambria" w:hAnsi="Cambria"/>
          <w:b w:val="0"/>
          <w:i w:val="0"/>
          <w:sz w:val="22"/>
        </w:rPr>
        <w:t>Head of Department / Registrar:</w:t>
      </w:r>
    </w:p>
    <w:p>
      <w:pPr>
        <w:pStyle w:val="ListBullet2"/>
        <w:spacing w:line="276" w:lineRule="auto"/>
        <w:ind w:left="1020"/>
      </w:pPr>
      <w:r>
        <w:rPr>
          <w:rFonts w:ascii="Cambria" w:hAnsi="Cambria"/>
          <w:b w:val="0"/>
          <w:i w:val="0"/>
          <w:sz w:val="22"/>
        </w:rPr>
        <w:t>Conducts probationary assessments and forwards reports for confirmation.</w:t>
      </w:r>
    </w:p>
    <w:p>
      <w:pPr>
        <w:pStyle w:val="ListBullet"/>
        <w:spacing w:line="276" w:lineRule="auto"/>
        <w:ind w:left="510"/>
      </w:pPr>
      <w:r>
        <w:rPr>
          <w:rFonts w:ascii="Cambria" w:hAnsi="Cambria"/>
          <w:b w:val="0"/>
          <w:i w:val="0"/>
          <w:sz w:val="22"/>
        </w:rPr>
        <w:t>Human Resources / Establishment Section:</w:t>
      </w:r>
    </w:p>
    <w:p>
      <w:pPr>
        <w:pStyle w:val="ListBullet2"/>
        <w:spacing w:line="276" w:lineRule="auto"/>
        <w:ind w:left="1020"/>
      </w:pPr>
      <w:r>
        <w:rPr>
          <w:rFonts w:ascii="Cambria" w:hAnsi="Cambria"/>
          <w:b w:val="0"/>
          <w:i w:val="0"/>
          <w:sz w:val="22"/>
        </w:rPr>
        <w:t>Maintains probation registers, confirmation records, and seniority lists.</w:t>
      </w:r>
    </w:p>
    <w:p>
      <w:pPr>
        <w:pStyle w:val="ListBullet"/>
        <w:spacing w:line="276" w:lineRule="auto"/>
        <w:ind w:left="510"/>
      </w:pPr>
      <w:r>
        <w:rPr>
          <w:rFonts w:ascii="Cambria" w:hAnsi="Cambria"/>
          <w:b w:val="0"/>
          <w:i w:val="0"/>
          <w:sz w:val="22"/>
        </w:rPr>
        <w:t>Vice-Chancellor / BoM:</w:t>
      </w:r>
    </w:p>
    <w:p>
      <w:pPr>
        <w:pStyle w:val="ListBullet2"/>
        <w:spacing w:line="276" w:lineRule="auto"/>
        <w:ind w:left="1020"/>
      </w:pPr>
      <w:r>
        <w:rPr>
          <w:rFonts w:ascii="Cambria" w:hAnsi="Cambria"/>
          <w:b w:val="0"/>
          <w:i w:val="0"/>
          <w:sz w:val="22"/>
        </w:rPr>
        <w:t>Exercises final approval authority for confirmation and resolution of seniority disputes.</w:t>
      </w:r>
    </w:p>
    <w:p>
      <w:pPr>
        <w:keepNext/>
        <w:spacing w:before="200" w:after="120"/>
      </w:pPr>
      <w:r>
        <w:rPr>
          <w:rFonts w:ascii="Cambria" w:hAnsi="Cambria"/>
          <w:b/>
          <w:color w:val="1F3A5F"/>
          <w:sz w:val="24"/>
        </w:rPr>
        <w:t>V.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84"/>
            <w:shd w:val="clear" w:color="auto" w:fill="1F3A5F"/>
          </w:tcPr>
          <w:p>
            <w:pPr>
              <w:spacing w:after="40" w:before="40"/>
            </w:pPr>
            <w:r/>
            <w:r>
              <w:rPr>
                <w:rFonts w:ascii="Cambria" w:hAnsi="Cambria"/>
                <w:b/>
                <w:i w:val="0"/>
                <w:color w:val="FFFFFF"/>
                <w:sz w:val="22"/>
              </w:rPr>
              <w:t>Aspect</w:t>
            </w:r>
          </w:p>
        </w:tc>
        <w:tc>
          <w:tcPr>
            <w:tcW w:type="dxa" w:w="5386"/>
            <w:shd w:val="clear" w:color="auto" w:fill="1F3A5F"/>
          </w:tcPr>
          <w:p>
            <w:pPr>
              <w:spacing w:after="40" w:before="40"/>
            </w:pPr>
            <w:r/>
            <w:r>
              <w:rPr>
                <w:rFonts w:ascii="Cambria" w:hAnsi="Cambria"/>
                <w:b/>
                <w:i w:val="0"/>
                <w:color w:val="FFFFFF"/>
                <w:sz w:val="22"/>
              </w:rPr>
              <w:t>Provision</w:t>
            </w:r>
          </w:p>
        </w:tc>
        <w:tc>
          <w:tcPr>
            <w:tcW w:type="dxa" w:w="2041"/>
            <w:shd w:val="clear" w:color="auto" w:fill="1F3A5F"/>
          </w:tcPr>
          <w:p>
            <w:pPr>
              <w:spacing w:after="40" w:before="40"/>
            </w:pPr>
            <w:r/>
            <w:r>
              <w:rPr>
                <w:rFonts w:ascii="Cambria" w:hAnsi="Cambria"/>
                <w:b/>
                <w:i w:val="0"/>
                <w:color w:val="FFFFFF"/>
                <w:sz w:val="22"/>
              </w:rPr>
              <w:t>Authority</w:t>
            </w:r>
          </w:p>
        </w:tc>
      </w:tr>
      <w:tr>
        <w:tc>
          <w:tcPr>
            <w:tcW w:type="dxa" w:w="1984"/>
          </w:tcPr>
          <w:p>
            <w:pPr>
              <w:spacing w:after="40" w:before="40"/>
            </w:pPr>
            <w:r/>
            <w:r>
              <w:rPr>
                <w:rFonts w:ascii="Cambria" w:hAnsi="Cambria"/>
                <w:b w:val="0"/>
                <w:i w:val="0"/>
                <w:sz w:val="22"/>
              </w:rPr>
              <w:t>Probation Duration</w:t>
            </w:r>
          </w:p>
        </w:tc>
        <w:tc>
          <w:tcPr>
            <w:tcW w:type="dxa" w:w="5386"/>
          </w:tcPr>
          <w:p>
            <w:pPr>
              <w:spacing w:after="40" w:before="40"/>
            </w:pPr>
            <w:r/>
            <w:r>
              <w:rPr>
                <w:rFonts w:ascii="Cambria" w:hAnsi="Cambria"/>
                <w:b w:val="0"/>
                <w:i w:val="0"/>
                <w:sz w:val="22"/>
              </w:rPr>
              <w:t>1 year (Non-Teaching), 2 years (Teaching/Administrative)</w:t>
            </w:r>
          </w:p>
        </w:tc>
        <w:tc>
          <w:tcPr>
            <w:tcW w:type="dxa" w:w="2041"/>
          </w:tcPr>
          <w:p>
            <w:pPr>
              <w:spacing w:after="40" w:before="40"/>
            </w:pPr>
            <w:r/>
            <w:r>
              <w:rPr>
                <w:rFonts w:ascii="Cambria" w:hAnsi="Cambria"/>
                <w:b w:val="0"/>
                <w:i w:val="0"/>
                <w:sz w:val="22"/>
              </w:rPr>
              <w:t>BoM / Appointment Order</w:t>
            </w:r>
          </w:p>
        </w:tc>
      </w:tr>
      <w:tr>
        <w:tc>
          <w:tcPr>
            <w:tcW w:type="dxa" w:w="1984"/>
            <w:shd w:val="clear" w:color="auto" w:fill="F0F2F5"/>
          </w:tcPr>
          <w:p>
            <w:pPr>
              <w:spacing w:after="40" w:before="40"/>
            </w:pPr>
            <w:r/>
            <w:r>
              <w:rPr>
                <w:rFonts w:ascii="Cambria" w:hAnsi="Cambria"/>
                <w:b w:val="0"/>
                <w:i w:val="0"/>
                <w:sz w:val="22"/>
              </w:rPr>
              <w:t>Extension of Probation</w:t>
            </w:r>
          </w:p>
        </w:tc>
        <w:tc>
          <w:tcPr>
            <w:tcW w:type="dxa" w:w="5386"/>
            <w:shd w:val="clear" w:color="auto" w:fill="F0F2F5"/>
          </w:tcPr>
          <w:p>
            <w:pPr>
              <w:spacing w:after="40" w:before="40"/>
            </w:pPr>
            <w:r/>
            <w:r>
              <w:rPr>
                <w:rFonts w:ascii="Cambria" w:hAnsi="Cambria"/>
                <w:b w:val="0"/>
                <w:i w:val="0"/>
                <w:sz w:val="22"/>
              </w:rPr>
              <w:t>Permitted once or twice, up to double duration</w:t>
            </w:r>
          </w:p>
        </w:tc>
        <w:tc>
          <w:tcPr>
            <w:tcW w:type="dxa" w:w="2041"/>
            <w:shd w:val="clear" w:color="auto" w:fill="F0F2F5"/>
          </w:tcPr>
          <w:p>
            <w:pPr>
              <w:spacing w:after="40" w:before="40"/>
            </w:pPr>
            <w:r/>
            <w:r>
              <w:rPr>
                <w:rFonts w:ascii="Cambria" w:hAnsi="Cambria"/>
                <w:b w:val="0"/>
                <w:i w:val="0"/>
                <w:sz w:val="22"/>
              </w:rPr>
              <w:t>Appointing Authority</w:t>
            </w:r>
          </w:p>
        </w:tc>
      </w:tr>
      <w:tr>
        <w:tc>
          <w:tcPr>
            <w:tcW w:type="dxa" w:w="1984"/>
          </w:tcPr>
          <w:p>
            <w:pPr>
              <w:spacing w:after="40" w:before="40"/>
            </w:pPr>
            <w:r/>
            <w:r>
              <w:rPr>
                <w:rFonts w:ascii="Cambria" w:hAnsi="Cambria"/>
                <w:b w:val="0"/>
                <w:i w:val="0"/>
                <w:sz w:val="22"/>
              </w:rPr>
              <w:t>Termination During Probation</w:t>
            </w:r>
          </w:p>
        </w:tc>
        <w:tc>
          <w:tcPr>
            <w:tcW w:type="dxa" w:w="5386"/>
          </w:tcPr>
          <w:p>
            <w:pPr>
              <w:spacing w:after="40" w:before="40"/>
            </w:pPr>
            <w:r/>
            <w:r>
              <w:rPr>
                <w:rFonts w:ascii="Cambria" w:hAnsi="Cambria"/>
                <w:b w:val="0"/>
                <w:i w:val="0"/>
                <w:sz w:val="22"/>
              </w:rPr>
              <w:t>Without reason; 1-month notice or pay</w:t>
            </w:r>
          </w:p>
        </w:tc>
        <w:tc>
          <w:tcPr>
            <w:tcW w:type="dxa" w:w="2041"/>
          </w:tcPr>
          <w:p>
            <w:pPr>
              <w:spacing w:after="40" w:before="40"/>
            </w:pPr>
            <w:r/>
            <w:r>
              <w:rPr>
                <w:rFonts w:ascii="Cambria" w:hAnsi="Cambria"/>
                <w:b w:val="0"/>
                <w:i w:val="0"/>
                <w:sz w:val="22"/>
              </w:rPr>
              <w:t>Appointing Authority</w:t>
            </w:r>
          </w:p>
        </w:tc>
      </w:tr>
      <w:tr>
        <w:tc>
          <w:tcPr>
            <w:tcW w:type="dxa" w:w="1984"/>
            <w:shd w:val="clear" w:color="auto" w:fill="F0F2F5"/>
          </w:tcPr>
          <w:p>
            <w:pPr>
              <w:spacing w:after="40" w:before="40"/>
            </w:pPr>
            <w:r/>
            <w:r>
              <w:rPr>
                <w:rFonts w:ascii="Cambria" w:hAnsi="Cambria"/>
                <w:b w:val="0"/>
                <w:i w:val="0"/>
                <w:sz w:val="22"/>
              </w:rPr>
              <w:t>Confirmation</w:t>
            </w:r>
          </w:p>
        </w:tc>
        <w:tc>
          <w:tcPr>
            <w:tcW w:type="dxa" w:w="5386"/>
            <w:shd w:val="clear" w:color="auto" w:fill="F0F2F5"/>
          </w:tcPr>
          <w:p>
            <w:pPr>
              <w:spacing w:after="40" w:before="40"/>
            </w:pPr>
            <w:r/>
            <w:r>
              <w:rPr>
                <w:rFonts w:ascii="Cambria" w:hAnsi="Cambria"/>
                <w:b w:val="0"/>
                <w:i w:val="0"/>
                <w:sz w:val="22"/>
              </w:rPr>
              <w:t>After satisfactory probation and appraisal</w:t>
            </w:r>
          </w:p>
        </w:tc>
        <w:tc>
          <w:tcPr>
            <w:tcW w:type="dxa" w:w="2041"/>
            <w:shd w:val="clear" w:color="auto" w:fill="F0F2F5"/>
          </w:tcPr>
          <w:p>
            <w:pPr>
              <w:spacing w:after="40" w:before="40"/>
            </w:pPr>
            <w:r/>
            <w:r>
              <w:rPr>
                <w:rFonts w:ascii="Cambria" w:hAnsi="Cambria"/>
                <w:b w:val="0"/>
                <w:i w:val="0"/>
                <w:sz w:val="22"/>
              </w:rPr>
              <w:t>BoM / Registrar / V.C.</w:t>
            </w:r>
          </w:p>
        </w:tc>
      </w:tr>
      <w:tr>
        <w:tc>
          <w:tcPr>
            <w:tcW w:type="dxa" w:w="1984"/>
          </w:tcPr>
          <w:p>
            <w:pPr>
              <w:spacing w:after="40" w:before="40"/>
            </w:pPr>
            <w:r/>
            <w:r>
              <w:rPr>
                <w:rFonts w:ascii="Cambria" w:hAnsi="Cambria"/>
                <w:b w:val="0"/>
                <w:i w:val="0"/>
                <w:sz w:val="22"/>
              </w:rPr>
              <w:t>Seniority Basis</w:t>
            </w:r>
          </w:p>
        </w:tc>
        <w:tc>
          <w:tcPr>
            <w:tcW w:type="dxa" w:w="5386"/>
          </w:tcPr>
          <w:p>
            <w:pPr>
              <w:spacing w:after="40" w:before="40"/>
            </w:pPr>
            <w:r/>
            <w:r>
              <w:rPr>
                <w:rFonts w:ascii="Cambria" w:hAnsi="Cambria"/>
                <w:b w:val="0"/>
                <w:i w:val="0"/>
                <w:sz w:val="22"/>
              </w:rPr>
              <w:t>Date of joining or confirmation; merit in selection</w:t>
            </w:r>
          </w:p>
        </w:tc>
        <w:tc>
          <w:tcPr>
            <w:tcW w:type="dxa" w:w="2041"/>
          </w:tcPr>
          <w:p>
            <w:pPr>
              <w:spacing w:after="40" w:before="40"/>
            </w:pPr>
            <w:r/>
            <w:r>
              <w:rPr>
                <w:rFonts w:ascii="Cambria" w:hAnsi="Cambria"/>
                <w:b w:val="0"/>
                <w:i w:val="0"/>
                <w:sz w:val="22"/>
              </w:rPr>
              <w:t>Registrar / HR Section</w:t>
            </w:r>
          </w:p>
        </w:tc>
      </w:tr>
      <w:tr>
        <w:tc>
          <w:tcPr>
            <w:tcW w:type="dxa" w:w="1984"/>
            <w:shd w:val="clear" w:color="auto" w:fill="F0F2F5"/>
          </w:tcPr>
          <w:p>
            <w:pPr>
              <w:spacing w:after="40" w:before="40"/>
            </w:pPr>
            <w:r/>
            <w:r>
              <w:rPr>
                <w:rFonts w:ascii="Cambria" w:hAnsi="Cambria"/>
                <w:b w:val="0"/>
                <w:i w:val="0"/>
                <w:sz w:val="22"/>
              </w:rPr>
              <w:t>Seniority List Review</w:t>
            </w:r>
          </w:p>
        </w:tc>
        <w:tc>
          <w:tcPr>
            <w:tcW w:type="dxa" w:w="5386"/>
            <w:shd w:val="clear" w:color="auto" w:fill="F0F2F5"/>
          </w:tcPr>
          <w:p>
            <w:pPr>
              <w:spacing w:after="40" w:before="40"/>
            </w:pPr>
            <w:r/>
            <w:r>
              <w:rPr>
                <w:rFonts w:ascii="Cambria" w:hAnsi="Cambria"/>
                <w:b w:val="0"/>
                <w:i w:val="0"/>
                <w:sz w:val="22"/>
              </w:rPr>
              <w:t>Annual update and publication</w:t>
            </w:r>
          </w:p>
        </w:tc>
        <w:tc>
          <w:tcPr>
            <w:tcW w:type="dxa" w:w="2041"/>
            <w:shd w:val="clear" w:color="auto" w:fill="F0F2F5"/>
          </w:tcPr>
          <w:p>
            <w:pPr>
              <w:spacing w:after="40" w:before="40"/>
            </w:pPr>
            <w:r/>
            <w:r>
              <w:rPr>
                <w:rFonts w:ascii="Cambria" w:hAnsi="Cambria"/>
                <w:b w:val="0"/>
                <w:i w:val="0"/>
                <w:sz w:val="22"/>
              </w:rPr>
              <w:t>Registrar / HR Section</w:t>
            </w:r>
          </w:p>
        </w:tc>
      </w:tr>
    </w:tbl>
    <w:p>
      <w:pPr>
        <w:spacing w:after="40"/>
      </w:pPr>
    </w:p>
    <w:p>
      <w:pPr>
        <w:keepNext/>
        <w:spacing w:before="200" w:after="120"/>
      </w:pPr>
      <w:r>
        <w:rPr>
          <w:rFonts w:ascii="Cambria" w:hAnsi="Cambria"/>
          <w:b/>
          <w:color w:val="1F3A5F"/>
          <w:sz w:val="24"/>
        </w:rPr>
        <w:t>VI. Policy Principles</w:t>
      </w:r>
    </w:p>
    <w:p>
      <w:pPr>
        <w:pStyle w:val="ListBullet"/>
        <w:spacing w:line="276" w:lineRule="auto"/>
        <w:ind w:left="510"/>
      </w:pPr>
      <w:r>
        <w:rPr>
          <w:rFonts w:ascii="Cambria" w:hAnsi="Cambria"/>
          <w:b w:val="0"/>
          <w:i w:val="0"/>
          <w:sz w:val="22"/>
        </w:rPr>
        <w:t>Probation and confirmation ensure competence-based retention of staff.</w:t>
      </w:r>
    </w:p>
    <w:p>
      <w:pPr>
        <w:pStyle w:val="ListBullet"/>
        <w:spacing w:line="276" w:lineRule="auto"/>
        <w:ind w:left="510"/>
      </w:pPr>
      <w:r>
        <w:rPr>
          <w:rFonts w:ascii="Cambria" w:hAnsi="Cambria"/>
          <w:b w:val="0"/>
          <w:i w:val="0"/>
          <w:sz w:val="22"/>
        </w:rPr>
        <w:t>Seniority is determined by transparent and verifiable criteria, minimizing disputes.</w:t>
      </w:r>
    </w:p>
    <w:p>
      <w:pPr>
        <w:pStyle w:val="ListBullet"/>
        <w:spacing w:line="276" w:lineRule="auto"/>
        <w:ind w:left="510"/>
      </w:pPr>
      <w:r>
        <w:rPr>
          <w:rFonts w:ascii="Cambria" w:hAnsi="Cambria"/>
          <w:b w:val="0"/>
          <w:i w:val="0"/>
          <w:sz w:val="22"/>
        </w:rPr>
        <w:t>Any deviation from these norms requires specific BoM approval and must be recorded in the employee’s service register.</w:t>
      </w:r>
    </w:p>
    <w:p>
      <w:pPr>
        <w:keepNext/>
        <w:spacing w:before="200" w:after="120"/>
      </w:pPr>
      <w:r>
        <w:rPr>
          <w:rFonts w:ascii="Cambria" w:hAnsi="Cambria"/>
          <w:b/>
          <w:color w:val="1F3A5F"/>
          <w:sz w:val="27"/>
        </w:rPr>
        <w:t>G. Promotion, Increment, and Career Advancement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transparent and merit-based framework for promotions, increments, and career advancement opportunities for University employees.</w:t>
      </w:r>
    </w:p>
    <w:p>
      <w:pPr>
        <w:pStyle w:val="ListBullet"/>
        <w:spacing w:line="276" w:lineRule="auto"/>
        <w:ind w:left="510"/>
      </w:pPr>
      <w:r>
        <w:rPr>
          <w:rFonts w:ascii="Cambria" w:hAnsi="Cambria"/>
          <w:b w:val="0"/>
          <w:i w:val="0"/>
          <w:sz w:val="22"/>
        </w:rPr>
        <w:t>The policy aims to ensure that employee progression is based on performance, experience, qualifications, and institutional contribution, while maintaining alignment with UGC, AICTE, and BoM norms.</w:t>
      </w:r>
    </w:p>
    <w:p>
      <w:pPr>
        <w:keepNext/>
        <w:spacing w:before="200" w:after="120"/>
      </w:pPr>
      <w:r>
        <w:rPr>
          <w:rFonts w:ascii="Cambria" w:hAnsi="Cambria"/>
          <w:b/>
          <w:color w:val="1F3A5F"/>
          <w:sz w:val="24"/>
        </w:rPr>
        <w:t>I. Promotion Policy</w:t>
      </w:r>
    </w:p>
    <w:p>
      <w:pPr>
        <w:keepNext/>
        <w:spacing w:before="200" w:after="120"/>
      </w:pPr>
      <w:r>
        <w:rPr>
          <w:rFonts w:ascii="Cambria" w:hAnsi="Cambria"/>
          <w:b/>
          <w:color w:val="1F3A5F"/>
          <w:sz w:val="24"/>
        </w:rPr>
        <w:t>1. Objectives</w:t>
      </w:r>
    </w:p>
    <w:p>
      <w:pPr>
        <w:pStyle w:val="ListBullet"/>
        <w:spacing w:line="276" w:lineRule="auto"/>
        <w:ind w:left="510"/>
      </w:pPr>
      <w:r>
        <w:rPr>
          <w:rFonts w:ascii="Cambria" w:hAnsi="Cambria"/>
          <w:b w:val="0"/>
          <w:i w:val="0"/>
          <w:sz w:val="22"/>
        </w:rPr>
        <w:t>To recognize and reward merit, competence, and long-term service.</w:t>
      </w:r>
    </w:p>
    <w:p>
      <w:pPr>
        <w:pStyle w:val="ListBullet"/>
        <w:spacing w:line="276" w:lineRule="auto"/>
        <w:ind w:left="510"/>
      </w:pPr>
      <w:r>
        <w:rPr>
          <w:rFonts w:ascii="Cambria" w:hAnsi="Cambria"/>
          <w:b w:val="0"/>
          <w:i w:val="0"/>
          <w:sz w:val="22"/>
        </w:rPr>
        <w:t>To ensure career growth opportunities that enhance employee motivation and retention.</w:t>
      </w:r>
    </w:p>
    <w:p>
      <w:pPr>
        <w:pStyle w:val="ListBullet"/>
        <w:spacing w:line="276" w:lineRule="auto"/>
        <w:ind w:left="510"/>
      </w:pPr>
      <w:r>
        <w:rPr>
          <w:rFonts w:ascii="Cambria" w:hAnsi="Cambria"/>
          <w:b w:val="0"/>
          <w:i w:val="0"/>
          <w:sz w:val="22"/>
        </w:rPr>
        <w:t>To maintain parity with statutory norms and institutional needs across Teaching and Non-Teaching cadres.</w:t>
      </w:r>
    </w:p>
    <w:p>
      <w:pPr>
        <w:keepNext/>
        <w:spacing w:before="200" w:after="120"/>
      </w:pPr>
      <w:r>
        <w:rPr>
          <w:rFonts w:ascii="Cambria" w:hAnsi="Cambria"/>
          <w:b/>
          <w:color w:val="1F3A5F"/>
          <w:sz w:val="24"/>
        </w:rPr>
        <w:t>2. Categories of Promotion</w:t>
      </w:r>
    </w:p>
    <w:p>
      <w:pPr>
        <w:jc w:val="both"/>
      </w:pPr>
      <w:r>
        <w:rPr>
          <w:rFonts w:ascii="Cambria" w:hAnsi="Cambria"/>
          <w:i w:val="0"/>
          <w:sz w:val="22"/>
        </w:rPr>
        <w:t>a. Teaching Staff (Faculty Cadre):</w:t>
      </w:r>
    </w:p>
    <w:p>
      <w:pPr>
        <w:pStyle w:val="ListBullet"/>
        <w:spacing w:line="276" w:lineRule="auto"/>
        <w:ind w:left="510"/>
      </w:pPr>
      <w:r>
        <w:rPr>
          <w:rFonts w:ascii="Cambria" w:hAnsi="Cambria"/>
          <w:b w:val="0"/>
          <w:i w:val="0"/>
          <w:sz w:val="22"/>
        </w:rPr>
        <w:t>Promotions are governed by UGC Career Advancement Scheme (CAS) and AICTE regulations.</w:t>
      </w:r>
    </w:p>
    <w:p>
      <w:pPr>
        <w:pStyle w:val="ListBullet"/>
        <w:spacing w:line="276" w:lineRule="auto"/>
        <w:ind w:left="510"/>
      </w:pPr>
      <w:r>
        <w:rPr>
          <w:rFonts w:ascii="Cambria" w:hAnsi="Cambria"/>
          <w:b w:val="0"/>
          <w:i w:val="0"/>
          <w:sz w:val="22"/>
        </w:rPr>
        <w:t>Promotion is from Assistant Professor → Associate Professor → Professor.</w:t>
      </w:r>
    </w:p>
    <w:p>
      <w:pPr>
        <w:jc w:val="both"/>
      </w:pPr>
      <w:r>
        <w:rPr>
          <w:rFonts w:ascii="Cambria" w:hAnsi="Cambria"/>
          <w:i w:val="0"/>
          <w:sz w:val="22"/>
        </w:rPr>
        <w:t>b. Non-Teaching &amp; Administrative Staff:</w:t>
      </w:r>
    </w:p>
    <w:p>
      <w:pPr>
        <w:pStyle w:val="ListBullet"/>
        <w:spacing w:line="276" w:lineRule="auto"/>
        <w:ind w:left="510"/>
      </w:pPr>
      <w:r>
        <w:rPr>
          <w:rFonts w:ascii="Cambria" w:hAnsi="Cambria"/>
          <w:b w:val="0"/>
          <w:i w:val="0"/>
          <w:sz w:val="22"/>
        </w:rPr>
        <w:t>Based on length of service, performance, and departmental needs.</w:t>
      </w:r>
    </w:p>
    <w:p>
      <w:pPr>
        <w:pStyle w:val="ListBullet"/>
        <w:spacing w:line="276" w:lineRule="auto"/>
        <w:ind w:left="510"/>
      </w:pPr>
      <w:r>
        <w:rPr>
          <w:rFonts w:ascii="Cambria" w:hAnsi="Cambria"/>
          <w:b w:val="0"/>
          <w:i w:val="0"/>
          <w:sz w:val="22"/>
        </w:rPr>
        <w:t>May include vertical promotion (higher post) or horizontal upgradation (scale revision).</w:t>
      </w:r>
    </w:p>
    <w:p>
      <w:pPr>
        <w:keepNext/>
        <w:spacing w:before="200" w:after="120"/>
      </w:pPr>
      <w:r>
        <w:rPr>
          <w:rFonts w:ascii="Cambria" w:hAnsi="Cambria"/>
          <w:b/>
          <w:color w:val="1F3A5F"/>
          <w:sz w:val="24"/>
        </w:rPr>
        <w:t>3. Eligibility Criteria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551"/>
            <w:shd w:val="clear" w:color="auto" w:fill="1F3A5F"/>
          </w:tcPr>
          <w:p>
            <w:pPr>
              <w:spacing w:after="40" w:before="40"/>
            </w:pPr>
            <w:r/>
            <w:r>
              <w:rPr>
                <w:rFonts w:ascii="Cambria" w:hAnsi="Cambria"/>
                <w:b/>
                <w:i w:val="0"/>
                <w:color w:val="FFFFFF"/>
                <w:sz w:val="22"/>
              </w:rPr>
              <w:t>Category</w:t>
            </w:r>
          </w:p>
        </w:tc>
        <w:tc>
          <w:tcPr>
            <w:tcW w:type="dxa" w:w="2494"/>
            <w:shd w:val="clear" w:color="auto" w:fill="1F3A5F"/>
          </w:tcPr>
          <w:p>
            <w:pPr>
              <w:spacing w:after="40" w:before="40"/>
            </w:pPr>
            <w:r/>
            <w:r>
              <w:rPr>
                <w:rFonts w:ascii="Cambria" w:hAnsi="Cambria"/>
                <w:b/>
                <w:i w:val="0"/>
                <w:color w:val="FFFFFF"/>
                <w:sz w:val="22"/>
              </w:rPr>
              <w:t>Minimum Service Requirement</w:t>
            </w:r>
          </w:p>
        </w:tc>
        <w:tc>
          <w:tcPr>
            <w:tcW w:type="dxa" w:w="4706"/>
            <w:shd w:val="clear" w:color="auto" w:fill="1F3A5F"/>
          </w:tcPr>
          <w:p>
            <w:pPr>
              <w:spacing w:after="40" w:before="40"/>
            </w:pPr>
            <w:r/>
            <w:r>
              <w:rPr>
                <w:rFonts w:ascii="Cambria" w:hAnsi="Cambria"/>
                <w:b/>
                <w:i w:val="0"/>
                <w:color w:val="FFFFFF"/>
                <w:sz w:val="22"/>
              </w:rPr>
              <w:t>Other Conditions</w:t>
            </w:r>
          </w:p>
        </w:tc>
      </w:tr>
      <w:tr>
        <w:tc>
          <w:tcPr>
            <w:tcW w:type="dxa" w:w="2551"/>
          </w:tcPr>
          <w:p>
            <w:pPr>
              <w:spacing w:after="40" w:before="40"/>
            </w:pPr>
            <w:r/>
            <w:r>
              <w:rPr>
                <w:rFonts w:ascii="Cambria" w:hAnsi="Cambria"/>
                <w:b w:val="0"/>
                <w:i w:val="0"/>
                <w:sz w:val="22"/>
              </w:rPr>
              <w:t>Teaching Faculty (UGC/AICTE Norms)</w:t>
            </w:r>
          </w:p>
        </w:tc>
        <w:tc>
          <w:tcPr>
            <w:tcW w:type="dxa" w:w="2494"/>
          </w:tcPr>
          <w:p>
            <w:pPr>
              <w:spacing w:after="40" w:before="40"/>
            </w:pPr>
            <w:r/>
            <w:r>
              <w:rPr>
                <w:rFonts w:ascii="Cambria" w:hAnsi="Cambria"/>
                <w:b w:val="0"/>
                <w:i w:val="0"/>
                <w:sz w:val="22"/>
              </w:rPr>
              <w:t>As per UGC/AICTE CAS regulations (4/5/10 years depending on stage)</w:t>
            </w:r>
          </w:p>
        </w:tc>
        <w:tc>
          <w:tcPr>
            <w:tcW w:type="dxa" w:w="4706"/>
          </w:tcPr>
          <w:p>
            <w:pPr>
              <w:spacing w:after="40" w:before="40"/>
            </w:pPr>
            <w:r/>
            <w:r>
              <w:rPr>
                <w:rFonts w:ascii="Cambria" w:hAnsi="Cambria"/>
                <w:b w:val="0"/>
                <w:i w:val="0"/>
                <w:sz w:val="22"/>
              </w:rPr>
              <w:t>Satisfactory PBAS/Performance appraisal; Orientation/Refresher courses completed</w:t>
            </w:r>
          </w:p>
        </w:tc>
      </w:tr>
      <w:tr>
        <w:tc>
          <w:tcPr>
            <w:tcW w:type="dxa" w:w="2551"/>
            <w:shd w:val="clear" w:color="auto" w:fill="F0F2F5"/>
          </w:tcPr>
          <w:p>
            <w:pPr>
              <w:spacing w:after="40" w:before="40"/>
            </w:pPr>
            <w:r/>
            <w:r>
              <w:rPr>
                <w:rFonts w:ascii="Cambria" w:hAnsi="Cambria"/>
                <w:b w:val="0"/>
                <w:i w:val="0"/>
                <w:sz w:val="22"/>
              </w:rPr>
              <w:t>Administrative Officers (Registrar / Manager / Superintendent)</w:t>
            </w:r>
          </w:p>
        </w:tc>
        <w:tc>
          <w:tcPr>
            <w:tcW w:type="dxa" w:w="2494"/>
            <w:shd w:val="clear" w:color="auto" w:fill="F0F2F5"/>
          </w:tcPr>
          <w:p>
            <w:pPr>
              <w:spacing w:after="40" w:before="40"/>
            </w:pPr>
            <w:r/>
            <w:r>
              <w:rPr>
                <w:rFonts w:ascii="Cambria" w:hAnsi="Cambria"/>
                <w:b w:val="0"/>
                <w:i w:val="0"/>
                <w:sz w:val="22"/>
              </w:rPr>
              <w:t>Minimum 5 years in present post</w:t>
            </w:r>
          </w:p>
        </w:tc>
        <w:tc>
          <w:tcPr>
            <w:tcW w:type="dxa" w:w="4706"/>
            <w:shd w:val="clear" w:color="auto" w:fill="F0F2F5"/>
          </w:tcPr>
          <w:p>
            <w:pPr>
              <w:spacing w:after="40" w:before="40"/>
            </w:pPr>
            <w:r/>
            <w:r>
              <w:rPr>
                <w:rFonts w:ascii="Cambria" w:hAnsi="Cambria"/>
                <w:b w:val="0"/>
                <w:i w:val="0"/>
                <w:sz w:val="22"/>
              </w:rPr>
              <w:t>Record of efficiency, integrity, and contribution to institutional goals</w:t>
            </w:r>
          </w:p>
        </w:tc>
      </w:tr>
      <w:tr>
        <w:tc>
          <w:tcPr>
            <w:tcW w:type="dxa" w:w="2551"/>
          </w:tcPr>
          <w:p>
            <w:pPr>
              <w:spacing w:after="40" w:before="40"/>
            </w:pPr>
            <w:r/>
            <w:r>
              <w:rPr>
                <w:rFonts w:ascii="Cambria" w:hAnsi="Cambria"/>
                <w:b w:val="0"/>
                <w:i w:val="0"/>
                <w:sz w:val="22"/>
              </w:rPr>
              <w:t>Technical / Non-Teaching Staff</w:t>
            </w:r>
          </w:p>
        </w:tc>
        <w:tc>
          <w:tcPr>
            <w:tcW w:type="dxa" w:w="2494"/>
          </w:tcPr>
          <w:p>
            <w:pPr>
              <w:spacing w:after="40" w:before="40"/>
            </w:pPr>
            <w:r/>
            <w:r>
              <w:rPr>
                <w:rFonts w:ascii="Cambria" w:hAnsi="Cambria"/>
                <w:b w:val="0"/>
                <w:i w:val="0"/>
                <w:sz w:val="22"/>
              </w:rPr>
              <w:t>Minimum 4–6 years in present grade</w:t>
            </w:r>
          </w:p>
        </w:tc>
        <w:tc>
          <w:tcPr>
            <w:tcW w:type="dxa" w:w="4706"/>
          </w:tcPr>
          <w:p>
            <w:pPr>
              <w:spacing w:after="40" w:before="40"/>
            </w:pPr>
            <w:r/>
            <w:r>
              <w:rPr>
                <w:rFonts w:ascii="Cambria" w:hAnsi="Cambria"/>
                <w:b w:val="0"/>
                <w:i w:val="0"/>
                <w:sz w:val="22"/>
              </w:rPr>
              <w:t>Consistent good performance and successful skill assessment</w:t>
            </w:r>
          </w:p>
        </w:tc>
      </w:tr>
      <w:tr>
        <w:tc>
          <w:tcPr>
            <w:tcW w:type="dxa" w:w="2551"/>
            <w:shd w:val="clear" w:color="auto" w:fill="F0F2F5"/>
          </w:tcPr>
          <w:p>
            <w:pPr>
              <w:spacing w:after="40" w:before="40"/>
            </w:pPr>
            <w:r/>
            <w:r>
              <w:rPr>
                <w:rFonts w:ascii="Cambria" w:hAnsi="Cambria"/>
                <w:b w:val="0"/>
                <w:i w:val="0"/>
                <w:sz w:val="22"/>
              </w:rPr>
              <w:t>Support Staff (Clerical, Attenders, etc.)</w:t>
            </w:r>
          </w:p>
        </w:tc>
        <w:tc>
          <w:tcPr>
            <w:tcW w:type="dxa" w:w="2494"/>
            <w:shd w:val="clear" w:color="auto" w:fill="F0F2F5"/>
          </w:tcPr>
          <w:p>
            <w:pPr>
              <w:spacing w:after="40" w:before="40"/>
            </w:pPr>
            <w:r/>
            <w:r>
              <w:rPr>
                <w:rFonts w:ascii="Cambria" w:hAnsi="Cambria"/>
                <w:b w:val="0"/>
                <w:i w:val="0"/>
                <w:sz w:val="22"/>
              </w:rPr>
              <w:t>Minimum 6 years of satisfactory service</w:t>
            </w:r>
          </w:p>
        </w:tc>
        <w:tc>
          <w:tcPr>
            <w:tcW w:type="dxa" w:w="4706"/>
            <w:shd w:val="clear" w:color="auto" w:fill="F0F2F5"/>
          </w:tcPr>
          <w:p>
            <w:pPr>
              <w:spacing w:after="40" w:before="40"/>
            </w:pPr>
            <w:r/>
            <w:r>
              <w:rPr>
                <w:rFonts w:ascii="Cambria" w:hAnsi="Cambria"/>
                <w:b w:val="0"/>
                <w:i w:val="0"/>
                <w:sz w:val="22"/>
              </w:rPr>
              <w:t>Recommendation by HoD / Section Head</w:t>
            </w:r>
          </w:p>
        </w:tc>
      </w:tr>
    </w:tbl>
    <w:p>
      <w:pPr>
        <w:spacing w:after="40"/>
      </w:pPr>
    </w:p>
    <w:p>
      <w:pPr>
        <w:keepNext/>
        <w:spacing w:before="200" w:after="120"/>
      </w:pPr>
      <w:r>
        <w:rPr>
          <w:rFonts w:ascii="Cambria" w:hAnsi="Cambria"/>
          <w:b/>
          <w:color w:val="1F3A5F"/>
          <w:sz w:val="24"/>
        </w:rPr>
        <w:t>4. Promotion Process</w:t>
      </w:r>
    </w:p>
    <w:p>
      <w:pPr>
        <w:spacing w:line="276" w:lineRule="auto"/>
        <w:ind w:left="357" w:hanging="357"/>
      </w:pPr>
      <w:r>
        <w:rPr>
          <w:rFonts w:ascii="Cambria" w:hAnsi="Cambria"/>
          <w:b w:val="0"/>
          <w:i w:val="0"/>
          <w:sz w:val="22"/>
        </w:rPr>
        <w:t xml:space="preserve">1. </w:t>
      </w:r>
      <w:r>
        <w:rPr>
          <w:rFonts w:ascii="Cambria" w:hAnsi="Cambria"/>
          <w:b w:val="0"/>
          <w:i w:val="0"/>
          <w:sz w:val="22"/>
        </w:rPr>
        <w:t>Vacancy Identification:</w:t>
      </w:r>
    </w:p>
    <w:p>
      <w:pPr>
        <w:pStyle w:val="ListBullet2"/>
        <w:spacing w:line="276" w:lineRule="auto"/>
        <w:ind w:left="1020"/>
      </w:pPr>
      <w:r>
        <w:rPr>
          <w:rFonts w:ascii="Cambria" w:hAnsi="Cambria"/>
          <w:b w:val="0"/>
          <w:i w:val="0"/>
          <w:sz w:val="22"/>
        </w:rPr>
        <w:t>HR / Establishment Section shall prepare a vacancy and eligibility list annually.</w:t>
      </w:r>
    </w:p>
    <w:p>
      <w:pPr>
        <w:spacing w:line="276" w:lineRule="auto"/>
        <w:ind w:left="357" w:hanging="357"/>
      </w:pPr>
      <w:r>
        <w:rPr>
          <w:rFonts w:ascii="Cambria" w:hAnsi="Cambria"/>
          <w:b w:val="0"/>
          <w:i w:val="0"/>
          <w:sz w:val="22"/>
        </w:rPr>
        <w:t xml:space="preserve">2. </w:t>
      </w:r>
      <w:r>
        <w:rPr>
          <w:rFonts w:ascii="Cambria" w:hAnsi="Cambria"/>
          <w:b w:val="0"/>
          <w:i w:val="0"/>
          <w:sz w:val="22"/>
        </w:rPr>
        <w:t>Departmental Promotion Committee (DPC):</w:t>
      </w:r>
    </w:p>
    <w:p>
      <w:pPr>
        <w:pStyle w:val="ListBullet2"/>
        <w:spacing w:line="276" w:lineRule="auto"/>
        <w:ind w:left="1020"/>
      </w:pPr>
      <w:r>
        <w:rPr>
          <w:rFonts w:ascii="Cambria" w:hAnsi="Cambria"/>
          <w:b w:val="0"/>
          <w:i w:val="0"/>
          <w:sz w:val="22"/>
        </w:rPr>
        <w:t>Constituted by the Vice-Chancellor / BoM and includes:</w:t>
      </w:r>
    </w:p>
    <w:p>
      <w:pPr>
        <w:pStyle w:val="ListBullet2"/>
        <w:ind w:left="1474"/>
      </w:pPr>
      <w:r>
        <w:rPr>
          <w:rFonts w:ascii="Cambria" w:hAnsi="Cambria"/>
          <w:b w:val="0"/>
          <w:i w:val="0"/>
          <w:sz w:val="22"/>
        </w:rPr>
        <w:t>Chairperson (Registrar or nominee).</w:t>
      </w:r>
    </w:p>
    <w:p>
      <w:pPr>
        <w:pStyle w:val="ListBullet2"/>
        <w:ind w:left="1474"/>
      </w:pPr>
      <w:r>
        <w:rPr>
          <w:rFonts w:ascii="Cambria" w:hAnsi="Cambria"/>
          <w:b w:val="0"/>
          <w:i w:val="0"/>
          <w:sz w:val="22"/>
        </w:rPr>
        <w:t>Dean / HoD of concerned division.</w:t>
      </w:r>
    </w:p>
    <w:p>
      <w:pPr>
        <w:pStyle w:val="ListBullet2"/>
        <w:ind w:left="1474"/>
      </w:pPr>
      <w:r>
        <w:rPr>
          <w:rFonts w:ascii="Cambria" w:hAnsi="Cambria"/>
          <w:b w:val="0"/>
          <w:i w:val="0"/>
          <w:sz w:val="22"/>
        </w:rPr>
        <w:t>One external subject expert.</w:t>
      </w:r>
    </w:p>
    <w:p>
      <w:pPr>
        <w:pStyle w:val="ListBullet2"/>
        <w:ind w:left="1474"/>
      </w:pPr>
      <w:r>
        <w:rPr>
          <w:rFonts w:ascii="Cambria" w:hAnsi="Cambria"/>
          <w:b w:val="0"/>
          <w:i w:val="0"/>
          <w:sz w:val="22"/>
        </w:rPr>
        <w:t>HR Officer (Member Secretary).</w:t>
      </w:r>
    </w:p>
    <w:p>
      <w:pPr>
        <w:spacing w:line="276" w:lineRule="auto"/>
        <w:ind w:left="357" w:hanging="357"/>
      </w:pPr>
      <w:r>
        <w:rPr>
          <w:rFonts w:ascii="Cambria" w:hAnsi="Cambria"/>
          <w:b w:val="0"/>
          <w:i w:val="0"/>
          <w:sz w:val="22"/>
        </w:rPr>
        <w:t xml:space="preserve">3. </w:t>
      </w:r>
      <w:r>
        <w:rPr>
          <w:rFonts w:ascii="Cambria" w:hAnsi="Cambria"/>
          <w:b w:val="0"/>
          <w:i w:val="0"/>
          <w:sz w:val="22"/>
        </w:rPr>
        <w:t>Evaluation Parameters:</w:t>
      </w:r>
    </w:p>
    <w:p>
      <w:pPr>
        <w:pStyle w:val="ListBullet2"/>
        <w:ind w:left="1020"/>
      </w:pPr>
      <w:r>
        <w:rPr>
          <w:rFonts w:ascii="Cambria" w:hAnsi="Cambria"/>
          <w:b w:val="0"/>
          <w:i w:val="0"/>
          <w:sz w:val="22"/>
        </w:rPr>
        <w:t>Performance Appraisal Report (PAR) over the last 3 years.</w:t>
      </w:r>
    </w:p>
    <w:p>
      <w:pPr>
        <w:pStyle w:val="ListBullet2"/>
        <w:ind w:left="1020"/>
      </w:pPr>
      <w:r>
        <w:rPr>
          <w:rFonts w:ascii="Cambria" w:hAnsi="Cambria"/>
          <w:b w:val="0"/>
          <w:i w:val="0"/>
          <w:sz w:val="22"/>
        </w:rPr>
        <w:t>Seniority-cum-merit or merit-cum-seniority as per cadre.</w:t>
      </w:r>
    </w:p>
    <w:p>
      <w:pPr>
        <w:pStyle w:val="ListBullet2"/>
        <w:ind w:left="1020"/>
      </w:pPr>
      <w:r>
        <w:rPr>
          <w:rFonts w:ascii="Cambria" w:hAnsi="Cambria"/>
          <w:b w:val="0"/>
          <w:i w:val="0"/>
          <w:sz w:val="22"/>
        </w:rPr>
        <w:t>Vigilance clearance and disciplinary record.</w:t>
      </w:r>
    </w:p>
    <w:p>
      <w:pPr>
        <w:spacing w:line="276" w:lineRule="auto"/>
        <w:ind w:left="357" w:hanging="357"/>
      </w:pPr>
      <w:r>
        <w:rPr>
          <w:rFonts w:ascii="Cambria" w:hAnsi="Cambria"/>
          <w:b w:val="0"/>
          <w:i w:val="0"/>
          <w:sz w:val="22"/>
        </w:rPr>
        <w:t xml:space="preserve">4. </w:t>
      </w:r>
      <w:r>
        <w:rPr>
          <w:rFonts w:ascii="Cambria" w:hAnsi="Cambria"/>
          <w:b w:val="0"/>
          <w:i w:val="0"/>
          <w:sz w:val="22"/>
        </w:rPr>
        <w:t>Approval and Notification:</w:t>
      </w:r>
    </w:p>
    <w:p>
      <w:pPr>
        <w:pStyle w:val="ListBullet2"/>
        <w:spacing w:line="276" w:lineRule="auto"/>
        <w:ind w:left="1020"/>
      </w:pPr>
      <w:r>
        <w:rPr>
          <w:rFonts w:ascii="Cambria" w:hAnsi="Cambria"/>
          <w:b w:val="0"/>
          <w:i w:val="0"/>
          <w:sz w:val="22"/>
        </w:rPr>
        <w:t>DPC recommendations are forwarded to the Board of Management (BoM) for approval.</w:t>
      </w:r>
    </w:p>
    <w:p>
      <w:pPr>
        <w:pStyle w:val="ListBullet2"/>
        <w:spacing w:line="276" w:lineRule="auto"/>
        <w:ind w:left="1020"/>
      </w:pPr>
      <w:r>
        <w:rPr>
          <w:rFonts w:ascii="Cambria" w:hAnsi="Cambria"/>
          <w:b w:val="0"/>
          <w:i w:val="0"/>
          <w:sz w:val="22"/>
        </w:rPr>
        <w:t>Formal promotion orders are issued by the Registrar.</w:t>
      </w:r>
    </w:p>
    <w:p>
      <w:pPr>
        <w:keepNext/>
        <w:spacing w:before="200" w:after="120"/>
      </w:pPr>
      <w:r>
        <w:rPr>
          <w:rFonts w:ascii="Cambria" w:hAnsi="Cambria"/>
          <w:b/>
          <w:color w:val="1F3A5F"/>
          <w:sz w:val="24"/>
        </w:rPr>
        <w:t>5. Special Provisions</w:t>
      </w:r>
    </w:p>
    <w:p>
      <w:pPr>
        <w:jc w:val="both"/>
      </w:pPr>
      <w:r>
        <w:rPr>
          <w:rFonts w:ascii="Cambria" w:hAnsi="Cambria"/>
          <w:b/>
          <w:i w:val="0"/>
          <w:sz w:val="22"/>
        </w:rPr>
        <w:t xml:space="preserve">Ad-hoc Promotions: </w:t>
      </w:r>
      <w:r>
        <w:rPr>
          <w:rFonts w:ascii="Cambria" w:hAnsi="Cambria"/>
          <w:b w:val="0"/>
          <w:i w:val="0"/>
          <w:sz w:val="22"/>
        </w:rPr>
        <w:t>Temporary promotions may be given for short-term responsibilities or vacant posts, subject to BoM approval.</w:t>
      </w:r>
    </w:p>
    <w:p>
      <w:pPr>
        <w:jc w:val="both"/>
      </w:pPr>
      <w:r>
        <w:rPr>
          <w:rFonts w:ascii="Cambria" w:hAnsi="Cambria"/>
          <w:b/>
          <w:i w:val="0"/>
          <w:sz w:val="22"/>
        </w:rPr>
        <w:t xml:space="preserve">Deputation and Transfer: </w:t>
      </w:r>
      <w:r>
        <w:rPr>
          <w:rFonts w:ascii="Cambria" w:hAnsi="Cambria"/>
          <w:b w:val="0"/>
          <w:i w:val="0"/>
          <w:sz w:val="22"/>
        </w:rPr>
        <w:t>Employees promoted while on deputation shall be entitled to benefits from the effective date of order.</w:t>
      </w:r>
    </w:p>
    <w:p>
      <w:pPr>
        <w:jc w:val="both"/>
      </w:pPr>
      <w:r>
        <w:rPr>
          <w:rFonts w:ascii="Cambria" w:hAnsi="Cambria"/>
          <w:b/>
          <w:i w:val="0"/>
          <w:sz w:val="22"/>
        </w:rPr>
        <w:t xml:space="preserve">Promotion Denial: </w:t>
      </w:r>
      <w:r>
        <w:rPr>
          <w:rFonts w:ascii="Cambria" w:hAnsi="Cambria"/>
          <w:b w:val="0"/>
          <w:i w:val="0"/>
          <w:sz w:val="22"/>
        </w:rPr>
        <w:t>May occur if performance or integrity is found unsatisfactory. The employee shall be informed in writing with reasons and may reapply after one year.</w:t>
      </w:r>
    </w:p>
    <w:p>
      <w:pPr>
        <w:keepNext/>
        <w:spacing w:before="200" w:after="120"/>
      </w:pPr>
      <w:r>
        <w:rPr>
          <w:rFonts w:ascii="Cambria" w:hAnsi="Cambria"/>
          <w:b/>
          <w:color w:val="1F3A5F"/>
          <w:sz w:val="24"/>
        </w:rPr>
        <w:t>II. Increment Policy</w:t>
      </w:r>
    </w:p>
    <w:p>
      <w:pPr>
        <w:keepNext/>
        <w:spacing w:before="200" w:after="120"/>
      </w:pPr>
      <w:r>
        <w:rPr>
          <w:rFonts w:ascii="Cambria" w:hAnsi="Cambria"/>
          <w:b/>
          <w:color w:val="1F3A5F"/>
          <w:sz w:val="24"/>
        </w:rPr>
        <w:t>1. Annual Increment</w:t>
      </w:r>
    </w:p>
    <w:p>
      <w:pPr>
        <w:pStyle w:val="ListBullet"/>
        <w:spacing w:line="276" w:lineRule="auto"/>
        <w:ind w:left="510"/>
      </w:pPr>
      <w:r>
        <w:rPr>
          <w:rFonts w:ascii="Cambria" w:hAnsi="Cambria"/>
          <w:b w:val="0"/>
          <w:i w:val="0"/>
          <w:sz w:val="22"/>
        </w:rPr>
        <w:t>Every confirmed employee is entitled to an annual increment in the pay scale, effective from 1st July each year.</w:t>
      </w:r>
    </w:p>
    <w:p>
      <w:pPr>
        <w:pStyle w:val="ListBullet"/>
        <w:spacing w:line="276" w:lineRule="auto"/>
        <w:ind w:left="510"/>
      </w:pPr>
      <w:r>
        <w:rPr>
          <w:rFonts w:ascii="Cambria" w:hAnsi="Cambria"/>
          <w:b w:val="0"/>
          <w:i w:val="0"/>
          <w:sz w:val="22"/>
        </w:rPr>
        <w:t>Increment is based on:</w:t>
      </w:r>
    </w:p>
    <w:p>
      <w:pPr>
        <w:pStyle w:val="ListBullet2"/>
        <w:spacing w:line="276" w:lineRule="auto"/>
        <w:ind w:left="1020"/>
      </w:pPr>
      <w:r>
        <w:rPr>
          <w:rFonts w:ascii="Cambria" w:hAnsi="Cambria"/>
          <w:b w:val="0"/>
          <w:i w:val="0"/>
          <w:sz w:val="22"/>
        </w:rPr>
        <w:t>Satisfactory performance appraisal.</w:t>
      </w:r>
    </w:p>
    <w:p>
      <w:pPr>
        <w:pStyle w:val="ListBullet2"/>
        <w:spacing w:line="276" w:lineRule="auto"/>
        <w:ind w:left="1020"/>
      </w:pPr>
      <w:r>
        <w:rPr>
          <w:rFonts w:ascii="Cambria" w:hAnsi="Cambria"/>
          <w:b w:val="0"/>
          <w:i w:val="0"/>
          <w:sz w:val="22"/>
        </w:rPr>
        <w:t>No pending disciplinary or misconduct cases.</w:t>
      </w:r>
    </w:p>
    <w:p>
      <w:pPr>
        <w:pStyle w:val="ListBullet2"/>
        <w:spacing w:line="276" w:lineRule="auto"/>
        <w:ind w:left="1020"/>
      </w:pPr>
      <w:r>
        <w:rPr>
          <w:rFonts w:ascii="Cambria" w:hAnsi="Cambria"/>
          <w:b w:val="0"/>
          <w:i w:val="0"/>
          <w:sz w:val="22"/>
        </w:rPr>
        <w:t>Completion of minimum service of 12 months in the post.</w:t>
      </w:r>
    </w:p>
    <w:p>
      <w:pPr>
        <w:keepNext/>
        <w:spacing w:before="200" w:after="120"/>
      </w:pPr>
      <w:r>
        <w:rPr>
          <w:rFonts w:ascii="Cambria" w:hAnsi="Cambria"/>
          <w:b/>
          <w:color w:val="1F3A5F"/>
          <w:sz w:val="24"/>
        </w:rPr>
        <w:t>2. Rate of Increment</w:t>
      </w:r>
    </w:p>
    <w:p>
      <w:pPr>
        <w:pStyle w:val="ListBullet"/>
        <w:spacing w:line="276" w:lineRule="auto"/>
        <w:ind w:left="510"/>
      </w:pPr>
      <w:r>
        <w:rPr>
          <w:rFonts w:ascii="Cambria" w:hAnsi="Cambria"/>
          <w:b w:val="0"/>
          <w:i w:val="0"/>
          <w:sz w:val="22"/>
        </w:rPr>
        <w:t>The rate of increment shall be as per the University-approved pay scale or UGC/AICTE recommendations for teaching staff.</w:t>
      </w:r>
    </w:p>
    <w:p>
      <w:pPr>
        <w:pStyle w:val="ListBullet"/>
        <w:spacing w:line="276" w:lineRule="auto"/>
        <w:ind w:left="510"/>
      </w:pPr>
      <w:r>
        <w:rPr>
          <w:rFonts w:ascii="Cambria" w:hAnsi="Cambria"/>
          <w:b w:val="0"/>
          <w:i w:val="0"/>
          <w:sz w:val="22"/>
        </w:rPr>
        <w:t>In case of consolidated pay, an enhancement of 3–5% may be applied annually, subject to review by the BoM.</w:t>
      </w:r>
    </w:p>
    <w:p>
      <w:pPr>
        <w:keepNext/>
        <w:spacing w:before="200" w:after="120"/>
      </w:pPr>
      <w:r>
        <w:rPr>
          <w:rFonts w:ascii="Cambria" w:hAnsi="Cambria"/>
          <w:b/>
          <w:color w:val="1F3A5F"/>
          <w:sz w:val="24"/>
        </w:rPr>
        <w:t>3. Withholding or Deferment of Increment</w:t>
      </w:r>
    </w:p>
    <w:p>
      <w:pPr>
        <w:pStyle w:val="ListBullet"/>
        <w:spacing w:line="276" w:lineRule="auto"/>
        <w:ind w:left="510"/>
      </w:pPr>
      <w:r>
        <w:rPr>
          <w:rFonts w:ascii="Cambria" w:hAnsi="Cambria"/>
          <w:b w:val="0"/>
          <w:i w:val="0"/>
          <w:sz w:val="22"/>
        </w:rPr>
        <w:t>Increment may be withheld if:</w:t>
      </w:r>
    </w:p>
    <w:p>
      <w:pPr>
        <w:pStyle w:val="ListBullet2"/>
        <w:spacing w:line="276" w:lineRule="auto"/>
        <w:ind w:left="1020"/>
      </w:pPr>
      <w:r>
        <w:rPr>
          <w:rFonts w:ascii="Cambria" w:hAnsi="Cambria"/>
          <w:b w:val="0"/>
          <w:i w:val="0"/>
          <w:sz w:val="22"/>
        </w:rPr>
        <w:t>The employee’s performance is unsatisfactory or below the required standard.</w:t>
      </w:r>
    </w:p>
    <w:p>
      <w:pPr>
        <w:pStyle w:val="ListBullet2"/>
        <w:spacing w:line="276" w:lineRule="auto"/>
        <w:ind w:left="1020"/>
      </w:pPr>
      <w:r>
        <w:rPr>
          <w:rFonts w:ascii="Cambria" w:hAnsi="Cambria"/>
          <w:b w:val="0"/>
          <w:i w:val="0"/>
          <w:sz w:val="22"/>
        </w:rPr>
        <w:t>The employee is under suspension, inquiry, or disciplinary proceedings.</w:t>
      </w:r>
    </w:p>
    <w:p>
      <w:pPr>
        <w:pStyle w:val="ListBullet2"/>
        <w:spacing w:line="276" w:lineRule="auto"/>
        <w:ind w:left="1020"/>
      </w:pPr>
      <w:r>
        <w:rPr>
          <w:rFonts w:ascii="Cambria" w:hAnsi="Cambria"/>
          <w:b w:val="0"/>
          <w:i w:val="0"/>
          <w:sz w:val="22"/>
        </w:rPr>
        <w:t>Excessive absenteeism or violation of institutional rules is recorded.</w:t>
      </w:r>
    </w:p>
    <w:p>
      <w:pPr>
        <w:pStyle w:val="ListBullet"/>
        <w:spacing w:line="276" w:lineRule="auto"/>
        <w:ind w:left="510"/>
      </w:pPr>
      <w:r>
        <w:rPr>
          <w:rFonts w:ascii="Cambria" w:hAnsi="Cambria"/>
          <w:b w:val="0"/>
          <w:i w:val="0"/>
          <w:sz w:val="22"/>
        </w:rPr>
        <w:t>A written notice shall be issued, and the decision must be approved by the Appointing Authority.</w:t>
      </w:r>
    </w:p>
    <w:p>
      <w:pPr>
        <w:keepNext/>
        <w:spacing w:before="200" w:after="120"/>
      </w:pPr>
      <w:r>
        <w:rPr>
          <w:rFonts w:ascii="Cambria" w:hAnsi="Cambria"/>
          <w:b/>
          <w:color w:val="1F3A5F"/>
          <w:sz w:val="24"/>
        </w:rPr>
        <w:t>4. Restoration of Withheld Increment</w:t>
      </w:r>
    </w:p>
    <w:p>
      <w:pPr>
        <w:pStyle w:val="ListBullet"/>
        <w:spacing w:line="276" w:lineRule="auto"/>
        <w:ind w:left="510"/>
      </w:pPr>
      <w:r>
        <w:rPr>
          <w:rFonts w:ascii="Cambria" w:hAnsi="Cambria"/>
          <w:b w:val="0"/>
          <w:i w:val="0"/>
          <w:sz w:val="22"/>
        </w:rPr>
        <w:t>A withheld increment may be restored after six months to one year, upon improvement in performance and satisfactory conduct.</w:t>
      </w:r>
    </w:p>
    <w:p>
      <w:pPr>
        <w:keepNext/>
        <w:spacing w:before="200" w:after="120"/>
      </w:pPr>
      <w:r>
        <w:rPr>
          <w:rFonts w:ascii="Cambria" w:hAnsi="Cambria"/>
          <w:b/>
          <w:color w:val="1F3A5F"/>
          <w:sz w:val="24"/>
        </w:rPr>
        <w:t>III. Career Advancement Scheme (CAS) for Teaching Staff</w:t>
      </w:r>
    </w:p>
    <w:p>
      <w:pPr>
        <w:keepNext/>
        <w:spacing w:before="200" w:after="120"/>
      </w:pPr>
      <w:r>
        <w:rPr>
          <w:rFonts w:ascii="Cambria" w:hAnsi="Cambria"/>
          <w:b/>
          <w:color w:val="1F3A5F"/>
          <w:sz w:val="24"/>
        </w:rPr>
        <w:t>1. Objective</w:t>
      </w:r>
    </w:p>
    <w:p>
      <w:pPr>
        <w:pStyle w:val="ListBullet"/>
        <w:spacing w:line="276" w:lineRule="auto"/>
        <w:ind w:left="510"/>
      </w:pPr>
      <w:r>
        <w:rPr>
          <w:rFonts w:ascii="Cambria" w:hAnsi="Cambria"/>
          <w:b w:val="0"/>
          <w:i w:val="0"/>
          <w:sz w:val="22"/>
        </w:rPr>
        <w:t>To ensure structured growth and academic upgradation for teaching staff, in alignment with UGC / AICTE norms.</w:t>
      </w:r>
    </w:p>
    <w:p>
      <w:pPr>
        <w:keepNext/>
        <w:spacing w:before="200" w:after="120"/>
      </w:pPr>
      <w:r>
        <w:rPr>
          <w:rFonts w:ascii="Cambria" w:hAnsi="Cambria"/>
          <w:b/>
          <w:color w:val="1F3A5F"/>
          <w:sz w:val="24"/>
        </w:rPr>
        <w:t>2. Eligibility and Stages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474"/>
            <w:shd w:val="clear" w:color="auto" w:fill="1F3A5F"/>
          </w:tcPr>
          <w:p>
            <w:pPr>
              <w:spacing w:after="40" w:before="40"/>
            </w:pPr>
            <w:r/>
            <w:r>
              <w:rPr>
                <w:rFonts w:ascii="Cambria" w:hAnsi="Cambria"/>
                <w:b/>
                <w:i w:val="0"/>
                <w:color w:val="FFFFFF"/>
                <w:sz w:val="22"/>
              </w:rPr>
              <w:t>Stage</w:t>
            </w:r>
          </w:p>
        </w:tc>
        <w:tc>
          <w:tcPr>
            <w:tcW w:type="dxa" w:w="2608"/>
            <w:shd w:val="clear" w:color="auto" w:fill="1F3A5F"/>
          </w:tcPr>
          <w:p>
            <w:pPr>
              <w:spacing w:after="40" w:before="40"/>
            </w:pPr>
            <w:r/>
            <w:r>
              <w:rPr>
                <w:rFonts w:ascii="Cambria" w:hAnsi="Cambria"/>
                <w:b/>
                <w:i w:val="0"/>
                <w:color w:val="FFFFFF"/>
                <w:sz w:val="22"/>
              </w:rPr>
              <w:t>Promotion</w:t>
            </w:r>
          </w:p>
        </w:tc>
        <w:tc>
          <w:tcPr>
            <w:tcW w:type="dxa" w:w="1474"/>
            <w:shd w:val="clear" w:color="auto" w:fill="1F3A5F"/>
          </w:tcPr>
          <w:p>
            <w:pPr>
              <w:spacing w:after="40" w:before="40"/>
            </w:pPr>
            <w:r/>
            <w:r>
              <w:rPr>
                <w:rFonts w:ascii="Cambria" w:hAnsi="Cambria"/>
                <w:b/>
                <w:i w:val="0"/>
                <w:color w:val="FFFFFF"/>
                <w:sz w:val="22"/>
              </w:rPr>
              <w:t>Minimum Service Required</w:t>
            </w:r>
          </w:p>
        </w:tc>
        <w:tc>
          <w:tcPr>
            <w:tcW w:type="dxa" w:w="4195"/>
            <w:shd w:val="clear" w:color="auto" w:fill="1F3A5F"/>
          </w:tcPr>
          <w:p>
            <w:pPr>
              <w:spacing w:after="40" w:before="40"/>
            </w:pPr>
            <w:r/>
            <w:r>
              <w:rPr>
                <w:rFonts w:ascii="Cambria" w:hAnsi="Cambria"/>
                <w:b/>
                <w:i w:val="0"/>
                <w:color w:val="FFFFFF"/>
                <w:sz w:val="22"/>
              </w:rPr>
              <w:t>Academic Requirements</w:t>
            </w:r>
          </w:p>
        </w:tc>
      </w:tr>
      <w:tr>
        <w:tc>
          <w:tcPr>
            <w:tcW w:type="dxa" w:w="1474"/>
          </w:tcPr>
          <w:p>
            <w:pPr>
              <w:spacing w:after="40" w:before="40"/>
            </w:pPr>
            <w:r/>
            <w:r>
              <w:rPr>
                <w:rFonts w:ascii="Cambria" w:hAnsi="Cambria"/>
                <w:b w:val="0"/>
                <w:i w:val="0"/>
                <w:sz w:val="22"/>
              </w:rPr>
              <w:t>Stage 1 → Stage 2</w:t>
            </w:r>
          </w:p>
        </w:tc>
        <w:tc>
          <w:tcPr>
            <w:tcW w:type="dxa" w:w="2608"/>
          </w:tcPr>
          <w:p>
            <w:pPr>
              <w:spacing w:after="40" w:before="40"/>
            </w:pPr>
            <w:r/>
            <w:r>
              <w:rPr>
                <w:rFonts w:ascii="Cambria" w:hAnsi="Cambria"/>
                <w:b w:val="0"/>
                <w:i w:val="0"/>
                <w:sz w:val="22"/>
              </w:rPr>
              <w:t>Assistant Professor (Stage 1) → Assistant Professor (Stage 2)</w:t>
            </w:r>
          </w:p>
        </w:tc>
        <w:tc>
          <w:tcPr>
            <w:tcW w:type="dxa" w:w="1474"/>
          </w:tcPr>
          <w:p>
            <w:pPr>
              <w:spacing w:after="40" w:before="40"/>
            </w:pPr>
            <w:r/>
            <w:r>
              <w:rPr>
                <w:rFonts w:ascii="Cambria" w:hAnsi="Cambria"/>
                <w:b w:val="0"/>
                <w:i w:val="0"/>
                <w:sz w:val="22"/>
              </w:rPr>
              <w:t>4 years</w:t>
            </w:r>
          </w:p>
        </w:tc>
        <w:tc>
          <w:tcPr>
            <w:tcW w:type="dxa" w:w="4195"/>
          </w:tcPr>
          <w:p>
            <w:pPr>
              <w:spacing w:after="40" w:before="40"/>
            </w:pPr>
            <w:r/>
            <w:r>
              <w:rPr>
                <w:rFonts w:ascii="Cambria" w:hAnsi="Cambria"/>
                <w:b w:val="0"/>
                <w:i w:val="0"/>
                <w:sz w:val="22"/>
              </w:rPr>
              <w:t>Satisfactory PBAS / minimum API score</w:t>
            </w:r>
          </w:p>
        </w:tc>
      </w:tr>
      <w:tr>
        <w:tc>
          <w:tcPr>
            <w:tcW w:type="dxa" w:w="1474"/>
            <w:shd w:val="clear" w:color="auto" w:fill="F0F2F5"/>
          </w:tcPr>
          <w:p>
            <w:pPr>
              <w:spacing w:after="40" w:before="40"/>
            </w:pPr>
            <w:r/>
            <w:r>
              <w:rPr>
                <w:rFonts w:ascii="Cambria" w:hAnsi="Cambria"/>
                <w:b w:val="0"/>
                <w:i w:val="0"/>
                <w:sz w:val="22"/>
              </w:rPr>
              <w:t>Stage 2 → Stage 3</w:t>
            </w:r>
          </w:p>
        </w:tc>
        <w:tc>
          <w:tcPr>
            <w:tcW w:type="dxa" w:w="2608"/>
            <w:shd w:val="clear" w:color="auto" w:fill="F0F2F5"/>
          </w:tcPr>
          <w:p>
            <w:pPr>
              <w:spacing w:after="40" w:before="40"/>
            </w:pPr>
            <w:r/>
            <w:r>
              <w:rPr>
                <w:rFonts w:ascii="Cambria" w:hAnsi="Cambria"/>
                <w:b w:val="0"/>
                <w:i w:val="0"/>
                <w:sz w:val="22"/>
              </w:rPr>
              <w:t>Assistant Professor (Stage 2) → Assistant Professor (Stage 3)</w:t>
            </w:r>
          </w:p>
        </w:tc>
        <w:tc>
          <w:tcPr>
            <w:tcW w:type="dxa" w:w="1474"/>
            <w:shd w:val="clear" w:color="auto" w:fill="F0F2F5"/>
          </w:tcPr>
          <w:p>
            <w:pPr>
              <w:spacing w:after="40" w:before="40"/>
            </w:pPr>
            <w:r/>
            <w:r>
              <w:rPr>
                <w:rFonts w:ascii="Cambria" w:hAnsi="Cambria"/>
                <w:b w:val="0"/>
                <w:i w:val="0"/>
                <w:sz w:val="22"/>
              </w:rPr>
              <w:t>5 years</w:t>
            </w:r>
          </w:p>
        </w:tc>
        <w:tc>
          <w:tcPr>
            <w:tcW w:type="dxa" w:w="4195"/>
            <w:shd w:val="clear" w:color="auto" w:fill="F0F2F5"/>
          </w:tcPr>
          <w:p>
            <w:pPr>
              <w:spacing w:after="40" w:before="40"/>
            </w:pPr>
            <w:r/>
            <w:r>
              <w:rPr>
                <w:rFonts w:ascii="Cambria" w:hAnsi="Cambria"/>
                <w:b w:val="0"/>
                <w:i w:val="0"/>
                <w:sz w:val="22"/>
              </w:rPr>
              <w:t>Orientation and Refresher Courses completed</w:t>
            </w:r>
          </w:p>
        </w:tc>
      </w:tr>
      <w:tr>
        <w:tc>
          <w:tcPr>
            <w:tcW w:type="dxa" w:w="1474"/>
          </w:tcPr>
          <w:p>
            <w:pPr>
              <w:spacing w:after="40" w:before="40"/>
            </w:pPr>
            <w:r/>
            <w:r>
              <w:rPr>
                <w:rFonts w:ascii="Cambria" w:hAnsi="Cambria"/>
                <w:b w:val="0"/>
                <w:i w:val="0"/>
                <w:sz w:val="22"/>
              </w:rPr>
              <w:t>Stage 3 → Stage 4</w:t>
            </w:r>
          </w:p>
        </w:tc>
        <w:tc>
          <w:tcPr>
            <w:tcW w:type="dxa" w:w="2608"/>
          </w:tcPr>
          <w:p>
            <w:pPr>
              <w:spacing w:after="40" w:before="40"/>
            </w:pPr>
            <w:r/>
            <w:r>
              <w:rPr>
                <w:rFonts w:ascii="Cambria" w:hAnsi="Cambria"/>
                <w:b w:val="0"/>
                <w:i w:val="0"/>
                <w:sz w:val="22"/>
              </w:rPr>
              <w:t>Assistant Professor → Associate Professor</w:t>
            </w:r>
          </w:p>
        </w:tc>
        <w:tc>
          <w:tcPr>
            <w:tcW w:type="dxa" w:w="1474"/>
          </w:tcPr>
          <w:p>
            <w:pPr>
              <w:spacing w:after="40" w:before="40"/>
            </w:pPr>
            <w:r/>
            <w:r>
              <w:rPr>
                <w:rFonts w:ascii="Cambria" w:hAnsi="Cambria"/>
                <w:b w:val="0"/>
                <w:i w:val="0"/>
                <w:sz w:val="22"/>
              </w:rPr>
              <w:t>5 years</w:t>
            </w:r>
          </w:p>
        </w:tc>
        <w:tc>
          <w:tcPr>
            <w:tcW w:type="dxa" w:w="4195"/>
          </w:tcPr>
          <w:p>
            <w:pPr>
              <w:spacing w:after="40" w:before="40"/>
            </w:pPr>
            <w:r/>
            <w:r>
              <w:rPr>
                <w:rFonts w:ascii="Cambria" w:hAnsi="Cambria"/>
                <w:b w:val="0"/>
                <w:i w:val="0"/>
                <w:sz w:val="22"/>
              </w:rPr>
              <w:t>Ph.D. + Publications + Satisfactory appraisal</w:t>
            </w:r>
          </w:p>
        </w:tc>
      </w:tr>
      <w:tr>
        <w:tc>
          <w:tcPr>
            <w:tcW w:type="dxa" w:w="1474"/>
            <w:shd w:val="clear" w:color="auto" w:fill="F0F2F5"/>
          </w:tcPr>
          <w:p>
            <w:pPr>
              <w:spacing w:after="40" w:before="40"/>
            </w:pPr>
            <w:r/>
            <w:r>
              <w:rPr>
                <w:rFonts w:ascii="Cambria" w:hAnsi="Cambria"/>
                <w:b w:val="0"/>
                <w:i w:val="0"/>
                <w:sz w:val="22"/>
              </w:rPr>
              <w:t>Stage 4 → Stage 5</w:t>
            </w:r>
          </w:p>
        </w:tc>
        <w:tc>
          <w:tcPr>
            <w:tcW w:type="dxa" w:w="2608"/>
            <w:shd w:val="clear" w:color="auto" w:fill="F0F2F5"/>
          </w:tcPr>
          <w:p>
            <w:pPr>
              <w:spacing w:after="40" w:before="40"/>
            </w:pPr>
            <w:r/>
            <w:r>
              <w:rPr>
                <w:rFonts w:ascii="Cambria" w:hAnsi="Cambria"/>
                <w:b w:val="0"/>
                <w:i w:val="0"/>
                <w:sz w:val="22"/>
              </w:rPr>
              <w:t>Associate Professor → Professor</w:t>
            </w:r>
          </w:p>
        </w:tc>
        <w:tc>
          <w:tcPr>
            <w:tcW w:type="dxa" w:w="1474"/>
            <w:shd w:val="clear" w:color="auto" w:fill="F0F2F5"/>
          </w:tcPr>
          <w:p>
            <w:pPr>
              <w:spacing w:after="40" w:before="40"/>
            </w:pPr>
            <w:r/>
            <w:r>
              <w:rPr>
                <w:rFonts w:ascii="Cambria" w:hAnsi="Cambria"/>
                <w:b w:val="0"/>
                <w:i w:val="0"/>
                <w:sz w:val="22"/>
              </w:rPr>
              <w:t>3 years</w:t>
            </w:r>
          </w:p>
        </w:tc>
        <w:tc>
          <w:tcPr>
            <w:tcW w:type="dxa" w:w="4195"/>
            <w:shd w:val="clear" w:color="auto" w:fill="F0F2F5"/>
          </w:tcPr>
          <w:p>
            <w:pPr>
              <w:spacing w:after="40" w:before="40"/>
            </w:pPr>
            <w:r/>
            <w:r>
              <w:rPr>
                <w:rFonts w:ascii="Cambria" w:hAnsi="Cambria"/>
                <w:b w:val="0"/>
                <w:i w:val="0"/>
                <w:sz w:val="22"/>
              </w:rPr>
              <w:t>Academic leadership, research contributions, and mentoring evidence</w:t>
            </w:r>
          </w:p>
        </w:tc>
      </w:tr>
    </w:tbl>
    <w:p>
      <w:pPr>
        <w:spacing w:after="40"/>
      </w:pPr>
    </w:p>
    <w:p>
      <w:pPr>
        <w:keepNext/>
        <w:spacing w:before="200" w:after="120"/>
      </w:pPr>
      <w:r>
        <w:rPr>
          <w:rFonts w:ascii="Cambria" w:hAnsi="Cambria"/>
          <w:b/>
          <w:color w:val="1F3A5F"/>
          <w:sz w:val="24"/>
        </w:rPr>
        <w:t>3. Assessment Methodology</w:t>
      </w:r>
    </w:p>
    <w:p>
      <w:pPr>
        <w:pStyle w:val="ListBullet"/>
        <w:spacing w:line="276" w:lineRule="auto"/>
        <w:ind w:left="510"/>
      </w:pPr>
      <w:r>
        <w:rPr>
          <w:rFonts w:ascii="Cambria" w:hAnsi="Cambria"/>
          <w:b w:val="0"/>
          <w:i w:val="0"/>
          <w:sz w:val="22"/>
        </w:rPr>
        <w:t>Evaluation through Performance Based Appraisal System (PBAS) or API (Academic Performance Index) as per UGC regulations.</w:t>
      </w:r>
    </w:p>
    <w:p>
      <w:pPr>
        <w:pStyle w:val="ListBullet"/>
        <w:spacing w:line="276" w:lineRule="auto"/>
        <w:ind w:left="510"/>
      </w:pPr>
      <w:r>
        <w:rPr>
          <w:rFonts w:ascii="Cambria" w:hAnsi="Cambria"/>
          <w:b w:val="0"/>
          <w:i w:val="0"/>
          <w:sz w:val="22"/>
        </w:rPr>
        <w:t>Assessment Committee includes:</w:t>
      </w:r>
    </w:p>
    <w:p>
      <w:pPr>
        <w:pStyle w:val="ListBullet2"/>
        <w:spacing w:line="276" w:lineRule="auto"/>
        <w:ind w:left="1020"/>
      </w:pPr>
      <w:r>
        <w:rPr>
          <w:rFonts w:ascii="Cambria" w:hAnsi="Cambria"/>
          <w:b w:val="0"/>
          <w:i w:val="0"/>
          <w:sz w:val="22"/>
        </w:rPr>
        <w:t>Vice-Chancellor (Chairperson).</w:t>
      </w:r>
    </w:p>
    <w:p>
      <w:pPr>
        <w:pStyle w:val="ListBullet2"/>
        <w:spacing w:line="276" w:lineRule="auto"/>
        <w:ind w:left="1020"/>
      </w:pPr>
      <w:r>
        <w:rPr>
          <w:rFonts w:ascii="Cambria" w:hAnsi="Cambria"/>
          <w:b w:val="0"/>
          <w:i w:val="0"/>
          <w:sz w:val="22"/>
        </w:rPr>
        <w:t>Subject Expert(s).</w:t>
      </w:r>
    </w:p>
    <w:p>
      <w:pPr>
        <w:pStyle w:val="ListBullet2"/>
        <w:spacing w:line="276" w:lineRule="auto"/>
        <w:ind w:left="1020"/>
      </w:pPr>
      <w:r>
        <w:rPr>
          <w:rFonts w:ascii="Cambria" w:hAnsi="Cambria"/>
          <w:b w:val="0"/>
          <w:i w:val="0"/>
          <w:sz w:val="22"/>
        </w:rPr>
        <w:t>Dean / HoD.</w:t>
      </w:r>
    </w:p>
    <w:p>
      <w:pPr>
        <w:pStyle w:val="ListBullet2"/>
        <w:spacing w:line="276" w:lineRule="auto"/>
        <w:ind w:left="1020"/>
      </w:pPr>
      <w:r>
        <w:rPr>
          <w:rFonts w:ascii="Cambria" w:hAnsi="Cambria"/>
          <w:b w:val="0"/>
          <w:i w:val="0"/>
          <w:sz w:val="22"/>
        </w:rPr>
        <w:t>Registrar (Member Secretary).</w:t>
      </w:r>
    </w:p>
    <w:p>
      <w:pPr>
        <w:keepNext/>
        <w:spacing w:before="200" w:after="120"/>
      </w:pPr>
      <w:r>
        <w:rPr>
          <w:rFonts w:ascii="Cambria" w:hAnsi="Cambria"/>
          <w:b/>
          <w:color w:val="1F3A5F"/>
          <w:sz w:val="24"/>
        </w:rPr>
        <w:t>4. Effective Date of Promotion</w:t>
      </w:r>
    </w:p>
    <w:p>
      <w:pPr>
        <w:pStyle w:val="ListBullet"/>
        <w:spacing w:line="276" w:lineRule="auto"/>
        <w:ind w:left="510"/>
      </w:pPr>
      <w:r>
        <w:rPr>
          <w:rFonts w:ascii="Cambria" w:hAnsi="Cambria"/>
          <w:b w:val="0"/>
          <w:i w:val="0"/>
          <w:sz w:val="22"/>
        </w:rPr>
        <w:t>Promotion shall be effective from the date of eligibility or the date of BoM approval, whichever is later.</w:t>
      </w:r>
    </w:p>
    <w:p>
      <w:pPr>
        <w:keepNext/>
        <w:spacing w:before="200" w:after="120"/>
      </w:pPr>
      <w:r>
        <w:rPr>
          <w:rFonts w:ascii="Cambria" w:hAnsi="Cambria"/>
          <w:b/>
          <w:color w:val="1F3A5F"/>
          <w:sz w:val="24"/>
        </w:rPr>
        <w:t>IV. Administrative Provisions</w:t>
      </w:r>
    </w:p>
    <w:p>
      <w:pPr>
        <w:pStyle w:val="ListBullet"/>
        <w:spacing w:line="276" w:lineRule="auto"/>
        <w:ind w:left="510"/>
      </w:pPr>
      <w:r>
        <w:rPr>
          <w:rFonts w:ascii="Cambria" w:hAnsi="Cambria"/>
          <w:b w:val="0"/>
          <w:i w:val="0"/>
          <w:sz w:val="22"/>
        </w:rPr>
        <w:t>HR Section shall maintain:</w:t>
      </w:r>
    </w:p>
    <w:p>
      <w:pPr>
        <w:pStyle w:val="ListBullet2"/>
        <w:spacing w:line="276" w:lineRule="auto"/>
        <w:ind w:left="1020"/>
      </w:pPr>
      <w:r>
        <w:rPr>
          <w:rFonts w:ascii="Cambria" w:hAnsi="Cambria"/>
          <w:b w:val="0"/>
          <w:i w:val="0"/>
          <w:sz w:val="22"/>
        </w:rPr>
        <w:t>Promotion Registers with year-wise eligibility lists.</w:t>
      </w:r>
    </w:p>
    <w:p>
      <w:pPr>
        <w:pStyle w:val="ListBullet2"/>
        <w:spacing w:line="276" w:lineRule="auto"/>
        <w:ind w:left="1020"/>
      </w:pPr>
      <w:r>
        <w:rPr>
          <w:rFonts w:ascii="Cambria" w:hAnsi="Cambria"/>
          <w:b w:val="0"/>
          <w:i w:val="0"/>
          <w:sz w:val="22"/>
        </w:rPr>
        <w:t>Increment Register with due dates and orders.</w:t>
      </w:r>
    </w:p>
    <w:p>
      <w:pPr>
        <w:pStyle w:val="ListBullet2"/>
        <w:spacing w:line="276" w:lineRule="auto"/>
        <w:ind w:left="1020"/>
      </w:pPr>
      <w:r>
        <w:rPr>
          <w:rFonts w:ascii="Cambria" w:hAnsi="Cambria"/>
          <w:b w:val="0"/>
          <w:i w:val="0"/>
          <w:sz w:val="22"/>
        </w:rPr>
        <w:t>CAS Files for each faculty with verified documents and PBAS records.</w:t>
      </w:r>
    </w:p>
    <w:p>
      <w:pPr>
        <w:pStyle w:val="ListBullet"/>
        <w:spacing w:line="276" w:lineRule="auto"/>
        <w:ind w:left="510"/>
      </w:pPr>
      <w:r>
        <w:rPr>
          <w:rFonts w:ascii="Cambria" w:hAnsi="Cambria"/>
          <w:b w:val="0"/>
          <w:i w:val="0"/>
          <w:sz w:val="22"/>
        </w:rPr>
        <w:t>The Registrar shall forward consolidated annual reports on promotions and increments to the BoM and IQAC for record and audit compliance.</w:t>
      </w:r>
    </w:p>
    <w:p>
      <w:pPr>
        <w:keepNext/>
        <w:spacing w:before="200" w:after="120"/>
      </w:pPr>
      <w:r>
        <w:rPr>
          <w:rFonts w:ascii="Cambria" w:hAnsi="Cambria"/>
          <w:b/>
          <w:color w:val="1F3A5F"/>
          <w:sz w:val="24"/>
        </w:rPr>
        <w:t>V. 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587"/>
            <w:shd w:val="clear" w:color="auto" w:fill="1F3A5F"/>
          </w:tcPr>
          <w:p>
            <w:pPr>
              <w:spacing w:after="40" w:before="40"/>
            </w:pPr>
            <w:r/>
            <w:r>
              <w:rPr>
                <w:rFonts w:ascii="Cambria" w:hAnsi="Cambria"/>
                <w:b/>
                <w:i w:val="0"/>
                <w:color w:val="FFFFFF"/>
                <w:sz w:val="22"/>
              </w:rPr>
              <w:t>Aspect</w:t>
            </w:r>
          </w:p>
        </w:tc>
        <w:tc>
          <w:tcPr>
            <w:tcW w:type="dxa" w:w="2154"/>
            <w:shd w:val="clear" w:color="auto" w:fill="1F3A5F"/>
          </w:tcPr>
          <w:p>
            <w:pPr>
              <w:spacing w:after="40" w:before="40"/>
            </w:pPr>
            <w:r/>
            <w:r>
              <w:rPr>
                <w:rFonts w:ascii="Cambria" w:hAnsi="Cambria"/>
                <w:b/>
                <w:i w:val="0"/>
                <w:color w:val="FFFFFF"/>
                <w:sz w:val="22"/>
              </w:rPr>
              <w:t>Eligibility</w:t>
            </w:r>
          </w:p>
        </w:tc>
        <w:tc>
          <w:tcPr>
            <w:tcW w:type="dxa" w:w="1247"/>
            <w:shd w:val="clear" w:color="auto" w:fill="1F3A5F"/>
          </w:tcPr>
          <w:p>
            <w:pPr>
              <w:spacing w:after="40" w:before="40"/>
            </w:pPr>
            <w:r/>
            <w:r>
              <w:rPr>
                <w:rFonts w:ascii="Cambria" w:hAnsi="Cambria"/>
                <w:b/>
                <w:i w:val="0"/>
                <w:color w:val="FFFFFF"/>
                <w:sz w:val="22"/>
              </w:rPr>
              <w:t>Authority</w:t>
            </w:r>
          </w:p>
        </w:tc>
        <w:tc>
          <w:tcPr>
            <w:tcW w:type="dxa" w:w="1360"/>
            <w:shd w:val="clear" w:color="auto" w:fill="1F3A5F"/>
          </w:tcPr>
          <w:p>
            <w:pPr>
              <w:spacing w:after="40" w:before="40"/>
            </w:pPr>
            <w:r/>
            <w:r>
              <w:rPr>
                <w:rFonts w:ascii="Cambria" w:hAnsi="Cambria"/>
                <w:b/>
                <w:i w:val="0"/>
                <w:color w:val="FFFFFF"/>
                <w:sz w:val="22"/>
              </w:rPr>
              <w:t>Effective Date</w:t>
            </w:r>
          </w:p>
        </w:tc>
        <w:tc>
          <w:tcPr>
            <w:tcW w:type="dxa" w:w="1927"/>
            <w:shd w:val="clear" w:color="auto" w:fill="1F3A5F"/>
          </w:tcPr>
          <w:p>
            <w:pPr>
              <w:spacing w:after="40" w:before="40"/>
            </w:pPr>
            <w:r/>
            <w:r>
              <w:rPr>
                <w:rFonts w:ascii="Cambria" w:hAnsi="Cambria"/>
                <w:b/>
                <w:i w:val="0"/>
                <w:color w:val="FFFFFF"/>
                <w:sz w:val="22"/>
              </w:rPr>
              <w:t>Remarks</w:t>
            </w:r>
          </w:p>
        </w:tc>
      </w:tr>
      <w:tr>
        <w:tc>
          <w:tcPr>
            <w:tcW w:type="dxa" w:w="1587"/>
          </w:tcPr>
          <w:p>
            <w:pPr>
              <w:spacing w:after="40" w:before="40"/>
            </w:pPr>
            <w:r/>
            <w:r>
              <w:rPr>
                <w:rFonts w:ascii="Cambria" w:hAnsi="Cambria"/>
                <w:b w:val="0"/>
                <w:i w:val="0"/>
                <w:sz w:val="22"/>
              </w:rPr>
              <w:t>Promotion (Teaching)</w:t>
            </w:r>
          </w:p>
        </w:tc>
        <w:tc>
          <w:tcPr>
            <w:tcW w:type="dxa" w:w="2154"/>
          </w:tcPr>
          <w:p>
            <w:pPr>
              <w:spacing w:after="40" w:before="40"/>
            </w:pPr>
            <w:r/>
            <w:r>
              <w:rPr>
                <w:rFonts w:ascii="Cambria" w:hAnsi="Cambria"/>
                <w:b w:val="0"/>
                <w:i w:val="0"/>
                <w:sz w:val="22"/>
              </w:rPr>
              <w:t>As per UGC/AICTE CAS norms</w:t>
            </w:r>
          </w:p>
        </w:tc>
        <w:tc>
          <w:tcPr>
            <w:tcW w:type="dxa" w:w="1247"/>
          </w:tcPr>
          <w:p>
            <w:pPr>
              <w:spacing w:after="40" w:before="40"/>
            </w:pPr>
            <w:r/>
            <w:r>
              <w:rPr>
                <w:rFonts w:ascii="Cambria" w:hAnsi="Cambria"/>
                <w:b w:val="0"/>
                <w:i w:val="0"/>
                <w:sz w:val="22"/>
              </w:rPr>
              <w:t>BoM / V.C.</w:t>
            </w:r>
          </w:p>
        </w:tc>
        <w:tc>
          <w:tcPr>
            <w:tcW w:type="dxa" w:w="1360"/>
          </w:tcPr>
          <w:p>
            <w:pPr>
              <w:spacing w:after="40" w:before="40"/>
            </w:pPr>
            <w:r/>
            <w:r>
              <w:rPr>
                <w:rFonts w:ascii="Cambria" w:hAnsi="Cambria"/>
                <w:b w:val="0"/>
                <w:i w:val="0"/>
                <w:sz w:val="22"/>
              </w:rPr>
              <w:t>Date of eligibility or approval</w:t>
            </w:r>
          </w:p>
        </w:tc>
        <w:tc>
          <w:tcPr>
            <w:tcW w:type="dxa" w:w="1927"/>
          </w:tcPr>
          <w:p>
            <w:pPr>
              <w:spacing w:after="40" w:before="40"/>
            </w:pPr>
            <w:r/>
            <w:r>
              <w:rPr>
                <w:rFonts w:ascii="Cambria" w:hAnsi="Cambria"/>
                <w:b w:val="0"/>
                <w:i w:val="0"/>
                <w:sz w:val="22"/>
              </w:rPr>
              <w:t>Based on PBAS/API</w:t>
            </w:r>
          </w:p>
        </w:tc>
      </w:tr>
      <w:tr>
        <w:tc>
          <w:tcPr>
            <w:tcW w:type="dxa" w:w="1587"/>
            <w:shd w:val="clear" w:color="auto" w:fill="F0F2F5"/>
          </w:tcPr>
          <w:p>
            <w:pPr>
              <w:spacing w:after="40" w:before="40"/>
            </w:pPr>
            <w:r/>
            <w:r>
              <w:rPr>
                <w:rFonts w:ascii="Cambria" w:hAnsi="Cambria"/>
                <w:b w:val="0"/>
                <w:i w:val="0"/>
                <w:sz w:val="22"/>
              </w:rPr>
              <w:t>Promotion (Non-Teaching)</w:t>
            </w:r>
          </w:p>
        </w:tc>
        <w:tc>
          <w:tcPr>
            <w:tcW w:type="dxa" w:w="2154"/>
            <w:shd w:val="clear" w:color="auto" w:fill="F0F2F5"/>
          </w:tcPr>
          <w:p>
            <w:pPr>
              <w:spacing w:after="40" w:before="40"/>
            </w:pPr>
            <w:r/>
            <w:r>
              <w:rPr>
                <w:rFonts w:ascii="Cambria" w:hAnsi="Cambria"/>
                <w:b w:val="0"/>
                <w:i w:val="0"/>
                <w:sz w:val="22"/>
              </w:rPr>
              <w:t>Min. 4–6 years + Performance</w:t>
            </w:r>
          </w:p>
        </w:tc>
        <w:tc>
          <w:tcPr>
            <w:tcW w:type="dxa" w:w="1247"/>
            <w:shd w:val="clear" w:color="auto" w:fill="F0F2F5"/>
          </w:tcPr>
          <w:p>
            <w:pPr>
              <w:spacing w:after="40" w:before="40"/>
            </w:pPr>
            <w:r/>
            <w:r>
              <w:rPr>
                <w:rFonts w:ascii="Cambria" w:hAnsi="Cambria"/>
                <w:b w:val="0"/>
                <w:i w:val="0"/>
                <w:sz w:val="22"/>
              </w:rPr>
              <w:t>BoM / Registrar</w:t>
            </w:r>
          </w:p>
        </w:tc>
        <w:tc>
          <w:tcPr>
            <w:tcW w:type="dxa" w:w="1360"/>
            <w:shd w:val="clear" w:color="auto" w:fill="F0F2F5"/>
          </w:tcPr>
          <w:p>
            <w:pPr>
              <w:spacing w:after="40" w:before="40"/>
            </w:pPr>
            <w:r/>
            <w:r>
              <w:rPr>
                <w:rFonts w:ascii="Cambria" w:hAnsi="Cambria"/>
                <w:b w:val="0"/>
                <w:i w:val="0"/>
                <w:sz w:val="22"/>
              </w:rPr>
              <w:t>Date of approval</w:t>
            </w:r>
          </w:p>
        </w:tc>
        <w:tc>
          <w:tcPr>
            <w:tcW w:type="dxa" w:w="1927"/>
            <w:shd w:val="clear" w:color="auto" w:fill="F0F2F5"/>
          </w:tcPr>
          <w:p>
            <w:pPr>
              <w:spacing w:after="40" w:before="40"/>
            </w:pPr>
            <w:r/>
            <w:r>
              <w:rPr>
                <w:rFonts w:ascii="Cambria" w:hAnsi="Cambria"/>
                <w:b w:val="0"/>
                <w:i w:val="0"/>
                <w:sz w:val="22"/>
              </w:rPr>
              <w:t>DPC recommendation</w:t>
            </w:r>
          </w:p>
        </w:tc>
      </w:tr>
      <w:tr>
        <w:tc>
          <w:tcPr>
            <w:tcW w:type="dxa" w:w="1587"/>
          </w:tcPr>
          <w:p>
            <w:pPr>
              <w:spacing w:after="40" w:before="40"/>
            </w:pPr>
            <w:r/>
            <w:r>
              <w:rPr>
                <w:rFonts w:ascii="Cambria" w:hAnsi="Cambria"/>
                <w:b w:val="0"/>
                <w:i w:val="0"/>
                <w:sz w:val="22"/>
              </w:rPr>
              <w:t>Annual Increment</w:t>
            </w:r>
          </w:p>
        </w:tc>
        <w:tc>
          <w:tcPr>
            <w:tcW w:type="dxa" w:w="2154"/>
          </w:tcPr>
          <w:p>
            <w:pPr>
              <w:spacing w:after="40" w:before="40"/>
            </w:pPr>
            <w:r/>
            <w:r>
              <w:rPr>
                <w:rFonts w:ascii="Cambria" w:hAnsi="Cambria"/>
                <w:b w:val="0"/>
                <w:i w:val="0"/>
                <w:sz w:val="22"/>
              </w:rPr>
              <w:t>After 12 months of service</w:t>
            </w:r>
          </w:p>
        </w:tc>
        <w:tc>
          <w:tcPr>
            <w:tcW w:type="dxa" w:w="1247"/>
          </w:tcPr>
          <w:p>
            <w:pPr>
              <w:spacing w:after="40" w:before="40"/>
            </w:pPr>
            <w:r/>
            <w:r>
              <w:rPr>
                <w:rFonts w:ascii="Cambria" w:hAnsi="Cambria"/>
                <w:b w:val="0"/>
                <w:i w:val="0"/>
                <w:sz w:val="22"/>
              </w:rPr>
              <w:t>Registrar</w:t>
            </w:r>
          </w:p>
        </w:tc>
        <w:tc>
          <w:tcPr>
            <w:tcW w:type="dxa" w:w="1360"/>
          </w:tcPr>
          <w:p>
            <w:pPr>
              <w:spacing w:after="40" w:before="40"/>
            </w:pPr>
            <w:r/>
            <w:r>
              <w:rPr>
                <w:rFonts w:ascii="Cambria" w:hAnsi="Cambria"/>
                <w:b w:val="0"/>
                <w:i w:val="0"/>
                <w:sz w:val="22"/>
              </w:rPr>
              <w:t>1st July</w:t>
            </w:r>
          </w:p>
        </w:tc>
        <w:tc>
          <w:tcPr>
            <w:tcW w:type="dxa" w:w="1927"/>
          </w:tcPr>
          <w:p>
            <w:pPr>
              <w:spacing w:after="40" w:before="40"/>
            </w:pPr>
            <w:r/>
            <w:r>
              <w:rPr>
                <w:rFonts w:ascii="Cambria" w:hAnsi="Cambria"/>
                <w:b w:val="0"/>
                <w:i w:val="0"/>
                <w:sz w:val="22"/>
              </w:rPr>
              <w:t>3–5% or as per scale</w:t>
            </w:r>
          </w:p>
        </w:tc>
      </w:tr>
      <w:tr>
        <w:tc>
          <w:tcPr>
            <w:tcW w:type="dxa" w:w="1587"/>
            <w:shd w:val="clear" w:color="auto" w:fill="F0F2F5"/>
          </w:tcPr>
          <w:p>
            <w:pPr>
              <w:spacing w:after="40" w:before="40"/>
            </w:pPr>
            <w:r/>
            <w:r>
              <w:rPr>
                <w:rFonts w:ascii="Cambria" w:hAnsi="Cambria"/>
                <w:b w:val="0"/>
                <w:i w:val="0"/>
                <w:sz w:val="22"/>
              </w:rPr>
              <w:t>Increment Withholding</w:t>
            </w:r>
          </w:p>
        </w:tc>
        <w:tc>
          <w:tcPr>
            <w:tcW w:type="dxa" w:w="2154"/>
            <w:shd w:val="clear" w:color="auto" w:fill="F0F2F5"/>
          </w:tcPr>
          <w:p>
            <w:pPr>
              <w:spacing w:after="40" w:before="40"/>
            </w:pPr>
            <w:r/>
            <w:r>
              <w:rPr>
                <w:rFonts w:ascii="Cambria" w:hAnsi="Cambria"/>
                <w:b w:val="0"/>
                <w:i w:val="0"/>
                <w:sz w:val="22"/>
              </w:rPr>
              <w:t>Unsatisfactory service</w:t>
            </w:r>
          </w:p>
        </w:tc>
        <w:tc>
          <w:tcPr>
            <w:tcW w:type="dxa" w:w="1247"/>
            <w:shd w:val="clear" w:color="auto" w:fill="F0F2F5"/>
          </w:tcPr>
          <w:p>
            <w:pPr>
              <w:spacing w:after="40" w:before="40"/>
            </w:pPr>
            <w:r/>
            <w:r>
              <w:rPr>
                <w:rFonts w:ascii="Cambria" w:hAnsi="Cambria"/>
                <w:b w:val="0"/>
                <w:i w:val="0"/>
                <w:sz w:val="22"/>
              </w:rPr>
              <w:t>Appointing Authority</w:t>
            </w:r>
          </w:p>
        </w:tc>
        <w:tc>
          <w:tcPr>
            <w:tcW w:type="dxa" w:w="1360"/>
            <w:shd w:val="clear" w:color="auto" w:fill="F0F2F5"/>
          </w:tcPr>
          <w:p>
            <w:pPr>
              <w:spacing w:after="40" w:before="40"/>
            </w:pPr>
            <w:r/>
            <w:r>
              <w:rPr>
                <w:rFonts w:ascii="Cambria" w:hAnsi="Cambria"/>
                <w:b w:val="0"/>
                <w:i w:val="0"/>
                <w:sz w:val="22"/>
              </w:rPr>
              <w:t>—</w:t>
            </w:r>
          </w:p>
        </w:tc>
        <w:tc>
          <w:tcPr>
            <w:tcW w:type="dxa" w:w="1927"/>
            <w:shd w:val="clear" w:color="auto" w:fill="F0F2F5"/>
          </w:tcPr>
          <w:p>
            <w:pPr>
              <w:spacing w:after="40" w:before="40"/>
            </w:pPr>
            <w:r/>
            <w:r>
              <w:rPr>
                <w:rFonts w:ascii="Cambria" w:hAnsi="Cambria"/>
                <w:b w:val="0"/>
                <w:i w:val="0"/>
                <w:sz w:val="22"/>
              </w:rPr>
              <w:t>May be restored later</w:t>
            </w:r>
          </w:p>
        </w:tc>
      </w:tr>
      <w:tr>
        <w:tc>
          <w:tcPr>
            <w:tcW w:type="dxa" w:w="1587"/>
          </w:tcPr>
          <w:p>
            <w:pPr>
              <w:spacing w:after="40" w:before="40"/>
            </w:pPr>
            <w:r/>
            <w:r>
              <w:rPr>
                <w:rFonts w:ascii="Cambria" w:hAnsi="Cambria"/>
                <w:b w:val="0"/>
                <w:i w:val="0"/>
                <w:sz w:val="22"/>
              </w:rPr>
              <w:t>Career Advancement</w:t>
            </w:r>
          </w:p>
        </w:tc>
        <w:tc>
          <w:tcPr>
            <w:tcW w:type="dxa" w:w="2154"/>
          </w:tcPr>
          <w:p>
            <w:pPr>
              <w:spacing w:after="40" w:before="40"/>
            </w:pPr>
            <w:r/>
            <w:r>
              <w:rPr>
                <w:rFonts w:ascii="Cambria" w:hAnsi="Cambria"/>
                <w:b w:val="0"/>
                <w:i w:val="0"/>
                <w:sz w:val="22"/>
              </w:rPr>
              <w:t>Satisfactory API + Courses + Service</w:t>
            </w:r>
          </w:p>
        </w:tc>
        <w:tc>
          <w:tcPr>
            <w:tcW w:type="dxa" w:w="1247"/>
          </w:tcPr>
          <w:p>
            <w:pPr>
              <w:spacing w:after="40" w:before="40"/>
            </w:pPr>
            <w:r/>
            <w:r>
              <w:rPr>
                <w:rFonts w:ascii="Cambria" w:hAnsi="Cambria"/>
                <w:b w:val="0"/>
                <w:i w:val="0"/>
                <w:sz w:val="22"/>
              </w:rPr>
              <w:t>BoM / V.C.</w:t>
            </w:r>
          </w:p>
        </w:tc>
        <w:tc>
          <w:tcPr>
            <w:tcW w:type="dxa" w:w="1360"/>
          </w:tcPr>
          <w:p>
            <w:pPr>
              <w:spacing w:after="40" w:before="40"/>
            </w:pPr>
            <w:r/>
            <w:r>
              <w:rPr>
                <w:rFonts w:ascii="Cambria" w:hAnsi="Cambria"/>
                <w:b w:val="0"/>
                <w:i w:val="0"/>
                <w:sz w:val="22"/>
              </w:rPr>
              <w:t>Date of eligibility</w:t>
            </w:r>
          </w:p>
        </w:tc>
        <w:tc>
          <w:tcPr>
            <w:tcW w:type="dxa" w:w="1927"/>
          </w:tcPr>
          <w:p>
            <w:pPr>
              <w:spacing w:after="40" w:before="40"/>
            </w:pPr>
            <w:r/>
            <w:r>
              <w:rPr>
                <w:rFonts w:ascii="Cambria" w:hAnsi="Cambria"/>
                <w:b w:val="0"/>
                <w:i w:val="0"/>
                <w:sz w:val="22"/>
              </w:rPr>
              <w:t>UGC/AICTE guidelines</w:t>
            </w:r>
          </w:p>
        </w:tc>
      </w:tr>
    </w:tbl>
    <w:p>
      <w:pPr>
        <w:spacing w:after="40"/>
      </w:pPr>
    </w:p>
    <w:p>
      <w:pPr>
        <w:keepNext/>
        <w:spacing w:before="200" w:after="120"/>
      </w:pPr>
      <w:r>
        <w:rPr>
          <w:rFonts w:ascii="Cambria" w:hAnsi="Cambria"/>
          <w:b/>
          <w:color w:val="1F3A5F"/>
          <w:sz w:val="24"/>
        </w:rPr>
        <w:t>VI. Policy Principles</w:t>
      </w:r>
    </w:p>
    <w:p>
      <w:pPr>
        <w:pStyle w:val="ListBullet"/>
        <w:spacing w:line="276" w:lineRule="auto"/>
        <w:ind w:left="510"/>
      </w:pPr>
      <w:r>
        <w:rPr>
          <w:rFonts w:ascii="Cambria" w:hAnsi="Cambria"/>
          <w:b w:val="0"/>
          <w:i w:val="0"/>
          <w:sz w:val="22"/>
        </w:rPr>
        <w:t>Promotions and increments are not automatic; they are earned through merit, discipline, and contribution.</w:t>
      </w:r>
    </w:p>
    <w:p>
      <w:pPr>
        <w:pStyle w:val="ListBullet"/>
        <w:spacing w:line="276" w:lineRule="auto"/>
        <w:ind w:left="510"/>
      </w:pPr>
      <w:r>
        <w:rPr>
          <w:rFonts w:ascii="Cambria" w:hAnsi="Cambria"/>
          <w:b w:val="0"/>
          <w:i w:val="0"/>
          <w:sz w:val="22"/>
        </w:rPr>
        <w:t>The University ensures equity and transparency in promotion and career advancement across all departments.</w:t>
      </w:r>
    </w:p>
    <w:p>
      <w:pPr>
        <w:pStyle w:val="ListBullet"/>
        <w:spacing w:line="276" w:lineRule="auto"/>
        <w:ind w:left="510"/>
      </w:pPr>
      <w:r>
        <w:rPr>
          <w:rFonts w:ascii="Cambria" w:hAnsi="Cambria"/>
          <w:b w:val="0"/>
          <w:i w:val="0"/>
          <w:sz w:val="22"/>
        </w:rPr>
        <w:t>All recommendations are subject to BoM approval and budgetary clearance.</w:t>
      </w:r>
    </w:p>
    <w:p>
      <w:pPr>
        <w:pStyle w:val="ListBullet"/>
        <w:spacing w:line="276" w:lineRule="auto"/>
        <w:ind w:left="510"/>
      </w:pPr>
      <w:r>
        <w:rPr>
          <w:rFonts w:ascii="Cambria" w:hAnsi="Cambria"/>
          <w:b w:val="0"/>
          <w:i w:val="0"/>
          <w:sz w:val="22"/>
        </w:rPr>
        <w:t>The policy will be periodically reviewed to align with revised UGC, AICTE, or State Government directives.</w:t>
      </w:r>
    </w:p>
    <w:p>
      <w:pPr>
        <w:keepNext/>
        <w:spacing w:before="200" w:after="120"/>
      </w:pPr>
      <w:r>
        <w:rPr>
          <w:rFonts w:ascii="Cambria" w:hAnsi="Cambria"/>
          <w:b/>
          <w:color w:val="1F3A5F"/>
          <w:sz w:val="27"/>
        </w:rPr>
        <w:t>H. Performance Appraisal and Evaluation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systematic and objective framework for assessing the performance, conduct, and institutional contribution of all employees — Teaching, Non-Teaching, Administrative, and Technical.</w:t>
      </w:r>
    </w:p>
    <w:p>
      <w:pPr>
        <w:pStyle w:val="ListBullet"/>
        <w:spacing w:line="276" w:lineRule="auto"/>
        <w:ind w:left="510"/>
      </w:pPr>
      <w:r>
        <w:rPr>
          <w:rFonts w:ascii="Cambria" w:hAnsi="Cambria"/>
          <w:b w:val="0"/>
          <w:i w:val="0"/>
          <w:sz w:val="22"/>
        </w:rPr>
        <w:t>This policy aims to link performance evaluation with promotions, increments, rewards, and professional development, ensuring accountability and continuous improvement in institutional outcomes.</w:t>
      </w:r>
    </w:p>
    <w:p>
      <w:pPr>
        <w:keepNext/>
        <w:spacing w:before="200" w:after="120"/>
      </w:pPr>
      <w:r>
        <w:rPr>
          <w:rFonts w:ascii="Cambria" w:hAnsi="Cambria"/>
          <w:b/>
          <w:color w:val="1F3A5F"/>
          <w:sz w:val="24"/>
        </w:rPr>
        <w:t>I. Objectives of Performance Appraisal</w:t>
      </w:r>
    </w:p>
    <w:p>
      <w:pPr>
        <w:pStyle w:val="ListBullet"/>
        <w:spacing w:line="276" w:lineRule="auto"/>
        <w:ind w:left="510"/>
      </w:pPr>
      <w:r>
        <w:rPr>
          <w:rFonts w:ascii="Cambria" w:hAnsi="Cambria"/>
          <w:b w:val="0"/>
          <w:i w:val="0"/>
          <w:sz w:val="22"/>
        </w:rPr>
        <w:t>Promote a culture of merit, transparency, and continuous growth.</w:t>
      </w:r>
    </w:p>
    <w:p>
      <w:pPr>
        <w:pStyle w:val="ListBullet"/>
        <w:spacing w:line="276" w:lineRule="auto"/>
        <w:ind w:left="510"/>
      </w:pPr>
      <w:r>
        <w:rPr>
          <w:rFonts w:ascii="Cambria" w:hAnsi="Cambria"/>
          <w:b w:val="0"/>
          <w:i w:val="0"/>
          <w:sz w:val="22"/>
        </w:rPr>
        <w:t>Evaluate individual performance in alignment with institutional goals and strategic plans.</w:t>
      </w:r>
    </w:p>
    <w:p>
      <w:pPr>
        <w:pStyle w:val="ListBullet"/>
        <w:spacing w:line="276" w:lineRule="auto"/>
        <w:ind w:left="510"/>
      </w:pPr>
      <w:r>
        <w:rPr>
          <w:rFonts w:ascii="Cambria" w:hAnsi="Cambria"/>
          <w:b w:val="0"/>
          <w:i w:val="0"/>
          <w:sz w:val="22"/>
        </w:rPr>
        <w:t>Identify areas for training, mentoring, and skill enhancement.</w:t>
      </w:r>
    </w:p>
    <w:p>
      <w:pPr>
        <w:pStyle w:val="ListBullet"/>
        <w:spacing w:line="276" w:lineRule="auto"/>
        <w:ind w:left="510"/>
      </w:pPr>
      <w:r>
        <w:rPr>
          <w:rFonts w:ascii="Cambria" w:hAnsi="Cambria"/>
          <w:b w:val="0"/>
          <w:i w:val="0"/>
          <w:sz w:val="22"/>
        </w:rPr>
        <w:t>Provide a factual basis for:</w:t>
      </w:r>
    </w:p>
    <w:p>
      <w:pPr>
        <w:pStyle w:val="ListBullet2"/>
        <w:spacing w:line="276" w:lineRule="auto"/>
        <w:ind w:left="1020"/>
      </w:pPr>
      <w:r>
        <w:rPr>
          <w:rFonts w:ascii="Cambria" w:hAnsi="Cambria"/>
          <w:b w:val="0"/>
          <w:i w:val="0"/>
          <w:sz w:val="22"/>
        </w:rPr>
        <w:t>Annual increments and promotions</w:t>
      </w:r>
    </w:p>
    <w:p>
      <w:pPr>
        <w:pStyle w:val="ListBullet2"/>
        <w:spacing w:line="276" w:lineRule="auto"/>
        <w:ind w:left="1020"/>
      </w:pPr>
      <w:r>
        <w:rPr>
          <w:rFonts w:ascii="Cambria" w:hAnsi="Cambria"/>
          <w:b w:val="0"/>
          <w:i w:val="0"/>
          <w:sz w:val="22"/>
        </w:rPr>
        <w:t>Career Advancement (CAS) for faculty</w:t>
      </w:r>
    </w:p>
    <w:p>
      <w:pPr>
        <w:pStyle w:val="ListBullet2"/>
        <w:spacing w:line="276" w:lineRule="auto"/>
        <w:ind w:left="1020"/>
      </w:pPr>
      <w:r>
        <w:rPr>
          <w:rFonts w:ascii="Cambria" w:hAnsi="Cambria"/>
          <w:b w:val="0"/>
          <w:i w:val="0"/>
          <w:sz w:val="22"/>
        </w:rPr>
        <w:t>Recognition and awards</w:t>
      </w:r>
    </w:p>
    <w:p>
      <w:pPr>
        <w:pStyle w:val="ListBullet2"/>
        <w:spacing w:line="276" w:lineRule="auto"/>
        <w:ind w:left="1020"/>
      </w:pPr>
      <w:r>
        <w:rPr>
          <w:rFonts w:ascii="Cambria" w:hAnsi="Cambria"/>
          <w:b w:val="0"/>
          <w:i w:val="0"/>
          <w:sz w:val="22"/>
        </w:rPr>
        <w:t>Corrective or disciplinary measures, if needed.</w:t>
      </w:r>
    </w:p>
    <w:p>
      <w:pPr>
        <w:keepNext/>
        <w:spacing w:before="200" w:after="120"/>
      </w:pPr>
      <w:r>
        <w:rPr>
          <w:rFonts w:ascii="Cambria" w:hAnsi="Cambria"/>
          <w:b/>
          <w:color w:val="1F3A5F"/>
          <w:sz w:val="24"/>
        </w:rPr>
        <w:t>II. Scope of Application</w:t>
      </w:r>
    </w:p>
    <w:p>
      <w:pPr>
        <w:pStyle w:val="ListBullet"/>
        <w:spacing w:line="276" w:lineRule="auto"/>
        <w:ind w:left="510"/>
      </w:pPr>
      <w:r>
        <w:rPr>
          <w:rFonts w:ascii="Cambria" w:hAnsi="Cambria"/>
          <w:b w:val="0"/>
          <w:i w:val="0"/>
          <w:sz w:val="22"/>
        </w:rPr>
        <w:t>Applicable to all categories of University employees, including:</w:t>
      </w:r>
    </w:p>
    <w:p>
      <w:pPr>
        <w:pStyle w:val="ListBullet2"/>
        <w:spacing w:line="276" w:lineRule="auto"/>
        <w:ind w:left="1020"/>
      </w:pPr>
      <w:r>
        <w:rPr>
          <w:rFonts w:ascii="Cambria" w:hAnsi="Cambria"/>
          <w:b w:val="0"/>
          <w:i w:val="0"/>
          <w:sz w:val="22"/>
        </w:rPr>
        <w:t>Teaching Staff (Faculty members)</w:t>
      </w:r>
    </w:p>
    <w:p>
      <w:pPr>
        <w:pStyle w:val="ListBullet2"/>
        <w:spacing w:line="276" w:lineRule="auto"/>
        <w:ind w:left="1020"/>
      </w:pPr>
      <w:r>
        <w:rPr>
          <w:rFonts w:ascii="Cambria" w:hAnsi="Cambria"/>
          <w:b w:val="0"/>
          <w:i w:val="0"/>
          <w:sz w:val="22"/>
        </w:rPr>
        <w:t>Administrative Officers and Managers</w:t>
      </w:r>
    </w:p>
    <w:p>
      <w:pPr>
        <w:pStyle w:val="ListBullet2"/>
        <w:spacing w:line="276" w:lineRule="auto"/>
        <w:ind w:left="1020"/>
      </w:pPr>
      <w:r>
        <w:rPr>
          <w:rFonts w:ascii="Cambria" w:hAnsi="Cambria"/>
          <w:b w:val="0"/>
          <w:i w:val="0"/>
          <w:sz w:val="22"/>
        </w:rPr>
        <w:t>Technical and Laboratory Personnel</w:t>
      </w:r>
    </w:p>
    <w:p>
      <w:pPr>
        <w:pStyle w:val="ListBullet2"/>
        <w:spacing w:line="276" w:lineRule="auto"/>
        <w:ind w:left="1020"/>
      </w:pPr>
      <w:r>
        <w:rPr>
          <w:rFonts w:ascii="Cambria" w:hAnsi="Cambria"/>
          <w:b w:val="0"/>
          <w:i w:val="0"/>
          <w:sz w:val="22"/>
        </w:rPr>
        <w:t>Non-Teaching and Support Staff</w:t>
      </w:r>
    </w:p>
    <w:p>
      <w:pPr>
        <w:pStyle w:val="ListBullet"/>
        <w:spacing w:line="276" w:lineRule="auto"/>
        <w:ind w:left="510"/>
      </w:pPr>
      <w:r>
        <w:rPr>
          <w:rFonts w:ascii="Cambria" w:hAnsi="Cambria"/>
          <w:b w:val="0"/>
          <w:i w:val="0"/>
          <w:sz w:val="22"/>
        </w:rPr>
        <w:t>Evaluation is conducted annually for all employees serving on regular, probationary, or contractual appointments.</w:t>
      </w:r>
    </w:p>
    <w:p>
      <w:pPr>
        <w:keepNext/>
        <w:spacing w:before="200" w:after="120"/>
      </w:pPr>
      <w:r>
        <w:rPr>
          <w:rFonts w:ascii="Cambria" w:hAnsi="Cambria"/>
          <w:b/>
          <w:color w:val="1F3A5F"/>
          <w:sz w:val="24"/>
        </w:rPr>
        <w:t>III. Structure of Performance Appraisal System (PAS)</w:t>
      </w:r>
    </w:p>
    <w:p>
      <w:pPr>
        <w:keepNext/>
        <w:spacing w:before="200" w:after="120"/>
      </w:pPr>
      <w:r>
        <w:rPr>
          <w:rFonts w:ascii="Cambria" w:hAnsi="Cambria"/>
          <w:b/>
          <w:color w:val="1F3A5F"/>
          <w:sz w:val="24"/>
        </w:rPr>
        <w:t>1. Components of Appraisal</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701"/>
            <w:shd w:val="clear" w:color="auto" w:fill="1F3A5F"/>
          </w:tcPr>
          <w:p>
            <w:pPr>
              <w:spacing w:after="40" w:before="40"/>
            </w:pPr>
            <w:r/>
            <w:r>
              <w:rPr>
                <w:rFonts w:ascii="Cambria" w:hAnsi="Cambria"/>
                <w:b/>
                <w:i w:val="0"/>
                <w:color w:val="FFFFFF"/>
                <w:sz w:val="22"/>
              </w:rPr>
              <w:t>Category</w:t>
            </w:r>
          </w:p>
        </w:tc>
        <w:tc>
          <w:tcPr>
            <w:tcW w:type="dxa" w:w="2268"/>
            <w:shd w:val="clear" w:color="auto" w:fill="1F3A5F"/>
          </w:tcPr>
          <w:p>
            <w:pPr>
              <w:spacing w:after="40" w:before="40"/>
            </w:pPr>
            <w:r/>
            <w:r>
              <w:rPr>
                <w:rFonts w:ascii="Cambria" w:hAnsi="Cambria"/>
                <w:b/>
                <w:i w:val="0"/>
                <w:color w:val="FFFFFF"/>
                <w:sz w:val="22"/>
              </w:rPr>
              <w:t>Appraisal Tool</w:t>
            </w:r>
          </w:p>
        </w:tc>
        <w:tc>
          <w:tcPr>
            <w:tcW w:type="dxa" w:w="3231"/>
            <w:shd w:val="clear" w:color="auto" w:fill="1F3A5F"/>
          </w:tcPr>
          <w:p>
            <w:pPr>
              <w:spacing w:after="40" w:before="40"/>
            </w:pPr>
            <w:r/>
            <w:r>
              <w:rPr>
                <w:rFonts w:ascii="Cambria" w:hAnsi="Cambria"/>
                <w:b/>
                <w:i w:val="0"/>
                <w:color w:val="FFFFFF"/>
                <w:sz w:val="22"/>
              </w:rPr>
              <w:t>Assessment Areas</w:t>
            </w:r>
          </w:p>
        </w:tc>
        <w:tc>
          <w:tcPr>
            <w:tcW w:type="dxa" w:w="1077"/>
            <w:shd w:val="clear" w:color="auto" w:fill="1F3A5F"/>
          </w:tcPr>
          <w:p>
            <w:pPr>
              <w:spacing w:after="40" w:before="40"/>
            </w:pPr>
            <w:r/>
            <w:r>
              <w:rPr>
                <w:rFonts w:ascii="Cambria" w:hAnsi="Cambria"/>
                <w:b/>
                <w:i w:val="0"/>
                <w:color w:val="FFFFFF"/>
                <w:sz w:val="22"/>
              </w:rPr>
              <w:t>Weightage (%)</w:t>
            </w:r>
          </w:p>
        </w:tc>
      </w:tr>
      <w:tr>
        <w:tc>
          <w:tcPr>
            <w:tcW w:type="dxa" w:w="1701"/>
          </w:tcPr>
          <w:p>
            <w:pPr>
              <w:spacing w:after="40" w:before="40"/>
            </w:pPr>
            <w:r/>
            <w:r>
              <w:rPr>
                <w:rFonts w:ascii="Cambria" w:hAnsi="Cambria"/>
                <w:b w:val="0"/>
                <w:i w:val="0"/>
                <w:sz w:val="22"/>
              </w:rPr>
              <w:t>Teaching Faculty</w:t>
            </w:r>
          </w:p>
        </w:tc>
        <w:tc>
          <w:tcPr>
            <w:tcW w:type="dxa" w:w="2268"/>
          </w:tcPr>
          <w:p>
            <w:pPr>
              <w:spacing w:after="40" w:before="40"/>
            </w:pPr>
            <w:r/>
            <w:r>
              <w:rPr>
                <w:rFonts w:ascii="Cambria" w:hAnsi="Cambria"/>
                <w:b w:val="0"/>
                <w:i w:val="0"/>
                <w:sz w:val="22"/>
              </w:rPr>
              <w:t>Performance-Based Appraisal System (PBAS) / Academic Performance Index (API)</w:t>
            </w:r>
          </w:p>
        </w:tc>
        <w:tc>
          <w:tcPr>
            <w:tcW w:type="dxa" w:w="3231"/>
          </w:tcPr>
          <w:p>
            <w:pPr>
              <w:spacing w:after="40" w:before="40"/>
            </w:pPr>
            <w:r/>
            <w:r>
              <w:rPr>
                <w:rFonts w:ascii="Cambria" w:hAnsi="Cambria"/>
                <w:b w:val="0"/>
                <w:i w:val="0"/>
                <w:sz w:val="22"/>
              </w:rPr>
              <w:t>Teaching-learning, research, publications, student feedback, professional activities</w:t>
            </w:r>
          </w:p>
        </w:tc>
        <w:tc>
          <w:tcPr>
            <w:tcW w:type="dxa" w:w="1077"/>
          </w:tcPr>
          <w:p>
            <w:pPr>
              <w:spacing w:after="40" w:before="40"/>
            </w:pPr>
            <w:r/>
            <w:r>
              <w:rPr>
                <w:rFonts w:ascii="Cambria" w:hAnsi="Cambria"/>
                <w:b w:val="0"/>
                <w:i w:val="0"/>
                <w:sz w:val="22"/>
              </w:rPr>
              <w:t>60-70%</w:t>
            </w:r>
          </w:p>
        </w:tc>
      </w:tr>
      <w:tr>
        <w:tc>
          <w:tcPr>
            <w:tcW w:type="dxa" w:w="1701"/>
            <w:shd w:val="clear" w:color="auto" w:fill="F0F2F5"/>
          </w:tcPr>
          <w:p>
            <w:pPr>
              <w:spacing w:after="40" w:before="40"/>
            </w:pPr>
            <w:r/>
            <w:r>
              <w:rPr>
                <w:rFonts w:ascii="Cambria" w:hAnsi="Cambria"/>
                <w:b w:val="0"/>
                <w:i w:val="0"/>
                <w:sz w:val="22"/>
              </w:rPr>
              <w:t>Administrative / Managerial Staff</w:t>
            </w:r>
          </w:p>
        </w:tc>
        <w:tc>
          <w:tcPr>
            <w:tcW w:type="dxa" w:w="2268"/>
            <w:shd w:val="clear" w:color="auto" w:fill="F0F2F5"/>
          </w:tcPr>
          <w:p>
            <w:pPr>
              <w:spacing w:after="40" w:before="40"/>
            </w:pPr>
            <w:r/>
            <w:r>
              <w:rPr>
                <w:rFonts w:ascii="Cambria" w:hAnsi="Cambria"/>
                <w:b w:val="0"/>
                <w:i w:val="0"/>
                <w:sz w:val="22"/>
              </w:rPr>
              <w:t>Confidential Report (CR) &amp; Performance Scorecard</w:t>
            </w:r>
          </w:p>
        </w:tc>
        <w:tc>
          <w:tcPr>
            <w:tcW w:type="dxa" w:w="3231"/>
            <w:shd w:val="clear" w:color="auto" w:fill="F0F2F5"/>
          </w:tcPr>
          <w:p>
            <w:pPr>
              <w:spacing w:after="40" w:before="40"/>
            </w:pPr>
            <w:r/>
            <w:r>
              <w:rPr>
                <w:rFonts w:ascii="Cambria" w:hAnsi="Cambria"/>
                <w:b w:val="0"/>
                <w:i w:val="0"/>
                <w:sz w:val="22"/>
              </w:rPr>
              <w:t>Efficiency, initiative, leadership, coordination, and target achievement</w:t>
            </w:r>
          </w:p>
        </w:tc>
        <w:tc>
          <w:tcPr>
            <w:tcW w:type="dxa" w:w="1077"/>
            <w:shd w:val="clear" w:color="auto" w:fill="F0F2F5"/>
          </w:tcPr>
          <w:p>
            <w:pPr>
              <w:spacing w:after="40" w:before="40"/>
            </w:pPr>
            <w:r/>
            <w:r>
              <w:rPr>
                <w:rFonts w:ascii="Cambria" w:hAnsi="Cambria"/>
                <w:b w:val="0"/>
                <w:i w:val="0"/>
                <w:sz w:val="22"/>
              </w:rPr>
              <w:t>70%</w:t>
            </w:r>
          </w:p>
        </w:tc>
      </w:tr>
      <w:tr>
        <w:tc>
          <w:tcPr>
            <w:tcW w:type="dxa" w:w="1701"/>
          </w:tcPr>
          <w:p>
            <w:pPr>
              <w:spacing w:after="40" w:before="40"/>
            </w:pPr>
            <w:r/>
            <w:r>
              <w:rPr>
                <w:rFonts w:ascii="Cambria" w:hAnsi="Cambria"/>
                <w:b w:val="0"/>
                <w:i w:val="0"/>
                <w:sz w:val="22"/>
              </w:rPr>
              <w:t>Technical / Lab Staff</w:t>
            </w:r>
          </w:p>
        </w:tc>
        <w:tc>
          <w:tcPr>
            <w:tcW w:type="dxa" w:w="2268"/>
          </w:tcPr>
          <w:p>
            <w:pPr>
              <w:spacing w:after="40" w:before="40"/>
            </w:pPr>
            <w:r/>
            <w:r>
              <w:rPr>
                <w:rFonts w:ascii="Cambria" w:hAnsi="Cambria"/>
                <w:b w:val="0"/>
                <w:i w:val="0"/>
                <w:sz w:val="22"/>
              </w:rPr>
              <w:t>Work Output Evaluation Form</w:t>
            </w:r>
          </w:p>
        </w:tc>
        <w:tc>
          <w:tcPr>
            <w:tcW w:type="dxa" w:w="3231"/>
          </w:tcPr>
          <w:p>
            <w:pPr>
              <w:spacing w:after="40" w:before="40"/>
            </w:pPr>
            <w:r/>
            <w:r>
              <w:rPr>
                <w:rFonts w:ascii="Cambria" w:hAnsi="Cambria"/>
                <w:b w:val="0"/>
                <w:i w:val="0"/>
                <w:sz w:val="22"/>
              </w:rPr>
              <w:t>Equipment handling, maintenance, safety, precision, and reporting accuracy</w:t>
            </w:r>
          </w:p>
        </w:tc>
        <w:tc>
          <w:tcPr>
            <w:tcW w:type="dxa" w:w="1077"/>
          </w:tcPr>
          <w:p>
            <w:pPr>
              <w:spacing w:after="40" w:before="40"/>
            </w:pPr>
            <w:r/>
            <w:r>
              <w:rPr>
                <w:rFonts w:ascii="Cambria" w:hAnsi="Cambria"/>
                <w:b w:val="0"/>
                <w:i w:val="0"/>
                <w:sz w:val="22"/>
              </w:rPr>
              <w:t>60%</w:t>
            </w:r>
          </w:p>
        </w:tc>
      </w:tr>
      <w:tr>
        <w:tc>
          <w:tcPr>
            <w:tcW w:type="dxa" w:w="1701"/>
            <w:shd w:val="clear" w:color="auto" w:fill="F0F2F5"/>
          </w:tcPr>
          <w:p>
            <w:pPr>
              <w:spacing w:after="40" w:before="40"/>
            </w:pPr>
            <w:r/>
            <w:r>
              <w:rPr>
                <w:rFonts w:ascii="Cambria" w:hAnsi="Cambria"/>
                <w:b w:val="0"/>
                <w:i w:val="0"/>
                <w:sz w:val="22"/>
              </w:rPr>
              <w:t>Non-Teaching / Support Staff</w:t>
            </w:r>
          </w:p>
        </w:tc>
        <w:tc>
          <w:tcPr>
            <w:tcW w:type="dxa" w:w="2268"/>
            <w:shd w:val="clear" w:color="auto" w:fill="F0F2F5"/>
          </w:tcPr>
          <w:p>
            <w:pPr>
              <w:spacing w:after="40" w:before="40"/>
            </w:pPr>
            <w:r/>
            <w:r>
              <w:rPr>
                <w:rFonts w:ascii="Cambria" w:hAnsi="Cambria"/>
                <w:b w:val="0"/>
                <w:i w:val="0"/>
                <w:sz w:val="22"/>
              </w:rPr>
              <w:t>Efficiency Evaluation Report</w:t>
            </w:r>
          </w:p>
        </w:tc>
        <w:tc>
          <w:tcPr>
            <w:tcW w:type="dxa" w:w="3231"/>
            <w:shd w:val="clear" w:color="auto" w:fill="F0F2F5"/>
          </w:tcPr>
          <w:p>
            <w:pPr>
              <w:spacing w:after="40" w:before="40"/>
            </w:pPr>
            <w:r/>
            <w:r>
              <w:rPr>
                <w:rFonts w:ascii="Cambria" w:hAnsi="Cambria"/>
                <w:b w:val="0"/>
                <w:i w:val="0"/>
                <w:sz w:val="22"/>
              </w:rPr>
              <w:t>Attendance, punctuality, record keeping, responsiveness, teamwork</w:t>
            </w:r>
          </w:p>
        </w:tc>
        <w:tc>
          <w:tcPr>
            <w:tcW w:type="dxa" w:w="1077"/>
            <w:shd w:val="clear" w:color="auto" w:fill="F0F2F5"/>
          </w:tcPr>
          <w:p>
            <w:pPr>
              <w:spacing w:after="40" w:before="40"/>
            </w:pPr>
            <w:r/>
            <w:r>
              <w:rPr>
                <w:rFonts w:ascii="Cambria" w:hAnsi="Cambria"/>
                <w:b w:val="0"/>
                <w:i w:val="0"/>
                <w:sz w:val="22"/>
              </w:rPr>
              <w:t>60%</w:t>
            </w:r>
          </w:p>
        </w:tc>
      </w:tr>
    </w:tbl>
    <w:p>
      <w:pPr>
        <w:spacing w:after="40"/>
      </w:pPr>
    </w:p>
    <w:p>
      <w:pPr>
        <w:keepNext/>
        <w:spacing w:before="200" w:after="120"/>
      </w:pPr>
      <w:r>
        <w:rPr>
          <w:rFonts w:ascii="Cambria" w:hAnsi="Cambria"/>
          <w:b/>
          <w:color w:val="1F3A5F"/>
          <w:sz w:val="24"/>
        </w:rPr>
        <w:t>2. Levels of Evaluation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701"/>
            <w:shd w:val="clear" w:color="auto" w:fill="1F3A5F"/>
          </w:tcPr>
          <w:p>
            <w:pPr>
              <w:spacing w:after="40" w:before="40"/>
            </w:pPr>
            <w:r/>
            <w:r>
              <w:rPr>
                <w:rFonts w:ascii="Cambria" w:hAnsi="Cambria"/>
                <w:b/>
                <w:i w:val="0"/>
                <w:color w:val="FFFFFF"/>
                <w:sz w:val="22"/>
              </w:rPr>
              <w:t>Level</w:t>
            </w:r>
          </w:p>
        </w:tc>
        <w:tc>
          <w:tcPr>
            <w:tcW w:type="dxa" w:w="2268"/>
            <w:shd w:val="clear" w:color="auto" w:fill="1F3A5F"/>
          </w:tcPr>
          <w:p>
            <w:pPr>
              <w:spacing w:after="40" w:before="40"/>
            </w:pPr>
            <w:r/>
            <w:r>
              <w:rPr>
                <w:rFonts w:ascii="Cambria" w:hAnsi="Cambria"/>
                <w:b/>
                <w:i w:val="0"/>
                <w:color w:val="FFFFFF"/>
                <w:sz w:val="22"/>
              </w:rPr>
              <w:t>Evaluator</w:t>
            </w:r>
          </w:p>
        </w:tc>
        <w:tc>
          <w:tcPr>
            <w:tcW w:type="dxa" w:w="4309"/>
            <w:shd w:val="clear" w:color="auto" w:fill="1F3A5F"/>
          </w:tcPr>
          <w:p>
            <w:pPr>
              <w:spacing w:after="40" w:before="40"/>
            </w:pPr>
            <w:r/>
            <w:r>
              <w:rPr>
                <w:rFonts w:ascii="Cambria" w:hAnsi="Cambria"/>
                <w:b/>
                <w:i w:val="0"/>
                <w:color w:val="FFFFFF"/>
                <w:sz w:val="22"/>
              </w:rPr>
              <w:t>Responsibility</w:t>
            </w:r>
          </w:p>
        </w:tc>
      </w:tr>
      <w:tr>
        <w:tc>
          <w:tcPr>
            <w:tcW w:type="dxa" w:w="1701"/>
          </w:tcPr>
          <w:p>
            <w:pPr>
              <w:spacing w:after="40" w:before="40"/>
            </w:pPr>
            <w:r/>
            <w:r>
              <w:rPr>
                <w:rFonts w:ascii="Cambria" w:hAnsi="Cambria"/>
                <w:b w:val="0"/>
                <w:i w:val="0"/>
                <w:sz w:val="22"/>
              </w:rPr>
              <w:t>Self-Appraisal</w:t>
            </w:r>
          </w:p>
        </w:tc>
        <w:tc>
          <w:tcPr>
            <w:tcW w:type="dxa" w:w="2268"/>
          </w:tcPr>
          <w:p>
            <w:pPr>
              <w:spacing w:after="40" w:before="40"/>
            </w:pPr>
            <w:r/>
            <w:r>
              <w:rPr>
                <w:rFonts w:ascii="Cambria" w:hAnsi="Cambria"/>
                <w:b w:val="0"/>
                <w:i w:val="0"/>
                <w:sz w:val="22"/>
              </w:rPr>
              <w:t>Employee</w:t>
            </w:r>
          </w:p>
        </w:tc>
        <w:tc>
          <w:tcPr>
            <w:tcW w:type="dxa" w:w="4309"/>
          </w:tcPr>
          <w:p>
            <w:pPr>
              <w:spacing w:after="40" w:before="40"/>
            </w:pPr>
            <w:r/>
            <w:r>
              <w:rPr>
                <w:rFonts w:ascii="Cambria" w:hAnsi="Cambria"/>
                <w:b w:val="0"/>
                <w:i w:val="0"/>
                <w:sz w:val="22"/>
              </w:rPr>
              <w:t>Completes self-assessment form with achievements and goals.</w:t>
            </w:r>
          </w:p>
        </w:tc>
      </w:tr>
      <w:tr>
        <w:tc>
          <w:tcPr>
            <w:tcW w:type="dxa" w:w="1701"/>
            <w:shd w:val="clear" w:color="auto" w:fill="F0F2F5"/>
          </w:tcPr>
          <w:p>
            <w:pPr>
              <w:spacing w:after="40" w:before="40"/>
            </w:pPr>
            <w:r/>
            <w:r>
              <w:rPr>
                <w:rFonts w:ascii="Cambria" w:hAnsi="Cambria"/>
                <w:b w:val="0"/>
                <w:i w:val="0"/>
                <w:sz w:val="22"/>
              </w:rPr>
              <w:t>First-Level Review</w:t>
            </w:r>
          </w:p>
        </w:tc>
        <w:tc>
          <w:tcPr>
            <w:tcW w:type="dxa" w:w="2268"/>
            <w:shd w:val="clear" w:color="auto" w:fill="F0F2F5"/>
          </w:tcPr>
          <w:p>
            <w:pPr>
              <w:spacing w:after="40" w:before="40"/>
            </w:pPr>
            <w:r/>
            <w:r>
              <w:rPr>
                <w:rFonts w:ascii="Cambria" w:hAnsi="Cambria"/>
                <w:b w:val="0"/>
                <w:i w:val="0"/>
                <w:sz w:val="22"/>
              </w:rPr>
              <w:t>Immediate Supervisor / HoD</w:t>
            </w:r>
          </w:p>
        </w:tc>
        <w:tc>
          <w:tcPr>
            <w:tcW w:type="dxa" w:w="4309"/>
            <w:shd w:val="clear" w:color="auto" w:fill="F0F2F5"/>
          </w:tcPr>
          <w:p>
            <w:pPr>
              <w:spacing w:after="40" w:before="40"/>
            </w:pPr>
            <w:r/>
            <w:r>
              <w:rPr>
                <w:rFonts w:ascii="Cambria" w:hAnsi="Cambria"/>
                <w:b w:val="0"/>
                <w:i w:val="0"/>
                <w:sz w:val="22"/>
              </w:rPr>
              <w:t>Reviews accuracy and gives performance rating.</w:t>
            </w:r>
          </w:p>
        </w:tc>
      </w:tr>
      <w:tr>
        <w:tc>
          <w:tcPr>
            <w:tcW w:type="dxa" w:w="1701"/>
          </w:tcPr>
          <w:p>
            <w:pPr>
              <w:spacing w:after="40" w:before="40"/>
            </w:pPr>
            <w:r/>
            <w:r>
              <w:rPr>
                <w:rFonts w:ascii="Cambria" w:hAnsi="Cambria"/>
                <w:b w:val="0"/>
                <w:i w:val="0"/>
                <w:sz w:val="22"/>
              </w:rPr>
              <w:t>Second-Level Review</w:t>
            </w:r>
          </w:p>
        </w:tc>
        <w:tc>
          <w:tcPr>
            <w:tcW w:type="dxa" w:w="2268"/>
          </w:tcPr>
          <w:p>
            <w:pPr>
              <w:spacing w:after="40" w:before="40"/>
            </w:pPr>
            <w:r/>
            <w:r>
              <w:rPr>
                <w:rFonts w:ascii="Cambria" w:hAnsi="Cambria"/>
                <w:b w:val="0"/>
                <w:i w:val="0"/>
                <w:sz w:val="22"/>
              </w:rPr>
              <w:t>Registrar / Dean / Principal Investigator</w:t>
            </w:r>
          </w:p>
        </w:tc>
        <w:tc>
          <w:tcPr>
            <w:tcW w:type="dxa" w:w="4309"/>
          </w:tcPr>
          <w:p>
            <w:pPr>
              <w:spacing w:after="40" w:before="40"/>
            </w:pPr>
            <w:r/>
            <w:r>
              <w:rPr>
                <w:rFonts w:ascii="Cambria" w:hAnsi="Cambria"/>
                <w:b w:val="0"/>
                <w:i w:val="0"/>
                <w:sz w:val="22"/>
              </w:rPr>
              <w:t>Confirms rating consistency and recommends actions.</w:t>
            </w:r>
          </w:p>
        </w:tc>
      </w:tr>
      <w:tr>
        <w:tc>
          <w:tcPr>
            <w:tcW w:type="dxa" w:w="1701"/>
            <w:shd w:val="clear" w:color="auto" w:fill="F0F2F5"/>
          </w:tcPr>
          <w:p>
            <w:pPr>
              <w:spacing w:after="40" w:before="40"/>
            </w:pPr>
            <w:r/>
            <w:r>
              <w:rPr>
                <w:rFonts w:ascii="Cambria" w:hAnsi="Cambria"/>
                <w:b w:val="0"/>
                <w:i w:val="0"/>
                <w:sz w:val="22"/>
              </w:rPr>
              <w:t>Final Approval</w:t>
            </w:r>
          </w:p>
        </w:tc>
        <w:tc>
          <w:tcPr>
            <w:tcW w:type="dxa" w:w="2268"/>
            <w:shd w:val="clear" w:color="auto" w:fill="F0F2F5"/>
          </w:tcPr>
          <w:p>
            <w:pPr>
              <w:spacing w:after="40" w:before="40"/>
            </w:pPr>
            <w:r/>
            <w:r>
              <w:rPr>
                <w:rFonts w:ascii="Cambria" w:hAnsi="Cambria"/>
                <w:b w:val="0"/>
                <w:i w:val="0"/>
                <w:sz w:val="22"/>
              </w:rPr>
              <w:t>Vice-Chancellor / Board of Management</w:t>
            </w:r>
          </w:p>
        </w:tc>
        <w:tc>
          <w:tcPr>
            <w:tcW w:type="dxa" w:w="4309"/>
            <w:shd w:val="clear" w:color="auto" w:fill="F0F2F5"/>
          </w:tcPr>
          <w:p>
            <w:pPr>
              <w:spacing w:after="40" w:before="40"/>
            </w:pPr>
            <w:r/>
            <w:r>
              <w:rPr>
                <w:rFonts w:ascii="Cambria" w:hAnsi="Cambria"/>
                <w:b w:val="0"/>
                <w:i w:val="0"/>
                <w:sz w:val="22"/>
              </w:rPr>
              <w:t>Approves annual appraisal summary for HR records.</w:t>
            </w:r>
          </w:p>
        </w:tc>
      </w:tr>
    </w:tbl>
    <w:p>
      <w:pPr>
        <w:spacing w:after="40"/>
      </w:pPr>
    </w:p>
    <w:p>
      <w:pPr>
        <w:keepNext/>
        <w:spacing w:before="200" w:after="120"/>
      </w:pPr>
      <w:r>
        <w:rPr>
          <w:rFonts w:ascii="Cambria" w:hAnsi="Cambria"/>
          <w:b/>
          <w:color w:val="1F3A5F"/>
          <w:sz w:val="24"/>
        </w:rPr>
        <w:t>3. Appraisal Cycle and Timeline</w:t>
      </w:r>
    </w:p>
    <w:p>
      <w:pPr>
        <w:pStyle w:val="ListBullet"/>
        <w:spacing w:line="276" w:lineRule="auto"/>
        <w:ind w:left="510"/>
      </w:pPr>
      <w:r>
        <w:rPr>
          <w:rFonts w:ascii="Cambria" w:hAnsi="Cambria"/>
          <w:b w:val="0"/>
          <w:i w:val="0"/>
          <w:sz w:val="22"/>
        </w:rPr>
        <w:t>Self-Appraisal Submission: By 31st March each year.</w:t>
      </w:r>
    </w:p>
    <w:p>
      <w:pPr>
        <w:pStyle w:val="ListBullet"/>
        <w:spacing w:line="276" w:lineRule="auto"/>
        <w:ind w:left="510"/>
      </w:pPr>
      <w:r>
        <w:rPr>
          <w:rFonts w:ascii="Cambria" w:hAnsi="Cambria"/>
          <w:b w:val="0"/>
          <w:i w:val="0"/>
          <w:sz w:val="22"/>
        </w:rPr>
        <w:t>Departmental Review: Completed by 30th April.</w:t>
      </w:r>
    </w:p>
    <w:p>
      <w:pPr>
        <w:pStyle w:val="ListBullet"/>
        <w:spacing w:line="276" w:lineRule="auto"/>
        <w:ind w:left="510"/>
      </w:pPr>
      <w:r>
        <w:rPr>
          <w:rFonts w:ascii="Cambria" w:hAnsi="Cambria"/>
          <w:b w:val="0"/>
          <w:i w:val="0"/>
          <w:sz w:val="22"/>
        </w:rPr>
        <w:t>Final Evaluation &amp; Approval: By 30th June, aligned with increment cycle (1st July).</w:t>
      </w:r>
    </w:p>
    <w:p>
      <w:pPr>
        <w:keepNext/>
        <w:spacing w:before="200" w:after="120"/>
      </w:pPr>
      <w:r>
        <w:rPr>
          <w:rFonts w:ascii="Cambria" w:hAnsi="Cambria"/>
          <w:b/>
          <w:color w:val="1F3A5F"/>
          <w:sz w:val="24"/>
        </w:rPr>
        <w:t>IV. Performance Criteria and Metrics</w:t>
      </w:r>
    </w:p>
    <w:p>
      <w:pPr>
        <w:keepNext/>
        <w:spacing w:before="200" w:after="120"/>
      </w:pPr>
      <w:r>
        <w:rPr>
          <w:rFonts w:ascii="Cambria" w:hAnsi="Cambria"/>
          <w:b/>
          <w:color w:val="1F3A5F"/>
          <w:sz w:val="24"/>
        </w:rPr>
        <w:t>1. Teaching Faculty (As per UGC / AICTE CAS Framework)</w:t>
      </w:r>
    </w:p>
    <w:p>
      <w:pPr>
        <w:pStyle w:val="ListBullet"/>
        <w:spacing w:line="276" w:lineRule="auto"/>
        <w:ind w:left="510"/>
      </w:pPr>
      <w:r>
        <w:rPr>
          <w:rFonts w:ascii="Cambria" w:hAnsi="Cambria"/>
          <w:b w:val="0"/>
          <w:i w:val="0"/>
          <w:sz w:val="22"/>
        </w:rPr>
        <w:t>Academic Performance Indicators (API):</w:t>
      </w:r>
    </w:p>
    <w:p>
      <w:pPr>
        <w:pStyle w:val="ListBullet2"/>
        <w:ind w:left="1020"/>
      </w:pPr>
      <w:r>
        <w:rPr>
          <w:rFonts w:ascii="Cambria" w:hAnsi="Cambria"/>
          <w:b w:val="0"/>
          <w:i/>
          <w:sz w:val="22"/>
        </w:rPr>
        <w:t xml:space="preserve">Category I: </w:t>
      </w:r>
      <w:r>
        <w:rPr>
          <w:rFonts w:ascii="Cambria" w:hAnsi="Cambria"/>
          <w:b w:val="0"/>
          <w:i w:val="0"/>
          <w:sz w:val="22"/>
        </w:rPr>
        <w:t>Teaching, Learning, and Evaluation (50%)</w:t>
      </w:r>
    </w:p>
    <w:p>
      <w:pPr>
        <w:pStyle w:val="ListBullet2"/>
        <w:ind w:left="1020"/>
      </w:pPr>
      <w:r>
        <w:rPr>
          <w:rFonts w:ascii="Cambria" w:hAnsi="Cambria"/>
          <w:b w:val="0"/>
          <w:i/>
          <w:sz w:val="22"/>
        </w:rPr>
        <w:t xml:space="preserve">Category II: </w:t>
      </w:r>
      <w:r>
        <w:rPr>
          <w:rFonts w:ascii="Cambria" w:hAnsi="Cambria"/>
          <w:b w:val="0"/>
          <w:i w:val="0"/>
          <w:sz w:val="22"/>
        </w:rPr>
        <w:t>Co-curricular, Extension, and Professional Development (20%)</w:t>
      </w:r>
    </w:p>
    <w:p>
      <w:pPr>
        <w:pStyle w:val="ListBullet2"/>
        <w:ind w:left="1020"/>
      </w:pPr>
      <w:r>
        <w:rPr>
          <w:rFonts w:ascii="Cambria" w:hAnsi="Cambria"/>
          <w:b w:val="0"/>
          <w:i/>
          <w:sz w:val="22"/>
        </w:rPr>
        <w:t xml:space="preserve">Category III: </w:t>
      </w:r>
      <w:r>
        <w:rPr>
          <w:rFonts w:ascii="Cambria" w:hAnsi="Cambria"/>
          <w:b w:val="0"/>
          <w:i w:val="0"/>
          <w:sz w:val="22"/>
        </w:rPr>
        <w:t>Research, Publications, Consultancy, and Patents (30%)</w:t>
      </w:r>
    </w:p>
    <w:p>
      <w:pPr>
        <w:pStyle w:val="ListBullet"/>
        <w:spacing w:line="276" w:lineRule="auto"/>
        <w:ind w:left="510"/>
      </w:pPr>
      <w:r>
        <w:rPr>
          <w:rFonts w:ascii="Cambria" w:hAnsi="Cambria"/>
          <w:b w:val="0"/>
          <w:i w:val="0"/>
          <w:sz w:val="22"/>
        </w:rPr>
        <w:t>Student Feedback: Minimum average score of 70% or above required for eligibility for promotion/increment.</w:t>
      </w:r>
    </w:p>
    <w:p>
      <w:pPr>
        <w:pStyle w:val="ListBullet"/>
        <w:spacing w:line="276" w:lineRule="auto"/>
        <w:ind w:left="510"/>
      </w:pPr>
      <w:r>
        <w:rPr>
          <w:rFonts w:ascii="Cambria" w:hAnsi="Cambria"/>
          <w:b w:val="0"/>
          <w:i w:val="0"/>
          <w:sz w:val="22"/>
        </w:rPr>
        <w:t>Peer Review: Faculty are reviewed by departmental peers for teaching innovation and research quality.</w:t>
      </w:r>
    </w:p>
    <w:p>
      <w:pPr>
        <w:keepNext/>
        <w:spacing w:before="200" w:after="120"/>
      </w:pPr>
      <w:r>
        <w:rPr>
          <w:rFonts w:ascii="Cambria" w:hAnsi="Cambria"/>
          <w:b/>
          <w:color w:val="1F3A5F"/>
          <w:sz w:val="24"/>
        </w:rPr>
        <w:t>2. Administrative and Non-Teaching Staff</w:t>
      </w:r>
    </w:p>
    <w:p>
      <w:pPr>
        <w:pStyle w:val="ListBullet"/>
        <w:spacing w:line="276" w:lineRule="auto"/>
        <w:ind w:left="510"/>
      </w:pPr>
      <w:r>
        <w:rPr>
          <w:rFonts w:ascii="Cambria" w:hAnsi="Cambria"/>
          <w:b w:val="0"/>
          <w:i w:val="0"/>
          <w:sz w:val="22"/>
        </w:rPr>
        <w:t>Performance Parameters:</w:t>
      </w:r>
    </w:p>
    <w:p>
      <w:pPr>
        <w:pStyle w:val="ListBullet2"/>
        <w:spacing w:line="276" w:lineRule="auto"/>
        <w:ind w:left="1020"/>
      </w:pPr>
      <w:r>
        <w:rPr>
          <w:rFonts w:ascii="Cambria" w:hAnsi="Cambria"/>
          <w:b w:val="0"/>
          <w:i w:val="0"/>
          <w:sz w:val="22"/>
        </w:rPr>
        <w:t>Punctuality and attendance</w:t>
      </w:r>
    </w:p>
    <w:p>
      <w:pPr>
        <w:pStyle w:val="ListBullet2"/>
        <w:spacing w:line="276" w:lineRule="auto"/>
        <w:ind w:left="1020"/>
      </w:pPr>
      <w:r>
        <w:rPr>
          <w:rFonts w:ascii="Cambria" w:hAnsi="Cambria"/>
          <w:b w:val="0"/>
          <w:i w:val="0"/>
          <w:sz w:val="22"/>
        </w:rPr>
        <w:t>Adherence to deadlines and reporting accuracy</w:t>
      </w:r>
    </w:p>
    <w:p>
      <w:pPr>
        <w:pStyle w:val="ListBullet2"/>
        <w:spacing w:line="276" w:lineRule="auto"/>
        <w:ind w:left="1020"/>
      </w:pPr>
      <w:r>
        <w:rPr>
          <w:rFonts w:ascii="Cambria" w:hAnsi="Cambria"/>
          <w:b w:val="0"/>
          <w:i w:val="0"/>
          <w:sz w:val="22"/>
        </w:rPr>
        <w:t>Office organization, initiative, teamwork</w:t>
      </w:r>
    </w:p>
    <w:p>
      <w:pPr>
        <w:pStyle w:val="ListBullet2"/>
        <w:spacing w:line="276" w:lineRule="auto"/>
        <w:ind w:left="1020"/>
      </w:pPr>
      <w:r>
        <w:rPr>
          <w:rFonts w:ascii="Cambria" w:hAnsi="Cambria"/>
          <w:b w:val="0"/>
          <w:i w:val="0"/>
          <w:sz w:val="22"/>
        </w:rPr>
        <w:t>Knowledge of procedures and adaptability to technology</w:t>
      </w:r>
    </w:p>
    <w:p>
      <w:pPr>
        <w:pStyle w:val="ListBullet2"/>
        <w:spacing w:line="276" w:lineRule="auto"/>
        <w:ind w:left="1020"/>
      </w:pPr>
      <w:r>
        <w:rPr>
          <w:rFonts w:ascii="Cambria" w:hAnsi="Cambria"/>
          <w:b w:val="0"/>
          <w:i w:val="0"/>
          <w:sz w:val="22"/>
        </w:rPr>
        <w:t>Integrity and public dealing behavior</w:t>
      </w:r>
    </w:p>
    <w:p>
      <w:pPr>
        <w:pStyle w:val="ListBullet"/>
        <w:spacing w:line="276" w:lineRule="auto"/>
        <w:ind w:left="510"/>
      </w:pPr>
      <w:r>
        <w:rPr>
          <w:rFonts w:ascii="Cambria" w:hAnsi="Cambria"/>
          <w:b w:val="0"/>
          <w:i w:val="0"/>
          <w:sz w:val="22"/>
        </w:rPr>
        <w:t>Scoring System:</w:t>
      </w:r>
    </w:p>
    <w:p>
      <w:pPr>
        <w:pStyle w:val="ListBullet2"/>
        <w:ind w:left="1020"/>
      </w:pPr>
      <w:r>
        <w:rPr>
          <w:rFonts w:ascii="Cambria" w:hAnsi="Cambria"/>
          <w:b w:val="0"/>
          <w:i/>
          <w:sz w:val="22"/>
        </w:rPr>
        <w:t>Excellent</w:t>
      </w:r>
      <w:r>
        <w:rPr>
          <w:rFonts w:ascii="Cambria" w:hAnsi="Cambria"/>
          <w:b w:val="0"/>
          <w:i w:val="0"/>
          <w:sz w:val="22"/>
        </w:rPr>
        <w:t xml:space="preserve"> (90–100)</w:t>
      </w:r>
    </w:p>
    <w:p>
      <w:pPr>
        <w:pStyle w:val="ListBullet2"/>
        <w:ind w:left="1020"/>
      </w:pPr>
      <w:r>
        <w:rPr>
          <w:rFonts w:ascii="Cambria" w:hAnsi="Cambria"/>
          <w:b w:val="0"/>
          <w:i/>
          <w:sz w:val="22"/>
        </w:rPr>
        <w:t>Very Good</w:t>
      </w:r>
      <w:r>
        <w:rPr>
          <w:rFonts w:ascii="Cambria" w:hAnsi="Cambria"/>
          <w:b w:val="0"/>
          <w:i w:val="0"/>
          <w:sz w:val="22"/>
        </w:rPr>
        <w:t xml:space="preserve"> (75–89)</w:t>
      </w:r>
    </w:p>
    <w:p>
      <w:pPr>
        <w:pStyle w:val="ListBullet2"/>
        <w:ind w:left="1020"/>
      </w:pPr>
      <w:r>
        <w:rPr>
          <w:rFonts w:ascii="Cambria" w:hAnsi="Cambria"/>
          <w:b w:val="0"/>
          <w:i/>
          <w:sz w:val="22"/>
        </w:rPr>
        <w:t>Good</w:t>
      </w:r>
      <w:r>
        <w:rPr>
          <w:rFonts w:ascii="Cambria" w:hAnsi="Cambria"/>
          <w:b w:val="0"/>
          <w:i w:val="0"/>
          <w:sz w:val="22"/>
        </w:rPr>
        <w:t xml:space="preserve"> (60–74)</w:t>
      </w:r>
    </w:p>
    <w:p>
      <w:pPr>
        <w:pStyle w:val="ListBullet2"/>
        <w:ind w:left="1020"/>
      </w:pPr>
      <w:r>
        <w:rPr>
          <w:rFonts w:ascii="Cambria" w:hAnsi="Cambria"/>
          <w:b w:val="0"/>
          <w:i/>
          <w:sz w:val="22"/>
        </w:rPr>
        <w:t>Needs Improvement</w:t>
      </w:r>
      <w:r>
        <w:rPr>
          <w:rFonts w:ascii="Cambria" w:hAnsi="Cambria"/>
          <w:b w:val="0"/>
          <w:i w:val="0"/>
          <w:sz w:val="22"/>
        </w:rPr>
        <w:t xml:space="preserve"> (&lt;60)</w:t>
      </w:r>
    </w:p>
    <w:p>
      <w:pPr>
        <w:keepNext/>
        <w:spacing w:before="200" w:after="120"/>
      </w:pPr>
      <w:r>
        <w:rPr>
          <w:rFonts w:ascii="Cambria" w:hAnsi="Cambria"/>
          <w:b/>
          <w:color w:val="1F3A5F"/>
          <w:sz w:val="24"/>
        </w:rPr>
        <w:t>3. Technical and Lab Staff</w:t>
      </w:r>
    </w:p>
    <w:p>
      <w:pPr>
        <w:pStyle w:val="ListBullet"/>
        <w:spacing w:line="276" w:lineRule="auto"/>
        <w:ind w:left="510"/>
      </w:pPr>
      <w:r>
        <w:rPr>
          <w:rFonts w:ascii="Cambria" w:hAnsi="Cambria"/>
          <w:b w:val="0"/>
          <w:i w:val="0"/>
          <w:sz w:val="22"/>
        </w:rPr>
        <w:t>Equipment maintenance and accuracy of results.</w:t>
      </w:r>
    </w:p>
    <w:p>
      <w:pPr>
        <w:pStyle w:val="ListBullet"/>
        <w:spacing w:line="276" w:lineRule="auto"/>
        <w:ind w:left="510"/>
      </w:pPr>
      <w:r>
        <w:rPr>
          <w:rFonts w:ascii="Cambria" w:hAnsi="Cambria"/>
          <w:b w:val="0"/>
          <w:i w:val="0"/>
          <w:sz w:val="22"/>
        </w:rPr>
        <w:t>Compliance with safety norms and preventive maintenance.</w:t>
      </w:r>
    </w:p>
    <w:p>
      <w:pPr>
        <w:pStyle w:val="ListBullet"/>
        <w:spacing w:line="276" w:lineRule="auto"/>
        <w:ind w:left="510"/>
      </w:pPr>
      <w:r>
        <w:rPr>
          <w:rFonts w:ascii="Cambria" w:hAnsi="Cambria"/>
          <w:b w:val="0"/>
          <w:i w:val="0"/>
          <w:sz w:val="22"/>
        </w:rPr>
        <w:t>Logbook completion and calibration records.</w:t>
      </w:r>
    </w:p>
    <w:p>
      <w:pPr>
        <w:pStyle w:val="ListBullet"/>
        <w:spacing w:line="276" w:lineRule="auto"/>
        <w:ind w:left="510"/>
      </w:pPr>
      <w:r>
        <w:rPr>
          <w:rFonts w:ascii="Cambria" w:hAnsi="Cambria"/>
          <w:b w:val="0"/>
          <w:i w:val="0"/>
          <w:sz w:val="22"/>
        </w:rPr>
        <w:t>Innovation or support for research and training programs.</w:t>
      </w:r>
    </w:p>
    <w:p>
      <w:pPr>
        <w:keepNext/>
        <w:spacing w:before="200" w:after="120"/>
      </w:pPr>
      <w:r>
        <w:rPr>
          <w:rFonts w:ascii="Cambria" w:hAnsi="Cambria"/>
          <w:b/>
          <w:color w:val="1F3A5F"/>
          <w:sz w:val="24"/>
        </w:rPr>
        <w:t>V. Actions Based on Appraisal Results</w:t>
      </w:r>
    </w:p>
    <w:tbl>
      <w:tblPr>
        <w:tblStyle w:val="TableGrid"/>
        <w:tblW w:type="auto" w:w="0"/>
        <w:jc w:val="center"/>
        <w:tblLook w:firstColumn="1" w:firstRow="1" w:lastColumn="0" w:lastRow="0" w:noHBand="0" w:noVBand="1" w:val="04A0"/>
        <w:tblLayout w:type="fixed"/>
      </w:tblPr>
      <w:tblGrid>
        <w:gridCol w:w="4706"/>
        <w:gridCol w:w="4706"/>
      </w:tblGrid>
      <w:tr>
        <w:tc>
          <w:tcPr>
            <w:tcW w:type="dxa" w:w="2041"/>
            <w:shd w:val="clear" w:color="auto" w:fill="1F3A5F"/>
          </w:tcPr>
          <w:p>
            <w:pPr>
              <w:spacing w:after="40" w:before="40"/>
            </w:pPr>
            <w:r/>
            <w:r>
              <w:rPr>
                <w:rFonts w:ascii="Cambria" w:hAnsi="Cambria"/>
                <w:b/>
                <w:i w:val="0"/>
                <w:color w:val="FFFFFF"/>
                <w:sz w:val="22"/>
              </w:rPr>
              <w:t>Appraisal Rating</w:t>
            </w:r>
          </w:p>
        </w:tc>
        <w:tc>
          <w:tcPr>
            <w:tcW w:type="dxa" w:w="7427"/>
            <w:shd w:val="clear" w:color="auto" w:fill="1F3A5F"/>
          </w:tcPr>
          <w:p>
            <w:pPr>
              <w:spacing w:after="40" w:before="40"/>
            </w:pPr>
            <w:r/>
            <w:r>
              <w:rPr>
                <w:rFonts w:ascii="Cambria" w:hAnsi="Cambria"/>
                <w:b/>
                <w:i w:val="0"/>
                <w:color w:val="FFFFFF"/>
                <w:sz w:val="22"/>
              </w:rPr>
              <w:t>Action / Consequence</w:t>
            </w:r>
          </w:p>
        </w:tc>
      </w:tr>
      <w:tr>
        <w:tc>
          <w:tcPr>
            <w:tcW w:type="dxa" w:w="2041"/>
          </w:tcPr>
          <w:p>
            <w:pPr>
              <w:spacing w:after="40" w:before="40"/>
            </w:pPr>
            <w:r/>
            <w:r>
              <w:rPr>
                <w:rFonts w:ascii="Cambria" w:hAnsi="Cambria"/>
                <w:b w:val="0"/>
                <w:i w:val="0"/>
                <w:sz w:val="22"/>
              </w:rPr>
              <w:t>Excellent / Very Good</w:t>
            </w:r>
          </w:p>
        </w:tc>
        <w:tc>
          <w:tcPr>
            <w:tcW w:type="dxa" w:w="7427"/>
          </w:tcPr>
          <w:p>
            <w:pPr>
              <w:spacing w:after="40" w:before="40"/>
            </w:pPr>
            <w:r/>
            <w:r>
              <w:rPr>
                <w:rFonts w:ascii="Cambria" w:hAnsi="Cambria"/>
                <w:b w:val="0"/>
                <w:i w:val="0"/>
                <w:sz w:val="22"/>
              </w:rPr>
              <w:t>Eligible for annual increment, promotion consideration, or merit award.</w:t>
            </w:r>
          </w:p>
        </w:tc>
      </w:tr>
      <w:tr>
        <w:tc>
          <w:tcPr>
            <w:tcW w:type="dxa" w:w="2041"/>
            <w:shd w:val="clear" w:color="auto" w:fill="F0F2F5"/>
          </w:tcPr>
          <w:p>
            <w:pPr>
              <w:spacing w:after="40" w:before="40"/>
            </w:pPr>
            <w:r/>
            <w:r>
              <w:rPr>
                <w:rFonts w:ascii="Cambria" w:hAnsi="Cambria"/>
                <w:b w:val="0"/>
                <w:i w:val="0"/>
                <w:sz w:val="22"/>
              </w:rPr>
              <w:t>Good</w:t>
            </w:r>
          </w:p>
        </w:tc>
        <w:tc>
          <w:tcPr>
            <w:tcW w:type="dxa" w:w="7427"/>
            <w:shd w:val="clear" w:color="auto" w:fill="F0F2F5"/>
          </w:tcPr>
          <w:p>
            <w:pPr>
              <w:spacing w:after="40" w:before="40"/>
            </w:pPr>
            <w:r/>
            <w:r>
              <w:rPr>
                <w:rFonts w:ascii="Cambria" w:hAnsi="Cambria"/>
                <w:b w:val="0"/>
                <w:i w:val="0"/>
                <w:sz w:val="22"/>
              </w:rPr>
              <w:t>Eligible for increment but advised for improvement through training or mentoring.</w:t>
            </w:r>
          </w:p>
        </w:tc>
      </w:tr>
      <w:tr>
        <w:tc>
          <w:tcPr>
            <w:tcW w:type="dxa" w:w="2041"/>
          </w:tcPr>
          <w:p>
            <w:pPr>
              <w:spacing w:after="40" w:before="40"/>
            </w:pPr>
            <w:r/>
            <w:r>
              <w:rPr>
                <w:rFonts w:ascii="Cambria" w:hAnsi="Cambria"/>
                <w:b w:val="0"/>
                <w:i w:val="0"/>
                <w:sz w:val="22"/>
              </w:rPr>
              <w:t>Needs Improvement</w:t>
            </w:r>
          </w:p>
        </w:tc>
        <w:tc>
          <w:tcPr>
            <w:tcW w:type="dxa" w:w="7427"/>
          </w:tcPr>
          <w:p>
            <w:pPr>
              <w:spacing w:after="40" w:before="40"/>
            </w:pPr>
            <w:r/>
            <w:r>
              <w:rPr>
                <w:rFonts w:ascii="Cambria" w:hAnsi="Cambria"/>
                <w:b w:val="0"/>
                <w:i w:val="0"/>
                <w:sz w:val="22"/>
              </w:rPr>
              <w:t>Increment deferred; written improvement plan mandated.</w:t>
            </w:r>
          </w:p>
        </w:tc>
      </w:tr>
      <w:tr>
        <w:tc>
          <w:tcPr>
            <w:tcW w:type="dxa" w:w="2041"/>
            <w:shd w:val="clear" w:color="auto" w:fill="F0F2F5"/>
          </w:tcPr>
          <w:p>
            <w:pPr>
              <w:spacing w:after="40" w:before="40"/>
            </w:pPr>
            <w:r/>
            <w:r>
              <w:rPr>
                <w:rFonts w:ascii="Cambria" w:hAnsi="Cambria"/>
                <w:b w:val="0"/>
                <w:i w:val="0"/>
                <w:sz w:val="22"/>
              </w:rPr>
              <w:t>Unsatisfactory</w:t>
            </w:r>
          </w:p>
        </w:tc>
        <w:tc>
          <w:tcPr>
            <w:tcW w:type="dxa" w:w="7427"/>
            <w:shd w:val="clear" w:color="auto" w:fill="F0F2F5"/>
          </w:tcPr>
          <w:p>
            <w:pPr>
              <w:spacing w:after="40" w:before="40"/>
            </w:pPr>
            <w:r/>
            <w:r>
              <w:rPr>
                <w:rFonts w:ascii="Cambria" w:hAnsi="Cambria"/>
                <w:b w:val="0"/>
                <w:i w:val="0"/>
                <w:sz w:val="22"/>
              </w:rPr>
              <w:t>Subject to closer supervision, possible disciplinary action, or termination (for probationers).</w:t>
            </w:r>
          </w:p>
        </w:tc>
      </w:tr>
    </w:tbl>
    <w:p>
      <w:pPr>
        <w:spacing w:after="40"/>
      </w:pPr>
    </w:p>
    <w:p>
      <w:pPr>
        <w:keepNext/>
        <w:spacing w:before="200" w:after="120"/>
      </w:pPr>
      <w:r>
        <w:rPr>
          <w:rFonts w:ascii="Cambria" w:hAnsi="Cambria"/>
          <w:b/>
          <w:color w:val="1F3A5F"/>
          <w:sz w:val="24"/>
        </w:rPr>
        <w:t>VI. Feedback and Grievance Redressal</w:t>
      </w:r>
    </w:p>
    <w:p>
      <w:pPr>
        <w:spacing w:line="276" w:lineRule="auto"/>
        <w:ind w:left="357" w:hanging="357"/>
      </w:pPr>
      <w:r>
        <w:rPr>
          <w:rFonts w:ascii="Cambria" w:hAnsi="Cambria"/>
          <w:b w:val="0"/>
          <w:i w:val="0"/>
          <w:sz w:val="22"/>
        </w:rPr>
        <w:t xml:space="preserve">1. </w:t>
      </w:r>
      <w:r>
        <w:rPr>
          <w:rFonts w:ascii="Cambria" w:hAnsi="Cambria"/>
          <w:b w:val="0"/>
          <w:i w:val="0"/>
          <w:sz w:val="22"/>
        </w:rPr>
        <w:t>Feedback Discussion:</w:t>
      </w:r>
    </w:p>
    <w:p>
      <w:pPr>
        <w:pStyle w:val="ListBullet2"/>
        <w:spacing w:line="276" w:lineRule="auto"/>
        <w:ind w:left="1020"/>
      </w:pPr>
      <w:r>
        <w:rPr>
          <w:rFonts w:ascii="Cambria" w:hAnsi="Cambria"/>
          <w:b w:val="0"/>
          <w:i w:val="0"/>
          <w:sz w:val="22"/>
        </w:rPr>
        <w:t>After each appraisal cycle, employees may request a performance feedback meeting with their supervisor.</w:t>
      </w:r>
    </w:p>
    <w:p>
      <w:pPr>
        <w:spacing w:line="276" w:lineRule="auto"/>
        <w:ind w:left="357" w:hanging="357"/>
      </w:pPr>
      <w:r>
        <w:rPr>
          <w:rFonts w:ascii="Cambria" w:hAnsi="Cambria"/>
          <w:b w:val="0"/>
          <w:i w:val="0"/>
          <w:sz w:val="22"/>
        </w:rPr>
        <w:t xml:space="preserve">2. </w:t>
      </w:r>
      <w:r>
        <w:rPr>
          <w:rFonts w:ascii="Cambria" w:hAnsi="Cambria"/>
          <w:b w:val="0"/>
          <w:i w:val="0"/>
          <w:sz w:val="22"/>
        </w:rPr>
        <w:t>Representation / Appeal:</w:t>
      </w:r>
    </w:p>
    <w:p>
      <w:pPr>
        <w:pStyle w:val="ListBullet2"/>
        <w:spacing w:line="276" w:lineRule="auto"/>
        <w:ind w:left="1020"/>
      </w:pPr>
      <w:r>
        <w:rPr>
          <w:rFonts w:ascii="Cambria" w:hAnsi="Cambria"/>
          <w:b w:val="0"/>
          <w:i w:val="0"/>
          <w:sz w:val="22"/>
        </w:rPr>
        <w:t>Any employee dissatisfied with the appraisal rating may submit a written representation within 15 days of notification.</w:t>
      </w:r>
    </w:p>
    <w:p>
      <w:pPr>
        <w:pStyle w:val="ListBullet2"/>
        <w:spacing w:line="276" w:lineRule="auto"/>
        <w:ind w:left="1020"/>
      </w:pPr>
      <w:r>
        <w:rPr>
          <w:rFonts w:ascii="Cambria" w:hAnsi="Cambria"/>
          <w:b w:val="0"/>
          <w:i w:val="0"/>
          <w:sz w:val="22"/>
        </w:rPr>
        <w:t>Appeals are reviewed by the Performance Review Committee (PRC) consisting of:</w:t>
      </w:r>
    </w:p>
    <w:p>
      <w:pPr>
        <w:pStyle w:val="ListBullet2"/>
        <w:ind w:left="1474"/>
      </w:pPr>
      <w:r>
        <w:rPr>
          <w:rFonts w:ascii="Cambria" w:hAnsi="Cambria"/>
          <w:b w:val="0"/>
          <w:i w:val="0"/>
          <w:sz w:val="22"/>
        </w:rPr>
        <w:t>Registrar (Chairperson)</w:t>
      </w:r>
    </w:p>
    <w:p>
      <w:pPr>
        <w:pStyle w:val="ListBullet2"/>
        <w:ind w:left="1474"/>
      </w:pPr>
      <w:r>
        <w:rPr>
          <w:rFonts w:ascii="Cambria" w:hAnsi="Cambria"/>
          <w:b w:val="0"/>
          <w:i w:val="0"/>
          <w:sz w:val="22"/>
        </w:rPr>
        <w:t>Dean / HoD of another department</w:t>
      </w:r>
    </w:p>
    <w:p>
      <w:pPr>
        <w:pStyle w:val="ListBullet2"/>
        <w:ind w:left="1474"/>
      </w:pPr>
      <w:r>
        <w:rPr>
          <w:rFonts w:ascii="Cambria" w:hAnsi="Cambria"/>
          <w:b w:val="0"/>
          <w:i w:val="0"/>
          <w:sz w:val="22"/>
        </w:rPr>
        <w:t>HR Officer (Member Secretary).</w:t>
      </w:r>
    </w:p>
    <w:p>
      <w:pPr>
        <w:pStyle w:val="ListBullet2"/>
        <w:spacing w:line="276" w:lineRule="auto"/>
        <w:ind w:left="1020"/>
      </w:pPr>
      <w:r>
        <w:rPr>
          <w:rFonts w:ascii="Cambria" w:hAnsi="Cambria"/>
          <w:b w:val="0"/>
          <w:i w:val="0"/>
          <w:sz w:val="22"/>
        </w:rPr>
        <w:t>The PRC’s decision shall be final and binding.</w:t>
      </w:r>
    </w:p>
    <w:p>
      <w:pPr>
        <w:keepNext/>
        <w:spacing w:before="200" w:after="120"/>
      </w:pPr>
      <w:r>
        <w:rPr>
          <w:rFonts w:ascii="Cambria" w:hAnsi="Cambria"/>
          <w:b/>
          <w:color w:val="1F3A5F"/>
          <w:sz w:val="24"/>
        </w:rPr>
        <w:t>VII. Confidentiality and Record Management</w:t>
      </w:r>
    </w:p>
    <w:p>
      <w:pPr>
        <w:pStyle w:val="ListBullet"/>
        <w:spacing w:line="276" w:lineRule="auto"/>
        <w:ind w:left="510"/>
      </w:pPr>
      <w:r>
        <w:rPr>
          <w:rFonts w:ascii="Cambria" w:hAnsi="Cambria"/>
          <w:b w:val="0"/>
          <w:i w:val="0"/>
          <w:sz w:val="22"/>
        </w:rPr>
        <w:t>All appraisal records shall be treated as confidential documents.</w:t>
      </w:r>
    </w:p>
    <w:p>
      <w:pPr>
        <w:pStyle w:val="ListBullet"/>
        <w:spacing w:line="276" w:lineRule="auto"/>
        <w:ind w:left="510"/>
      </w:pPr>
      <w:r>
        <w:rPr>
          <w:rFonts w:ascii="Cambria" w:hAnsi="Cambria"/>
          <w:b w:val="0"/>
          <w:i w:val="0"/>
          <w:sz w:val="22"/>
        </w:rPr>
        <w:t>The HR Section shall:</w:t>
      </w:r>
    </w:p>
    <w:p>
      <w:pPr>
        <w:pStyle w:val="ListBullet2"/>
        <w:spacing w:line="276" w:lineRule="auto"/>
        <w:ind w:left="1020"/>
      </w:pPr>
      <w:r>
        <w:rPr>
          <w:rFonts w:ascii="Cambria" w:hAnsi="Cambria"/>
          <w:b w:val="0"/>
          <w:i w:val="0"/>
          <w:sz w:val="22"/>
        </w:rPr>
        <w:t>Maintain digital and hard-copy appraisal files for at least 5 years.</w:t>
      </w:r>
    </w:p>
    <w:p>
      <w:pPr>
        <w:pStyle w:val="ListBullet2"/>
        <w:spacing w:line="276" w:lineRule="auto"/>
        <w:ind w:left="1020"/>
      </w:pPr>
      <w:r>
        <w:rPr>
          <w:rFonts w:ascii="Cambria" w:hAnsi="Cambria"/>
          <w:b w:val="0"/>
          <w:i w:val="0"/>
          <w:sz w:val="22"/>
        </w:rPr>
        <w:t>Ensure appraisal results are not disclosed publicly except for BoM or audit review.</w:t>
      </w:r>
    </w:p>
    <w:p>
      <w:pPr>
        <w:pStyle w:val="ListBullet2"/>
        <w:spacing w:line="276" w:lineRule="auto"/>
        <w:ind w:left="1020"/>
      </w:pPr>
      <w:r>
        <w:rPr>
          <w:rFonts w:ascii="Cambria" w:hAnsi="Cambria"/>
          <w:b w:val="0"/>
          <w:i w:val="0"/>
          <w:sz w:val="22"/>
        </w:rPr>
        <w:t>Integrate appraisal data with promotion, CAS, and training decisions.</w:t>
      </w:r>
    </w:p>
    <w:p>
      <w:pPr>
        <w:keepNext/>
        <w:spacing w:before="200" w:after="120"/>
      </w:pPr>
      <w:r>
        <w:rPr>
          <w:rFonts w:ascii="Cambria" w:hAnsi="Cambria"/>
          <w:b/>
          <w:color w:val="1F3A5F"/>
          <w:sz w:val="24"/>
        </w:rPr>
        <w:t>VIII. Linkage to Training and Development</w:t>
      </w:r>
    </w:p>
    <w:p>
      <w:pPr>
        <w:pStyle w:val="ListBullet"/>
        <w:spacing w:line="276" w:lineRule="auto"/>
        <w:ind w:left="510"/>
      </w:pPr>
      <w:r>
        <w:rPr>
          <w:rFonts w:ascii="Cambria" w:hAnsi="Cambria"/>
          <w:b w:val="0"/>
          <w:i w:val="0"/>
          <w:sz w:val="22"/>
        </w:rPr>
        <w:t>Employees identified under “Needs Improvement” category shall be nominated for capacity-building programs.</w:t>
      </w:r>
    </w:p>
    <w:p>
      <w:pPr>
        <w:pStyle w:val="ListBullet"/>
        <w:spacing w:line="276" w:lineRule="auto"/>
        <w:ind w:left="510"/>
      </w:pPr>
      <w:r>
        <w:rPr>
          <w:rFonts w:ascii="Cambria" w:hAnsi="Cambria"/>
          <w:b w:val="0"/>
          <w:i w:val="0"/>
          <w:sz w:val="22"/>
        </w:rPr>
        <w:t>HR will organize at least two annual training sessions based on recurring appraisal themes (e.g., office automation, teaching innovation, safety management).</w:t>
      </w:r>
    </w:p>
    <w:p>
      <w:pPr>
        <w:keepNext/>
        <w:spacing w:before="200" w:after="120"/>
      </w:pPr>
      <w:r>
        <w:rPr>
          <w:rFonts w:ascii="Cambria" w:hAnsi="Cambria"/>
          <w:b/>
          <w:color w:val="1F3A5F"/>
          <w:sz w:val="24"/>
        </w:rPr>
        <w:t>IX. Summary Table</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Pr>
          <w:p>
            <w:pPr>
              <w:spacing w:after="40" w:before="40"/>
            </w:pPr>
            <w:r/>
            <w:r>
              <w:rPr>
                <w:rFonts w:ascii="Cambria" w:hAnsi="Cambria"/>
                <w:b/>
                <w:i w:val="0"/>
                <w:color w:val="FFFFFF"/>
                <w:sz w:val="22"/>
              </w:rPr>
              <w:t>Category</w:t>
            </w:r>
          </w:p>
        </w:tc>
        <w:tc>
          <w:tcPr>
            <w:tcW w:type="dxa" w:w="1927"/>
            <w:shd w:val="clear" w:color="auto" w:fill="1F3A5F"/>
          </w:tcPr>
          <w:p>
            <w:pPr>
              <w:spacing w:after="40" w:before="40"/>
            </w:pPr>
            <w:r/>
            <w:r>
              <w:rPr>
                <w:rFonts w:ascii="Cambria" w:hAnsi="Cambria"/>
                <w:b/>
                <w:i w:val="0"/>
                <w:color w:val="FFFFFF"/>
                <w:sz w:val="22"/>
              </w:rPr>
              <w:t>Appraisal Tool</w:t>
            </w:r>
          </w:p>
        </w:tc>
        <w:tc>
          <w:tcPr>
            <w:tcW w:type="dxa" w:w="1814"/>
            <w:shd w:val="clear" w:color="auto" w:fill="1F3A5F"/>
          </w:tcPr>
          <w:p>
            <w:pPr>
              <w:spacing w:after="40" w:before="40"/>
            </w:pPr>
            <w:r/>
            <w:r>
              <w:rPr>
                <w:rFonts w:ascii="Cambria" w:hAnsi="Cambria"/>
                <w:b/>
                <w:i w:val="0"/>
                <w:color w:val="FFFFFF"/>
                <w:sz w:val="22"/>
              </w:rPr>
              <w:t>Evaluation Authority</w:t>
            </w:r>
          </w:p>
        </w:tc>
        <w:tc>
          <w:tcPr>
            <w:tcW w:type="dxa" w:w="1020"/>
            <w:shd w:val="clear" w:color="auto" w:fill="1F3A5F"/>
          </w:tcPr>
          <w:p>
            <w:pPr>
              <w:spacing w:after="40" w:before="40"/>
            </w:pPr>
            <w:r/>
            <w:r>
              <w:rPr>
                <w:rFonts w:ascii="Cambria" w:hAnsi="Cambria"/>
                <w:b/>
                <w:i w:val="0"/>
                <w:color w:val="FFFFFF"/>
                <w:sz w:val="22"/>
              </w:rPr>
              <w:t>Frequency</w:t>
            </w:r>
          </w:p>
        </w:tc>
        <w:tc>
          <w:tcPr>
            <w:tcW w:type="dxa" w:w="2041"/>
            <w:shd w:val="clear" w:color="auto" w:fill="1F3A5F"/>
          </w:tcPr>
          <w:p>
            <w:pPr>
              <w:spacing w:after="40" w:before="40"/>
            </w:pPr>
            <w:r/>
            <w:r>
              <w:rPr>
                <w:rFonts w:ascii="Cambria" w:hAnsi="Cambria"/>
                <w:b/>
                <w:i w:val="0"/>
                <w:color w:val="FFFFFF"/>
                <w:sz w:val="22"/>
              </w:rPr>
              <w:t>Use of Results</w:t>
            </w:r>
          </w:p>
        </w:tc>
      </w:tr>
      <w:tr>
        <w:tc>
          <w:tcPr>
            <w:tcW w:type="dxa" w:w="1474"/>
          </w:tcPr>
          <w:p>
            <w:pPr>
              <w:spacing w:after="40" w:before="40"/>
            </w:pPr>
            <w:r/>
            <w:r>
              <w:rPr>
                <w:rFonts w:ascii="Cambria" w:hAnsi="Cambria"/>
                <w:b w:val="0"/>
                <w:i w:val="0"/>
                <w:sz w:val="22"/>
              </w:rPr>
              <w:t>Teaching Faculty</w:t>
            </w:r>
          </w:p>
        </w:tc>
        <w:tc>
          <w:tcPr>
            <w:tcW w:type="dxa" w:w="1927"/>
          </w:tcPr>
          <w:p>
            <w:pPr>
              <w:spacing w:after="40" w:before="40"/>
            </w:pPr>
            <w:r/>
            <w:r>
              <w:rPr>
                <w:rFonts w:ascii="Cambria" w:hAnsi="Cambria"/>
                <w:b w:val="0"/>
                <w:i w:val="0"/>
                <w:sz w:val="22"/>
              </w:rPr>
              <w:t>PBAS / API + Student Feedback</w:t>
            </w:r>
          </w:p>
        </w:tc>
        <w:tc>
          <w:tcPr>
            <w:tcW w:type="dxa" w:w="1814"/>
          </w:tcPr>
          <w:p>
            <w:pPr>
              <w:spacing w:after="40" w:before="40"/>
            </w:pPr>
            <w:r/>
            <w:r>
              <w:rPr>
                <w:rFonts w:ascii="Cambria" w:hAnsi="Cambria"/>
                <w:b w:val="0"/>
                <w:i w:val="0"/>
                <w:sz w:val="22"/>
              </w:rPr>
              <w:t>Dean / IQAC / BoM</w:t>
            </w:r>
          </w:p>
        </w:tc>
        <w:tc>
          <w:tcPr>
            <w:tcW w:type="dxa" w:w="1020"/>
          </w:tcPr>
          <w:p>
            <w:pPr>
              <w:spacing w:after="40" w:before="40"/>
            </w:pPr>
            <w:r/>
            <w:r>
              <w:rPr>
                <w:rFonts w:ascii="Cambria" w:hAnsi="Cambria"/>
                <w:b w:val="0"/>
                <w:i w:val="0"/>
                <w:sz w:val="22"/>
              </w:rPr>
              <w:t>Annual</w:t>
            </w:r>
          </w:p>
        </w:tc>
        <w:tc>
          <w:tcPr>
            <w:tcW w:type="dxa" w:w="2041"/>
          </w:tcPr>
          <w:p>
            <w:pPr>
              <w:spacing w:after="40" w:before="40"/>
            </w:pPr>
            <w:r/>
            <w:r>
              <w:rPr>
                <w:rFonts w:ascii="Cambria" w:hAnsi="Cambria"/>
                <w:b w:val="0"/>
                <w:i w:val="0"/>
                <w:sz w:val="22"/>
              </w:rPr>
              <w:t>CAS, Promotion, Increment</w:t>
            </w:r>
          </w:p>
        </w:tc>
      </w:tr>
      <w:tr>
        <w:tc>
          <w:tcPr>
            <w:tcW w:type="dxa" w:w="1474"/>
            <w:shd w:val="clear" w:color="auto" w:fill="F0F2F5"/>
          </w:tcPr>
          <w:p>
            <w:pPr>
              <w:spacing w:after="40" w:before="40"/>
            </w:pPr>
            <w:r/>
            <w:r>
              <w:rPr>
                <w:rFonts w:ascii="Cambria" w:hAnsi="Cambria"/>
                <w:b w:val="0"/>
                <w:i w:val="0"/>
                <w:sz w:val="22"/>
              </w:rPr>
              <w:t>Administrative Staff</w:t>
            </w:r>
          </w:p>
        </w:tc>
        <w:tc>
          <w:tcPr>
            <w:tcW w:type="dxa" w:w="1927"/>
            <w:shd w:val="clear" w:color="auto" w:fill="F0F2F5"/>
          </w:tcPr>
          <w:p>
            <w:pPr>
              <w:spacing w:after="40" w:before="40"/>
            </w:pPr>
            <w:r/>
            <w:r>
              <w:rPr>
                <w:rFonts w:ascii="Cambria" w:hAnsi="Cambria"/>
                <w:b w:val="0"/>
                <w:i w:val="0"/>
                <w:sz w:val="22"/>
              </w:rPr>
              <w:t>Confidential Report (CR)</w:t>
            </w:r>
          </w:p>
        </w:tc>
        <w:tc>
          <w:tcPr>
            <w:tcW w:type="dxa" w:w="1814"/>
            <w:shd w:val="clear" w:color="auto" w:fill="F0F2F5"/>
          </w:tcPr>
          <w:p>
            <w:pPr>
              <w:spacing w:after="40" w:before="40"/>
            </w:pPr>
            <w:r/>
            <w:r>
              <w:rPr>
                <w:rFonts w:ascii="Cambria" w:hAnsi="Cambria"/>
                <w:b w:val="0"/>
                <w:i w:val="0"/>
                <w:sz w:val="22"/>
              </w:rPr>
              <w:t>Registrar / V.C.</w:t>
            </w:r>
          </w:p>
        </w:tc>
        <w:tc>
          <w:tcPr>
            <w:tcW w:type="dxa" w:w="1020"/>
            <w:shd w:val="clear" w:color="auto" w:fill="F0F2F5"/>
          </w:tcPr>
          <w:p>
            <w:pPr>
              <w:spacing w:after="40" w:before="40"/>
            </w:pPr>
            <w:r/>
            <w:r>
              <w:rPr>
                <w:rFonts w:ascii="Cambria" w:hAnsi="Cambria"/>
                <w:b w:val="0"/>
                <w:i w:val="0"/>
                <w:sz w:val="22"/>
              </w:rPr>
              <w:t>Annual</w:t>
            </w:r>
          </w:p>
        </w:tc>
        <w:tc>
          <w:tcPr>
            <w:tcW w:type="dxa" w:w="2041"/>
            <w:shd w:val="clear" w:color="auto" w:fill="F0F2F5"/>
          </w:tcPr>
          <w:p>
            <w:pPr>
              <w:spacing w:after="40" w:before="40"/>
            </w:pPr>
            <w:r/>
            <w:r>
              <w:rPr>
                <w:rFonts w:ascii="Cambria" w:hAnsi="Cambria"/>
                <w:b w:val="0"/>
                <w:i w:val="0"/>
                <w:sz w:val="22"/>
              </w:rPr>
              <w:t>Increment, Promotion</w:t>
            </w:r>
          </w:p>
        </w:tc>
      </w:tr>
      <w:tr>
        <w:tc>
          <w:tcPr>
            <w:tcW w:type="dxa" w:w="1474"/>
          </w:tcPr>
          <w:p>
            <w:pPr>
              <w:spacing w:after="40" w:before="40"/>
            </w:pPr>
            <w:r/>
            <w:r>
              <w:rPr>
                <w:rFonts w:ascii="Cambria" w:hAnsi="Cambria"/>
                <w:b w:val="0"/>
                <w:i w:val="0"/>
                <w:sz w:val="22"/>
              </w:rPr>
              <w:t>Technical Staff</w:t>
            </w:r>
          </w:p>
        </w:tc>
        <w:tc>
          <w:tcPr>
            <w:tcW w:type="dxa" w:w="1927"/>
          </w:tcPr>
          <w:p>
            <w:pPr>
              <w:spacing w:after="40" w:before="40"/>
            </w:pPr>
            <w:r/>
            <w:r>
              <w:rPr>
                <w:rFonts w:ascii="Cambria" w:hAnsi="Cambria"/>
                <w:b w:val="0"/>
                <w:i w:val="0"/>
                <w:sz w:val="22"/>
              </w:rPr>
              <w:t>Work Evaluation Report</w:t>
            </w:r>
          </w:p>
        </w:tc>
        <w:tc>
          <w:tcPr>
            <w:tcW w:type="dxa" w:w="1814"/>
          </w:tcPr>
          <w:p>
            <w:pPr>
              <w:spacing w:after="40" w:before="40"/>
            </w:pPr>
            <w:r/>
            <w:r>
              <w:rPr>
                <w:rFonts w:ascii="Cambria" w:hAnsi="Cambria"/>
                <w:b w:val="0"/>
                <w:i w:val="0"/>
                <w:sz w:val="22"/>
              </w:rPr>
              <w:t>HoD / Technical Head</w:t>
            </w:r>
          </w:p>
        </w:tc>
        <w:tc>
          <w:tcPr>
            <w:tcW w:type="dxa" w:w="1020"/>
          </w:tcPr>
          <w:p>
            <w:pPr>
              <w:spacing w:after="40" w:before="40"/>
            </w:pPr>
            <w:r/>
            <w:r>
              <w:rPr>
                <w:rFonts w:ascii="Cambria" w:hAnsi="Cambria"/>
                <w:b w:val="0"/>
                <w:i w:val="0"/>
                <w:sz w:val="22"/>
              </w:rPr>
              <w:t>Annual</w:t>
            </w:r>
          </w:p>
        </w:tc>
        <w:tc>
          <w:tcPr>
            <w:tcW w:type="dxa" w:w="2041"/>
          </w:tcPr>
          <w:p>
            <w:pPr>
              <w:spacing w:after="40" w:before="40"/>
            </w:pPr>
            <w:r/>
            <w:r>
              <w:rPr>
                <w:rFonts w:ascii="Cambria" w:hAnsi="Cambria"/>
                <w:b w:val="0"/>
                <w:i w:val="0"/>
                <w:sz w:val="22"/>
              </w:rPr>
              <w:t>Continuation, Skill Upgradation</w:t>
            </w:r>
          </w:p>
        </w:tc>
      </w:tr>
      <w:tr>
        <w:tc>
          <w:tcPr>
            <w:tcW w:type="dxa" w:w="1474"/>
            <w:shd w:val="clear" w:color="auto" w:fill="F0F2F5"/>
          </w:tcPr>
          <w:p>
            <w:pPr>
              <w:spacing w:after="40" w:before="40"/>
            </w:pPr>
            <w:r/>
            <w:r>
              <w:rPr>
                <w:rFonts w:ascii="Cambria" w:hAnsi="Cambria"/>
                <w:b w:val="0"/>
                <w:i w:val="0"/>
                <w:sz w:val="22"/>
              </w:rPr>
              <w:t>Non-Teaching Staff</w:t>
            </w:r>
          </w:p>
        </w:tc>
        <w:tc>
          <w:tcPr>
            <w:tcW w:type="dxa" w:w="1927"/>
            <w:shd w:val="clear" w:color="auto" w:fill="F0F2F5"/>
          </w:tcPr>
          <w:p>
            <w:pPr>
              <w:spacing w:after="40" w:before="40"/>
            </w:pPr>
            <w:r/>
            <w:r>
              <w:rPr>
                <w:rFonts w:ascii="Cambria" w:hAnsi="Cambria"/>
                <w:b w:val="0"/>
                <w:i w:val="0"/>
                <w:sz w:val="22"/>
              </w:rPr>
              <w:t>Efficiency Scorecard</w:t>
            </w:r>
          </w:p>
        </w:tc>
        <w:tc>
          <w:tcPr>
            <w:tcW w:type="dxa" w:w="1814"/>
            <w:shd w:val="clear" w:color="auto" w:fill="F0F2F5"/>
          </w:tcPr>
          <w:p>
            <w:pPr>
              <w:spacing w:after="40" w:before="40"/>
            </w:pPr>
            <w:r/>
            <w:r>
              <w:rPr>
                <w:rFonts w:ascii="Cambria" w:hAnsi="Cambria"/>
                <w:b w:val="0"/>
                <w:i w:val="0"/>
                <w:sz w:val="22"/>
              </w:rPr>
              <w:t>Section Officer / Registrar</w:t>
            </w:r>
          </w:p>
        </w:tc>
        <w:tc>
          <w:tcPr>
            <w:tcW w:type="dxa" w:w="1020"/>
            <w:shd w:val="clear" w:color="auto" w:fill="F0F2F5"/>
          </w:tcPr>
          <w:p>
            <w:pPr>
              <w:spacing w:after="40" w:before="40"/>
            </w:pPr>
            <w:r/>
            <w:r>
              <w:rPr>
                <w:rFonts w:ascii="Cambria" w:hAnsi="Cambria"/>
                <w:b w:val="0"/>
                <w:i w:val="0"/>
                <w:sz w:val="22"/>
              </w:rPr>
              <w:t>Annual</w:t>
            </w:r>
          </w:p>
        </w:tc>
        <w:tc>
          <w:tcPr>
            <w:tcW w:type="dxa" w:w="2041"/>
            <w:shd w:val="clear" w:color="auto" w:fill="F0F2F5"/>
          </w:tcPr>
          <w:p>
            <w:pPr>
              <w:spacing w:after="40" w:before="40"/>
            </w:pPr>
            <w:r/>
            <w:r>
              <w:rPr>
                <w:rFonts w:ascii="Cambria" w:hAnsi="Cambria"/>
                <w:b w:val="0"/>
                <w:i w:val="0"/>
                <w:sz w:val="22"/>
              </w:rPr>
              <w:t>Increment, Renewal</w:t>
            </w:r>
          </w:p>
        </w:tc>
      </w:tr>
    </w:tbl>
    <w:p>
      <w:pPr>
        <w:spacing w:after="40"/>
      </w:pPr>
    </w:p>
    <w:p>
      <w:pPr>
        <w:keepNext/>
        <w:spacing w:before="200" w:after="120"/>
      </w:pPr>
      <w:r>
        <w:rPr>
          <w:rFonts w:ascii="Cambria" w:hAnsi="Cambria"/>
          <w:b/>
          <w:color w:val="1F3A5F"/>
          <w:sz w:val="24"/>
        </w:rPr>
        <w:t>X. Policy Principles</w:t>
      </w:r>
    </w:p>
    <w:p>
      <w:pPr>
        <w:pStyle w:val="ListBullet"/>
        <w:spacing w:line="276" w:lineRule="auto"/>
        <w:ind w:left="510"/>
      </w:pPr>
      <w:r>
        <w:rPr>
          <w:rFonts w:ascii="Cambria" w:hAnsi="Cambria"/>
          <w:b w:val="0"/>
          <w:i w:val="0"/>
          <w:sz w:val="22"/>
        </w:rPr>
        <w:t>Appraisal is a developmental, not punitive, process.</w:t>
      </w:r>
    </w:p>
    <w:p>
      <w:pPr>
        <w:pStyle w:val="ListBullet"/>
        <w:spacing w:line="276" w:lineRule="auto"/>
        <w:ind w:left="510"/>
      </w:pPr>
      <w:r>
        <w:rPr>
          <w:rFonts w:ascii="Cambria" w:hAnsi="Cambria"/>
          <w:b w:val="0"/>
          <w:i w:val="0"/>
          <w:sz w:val="22"/>
        </w:rPr>
        <w:t>Ratings must be objective, evidence-based, and verifiable.</w:t>
      </w:r>
    </w:p>
    <w:p>
      <w:pPr>
        <w:pStyle w:val="ListBullet"/>
        <w:spacing w:line="276" w:lineRule="auto"/>
        <w:ind w:left="510"/>
      </w:pPr>
      <w:r>
        <w:rPr>
          <w:rFonts w:ascii="Cambria" w:hAnsi="Cambria"/>
          <w:b w:val="0"/>
          <w:i w:val="0"/>
          <w:sz w:val="22"/>
        </w:rPr>
        <w:t>Supervisors are accountable for fair evaluation and must avoid bias.</w:t>
      </w:r>
    </w:p>
    <w:p>
      <w:pPr>
        <w:pStyle w:val="ListBullet"/>
        <w:spacing w:line="276" w:lineRule="auto"/>
        <w:ind w:left="510"/>
      </w:pPr>
      <w:r>
        <w:rPr>
          <w:rFonts w:ascii="Cambria" w:hAnsi="Cambria"/>
          <w:b w:val="0"/>
          <w:i w:val="0"/>
          <w:sz w:val="22"/>
        </w:rPr>
        <w:t>The policy shall be reviewed every three years or as per UGC / AICTE / Government updates.</w:t>
      </w:r>
    </w:p>
    <w:p>
      <w:pPr>
        <w:keepNext/>
        <w:spacing w:before="200" w:after="120"/>
      </w:pPr>
      <w:r>
        <w:rPr>
          <w:rFonts w:ascii="Cambria" w:hAnsi="Cambria"/>
          <w:b/>
          <w:color w:val="1F3A5F"/>
          <w:sz w:val="27"/>
        </w:rPr>
        <w:t>I. Training, Capacity Building, and Professional Development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promote a continuous learning culture within the University by enhancing the knowledge, skills, and professional competencies of Teaching, Non-Teaching, Administrative, and Technical employees.</w:t>
      </w:r>
    </w:p>
    <w:p>
      <w:pPr>
        <w:pStyle w:val="ListBullet"/>
        <w:spacing w:line="276" w:lineRule="auto"/>
        <w:ind w:left="510"/>
      </w:pPr>
      <w:r>
        <w:rPr>
          <w:rFonts w:ascii="Cambria" w:hAnsi="Cambria"/>
          <w:b w:val="0"/>
          <w:i w:val="0"/>
          <w:sz w:val="22"/>
        </w:rPr>
        <w:t>This policy ensures that all employees are equipped to meet emerging academic, technological, and administrative challenges in higher education.</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Strengthen institutional and individual capacity to achieve excellence in teaching, research, and administration.</w:t>
      </w:r>
    </w:p>
    <w:p>
      <w:pPr>
        <w:pStyle w:val="ListBullet"/>
        <w:spacing w:line="276" w:lineRule="auto"/>
        <w:ind w:left="510"/>
      </w:pPr>
      <w:r>
        <w:rPr>
          <w:rFonts w:ascii="Cambria" w:hAnsi="Cambria"/>
          <w:b w:val="0"/>
          <w:i w:val="0"/>
          <w:sz w:val="22"/>
        </w:rPr>
        <w:t>Align professional development activities with the University’s Vision, Mission, and Quality benchmarks (NAAC, NBA, NIRF, QS I-GAUGE).</w:t>
      </w:r>
    </w:p>
    <w:p>
      <w:pPr>
        <w:pStyle w:val="ListBullet"/>
        <w:spacing w:line="276" w:lineRule="auto"/>
        <w:ind w:left="510"/>
      </w:pPr>
      <w:r>
        <w:rPr>
          <w:rFonts w:ascii="Cambria" w:hAnsi="Cambria"/>
          <w:b w:val="0"/>
          <w:i w:val="0"/>
          <w:sz w:val="22"/>
        </w:rPr>
        <w:t>Support career advancement through structured training, workshops, and certifications.</w:t>
      </w:r>
    </w:p>
    <w:p>
      <w:pPr>
        <w:pStyle w:val="ListBullet"/>
        <w:spacing w:line="276" w:lineRule="auto"/>
        <w:ind w:left="510"/>
      </w:pPr>
      <w:r>
        <w:rPr>
          <w:rFonts w:ascii="Cambria" w:hAnsi="Cambria"/>
          <w:b w:val="0"/>
          <w:i w:val="0"/>
          <w:sz w:val="22"/>
        </w:rPr>
        <w:t>Promote interdisciplinary collaboration, innovation, and leadership across departments.</w:t>
      </w:r>
    </w:p>
    <w:p>
      <w:pPr>
        <w:pStyle w:val="ListBullet"/>
        <w:spacing w:line="276" w:lineRule="auto"/>
        <w:ind w:left="510"/>
      </w:pPr>
      <w:r>
        <w:rPr>
          <w:rFonts w:ascii="Cambria" w:hAnsi="Cambria"/>
          <w:b w:val="0"/>
          <w:i w:val="0"/>
          <w:sz w:val="22"/>
        </w:rPr>
        <w:t>Foster ethical practices, inclusivity, and sustainability-oriented skills aligned with national and global education frameworks.</w:t>
      </w:r>
    </w:p>
    <w:p>
      <w:pPr>
        <w:keepNext/>
        <w:spacing w:before="200" w:after="120"/>
      </w:pPr>
      <w:r>
        <w:rPr>
          <w:rFonts w:ascii="Cambria" w:hAnsi="Cambria"/>
          <w:b/>
          <w:color w:val="1F3A5F"/>
          <w:sz w:val="24"/>
        </w:rPr>
        <w:t>II. Scope of Application</w:t>
      </w:r>
    </w:p>
    <w:p>
      <w:pPr>
        <w:pStyle w:val="ListBullet"/>
        <w:spacing w:line="276" w:lineRule="auto"/>
        <w:ind w:left="510"/>
      </w:pPr>
      <w:r>
        <w:rPr>
          <w:rFonts w:ascii="Cambria" w:hAnsi="Cambria"/>
          <w:b w:val="0"/>
          <w:i w:val="0"/>
          <w:sz w:val="22"/>
        </w:rPr>
        <w:t>Applicable to all categories of University employees:</w:t>
      </w:r>
    </w:p>
    <w:p>
      <w:pPr>
        <w:pStyle w:val="ListBullet2"/>
        <w:spacing w:line="276" w:lineRule="auto"/>
        <w:ind w:left="1020"/>
      </w:pPr>
      <w:r>
        <w:rPr>
          <w:rFonts w:ascii="Cambria" w:hAnsi="Cambria"/>
          <w:b w:val="0"/>
          <w:i w:val="0"/>
          <w:sz w:val="22"/>
        </w:rPr>
        <w:t>Teaching Faculty (Professors, Associate Professors, Assistant Professors)</w:t>
      </w:r>
    </w:p>
    <w:p>
      <w:pPr>
        <w:pStyle w:val="ListBullet2"/>
        <w:spacing w:line="276" w:lineRule="auto"/>
        <w:ind w:left="1020"/>
      </w:pPr>
      <w:r>
        <w:rPr>
          <w:rFonts w:ascii="Cambria" w:hAnsi="Cambria"/>
          <w:b w:val="0"/>
          <w:i w:val="0"/>
          <w:sz w:val="22"/>
        </w:rPr>
        <w:t>Administrative Officers and Managers</w:t>
      </w:r>
    </w:p>
    <w:p>
      <w:pPr>
        <w:pStyle w:val="ListBullet2"/>
        <w:spacing w:line="276" w:lineRule="auto"/>
        <w:ind w:left="1020"/>
      </w:pPr>
      <w:r>
        <w:rPr>
          <w:rFonts w:ascii="Cambria" w:hAnsi="Cambria"/>
          <w:b w:val="0"/>
          <w:i w:val="0"/>
          <w:sz w:val="22"/>
        </w:rPr>
        <w:t>Technical and Laboratory Staff</w:t>
      </w:r>
    </w:p>
    <w:p>
      <w:pPr>
        <w:pStyle w:val="ListBullet2"/>
        <w:spacing w:line="276" w:lineRule="auto"/>
        <w:ind w:left="1020"/>
      </w:pPr>
      <w:r>
        <w:rPr>
          <w:rFonts w:ascii="Cambria" w:hAnsi="Cambria"/>
          <w:b w:val="0"/>
          <w:i w:val="0"/>
          <w:sz w:val="22"/>
        </w:rPr>
        <w:t>Non-Teaching and Support Staff</w:t>
      </w:r>
    </w:p>
    <w:p>
      <w:pPr>
        <w:pStyle w:val="ListBullet"/>
        <w:spacing w:line="276" w:lineRule="auto"/>
        <w:ind w:left="510"/>
      </w:pPr>
      <w:r>
        <w:rPr>
          <w:rFonts w:ascii="Cambria" w:hAnsi="Cambria"/>
          <w:b w:val="0"/>
          <w:i w:val="0"/>
          <w:sz w:val="22"/>
        </w:rPr>
        <w:t>Includes all forms of training:</w:t>
      </w:r>
    </w:p>
    <w:p>
      <w:pPr>
        <w:pStyle w:val="ListBullet2"/>
        <w:spacing w:line="276" w:lineRule="auto"/>
        <w:ind w:left="1020"/>
      </w:pPr>
      <w:r>
        <w:rPr>
          <w:rFonts w:ascii="Cambria" w:hAnsi="Cambria"/>
          <w:b w:val="0"/>
          <w:i w:val="0"/>
          <w:sz w:val="22"/>
        </w:rPr>
        <w:t>In-house programs, external workshops, FDPs, MOOCs, seminars, and exchange programs.</w:t>
      </w:r>
    </w:p>
    <w:p>
      <w:pPr>
        <w:keepNext/>
        <w:spacing w:before="200" w:after="120"/>
      </w:pPr>
      <w:r>
        <w:rPr>
          <w:rFonts w:ascii="Cambria" w:hAnsi="Cambria"/>
          <w:b/>
          <w:color w:val="1F3A5F"/>
          <w:sz w:val="24"/>
        </w:rPr>
        <w:t>III. Types of Training and Development Programs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814"/>
            <w:shd w:val="clear" w:color="auto" w:fill="1F3A5F"/>
          </w:tcPr>
          <w:p>
            <w:pPr>
              <w:spacing w:after="40" w:before="40"/>
            </w:pPr>
            <w:r/>
            <w:r>
              <w:rPr>
                <w:rFonts w:ascii="Cambria" w:hAnsi="Cambria"/>
                <w:b/>
                <w:i w:val="0"/>
                <w:color w:val="FFFFFF"/>
                <w:sz w:val="22"/>
              </w:rPr>
              <w:t>Category</w:t>
            </w:r>
          </w:p>
        </w:tc>
        <w:tc>
          <w:tcPr>
            <w:tcW w:type="dxa" w:w="2041"/>
            <w:shd w:val="clear" w:color="auto" w:fill="1F3A5F"/>
          </w:tcPr>
          <w:p>
            <w:pPr>
              <w:spacing w:after="40" w:before="40"/>
            </w:pPr>
            <w:r/>
            <w:r>
              <w:rPr>
                <w:rFonts w:ascii="Cambria" w:hAnsi="Cambria"/>
                <w:b/>
                <w:i w:val="0"/>
                <w:color w:val="FFFFFF"/>
                <w:sz w:val="22"/>
              </w:rPr>
              <w:t>Program Type</w:t>
            </w:r>
          </w:p>
        </w:tc>
        <w:tc>
          <w:tcPr>
            <w:tcW w:type="dxa" w:w="3969"/>
            <w:shd w:val="clear" w:color="auto" w:fill="1F3A5F"/>
          </w:tcPr>
          <w:p>
            <w:pPr>
              <w:spacing w:after="40" w:before="40"/>
            </w:pPr>
            <w:r/>
            <w:r>
              <w:rPr>
                <w:rFonts w:ascii="Cambria" w:hAnsi="Cambria"/>
                <w:b/>
                <w:i w:val="0"/>
                <w:color w:val="FFFFFF"/>
                <w:sz w:val="22"/>
              </w:rPr>
              <w:t>Focus Area</w:t>
            </w:r>
          </w:p>
        </w:tc>
        <w:tc>
          <w:tcPr>
            <w:tcW w:type="dxa" w:w="1587"/>
            <w:shd w:val="clear" w:color="auto" w:fill="1F3A5F"/>
          </w:tcPr>
          <w:p>
            <w:pPr>
              <w:spacing w:after="40" w:before="40"/>
            </w:pPr>
            <w:r/>
            <w:r>
              <w:rPr>
                <w:rFonts w:ascii="Cambria" w:hAnsi="Cambria"/>
                <w:b/>
                <w:i w:val="0"/>
                <w:color w:val="FFFFFF"/>
                <w:sz w:val="22"/>
              </w:rPr>
              <w:t>Frequency</w:t>
            </w:r>
          </w:p>
        </w:tc>
      </w:tr>
      <w:tr>
        <w:tc>
          <w:tcPr>
            <w:tcW w:type="dxa" w:w="1814"/>
          </w:tcPr>
          <w:p>
            <w:pPr>
              <w:spacing w:after="40" w:before="40"/>
            </w:pPr>
            <w:r/>
            <w:r>
              <w:rPr>
                <w:rFonts w:ascii="Cambria" w:hAnsi="Cambria"/>
                <w:b w:val="0"/>
                <w:i w:val="0"/>
                <w:sz w:val="22"/>
              </w:rPr>
              <w:t>Teaching Faculty</w:t>
            </w:r>
          </w:p>
        </w:tc>
        <w:tc>
          <w:tcPr>
            <w:tcW w:type="dxa" w:w="2041"/>
          </w:tcPr>
          <w:p>
            <w:pPr>
              <w:spacing w:after="40" w:before="40"/>
            </w:pPr>
            <w:r/>
            <w:r>
              <w:rPr>
                <w:rFonts w:ascii="Cambria" w:hAnsi="Cambria"/>
                <w:b w:val="0"/>
                <w:i w:val="0"/>
                <w:sz w:val="22"/>
              </w:rPr>
              <w:t>Orientation, Refresher, FDP, MOOCs</w:t>
            </w:r>
          </w:p>
        </w:tc>
        <w:tc>
          <w:tcPr>
            <w:tcW w:type="dxa" w:w="3969"/>
          </w:tcPr>
          <w:p>
            <w:pPr>
              <w:spacing w:after="40" w:before="40"/>
            </w:pPr>
            <w:r/>
            <w:r>
              <w:rPr>
                <w:rFonts w:ascii="Cambria" w:hAnsi="Cambria"/>
                <w:b w:val="0"/>
                <w:i w:val="0"/>
                <w:sz w:val="22"/>
              </w:rPr>
              <w:t>Pedagogy, NEP-2020 integration, Research methodology, ICT in teaching</w:t>
            </w:r>
          </w:p>
        </w:tc>
        <w:tc>
          <w:tcPr>
            <w:tcW w:type="dxa" w:w="1587"/>
          </w:tcPr>
          <w:p>
            <w:pPr>
              <w:spacing w:after="40" w:before="40"/>
            </w:pPr>
            <w:r/>
            <w:r>
              <w:rPr>
                <w:rFonts w:ascii="Cambria" w:hAnsi="Cambria"/>
                <w:b w:val="0"/>
                <w:i w:val="0"/>
                <w:sz w:val="22"/>
              </w:rPr>
              <w:t>2 per year</w:t>
            </w:r>
          </w:p>
        </w:tc>
      </w:tr>
      <w:tr>
        <w:tc>
          <w:tcPr>
            <w:tcW w:type="dxa" w:w="1814"/>
            <w:shd w:val="clear" w:color="auto" w:fill="F0F2F5"/>
          </w:tcPr>
          <w:p>
            <w:pPr>
              <w:spacing w:after="40" w:before="40"/>
            </w:pPr>
            <w:r/>
            <w:r>
              <w:rPr>
                <w:rFonts w:ascii="Cambria" w:hAnsi="Cambria"/>
                <w:b w:val="0"/>
                <w:i w:val="0"/>
                <w:sz w:val="22"/>
              </w:rPr>
              <w:t>Administrative Staff</w:t>
            </w:r>
          </w:p>
        </w:tc>
        <w:tc>
          <w:tcPr>
            <w:tcW w:type="dxa" w:w="2041"/>
            <w:shd w:val="clear" w:color="auto" w:fill="F0F2F5"/>
          </w:tcPr>
          <w:p>
            <w:pPr>
              <w:spacing w:after="40" w:before="40"/>
            </w:pPr>
            <w:r/>
            <w:r>
              <w:rPr>
                <w:rFonts w:ascii="Cambria" w:hAnsi="Cambria"/>
                <w:b w:val="0"/>
                <w:i w:val="0"/>
                <w:sz w:val="22"/>
              </w:rPr>
              <w:t>Management and Governance Workshops</w:t>
            </w:r>
          </w:p>
        </w:tc>
        <w:tc>
          <w:tcPr>
            <w:tcW w:type="dxa" w:w="3969"/>
            <w:shd w:val="clear" w:color="auto" w:fill="F0F2F5"/>
          </w:tcPr>
          <w:p>
            <w:pPr>
              <w:spacing w:after="40" w:before="40"/>
            </w:pPr>
            <w:r/>
            <w:r>
              <w:rPr>
                <w:rFonts w:ascii="Cambria" w:hAnsi="Cambria"/>
                <w:b w:val="0"/>
                <w:i w:val="0"/>
                <w:sz w:val="22"/>
              </w:rPr>
              <w:t>Office automation, record management, leadership, decision-making</w:t>
            </w:r>
          </w:p>
        </w:tc>
        <w:tc>
          <w:tcPr>
            <w:tcW w:type="dxa" w:w="1587"/>
            <w:shd w:val="clear" w:color="auto" w:fill="F0F2F5"/>
          </w:tcPr>
          <w:p>
            <w:pPr>
              <w:spacing w:after="40" w:before="40"/>
            </w:pPr>
            <w:r/>
            <w:r>
              <w:rPr>
                <w:rFonts w:ascii="Cambria" w:hAnsi="Cambria"/>
                <w:b w:val="0"/>
                <w:i w:val="0"/>
                <w:sz w:val="22"/>
              </w:rPr>
              <w:t>1–2 per year</w:t>
            </w:r>
          </w:p>
        </w:tc>
      </w:tr>
      <w:tr>
        <w:tc>
          <w:tcPr>
            <w:tcW w:type="dxa" w:w="1814"/>
          </w:tcPr>
          <w:p>
            <w:pPr>
              <w:spacing w:after="40" w:before="40"/>
            </w:pPr>
            <w:r/>
            <w:r>
              <w:rPr>
                <w:rFonts w:ascii="Cambria" w:hAnsi="Cambria"/>
                <w:b w:val="0"/>
                <w:i w:val="0"/>
                <w:sz w:val="22"/>
              </w:rPr>
              <w:t>Technical Staff</w:t>
            </w:r>
          </w:p>
        </w:tc>
        <w:tc>
          <w:tcPr>
            <w:tcW w:type="dxa" w:w="2041"/>
          </w:tcPr>
          <w:p>
            <w:pPr>
              <w:spacing w:after="40" w:before="40"/>
            </w:pPr>
            <w:r/>
            <w:r>
              <w:rPr>
                <w:rFonts w:ascii="Cambria" w:hAnsi="Cambria"/>
                <w:b w:val="0"/>
                <w:i w:val="0"/>
                <w:sz w:val="22"/>
              </w:rPr>
              <w:t>Skill Enhancement &amp; Safety Training</w:t>
            </w:r>
          </w:p>
        </w:tc>
        <w:tc>
          <w:tcPr>
            <w:tcW w:type="dxa" w:w="3969"/>
          </w:tcPr>
          <w:p>
            <w:pPr>
              <w:spacing w:after="40" w:before="40"/>
            </w:pPr>
            <w:r/>
            <w:r>
              <w:rPr>
                <w:rFonts w:ascii="Cambria" w:hAnsi="Cambria"/>
                <w:b w:val="0"/>
                <w:i w:val="0"/>
                <w:sz w:val="22"/>
              </w:rPr>
              <w:t>Equipment handling, lab safety, calibration, ICT</w:t>
            </w:r>
          </w:p>
        </w:tc>
        <w:tc>
          <w:tcPr>
            <w:tcW w:type="dxa" w:w="1587"/>
          </w:tcPr>
          <w:p>
            <w:pPr>
              <w:spacing w:after="40" w:before="40"/>
            </w:pPr>
            <w:r/>
            <w:r>
              <w:rPr>
                <w:rFonts w:ascii="Cambria" w:hAnsi="Cambria"/>
                <w:b w:val="0"/>
                <w:i w:val="0"/>
                <w:sz w:val="22"/>
              </w:rPr>
              <w:t>1 per semester</w:t>
            </w:r>
          </w:p>
        </w:tc>
      </w:tr>
      <w:tr>
        <w:tc>
          <w:tcPr>
            <w:tcW w:type="dxa" w:w="1814"/>
            <w:shd w:val="clear" w:color="auto" w:fill="F0F2F5"/>
          </w:tcPr>
          <w:p>
            <w:pPr>
              <w:spacing w:after="40" w:before="40"/>
            </w:pPr>
            <w:r/>
            <w:r>
              <w:rPr>
                <w:rFonts w:ascii="Cambria" w:hAnsi="Cambria"/>
                <w:b w:val="0"/>
                <w:i w:val="0"/>
                <w:sz w:val="22"/>
              </w:rPr>
              <w:t>Non-Teaching / Support Staff</w:t>
            </w:r>
          </w:p>
        </w:tc>
        <w:tc>
          <w:tcPr>
            <w:tcW w:type="dxa" w:w="2041"/>
            <w:shd w:val="clear" w:color="auto" w:fill="F0F2F5"/>
          </w:tcPr>
          <w:p>
            <w:pPr>
              <w:spacing w:after="40" w:before="40"/>
            </w:pPr>
            <w:r/>
            <w:r>
              <w:rPr>
                <w:rFonts w:ascii="Cambria" w:hAnsi="Cambria"/>
                <w:b w:val="0"/>
                <w:i w:val="0"/>
                <w:sz w:val="22"/>
              </w:rPr>
              <w:t>Functional Skill Development</w:t>
            </w:r>
          </w:p>
        </w:tc>
        <w:tc>
          <w:tcPr>
            <w:tcW w:type="dxa" w:w="3969"/>
            <w:shd w:val="clear" w:color="auto" w:fill="F0F2F5"/>
          </w:tcPr>
          <w:p>
            <w:pPr>
              <w:spacing w:after="40" w:before="40"/>
            </w:pPr>
            <w:r/>
            <w:r>
              <w:rPr>
                <w:rFonts w:ascii="Cambria" w:hAnsi="Cambria"/>
                <w:b w:val="0"/>
                <w:i w:val="0"/>
                <w:sz w:val="22"/>
              </w:rPr>
              <w:t>Communication, service ethics, customer/student service</w:t>
            </w:r>
          </w:p>
        </w:tc>
        <w:tc>
          <w:tcPr>
            <w:tcW w:type="dxa" w:w="1587"/>
            <w:shd w:val="clear" w:color="auto" w:fill="F0F2F5"/>
          </w:tcPr>
          <w:p>
            <w:pPr>
              <w:spacing w:after="40" w:before="40"/>
            </w:pPr>
            <w:r/>
            <w:r>
              <w:rPr>
                <w:rFonts w:ascii="Cambria" w:hAnsi="Cambria"/>
                <w:b w:val="0"/>
                <w:i w:val="0"/>
                <w:sz w:val="22"/>
              </w:rPr>
              <w:t>1 per year</w:t>
            </w:r>
          </w:p>
        </w:tc>
      </w:tr>
      <w:tr>
        <w:tc>
          <w:tcPr>
            <w:tcW w:type="dxa" w:w="1814"/>
          </w:tcPr>
          <w:p>
            <w:pPr>
              <w:spacing w:after="40" w:before="40"/>
            </w:pPr>
            <w:r/>
            <w:r>
              <w:rPr>
                <w:rFonts w:ascii="Cambria" w:hAnsi="Cambria"/>
                <w:b w:val="0"/>
                <w:i w:val="0"/>
                <w:sz w:val="22"/>
              </w:rPr>
              <w:t>Leadership Development</w:t>
            </w:r>
          </w:p>
        </w:tc>
        <w:tc>
          <w:tcPr>
            <w:tcW w:type="dxa" w:w="2041"/>
          </w:tcPr>
          <w:p>
            <w:pPr>
              <w:spacing w:after="40" w:before="40"/>
            </w:pPr>
            <w:r/>
            <w:r>
              <w:rPr>
                <w:rFonts w:ascii="Cambria" w:hAnsi="Cambria"/>
                <w:b w:val="0"/>
                <w:i w:val="0"/>
                <w:sz w:val="22"/>
              </w:rPr>
              <w:t>Leadership Academy / Mentorship</w:t>
            </w:r>
          </w:p>
        </w:tc>
        <w:tc>
          <w:tcPr>
            <w:tcW w:type="dxa" w:w="3969"/>
          </w:tcPr>
          <w:p>
            <w:pPr>
              <w:spacing w:after="40" w:before="40"/>
            </w:pPr>
            <w:r/>
            <w:r>
              <w:rPr>
                <w:rFonts w:ascii="Cambria" w:hAnsi="Cambria"/>
                <w:b w:val="0"/>
                <w:i w:val="0"/>
                <w:sz w:val="22"/>
              </w:rPr>
              <w:t>Strategic leadership, innovation, crisis management</w:t>
            </w:r>
          </w:p>
        </w:tc>
        <w:tc>
          <w:tcPr>
            <w:tcW w:type="dxa" w:w="1587"/>
          </w:tcPr>
          <w:p>
            <w:pPr>
              <w:spacing w:after="40" w:before="40"/>
            </w:pPr>
            <w:r/>
            <w:r>
              <w:rPr>
                <w:rFonts w:ascii="Cambria" w:hAnsi="Cambria"/>
                <w:b w:val="0"/>
                <w:i w:val="0"/>
                <w:sz w:val="22"/>
              </w:rPr>
              <w:t>As per requirement</w:t>
            </w:r>
          </w:p>
        </w:tc>
      </w:tr>
      <w:tr>
        <w:tc>
          <w:tcPr>
            <w:tcW w:type="dxa" w:w="1814"/>
            <w:shd w:val="clear" w:color="auto" w:fill="F0F2F5"/>
          </w:tcPr>
          <w:p>
            <w:pPr>
              <w:spacing w:after="40" w:before="40"/>
            </w:pPr>
            <w:r/>
            <w:r>
              <w:rPr>
                <w:rFonts w:ascii="Cambria" w:hAnsi="Cambria"/>
                <w:b w:val="0"/>
                <w:i w:val="0"/>
                <w:sz w:val="22"/>
              </w:rPr>
              <w:t>Digital Competency Programs</w:t>
            </w:r>
          </w:p>
        </w:tc>
        <w:tc>
          <w:tcPr>
            <w:tcW w:type="dxa" w:w="2041"/>
            <w:shd w:val="clear" w:color="auto" w:fill="F0F2F5"/>
          </w:tcPr>
          <w:p>
            <w:pPr>
              <w:spacing w:after="40" w:before="40"/>
            </w:pPr>
            <w:r/>
            <w:r>
              <w:rPr>
                <w:rFonts w:ascii="Cambria" w:hAnsi="Cambria"/>
                <w:b w:val="0"/>
                <w:i w:val="0"/>
                <w:sz w:val="22"/>
              </w:rPr>
              <w:t>ICT &amp; AI Literacy</w:t>
            </w:r>
          </w:p>
        </w:tc>
        <w:tc>
          <w:tcPr>
            <w:tcW w:type="dxa" w:w="3969"/>
            <w:shd w:val="clear" w:color="auto" w:fill="F0F2F5"/>
          </w:tcPr>
          <w:p>
            <w:pPr>
              <w:spacing w:after="40" w:before="40"/>
            </w:pPr>
            <w:r/>
            <w:r>
              <w:rPr>
                <w:rFonts w:ascii="Cambria" w:hAnsi="Cambria"/>
                <w:b w:val="0"/>
                <w:i w:val="0"/>
                <w:sz w:val="22"/>
              </w:rPr>
              <w:t>ERP systems, data management, cloud-based platforms</w:t>
            </w:r>
          </w:p>
        </w:tc>
        <w:tc>
          <w:tcPr>
            <w:tcW w:type="dxa" w:w="1587"/>
            <w:shd w:val="clear" w:color="auto" w:fill="F0F2F5"/>
          </w:tcPr>
          <w:p>
            <w:pPr>
              <w:spacing w:after="40" w:before="40"/>
            </w:pPr>
            <w:r/>
            <w:r>
              <w:rPr>
                <w:rFonts w:ascii="Cambria" w:hAnsi="Cambria"/>
                <w:b w:val="0"/>
                <w:i w:val="0"/>
                <w:sz w:val="22"/>
              </w:rPr>
              <w:t>Ongoing / blended mode</w:t>
            </w:r>
          </w:p>
        </w:tc>
      </w:tr>
    </w:tbl>
    <w:p>
      <w:pPr>
        <w:spacing w:after="40"/>
      </w:pPr>
    </w:p>
    <w:p>
      <w:pPr>
        <w:keepNext/>
        <w:spacing w:before="200" w:after="120"/>
      </w:pPr>
      <w:r>
        <w:rPr>
          <w:rFonts w:ascii="Cambria" w:hAnsi="Cambria"/>
          <w:b/>
          <w:color w:val="1F3A5F"/>
          <w:sz w:val="24"/>
        </w:rPr>
        <w:t>IV. Training Need Identification (TNI)</w:t>
      </w:r>
    </w:p>
    <w:p>
      <w:pPr>
        <w:spacing w:line="276" w:lineRule="auto"/>
        <w:ind w:left="357" w:hanging="357"/>
      </w:pPr>
      <w:r>
        <w:rPr>
          <w:rFonts w:ascii="Cambria" w:hAnsi="Cambria"/>
          <w:b w:val="0"/>
          <w:i w:val="0"/>
          <w:sz w:val="22"/>
        </w:rPr>
        <w:t xml:space="preserve">1. </w:t>
      </w:r>
      <w:r>
        <w:rPr>
          <w:rFonts w:ascii="Cambria" w:hAnsi="Cambria"/>
          <w:b w:val="0"/>
          <w:i w:val="0"/>
          <w:sz w:val="22"/>
        </w:rPr>
        <w:t>Annual Training Needs Survey:</w:t>
      </w:r>
    </w:p>
    <w:p>
      <w:pPr>
        <w:pStyle w:val="ListBullet2"/>
        <w:spacing w:line="276" w:lineRule="auto"/>
        <w:ind w:left="1020"/>
      </w:pPr>
      <w:r>
        <w:rPr>
          <w:rFonts w:ascii="Cambria" w:hAnsi="Cambria"/>
          <w:b w:val="0"/>
          <w:i w:val="0"/>
          <w:sz w:val="22"/>
        </w:rPr>
        <w:t>Conducted by the Human Resource Development (HRD) Cell in consultation with Heads of Departments.</w:t>
      </w:r>
    </w:p>
    <w:p>
      <w:pPr>
        <w:pStyle w:val="ListBullet2"/>
        <w:spacing w:line="276" w:lineRule="auto"/>
        <w:ind w:left="1020"/>
      </w:pPr>
      <w:r>
        <w:rPr>
          <w:rFonts w:ascii="Cambria" w:hAnsi="Cambria"/>
          <w:b w:val="0"/>
          <w:i w:val="0"/>
          <w:sz w:val="22"/>
        </w:rPr>
        <w:t>Based on Performance Appraisal outcomes, institutional audits, and accreditation feedback.</w:t>
      </w:r>
    </w:p>
    <w:p>
      <w:pPr>
        <w:spacing w:line="276" w:lineRule="auto"/>
        <w:ind w:left="357" w:hanging="357"/>
      </w:pPr>
      <w:r>
        <w:rPr>
          <w:rFonts w:ascii="Cambria" w:hAnsi="Cambria"/>
          <w:b w:val="0"/>
          <w:i w:val="0"/>
          <w:sz w:val="22"/>
        </w:rPr>
        <w:t xml:space="preserve">2. </w:t>
      </w:r>
      <w:r>
        <w:rPr>
          <w:rFonts w:ascii="Cambria" w:hAnsi="Cambria"/>
          <w:b w:val="0"/>
          <w:i w:val="0"/>
          <w:sz w:val="22"/>
        </w:rPr>
        <w:t>Skill Gap Analysis:</w:t>
      </w:r>
    </w:p>
    <w:p>
      <w:pPr>
        <w:pStyle w:val="ListBullet2"/>
        <w:spacing w:line="276" w:lineRule="auto"/>
        <w:ind w:left="1020"/>
      </w:pPr>
      <w:r>
        <w:rPr>
          <w:rFonts w:ascii="Cambria" w:hAnsi="Cambria"/>
          <w:b w:val="0"/>
          <w:i w:val="0"/>
          <w:sz w:val="22"/>
        </w:rPr>
        <w:t>Review of evolving job roles, technology upgrades, and compliance standards.</w:t>
      </w:r>
    </w:p>
    <w:p>
      <w:pPr>
        <w:pStyle w:val="ListBullet2"/>
        <w:spacing w:line="276" w:lineRule="auto"/>
        <w:ind w:left="1020"/>
      </w:pPr>
      <w:r>
        <w:rPr>
          <w:rFonts w:ascii="Cambria" w:hAnsi="Cambria"/>
          <w:b w:val="0"/>
          <w:i w:val="0"/>
          <w:sz w:val="22"/>
        </w:rPr>
        <w:t>Identification of priority areas for capacity building (e.g., research writing, data analytics, e-governance).</w:t>
      </w:r>
    </w:p>
    <w:p>
      <w:pPr>
        <w:spacing w:line="276" w:lineRule="auto"/>
        <w:ind w:left="357" w:hanging="357"/>
      </w:pPr>
      <w:r>
        <w:rPr>
          <w:rFonts w:ascii="Cambria" w:hAnsi="Cambria"/>
          <w:b w:val="0"/>
          <w:i w:val="0"/>
          <w:sz w:val="22"/>
        </w:rPr>
        <w:t xml:space="preserve">3. </w:t>
      </w:r>
      <w:r>
        <w:rPr>
          <w:rFonts w:ascii="Cambria" w:hAnsi="Cambria"/>
          <w:b w:val="0"/>
          <w:i w:val="0"/>
          <w:sz w:val="22"/>
        </w:rPr>
        <w:t>Approval and Scheduling:</w:t>
      </w:r>
    </w:p>
    <w:p>
      <w:pPr>
        <w:pStyle w:val="ListBullet2"/>
        <w:spacing w:line="276" w:lineRule="auto"/>
        <w:ind w:left="1020"/>
      </w:pPr>
      <w:r>
        <w:rPr>
          <w:rFonts w:ascii="Cambria" w:hAnsi="Cambria"/>
          <w:b w:val="0"/>
          <w:i w:val="0"/>
          <w:sz w:val="22"/>
        </w:rPr>
        <w:t>Annual Training Calendar to be approved by the Vice-Chancellor / Registrar and circulated by the HRD Cell.</w:t>
      </w:r>
    </w:p>
    <w:p>
      <w:pPr>
        <w:keepNext/>
        <w:spacing w:before="200" w:after="120"/>
      </w:pPr>
      <w:r>
        <w:rPr>
          <w:rFonts w:ascii="Cambria" w:hAnsi="Cambria"/>
          <w:b/>
          <w:color w:val="1F3A5F"/>
          <w:sz w:val="24"/>
        </w:rPr>
        <w:t>V. Implementation Framework</w:t>
      </w:r>
    </w:p>
    <w:p>
      <w:pPr>
        <w:keepNext/>
        <w:spacing w:before="200" w:after="120"/>
      </w:pPr>
      <w:r>
        <w:rPr>
          <w:rFonts w:ascii="Cambria" w:hAnsi="Cambria"/>
          <w:b/>
          <w:color w:val="1F3A5F"/>
          <w:sz w:val="24"/>
        </w:rPr>
        <w:t>1. Organizing and Conducting Programs</w:t>
      </w:r>
    </w:p>
    <w:p>
      <w:pPr>
        <w:pStyle w:val="ListBullet"/>
        <w:spacing w:line="276" w:lineRule="auto"/>
        <w:ind w:left="510"/>
      </w:pPr>
      <w:r>
        <w:rPr>
          <w:rFonts w:ascii="Cambria" w:hAnsi="Cambria"/>
          <w:b w:val="0"/>
          <w:i w:val="0"/>
          <w:sz w:val="22"/>
        </w:rPr>
        <w:t>The HRD Cell / IQAC shall coordinate:</w:t>
      </w:r>
    </w:p>
    <w:p>
      <w:pPr>
        <w:pStyle w:val="ListBullet2"/>
        <w:spacing w:line="276" w:lineRule="auto"/>
        <w:ind w:left="1020"/>
      </w:pPr>
      <w:r>
        <w:rPr>
          <w:rFonts w:ascii="Cambria" w:hAnsi="Cambria"/>
          <w:b w:val="0"/>
          <w:i w:val="0"/>
          <w:sz w:val="22"/>
        </w:rPr>
        <w:t>Workshops, FDPs, Induction Programs, and administrative retreats.</w:t>
      </w:r>
    </w:p>
    <w:p>
      <w:pPr>
        <w:pStyle w:val="ListBullet2"/>
        <w:spacing w:line="276" w:lineRule="auto"/>
        <w:ind w:left="1020"/>
      </w:pPr>
      <w:r>
        <w:rPr>
          <w:rFonts w:ascii="Cambria" w:hAnsi="Cambria"/>
          <w:b w:val="0"/>
          <w:i w:val="0"/>
          <w:sz w:val="22"/>
        </w:rPr>
        <w:t>Training partnerships with AICTE, UGC-HRDCs, NITTTRs, MSME, or Industry Collaborators.</w:t>
      </w:r>
    </w:p>
    <w:p>
      <w:pPr>
        <w:pStyle w:val="ListBullet"/>
        <w:spacing w:line="276" w:lineRule="auto"/>
        <w:ind w:left="510"/>
      </w:pPr>
      <w:r>
        <w:rPr>
          <w:rFonts w:ascii="Cambria" w:hAnsi="Cambria"/>
          <w:b w:val="0"/>
          <w:i w:val="0"/>
          <w:sz w:val="22"/>
        </w:rPr>
        <w:t>Departments are encouraged to host inter-departmental sessions to share best practices.</w:t>
      </w:r>
    </w:p>
    <w:p>
      <w:pPr>
        <w:keepNext/>
        <w:spacing w:before="200" w:after="120"/>
      </w:pPr>
      <w:r>
        <w:rPr>
          <w:rFonts w:ascii="Cambria" w:hAnsi="Cambria"/>
          <w:b/>
          <w:color w:val="1F3A5F"/>
          <w:sz w:val="24"/>
        </w:rPr>
        <w:t>2. Mode of Delivery</w:t>
      </w:r>
    </w:p>
    <w:p>
      <w:pPr>
        <w:pStyle w:val="ListBullet"/>
        <w:spacing w:line="276" w:lineRule="auto"/>
        <w:ind w:left="510"/>
      </w:pPr>
      <w:r>
        <w:rPr>
          <w:rFonts w:ascii="Cambria" w:hAnsi="Cambria"/>
          <w:b w:val="0"/>
          <w:i w:val="0"/>
          <w:sz w:val="22"/>
        </w:rPr>
        <w:t>Offline / In-person: Seminars, hands-on training, workshops.</w:t>
      </w:r>
    </w:p>
    <w:p>
      <w:pPr>
        <w:pStyle w:val="ListBullet"/>
        <w:spacing w:line="276" w:lineRule="auto"/>
        <w:ind w:left="510"/>
      </w:pPr>
      <w:r>
        <w:rPr>
          <w:rFonts w:ascii="Cambria" w:hAnsi="Cambria"/>
          <w:b w:val="0"/>
          <w:i w:val="0"/>
          <w:sz w:val="22"/>
        </w:rPr>
        <w:t>Online / Hybrid: MOOCs (SWAYAM, Coursera, edX), webinars, live demonstrations.</w:t>
      </w:r>
    </w:p>
    <w:p>
      <w:pPr>
        <w:pStyle w:val="ListBullet"/>
        <w:spacing w:line="276" w:lineRule="auto"/>
        <w:ind w:left="510"/>
      </w:pPr>
      <w:r>
        <w:rPr>
          <w:rFonts w:ascii="Cambria" w:hAnsi="Cambria"/>
          <w:b w:val="0"/>
          <w:i w:val="0"/>
          <w:sz w:val="22"/>
        </w:rPr>
        <w:t>On-the-Job Training (OJT): Real-time learning during project execution or lab management.</w:t>
      </w:r>
    </w:p>
    <w:p>
      <w:pPr>
        <w:keepNext/>
        <w:spacing w:before="200" w:after="120"/>
      </w:pPr>
      <w:r>
        <w:rPr>
          <w:rFonts w:ascii="Cambria" w:hAnsi="Cambria"/>
          <w:b/>
          <w:color w:val="1F3A5F"/>
          <w:sz w:val="24"/>
        </w:rPr>
        <w:t>3. Certification and Recognition</w:t>
      </w:r>
    </w:p>
    <w:p>
      <w:pPr>
        <w:pStyle w:val="ListBullet"/>
        <w:spacing w:line="276" w:lineRule="auto"/>
        <w:ind w:left="510"/>
      </w:pPr>
      <w:r>
        <w:rPr>
          <w:rFonts w:ascii="Cambria" w:hAnsi="Cambria"/>
          <w:b w:val="0"/>
          <w:i w:val="0"/>
          <w:sz w:val="22"/>
        </w:rPr>
        <w:t>Participants completing the program successfully shall receive Certificates of Participation or Competency.</w:t>
      </w:r>
    </w:p>
    <w:p>
      <w:pPr>
        <w:pStyle w:val="ListBullet"/>
        <w:spacing w:line="276" w:lineRule="auto"/>
        <w:ind w:left="510"/>
      </w:pPr>
      <w:r>
        <w:rPr>
          <w:rFonts w:ascii="Cambria" w:hAnsi="Cambria"/>
          <w:b w:val="0"/>
          <w:i w:val="0"/>
          <w:sz w:val="22"/>
        </w:rPr>
        <w:t>Certificates will be recorded in the Service File and considered for:</w:t>
      </w:r>
    </w:p>
    <w:p>
      <w:pPr>
        <w:pStyle w:val="ListBullet2"/>
        <w:spacing w:line="276" w:lineRule="auto"/>
        <w:ind w:left="1020"/>
      </w:pPr>
      <w:r>
        <w:rPr>
          <w:rFonts w:ascii="Cambria" w:hAnsi="Cambria"/>
          <w:b w:val="0"/>
          <w:i w:val="0"/>
          <w:sz w:val="22"/>
        </w:rPr>
        <w:t>Promotion</w:t>
      </w:r>
    </w:p>
    <w:p>
      <w:pPr>
        <w:pStyle w:val="ListBullet2"/>
        <w:spacing w:line="276" w:lineRule="auto"/>
        <w:ind w:left="1020"/>
      </w:pPr>
      <w:r>
        <w:rPr>
          <w:rFonts w:ascii="Cambria" w:hAnsi="Cambria"/>
          <w:b w:val="0"/>
          <w:i w:val="0"/>
          <w:sz w:val="22"/>
        </w:rPr>
        <w:t>CAS (Career Advancement Scheme)</w:t>
      </w:r>
    </w:p>
    <w:p>
      <w:pPr>
        <w:pStyle w:val="ListBullet2"/>
        <w:spacing w:line="276" w:lineRule="auto"/>
        <w:ind w:left="1020"/>
      </w:pPr>
      <w:r>
        <w:rPr>
          <w:rFonts w:ascii="Cambria" w:hAnsi="Cambria"/>
          <w:b w:val="0"/>
          <w:i w:val="0"/>
          <w:sz w:val="22"/>
        </w:rPr>
        <w:t>Incremental benefits</w:t>
      </w:r>
    </w:p>
    <w:p>
      <w:pPr>
        <w:keepNext/>
        <w:spacing w:before="200" w:after="120"/>
      </w:pPr>
      <w:r>
        <w:rPr>
          <w:rFonts w:ascii="Cambria" w:hAnsi="Cambria"/>
          <w:b/>
          <w:color w:val="1F3A5F"/>
          <w:sz w:val="24"/>
        </w:rPr>
        <w:t>VI. Funding and Incentives</w:t>
      </w:r>
    </w:p>
    <w:p>
      <w:pPr>
        <w:spacing w:line="276" w:lineRule="auto"/>
        <w:ind w:left="357" w:hanging="357"/>
      </w:pPr>
      <w:r>
        <w:rPr>
          <w:rFonts w:ascii="Cambria" w:hAnsi="Cambria"/>
          <w:b w:val="0"/>
          <w:i w:val="0"/>
          <w:sz w:val="22"/>
        </w:rPr>
        <w:t xml:space="preserve">1. </w:t>
      </w:r>
      <w:r>
        <w:rPr>
          <w:rFonts w:ascii="Cambria" w:hAnsi="Cambria"/>
          <w:b w:val="0"/>
          <w:i w:val="0"/>
          <w:sz w:val="22"/>
        </w:rPr>
        <w:t>Funding Sources:</w:t>
      </w:r>
    </w:p>
    <w:p>
      <w:pPr>
        <w:pStyle w:val="ListBullet2"/>
        <w:ind w:left="1020"/>
      </w:pPr>
      <w:r>
        <w:rPr>
          <w:rFonts w:ascii="Cambria" w:hAnsi="Cambria"/>
          <w:b w:val="0"/>
          <w:i w:val="0"/>
          <w:sz w:val="22"/>
        </w:rPr>
        <w:t>Institutional Training Budget approved by BoM.</w:t>
      </w:r>
    </w:p>
    <w:p>
      <w:pPr>
        <w:pStyle w:val="ListBullet2"/>
        <w:ind w:left="1020"/>
      </w:pPr>
      <w:r>
        <w:rPr>
          <w:rFonts w:ascii="Cambria" w:hAnsi="Cambria"/>
          <w:b w:val="0"/>
          <w:i w:val="0"/>
          <w:sz w:val="22"/>
        </w:rPr>
        <w:t>External grants from AICTE, UGC, DST, DBT, MSME, or CSR programs.</w:t>
      </w:r>
    </w:p>
    <w:p>
      <w:pPr>
        <w:pStyle w:val="ListBullet2"/>
        <w:ind w:left="1020"/>
      </w:pPr>
      <w:r>
        <w:rPr>
          <w:rFonts w:ascii="Cambria" w:hAnsi="Cambria"/>
          <w:b w:val="0"/>
          <w:i w:val="0"/>
          <w:sz w:val="22"/>
        </w:rPr>
        <w:t>Collaborative programs through MoUs with industries and academic institutions.</w:t>
      </w:r>
    </w:p>
    <w:p>
      <w:pPr>
        <w:spacing w:line="276" w:lineRule="auto"/>
        <w:ind w:left="357" w:hanging="357"/>
      </w:pPr>
      <w:r>
        <w:rPr>
          <w:rFonts w:ascii="Cambria" w:hAnsi="Cambria"/>
          <w:b w:val="0"/>
          <w:i w:val="0"/>
          <w:sz w:val="22"/>
        </w:rPr>
        <w:t xml:space="preserve">2. </w:t>
      </w:r>
      <w:r>
        <w:rPr>
          <w:rFonts w:ascii="Cambria" w:hAnsi="Cambria"/>
          <w:b w:val="0"/>
          <w:i w:val="0"/>
          <w:sz w:val="22"/>
        </w:rPr>
        <w:t>Incentives for Participation:</w:t>
      </w:r>
    </w:p>
    <w:p>
      <w:pPr>
        <w:pStyle w:val="ListBullet2"/>
        <w:ind w:left="1020"/>
      </w:pPr>
      <w:r>
        <w:rPr>
          <w:rFonts w:ascii="Cambria" w:hAnsi="Cambria"/>
          <w:b w:val="0"/>
          <w:i w:val="0"/>
          <w:sz w:val="22"/>
        </w:rPr>
        <w:t>Duty Leave and reimbursement of registration fees, TA/DA, or accommodation as per University norms.</w:t>
      </w:r>
    </w:p>
    <w:p>
      <w:pPr>
        <w:pStyle w:val="ListBullet2"/>
        <w:ind w:left="1020"/>
      </w:pPr>
      <w:r>
        <w:rPr>
          <w:rFonts w:ascii="Cambria" w:hAnsi="Cambria"/>
          <w:b w:val="0"/>
          <w:i w:val="0"/>
          <w:sz w:val="22"/>
        </w:rPr>
        <w:t>Faculty eligible for Research Incentive Grants upon presenting papers in national/international workshops.</w:t>
      </w:r>
    </w:p>
    <w:p>
      <w:pPr>
        <w:pStyle w:val="ListBullet2"/>
        <w:ind w:left="1020"/>
      </w:pPr>
      <w:r>
        <w:rPr>
          <w:rFonts w:ascii="Cambria" w:hAnsi="Cambria"/>
          <w:b w:val="0"/>
          <w:i w:val="0"/>
          <w:sz w:val="22"/>
        </w:rPr>
        <w:t>Non-teaching staff may receive Recognition Certificates or Cash Awards for exceptional improvement.</w:t>
      </w:r>
    </w:p>
    <w:p>
      <w:pPr>
        <w:keepNext/>
        <w:spacing w:before="200" w:after="120"/>
      </w:pPr>
      <w:r>
        <w:rPr>
          <w:rFonts w:ascii="Cambria" w:hAnsi="Cambria"/>
          <w:b/>
          <w:color w:val="1F3A5F"/>
          <w:sz w:val="24"/>
        </w:rPr>
        <w:t>VII. Monitoring and Evaluation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701"/>
            <w:shd w:val="clear" w:color="auto" w:fill="1F3A5F"/>
          </w:tcPr>
          <w:p>
            <w:pPr>
              <w:spacing w:after="40" w:before="40"/>
            </w:pPr>
            <w:r/>
            <w:r>
              <w:rPr>
                <w:rFonts w:ascii="Cambria" w:hAnsi="Cambria"/>
                <w:b/>
                <w:i w:val="0"/>
                <w:color w:val="FFFFFF"/>
                <w:sz w:val="22"/>
              </w:rPr>
              <w:t>Stage</w:t>
            </w:r>
          </w:p>
        </w:tc>
        <w:tc>
          <w:tcPr>
            <w:tcW w:type="dxa" w:w="2608"/>
            <w:shd w:val="clear" w:color="auto" w:fill="1F3A5F"/>
          </w:tcPr>
          <w:p>
            <w:pPr>
              <w:spacing w:after="40" w:before="40"/>
            </w:pPr>
            <w:r/>
            <w:r>
              <w:rPr>
                <w:rFonts w:ascii="Cambria" w:hAnsi="Cambria"/>
                <w:b/>
                <w:i w:val="0"/>
                <w:color w:val="FFFFFF"/>
                <w:sz w:val="22"/>
              </w:rPr>
              <w:t>Responsible Authority</w:t>
            </w:r>
          </w:p>
        </w:tc>
        <w:tc>
          <w:tcPr>
            <w:tcW w:type="dxa" w:w="5159"/>
            <w:shd w:val="clear" w:color="auto" w:fill="1F3A5F"/>
          </w:tcPr>
          <w:p>
            <w:pPr>
              <w:spacing w:after="40" w:before="40"/>
            </w:pPr>
            <w:r/>
            <w:r>
              <w:rPr>
                <w:rFonts w:ascii="Cambria" w:hAnsi="Cambria"/>
                <w:b/>
                <w:i w:val="0"/>
                <w:color w:val="FFFFFF"/>
                <w:sz w:val="22"/>
              </w:rPr>
              <w:t>Key Deliverable</w:t>
            </w:r>
          </w:p>
        </w:tc>
      </w:tr>
      <w:tr>
        <w:tc>
          <w:tcPr>
            <w:tcW w:type="dxa" w:w="1701"/>
          </w:tcPr>
          <w:p>
            <w:pPr>
              <w:spacing w:after="40" w:before="40"/>
            </w:pPr>
            <w:r/>
            <w:r>
              <w:rPr>
                <w:rFonts w:ascii="Cambria" w:hAnsi="Cambria"/>
                <w:b w:val="0"/>
                <w:i w:val="0"/>
                <w:sz w:val="22"/>
              </w:rPr>
              <w:t>Pre-Training</w:t>
            </w:r>
          </w:p>
        </w:tc>
        <w:tc>
          <w:tcPr>
            <w:tcW w:type="dxa" w:w="2608"/>
          </w:tcPr>
          <w:p>
            <w:pPr>
              <w:spacing w:after="40" w:before="40"/>
            </w:pPr>
            <w:r/>
            <w:r>
              <w:rPr>
                <w:rFonts w:ascii="Cambria" w:hAnsi="Cambria"/>
                <w:b w:val="0"/>
                <w:i w:val="0"/>
                <w:sz w:val="22"/>
              </w:rPr>
              <w:t>HRD Cell / Registrar</w:t>
            </w:r>
          </w:p>
        </w:tc>
        <w:tc>
          <w:tcPr>
            <w:tcW w:type="dxa" w:w="5159"/>
          </w:tcPr>
          <w:p>
            <w:pPr>
              <w:spacing w:after="40" w:before="40"/>
            </w:pPr>
            <w:r/>
            <w:r>
              <w:rPr>
                <w:rFonts w:ascii="Cambria" w:hAnsi="Cambria"/>
                <w:b w:val="0"/>
                <w:i w:val="0"/>
                <w:sz w:val="22"/>
              </w:rPr>
              <w:t>Approval of Training Calendar and Budget</w:t>
            </w:r>
          </w:p>
        </w:tc>
      </w:tr>
      <w:tr>
        <w:tc>
          <w:tcPr>
            <w:tcW w:type="dxa" w:w="1701"/>
            <w:shd w:val="clear" w:color="auto" w:fill="F0F2F5"/>
          </w:tcPr>
          <w:p>
            <w:pPr>
              <w:spacing w:after="40" w:before="40"/>
            </w:pPr>
            <w:r/>
            <w:r>
              <w:rPr>
                <w:rFonts w:ascii="Cambria" w:hAnsi="Cambria"/>
                <w:b w:val="0"/>
                <w:i w:val="0"/>
                <w:sz w:val="22"/>
              </w:rPr>
              <w:t>During Training</w:t>
            </w:r>
          </w:p>
        </w:tc>
        <w:tc>
          <w:tcPr>
            <w:tcW w:type="dxa" w:w="2608"/>
            <w:shd w:val="clear" w:color="auto" w:fill="F0F2F5"/>
          </w:tcPr>
          <w:p>
            <w:pPr>
              <w:spacing w:after="40" w:before="40"/>
            </w:pPr>
            <w:r/>
            <w:r>
              <w:rPr>
                <w:rFonts w:ascii="Cambria" w:hAnsi="Cambria"/>
                <w:b w:val="0"/>
                <w:i w:val="0"/>
                <w:sz w:val="22"/>
              </w:rPr>
              <w:t>IQAC / HoD</w:t>
            </w:r>
          </w:p>
        </w:tc>
        <w:tc>
          <w:tcPr>
            <w:tcW w:type="dxa" w:w="5159"/>
            <w:shd w:val="clear" w:color="auto" w:fill="F0F2F5"/>
          </w:tcPr>
          <w:p>
            <w:pPr>
              <w:spacing w:after="40" w:before="40"/>
            </w:pPr>
            <w:r/>
            <w:r>
              <w:rPr>
                <w:rFonts w:ascii="Cambria" w:hAnsi="Cambria"/>
                <w:b w:val="0"/>
                <w:i w:val="0"/>
                <w:sz w:val="22"/>
              </w:rPr>
              <w:t>Attendance, engagement, feedback collection</w:t>
            </w:r>
          </w:p>
        </w:tc>
      </w:tr>
      <w:tr>
        <w:tc>
          <w:tcPr>
            <w:tcW w:type="dxa" w:w="1701"/>
          </w:tcPr>
          <w:p>
            <w:pPr>
              <w:spacing w:after="40" w:before="40"/>
            </w:pPr>
            <w:r/>
            <w:r>
              <w:rPr>
                <w:rFonts w:ascii="Cambria" w:hAnsi="Cambria"/>
                <w:b w:val="0"/>
                <w:i w:val="0"/>
                <w:sz w:val="22"/>
              </w:rPr>
              <w:t>Post-Training</w:t>
            </w:r>
          </w:p>
        </w:tc>
        <w:tc>
          <w:tcPr>
            <w:tcW w:type="dxa" w:w="2608"/>
          </w:tcPr>
          <w:p>
            <w:pPr>
              <w:spacing w:after="40" w:before="40"/>
            </w:pPr>
            <w:r/>
            <w:r>
              <w:rPr>
                <w:rFonts w:ascii="Cambria" w:hAnsi="Cambria"/>
                <w:b w:val="0"/>
                <w:i w:val="0"/>
                <w:sz w:val="22"/>
              </w:rPr>
              <w:t>HRD Cell / Dean (Academics)</w:t>
            </w:r>
          </w:p>
        </w:tc>
        <w:tc>
          <w:tcPr>
            <w:tcW w:type="dxa" w:w="5159"/>
          </w:tcPr>
          <w:p>
            <w:pPr>
              <w:spacing w:after="40" w:before="40"/>
            </w:pPr>
            <w:r/>
            <w:r>
              <w:rPr>
                <w:rFonts w:ascii="Cambria" w:hAnsi="Cambria"/>
                <w:b w:val="0"/>
                <w:i w:val="0"/>
                <w:sz w:val="22"/>
              </w:rPr>
              <w:t>Impact assessment report and documentation</w:t>
            </w:r>
          </w:p>
        </w:tc>
      </w:tr>
    </w:tbl>
    <w:p>
      <w:pPr>
        <w:spacing w:after="40"/>
      </w:pPr>
    </w:p>
    <w:p>
      <w:pPr>
        <w:pStyle w:val="ListBullet"/>
        <w:spacing w:line="276" w:lineRule="auto"/>
        <w:ind w:left="510"/>
      </w:pPr>
      <w:r>
        <w:rPr>
          <w:rFonts w:ascii="Cambria" w:hAnsi="Cambria"/>
          <w:b w:val="0"/>
          <w:i w:val="0"/>
          <w:sz w:val="22"/>
        </w:rPr>
        <w:t>Training Effectiveness will be measured using:</w:t>
      </w:r>
    </w:p>
    <w:p>
      <w:pPr>
        <w:pStyle w:val="ListBullet2"/>
        <w:spacing w:line="276" w:lineRule="auto"/>
        <w:ind w:left="1020"/>
      </w:pPr>
      <w:r>
        <w:rPr>
          <w:rFonts w:ascii="Cambria" w:hAnsi="Cambria"/>
          <w:b w:val="0"/>
          <w:i w:val="0"/>
          <w:sz w:val="22"/>
        </w:rPr>
        <w:t>Pre- and post-assessment tests.</w:t>
      </w:r>
    </w:p>
    <w:p>
      <w:pPr>
        <w:pStyle w:val="ListBullet2"/>
        <w:spacing w:line="276" w:lineRule="auto"/>
        <w:ind w:left="1020"/>
      </w:pPr>
      <w:r>
        <w:rPr>
          <w:rFonts w:ascii="Cambria" w:hAnsi="Cambria"/>
          <w:b w:val="0"/>
          <w:i w:val="0"/>
          <w:sz w:val="22"/>
        </w:rPr>
        <w:t>Participant feedback (≥ 80% satisfaction benchmark).</w:t>
      </w:r>
    </w:p>
    <w:p>
      <w:pPr>
        <w:pStyle w:val="ListBullet2"/>
        <w:spacing w:line="276" w:lineRule="auto"/>
        <w:ind w:left="1020"/>
      </w:pPr>
      <w:r>
        <w:rPr>
          <w:rFonts w:ascii="Cambria" w:hAnsi="Cambria"/>
          <w:b w:val="0"/>
          <w:i w:val="0"/>
          <w:sz w:val="22"/>
        </w:rPr>
        <w:t>Improvement in subsequent performance appraisals.</w:t>
      </w:r>
    </w:p>
    <w:p>
      <w:pPr>
        <w:pStyle w:val="ListBullet2"/>
        <w:spacing w:line="276" w:lineRule="auto"/>
        <w:ind w:left="1020"/>
      </w:pPr>
      <w:r>
        <w:rPr>
          <w:rFonts w:ascii="Cambria" w:hAnsi="Cambria"/>
          <w:b w:val="0"/>
          <w:i w:val="0"/>
          <w:sz w:val="22"/>
        </w:rPr>
        <w:t>Incorporation of new practices into institutional functioning.</w:t>
      </w:r>
    </w:p>
    <w:p>
      <w:pPr>
        <w:keepNext/>
        <w:spacing w:before="200" w:after="120"/>
      </w:pPr>
      <w:r>
        <w:rPr>
          <w:rFonts w:ascii="Cambria" w:hAnsi="Cambria"/>
          <w:b/>
          <w:color w:val="1F3A5F"/>
          <w:sz w:val="24"/>
        </w:rPr>
        <w:t>VIII. Documentation and Reporting</w:t>
      </w:r>
    </w:p>
    <w:p>
      <w:pPr>
        <w:pStyle w:val="ListBullet"/>
        <w:spacing w:line="276" w:lineRule="auto"/>
        <w:ind w:left="510"/>
      </w:pPr>
      <w:r>
        <w:rPr>
          <w:rFonts w:ascii="Cambria" w:hAnsi="Cambria"/>
          <w:b w:val="0"/>
          <w:i w:val="0"/>
          <w:sz w:val="22"/>
        </w:rPr>
        <w:t>The HRD Cell shall maintain:</w:t>
      </w:r>
    </w:p>
    <w:p>
      <w:pPr>
        <w:pStyle w:val="ListBullet2"/>
        <w:spacing w:line="276" w:lineRule="auto"/>
        <w:ind w:left="1020"/>
      </w:pPr>
      <w:r>
        <w:rPr>
          <w:rFonts w:ascii="Cambria" w:hAnsi="Cambria"/>
          <w:b w:val="0"/>
          <w:i w:val="0"/>
          <w:sz w:val="22"/>
        </w:rPr>
        <w:t>Training Attendance Register and Feedback Reports.</w:t>
      </w:r>
    </w:p>
    <w:p>
      <w:pPr>
        <w:pStyle w:val="ListBullet2"/>
        <w:spacing w:line="276" w:lineRule="auto"/>
        <w:ind w:left="1020"/>
      </w:pPr>
      <w:r>
        <w:rPr>
          <w:rFonts w:ascii="Cambria" w:hAnsi="Cambria"/>
          <w:b w:val="0"/>
          <w:i w:val="0"/>
          <w:sz w:val="22"/>
        </w:rPr>
        <w:t>Annual Capacity Building Report submitted to IQAC and BoM.</w:t>
      </w:r>
    </w:p>
    <w:p>
      <w:pPr>
        <w:pStyle w:val="ListBullet2"/>
        <w:spacing w:line="276" w:lineRule="auto"/>
        <w:ind w:left="1020"/>
      </w:pPr>
      <w:r>
        <w:rPr>
          <w:rFonts w:ascii="Cambria" w:hAnsi="Cambria"/>
          <w:b w:val="0"/>
          <w:i w:val="0"/>
          <w:sz w:val="22"/>
        </w:rPr>
        <w:t>Records for NAAC/NBA accreditation evidence (Criterion 6.3.4 &amp; 6.5.2).</w:t>
      </w:r>
    </w:p>
    <w:p>
      <w:pPr>
        <w:pStyle w:val="ListBullet"/>
        <w:spacing w:line="276" w:lineRule="auto"/>
        <w:ind w:left="510"/>
      </w:pPr>
      <w:r>
        <w:rPr>
          <w:rFonts w:ascii="Cambria" w:hAnsi="Cambria"/>
          <w:b w:val="0"/>
          <w:i w:val="0"/>
          <w:sz w:val="22"/>
        </w:rPr>
        <w:t>Each department shall maintain a Training Portfolio of staff showing courses attended, competencies gained, and future needs.</w:t>
      </w:r>
    </w:p>
    <w:p>
      <w:pPr>
        <w:keepNext/>
        <w:spacing w:before="200" w:after="120"/>
      </w:pPr>
      <w:r>
        <w:rPr>
          <w:rFonts w:ascii="Cambria" w:hAnsi="Cambria"/>
          <w:b/>
          <w:color w:val="1F3A5F"/>
          <w:sz w:val="24"/>
        </w:rPr>
        <w:t>IX. Collaboration and Linkages</w:t>
      </w:r>
    </w:p>
    <w:p>
      <w:pPr>
        <w:pStyle w:val="ListBullet"/>
        <w:spacing w:line="276" w:lineRule="auto"/>
        <w:ind w:left="510"/>
      </w:pPr>
      <w:r>
        <w:rPr>
          <w:rFonts w:ascii="Cambria" w:hAnsi="Cambria"/>
          <w:b w:val="0"/>
          <w:i w:val="0"/>
          <w:sz w:val="22"/>
        </w:rPr>
        <w:t>The University shall establish institutional linkages for advanced capacity-building programs with:</w:t>
      </w:r>
    </w:p>
    <w:p>
      <w:pPr>
        <w:pStyle w:val="ListBullet2"/>
        <w:spacing w:line="276" w:lineRule="auto"/>
        <w:ind w:left="1020"/>
      </w:pPr>
      <w:r>
        <w:rPr>
          <w:rFonts w:ascii="Cambria" w:hAnsi="Cambria"/>
          <w:b w:val="0"/>
          <w:i w:val="0"/>
          <w:sz w:val="22"/>
        </w:rPr>
        <w:t>National Institutes — IITs, IIMs, NITTTRs, IGNOU, HRDCs.</w:t>
      </w:r>
    </w:p>
    <w:p>
      <w:pPr>
        <w:pStyle w:val="ListBullet2"/>
        <w:spacing w:line="276" w:lineRule="auto"/>
        <w:ind w:left="1020"/>
      </w:pPr>
      <w:r>
        <w:rPr>
          <w:rFonts w:ascii="Cambria" w:hAnsi="Cambria"/>
          <w:b w:val="0"/>
          <w:i w:val="0"/>
          <w:sz w:val="22"/>
        </w:rPr>
        <w:t>Industry Partners — For internships, apprenticeships, and technology upskilling.</w:t>
      </w:r>
    </w:p>
    <w:p>
      <w:pPr>
        <w:pStyle w:val="ListBullet2"/>
        <w:spacing w:line="276" w:lineRule="auto"/>
        <w:ind w:left="1020"/>
      </w:pPr>
      <w:r>
        <w:rPr>
          <w:rFonts w:ascii="Cambria" w:hAnsi="Cambria"/>
          <w:b w:val="0"/>
          <w:i w:val="0"/>
          <w:sz w:val="22"/>
        </w:rPr>
        <w:t>International Collaborations — Through ERASMUS+, DAAD, or UNESCO mobility programs.</w:t>
      </w:r>
    </w:p>
    <w:p>
      <w:pPr>
        <w:keepNext/>
        <w:spacing w:before="200" w:after="120"/>
      </w:pPr>
      <w:r>
        <w:rPr>
          <w:rFonts w:ascii="Cambria" w:hAnsi="Cambria"/>
          <w:b/>
          <w:color w:val="1F3A5F"/>
          <w:sz w:val="24"/>
        </w:rPr>
        <w:t>X. Policy Principles</w:t>
      </w:r>
    </w:p>
    <w:p>
      <w:pPr>
        <w:spacing w:line="276" w:lineRule="auto"/>
        <w:ind w:left="357" w:hanging="357"/>
      </w:pPr>
      <w:r>
        <w:rPr>
          <w:rFonts w:ascii="Cambria" w:hAnsi="Cambria"/>
          <w:b w:val="0"/>
          <w:i w:val="0"/>
          <w:sz w:val="22"/>
        </w:rPr>
        <w:t xml:space="preserve">1. </w:t>
      </w:r>
      <w:r>
        <w:rPr>
          <w:rFonts w:ascii="Cambria" w:hAnsi="Cambria"/>
          <w:b w:val="0"/>
          <w:i w:val="0"/>
          <w:sz w:val="22"/>
        </w:rPr>
        <w:t>Training is mandatory, structured, and competency-based for all employees.</w:t>
      </w:r>
    </w:p>
    <w:p>
      <w:pPr>
        <w:spacing w:line="276" w:lineRule="auto"/>
        <w:ind w:left="357" w:hanging="357"/>
      </w:pPr>
      <w:r>
        <w:rPr>
          <w:rFonts w:ascii="Cambria" w:hAnsi="Cambria"/>
          <w:b w:val="0"/>
          <w:i w:val="0"/>
          <w:sz w:val="22"/>
        </w:rPr>
        <w:t xml:space="preserve">2. </w:t>
      </w:r>
      <w:r>
        <w:rPr>
          <w:rFonts w:ascii="Cambria" w:hAnsi="Cambria"/>
          <w:b w:val="0"/>
          <w:i w:val="0"/>
          <w:sz w:val="22"/>
        </w:rPr>
        <w:t>Professional development shall be linked to appraisal and promotion criteria.</w:t>
      </w:r>
    </w:p>
    <w:p>
      <w:pPr>
        <w:spacing w:line="276" w:lineRule="auto"/>
        <w:ind w:left="357" w:hanging="357"/>
      </w:pPr>
      <w:r>
        <w:rPr>
          <w:rFonts w:ascii="Cambria" w:hAnsi="Cambria"/>
          <w:b w:val="0"/>
          <w:i w:val="0"/>
          <w:sz w:val="22"/>
        </w:rPr>
        <w:t xml:space="preserve">3. </w:t>
      </w:r>
      <w:r>
        <w:rPr>
          <w:rFonts w:ascii="Cambria" w:hAnsi="Cambria"/>
          <w:b w:val="0"/>
          <w:i w:val="0"/>
          <w:sz w:val="22"/>
        </w:rPr>
        <w:t>Equal opportunity shall be ensured irrespective of gender, age, or cadre.</w:t>
      </w:r>
    </w:p>
    <w:p>
      <w:pPr>
        <w:spacing w:line="276" w:lineRule="auto"/>
        <w:ind w:left="357" w:hanging="357"/>
      </w:pPr>
      <w:r>
        <w:rPr>
          <w:rFonts w:ascii="Cambria" w:hAnsi="Cambria"/>
          <w:b w:val="0"/>
          <w:i w:val="0"/>
          <w:sz w:val="22"/>
        </w:rPr>
        <w:t xml:space="preserve">4. </w:t>
      </w:r>
      <w:r>
        <w:rPr>
          <w:rFonts w:ascii="Cambria" w:hAnsi="Cambria"/>
          <w:b w:val="0"/>
          <w:i w:val="0"/>
          <w:sz w:val="22"/>
        </w:rPr>
        <w:t>Departments must allocate at least 1% of annual salary expenditure toward training initiatives.</w:t>
      </w:r>
    </w:p>
    <w:p>
      <w:pPr>
        <w:spacing w:line="276" w:lineRule="auto"/>
        <w:ind w:left="357" w:hanging="357"/>
      </w:pPr>
      <w:r>
        <w:rPr>
          <w:rFonts w:ascii="Cambria" w:hAnsi="Cambria"/>
          <w:b w:val="0"/>
          <w:i w:val="0"/>
          <w:sz w:val="22"/>
        </w:rPr>
        <w:t xml:space="preserve">5. </w:t>
      </w:r>
      <w:r>
        <w:rPr>
          <w:rFonts w:ascii="Cambria" w:hAnsi="Cambria"/>
          <w:b w:val="0"/>
          <w:i w:val="0"/>
          <w:sz w:val="22"/>
        </w:rPr>
        <w:t>The University shall review and update the training policy every three years in line with NEP 2020 and global best practices.</w:t>
      </w:r>
    </w:p>
    <w:p>
      <w:pPr>
        <w:keepNext/>
        <w:spacing w:before="200" w:after="120"/>
      </w:pPr>
      <w:r>
        <w:rPr>
          <w:rFonts w:ascii="Cambria" w:hAnsi="Cambria"/>
          <w:b/>
          <w:color w:val="1F3A5F"/>
          <w:sz w:val="24"/>
        </w:rPr>
        <w:t>XI.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814"/>
            <w:shd w:val="clear" w:color="auto" w:fill="1F3A5F"/>
          </w:tcPr>
          <w:p>
            <w:pPr>
              <w:spacing w:after="40" w:before="40"/>
            </w:pPr>
            <w:r/>
            <w:r>
              <w:rPr>
                <w:rFonts w:ascii="Cambria" w:hAnsi="Cambria"/>
                <w:b/>
                <w:i w:val="0"/>
                <w:color w:val="FFFFFF"/>
                <w:sz w:val="22"/>
              </w:rPr>
              <w:t>Aspect</w:t>
            </w:r>
          </w:p>
        </w:tc>
        <w:tc>
          <w:tcPr>
            <w:tcW w:type="dxa" w:w="5103"/>
            <w:shd w:val="clear" w:color="auto" w:fill="1F3A5F"/>
          </w:tcPr>
          <w:p>
            <w:pPr>
              <w:spacing w:after="40" w:before="40"/>
            </w:pPr>
            <w:r/>
            <w:r>
              <w:rPr>
                <w:rFonts w:ascii="Cambria" w:hAnsi="Cambria"/>
                <w:b/>
                <w:i w:val="0"/>
                <w:color w:val="FFFFFF"/>
                <w:sz w:val="22"/>
              </w:rPr>
              <w:t>Provision</w:t>
            </w:r>
          </w:p>
        </w:tc>
        <w:tc>
          <w:tcPr>
            <w:tcW w:type="dxa" w:w="2494"/>
            <w:shd w:val="clear" w:color="auto" w:fill="1F3A5F"/>
          </w:tcPr>
          <w:p>
            <w:pPr>
              <w:spacing w:after="40" w:before="40"/>
            </w:pPr>
            <w:r/>
            <w:r>
              <w:rPr>
                <w:rFonts w:ascii="Cambria" w:hAnsi="Cambria"/>
                <w:b/>
                <w:i w:val="0"/>
                <w:color w:val="FFFFFF"/>
                <w:sz w:val="22"/>
              </w:rPr>
              <w:t>Authority</w:t>
            </w:r>
          </w:p>
        </w:tc>
      </w:tr>
      <w:tr>
        <w:tc>
          <w:tcPr>
            <w:tcW w:type="dxa" w:w="1814"/>
          </w:tcPr>
          <w:p>
            <w:pPr>
              <w:spacing w:after="40" w:before="40"/>
            </w:pPr>
            <w:r/>
            <w:r>
              <w:rPr>
                <w:rFonts w:ascii="Cambria" w:hAnsi="Cambria"/>
                <w:b w:val="0"/>
                <w:i w:val="0"/>
                <w:sz w:val="22"/>
              </w:rPr>
              <w:t>Training Planning</w:t>
            </w:r>
          </w:p>
        </w:tc>
        <w:tc>
          <w:tcPr>
            <w:tcW w:type="dxa" w:w="5103"/>
          </w:tcPr>
          <w:p>
            <w:pPr>
              <w:spacing w:after="40" w:before="40"/>
            </w:pPr>
            <w:r/>
            <w:r>
              <w:rPr>
                <w:rFonts w:ascii="Cambria" w:hAnsi="Cambria"/>
                <w:b w:val="0"/>
                <w:i w:val="0"/>
                <w:sz w:val="22"/>
              </w:rPr>
              <w:t>Annual Training Calendar and Budget</w:t>
            </w:r>
          </w:p>
        </w:tc>
        <w:tc>
          <w:tcPr>
            <w:tcW w:type="dxa" w:w="2494"/>
          </w:tcPr>
          <w:p>
            <w:pPr>
              <w:spacing w:after="40" w:before="40"/>
            </w:pPr>
            <w:r/>
            <w:r>
              <w:rPr>
                <w:rFonts w:ascii="Cambria" w:hAnsi="Cambria"/>
                <w:b w:val="0"/>
                <w:i w:val="0"/>
                <w:sz w:val="22"/>
              </w:rPr>
              <w:t>HRD Cell / Registrar / BoM</w:t>
            </w:r>
          </w:p>
        </w:tc>
      </w:tr>
      <w:tr>
        <w:tc>
          <w:tcPr>
            <w:tcW w:type="dxa" w:w="1814"/>
            <w:shd w:val="clear" w:color="auto" w:fill="F0F2F5"/>
          </w:tcPr>
          <w:p>
            <w:pPr>
              <w:spacing w:after="40" w:before="40"/>
            </w:pPr>
            <w:r/>
            <w:r>
              <w:rPr>
                <w:rFonts w:ascii="Cambria" w:hAnsi="Cambria"/>
                <w:b w:val="0"/>
                <w:i w:val="0"/>
                <w:sz w:val="22"/>
              </w:rPr>
              <w:t>Eligibility</w:t>
            </w:r>
          </w:p>
        </w:tc>
        <w:tc>
          <w:tcPr>
            <w:tcW w:type="dxa" w:w="5103"/>
            <w:shd w:val="clear" w:color="auto" w:fill="F0F2F5"/>
          </w:tcPr>
          <w:p>
            <w:pPr>
              <w:spacing w:after="40" w:before="40"/>
            </w:pPr>
            <w:r/>
            <w:r>
              <w:rPr>
                <w:rFonts w:ascii="Cambria" w:hAnsi="Cambria"/>
                <w:b w:val="0"/>
                <w:i w:val="0"/>
                <w:sz w:val="22"/>
              </w:rPr>
              <w:t>All permanent, probationary, and contractual employees</w:t>
            </w:r>
          </w:p>
        </w:tc>
        <w:tc>
          <w:tcPr>
            <w:tcW w:type="dxa" w:w="2494"/>
            <w:shd w:val="clear" w:color="auto" w:fill="F0F2F5"/>
          </w:tcPr>
          <w:p>
            <w:pPr>
              <w:spacing w:after="40" w:before="40"/>
            </w:pPr>
            <w:r/>
            <w:r>
              <w:rPr>
                <w:rFonts w:ascii="Cambria" w:hAnsi="Cambria"/>
                <w:b w:val="0"/>
                <w:i w:val="0"/>
                <w:sz w:val="22"/>
              </w:rPr>
              <w:t>University-wide</w:t>
            </w:r>
          </w:p>
        </w:tc>
      </w:tr>
      <w:tr>
        <w:tc>
          <w:tcPr>
            <w:tcW w:type="dxa" w:w="1814"/>
          </w:tcPr>
          <w:p>
            <w:pPr>
              <w:spacing w:after="40" w:before="40"/>
            </w:pPr>
            <w:r/>
            <w:r>
              <w:rPr>
                <w:rFonts w:ascii="Cambria" w:hAnsi="Cambria"/>
                <w:b w:val="0"/>
                <w:i w:val="0"/>
                <w:sz w:val="22"/>
              </w:rPr>
              <w:t>Incentives</w:t>
            </w:r>
          </w:p>
        </w:tc>
        <w:tc>
          <w:tcPr>
            <w:tcW w:type="dxa" w:w="5103"/>
          </w:tcPr>
          <w:p>
            <w:pPr>
              <w:spacing w:after="40" w:before="40"/>
            </w:pPr>
            <w:r/>
            <w:r>
              <w:rPr>
                <w:rFonts w:ascii="Cambria" w:hAnsi="Cambria"/>
                <w:b w:val="0"/>
                <w:i w:val="0"/>
                <w:sz w:val="22"/>
              </w:rPr>
              <w:t>Duty leave, reimbursement, recognition</w:t>
            </w:r>
          </w:p>
        </w:tc>
        <w:tc>
          <w:tcPr>
            <w:tcW w:type="dxa" w:w="2494"/>
          </w:tcPr>
          <w:p>
            <w:pPr>
              <w:spacing w:after="40" w:before="40"/>
            </w:pPr>
            <w:r/>
            <w:r>
              <w:rPr>
                <w:rFonts w:ascii="Cambria" w:hAnsi="Cambria"/>
                <w:b w:val="0"/>
                <w:i w:val="0"/>
                <w:sz w:val="22"/>
              </w:rPr>
              <w:t>Registrar / Finance</w:t>
            </w:r>
          </w:p>
        </w:tc>
      </w:tr>
      <w:tr>
        <w:tc>
          <w:tcPr>
            <w:tcW w:type="dxa" w:w="1814"/>
            <w:shd w:val="clear" w:color="auto" w:fill="F0F2F5"/>
          </w:tcPr>
          <w:p>
            <w:pPr>
              <w:spacing w:after="40" w:before="40"/>
            </w:pPr>
            <w:r/>
            <w:r>
              <w:rPr>
                <w:rFonts w:ascii="Cambria" w:hAnsi="Cambria"/>
                <w:b w:val="0"/>
                <w:i w:val="0"/>
                <w:sz w:val="22"/>
              </w:rPr>
              <w:t>Monitoring</w:t>
            </w:r>
          </w:p>
        </w:tc>
        <w:tc>
          <w:tcPr>
            <w:tcW w:type="dxa" w:w="5103"/>
            <w:shd w:val="clear" w:color="auto" w:fill="F0F2F5"/>
          </w:tcPr>
          <w:p>
            <w:pPr>
              <w:spacing w:after="40" w:before="40"/>
            </w:pPr>
            <w:r/>
            <w:r>
              <w:rPr>
                <w:rFonts w:ascii="Cambria" w:hAnsi="Cambria"/>
                <w:b w:val="0"/>
                <w:i w:val="0"/>
                <w:sz w:val="22"/>
              </w:rPr>
              <w:t>HRD Cell / IQAC</w:t>
            </w:r>
          </w:p>
        </w:tc>
        <w:tc>
          <w:tcPr>
            <w:tcW w:type="dxa" w:w="2494"/>
            <w:shd w:val="clear" w:color="auto" w:fill="F0F2F5"/>
          </w:tcPr>
          <w:p>
            <w:pPr>
              <w:spacing w:after="40" w:before="40"/>
            </w:pPr>
            <w:r/>
            <w:r>
              <w:rPr>
                <w:rFonts w:ascii="Cambria" w:hAnsi="Cambria"/>
                <w:b w:val="0"/>
                <w:i w:val="0"/>
                <w:sz w:val="22"/>
              </w:rPr>
              <w:t>Annual Review Report</w:t>
            </w:r>
          </w:p>
        </w:tc>
      </w:tr>
      <w:tr>
        <w:tc>
          <w:tcPr>
            <w:tcW w:type="dxa" w:w="1814"/>
          </w:tcPr>
          <w:p>
            <w:pPr>
              <w:spacing w:after="40" w:before="40"/>
            </w:pPr>
            <w:r/>
            <w:r>
              <w:rPr>
                <w:rFonts w:ascii="Cambria" w:hAnsi="Cambria"/>
                <w:b w:val="0"/>
                <w:i w:val="0"/>
                <w:sz w:val="22"/>
              </w:rPr>
              <w:t>Record Maintenance</w:t>
            </w:r>
          </w:p>
        </w:tc>
        <w:tc>
          <w:tcPr>
            <w:tcW w:type="dxa" w:w="5103"/>
          </w:tcPr>
          <w:p>
            <w:pPr>
              <w:spacing w:after="40" w:before="40"/>
            </w:pPr>
            <w:r/>
            <w:r>
              <w:rPr>
                <w:rFonts w:ascii="Cambria" w:hAnsi="Cambria"/>
                <w:b w:val="0"/>
                <w:i w:val="0"/>
                <w:sz w:val="22"/>
              </w:rPr>
              <w:t>Digital training register and certificates</w:t>
            </w:r>
          </w:p>
        </w:tc>
        <w:tc>
          <w:tcPr>
            <w:tcW w:type="dxa" w:w="2494"/>
          </w:tcPr>
          <w:p>
            <w:pPr>
              <w:spacing w:after="40" w:before="40"/>
            </w:pPr>
            <w:r/>
            <w:r>
              <w:rPr>
                <w:rFonts w:ascii="Cambria" w:hAnsi="Cambria"/>
                <w:b w:val="0"/>
                <w:i w:val="0"/>
                <w:sz w:val="22"/>
              </w:rPr>
              <w:t>HRD Cell</w:t>
            </w:r>
          </w:p>
        </w:tc>
      </w:tr>
      <w:tr>
        <w:tc>
          <w:tcPr>
            <w:tcW w:type="dxa" w:w="1814"/>
            <w:shd w:val="clear" w:color="auto" w:fill="F0F2F5"/>
          </w:tcPr>
          <w:p>
            <w:pPr>
              <w:spacing w:after="40" w:before="40"/>
            </w:pPr>
            <w:r/>
            <w:r>
              <w:rPr>
                <w:rFonts w:ascii="Cambria" w:hAnsi="Cambria"/>
                <w:b w:val="0"/>
                <w:i w:val="0"/>
                <w:sz w:val="22"/>
              </w:rPr>
              <w:t>Policy Review</w:t>
            </w:r>
          </w:p>
        </w:tc>
        <w:tc>
          <w:tcPr>
            <w:tcW w:type="dxa" w:w="5103"/>
            <w:shd w:val="clear" w:color="auto" w:fill="F0F2F5"/>
          </w:tcPr>
          <w:p>
            <w:pPr>
              <w:spacing w:after="40" w:before="40"/>
            </w:pPr>
            <w:r/>
            <w:r>
              <w:rPr>
                <w:rFonts w:ascii="Cambria" w:hAnsi="Cambria"/>
                <w:b w:val="0"/>
                <w:i w:val="0"/>
                <w:sz w:val="22"/>
              </w:rPr>
              <w:t>Every 3 years</w:t>
            </w:r>
          </w:p>
        </w:tc>
        <w:tc>
          <w:tcPr>
            <w:tcW w:type="dxa" w:w="2494"/>
            <w:shd w:val="clear" w:color="auto" w:fill="F0F2F5"/>
          </w:tcPr>
          <w:p>
            <w:pPr>
              <w:spacing w:after="40" w:before="40"/>
            </w:pPr>
            <w:r/>
            <w:r>
              <w:rPr>
                <w:rFonts w:ascii="Cambria" w:hAnsi="Cambria"/>
                <w:b w:val="0"/>
                <w:i w:val="0"/>
                <w:sz w:val="22"/>
              </w:rPr>
              <w:t>BoM / IQAC</w:t>
            </w:r>
          </w:p>
        </w:tc>
      </w:tr>
    </w:tbl>
    <w:p>
      <w:pPr>
        <w:spacing w:after="40"/>
      </w:pPr>
    </w:p>
    <w:p>
      <w:pPr>
        <w:keepNext/>
        <w:spacing w:before="200" w:after="120"/>
      </w:pPr>
      <w:r>
        <w:rPr>
          <w:rFonts w:ascii="Cambria" w:hAnsi="Cambria"/>
          <w:b/>
          <w:color w:val="1F3A5F"/>
          <w:sz w:val="27"/>
        </w:rPr>
        <w:t>J. Research, Consultancy, and Innovation Incentive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promote a vibrant research and innovation ecosystem in the University by encouraging faculty, researchers, and students to engage in research, consultancy, patents, and entrepreneurial ventures.</w:t>
      </w:r>
    </w:p>
    <w:p>
      <w:pPr>
        <w:pStyle w:val="ListBullet"/>
        <w:spacing w:line="276" w:lineRule="auto"/>
        <w:ind w:left="510"/>
      </w:pPr>
      <w:r>
        <w:rPr>
          <w:rFonts w:ascii="Cambria" w:hAnsi="Cambria"/>
          <w:b w:val="0"/>
          <w:i w:val="0"/>
          <w:sz w:val="22"/>
        </w:rPr>
        <w:t>To provide structured incentives, recognition, and support mechanisms for enhancing the University’s contribution to national and global research excellence.</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Foster a research-driven academic culture aligned with institutional vision and national priorities.</w:t>
      </w:r>
    </w:p>
    <w:p>
      <w:pPr>
        <w:pStyle w:val="ListBullet"/>
        <w:spacing w:line="276" w:lineRule="auto"/>
        <w:ind w:left="510"/>
      </w:pPr>
      <w:r>
        <w:rPr>
          <w:rFonts w:ascii="Cambria" w:hAnsi="Cambria"/>
          <w:b w:val="0"/>
          <w:i w:val="0"/>
          <w:sz w:val="22"/>
        </w:rPr>
        <w:t>Encourage faculty-industry collaboration, consultancy, and technology transfer.</w:t>
      </w:r>
    </w:p>
    <w:p>
      <w:pPr>
        <w:pStyle w:val="ListBullet"/>
        <w:spacing w:line="276" w:lineRule="auto"/>
        <w:ind w:left="510"/>
      </w:pPr>
      <w:r>
        <w:rPr>
          <w:rFonts w:ascii="Cambria" w:hAnsi="Cambria"/>
          <w:b w:val="0"/>
          <w:i w:val="0"/>
          <w:sz w:val="22"/>
        </w:rPr>
        <w:t>Recognize and reward innovation, publications, patents, and funded projects.</w:t>
      </w:r>
    </w:p>
    <w:p>
      <w:pPr>
        <w:pStyle w:val="ListBullet"/>
        <w:spacing w:line="276" w:lineRule="auto"/>
        <w:ind w:left="510"/>
      </w:pPr>
      <w:r>
        <w:rPr>
          <w:rFonts w:ascii="Cambria" w:hAnsi="Cambria"/>
          <w:b w:val="0"/>
          <w:i w:val="0"/>
          <w:sz w:val="22"/>
        </w:rPr>
        <w:t>Integrate research outcomes with teaching, community development, and SDG goals.</w:t>
      </w:r>
    </w:p>
    <w:p>
      <w:pPr>
        <w:pStyle w:val="ListBullet"/>
        <w:spacing w:line="276" w:lineRule="auto"/>
        <w:ind w:left="510"/>
      </w:pPr>
      <w:r>
        <w:rPr>
          <w:rFonts w:ascii="Cambria" w:hAnsi="Cambria"/>
          <w:b w:val="0"/>
          <w:i w:val="0"/>
          <w:sz w:val="22"/>
        </w:rPr>
        <w:t>Strengthen University performance in NAAC Criterion III, NBA Criterion 3, and NIRF Research &amp; Innovation Parameters.</w:t>
      </w:r>
    </w:p>
    <w:p>
      <w:pPr>
        <w:keepNext/>
        <w:spacing w:before="200" w:after="120"/>
      </w:pPr>
      <w:r>
        <w:rPr>
          <w:rFonts w:ascii="Cambria" w:hAnsi="Cambria"/>
          <w:b/>
          <w:color w:val="1F3A5F"/>
          <w:sz w:val="24"/>
        </w:rPr>
        <w:t>II. Scope and Eligibility</w:t>
      </w:r>
    </w:p>
    <w:p>
      <w:pPr>
        <w:pStyle w:val="ListBullet"/>
        <w:spacing w:line="276" w:lineRule="auto"/>
        <w:ind w:left="510"/>
      </w:pPr>
      <w:r>
        <w:rPr>
          <w:rFonts w:ascii="Cambria" w:hAnsi="Cambria"/>
          <w:b w:val="0"/>
          <w:i w:val="0"/>
          <w:sz w:val="22"/>
        </w:rPr>
        <w:t>Applicable to:</w:t>
      </w:r>
    </w:p>
    <w:p>
      <w:pPr>
        <w:pStyle w:val="ListBullet2"/>
        <w:spacing w:line="276" w:lineRule="auto"/>
        <w:ind w:left="1020"/>
      </w:pPr>
      <w:r>
        <w:rPr>
          <w:rFonts w:ascii="Cambria" w:hAnsi="Cambria"/>
          <w:b w:val="0"/>
          <w:i w:val="0"/>
          <w:sz w:val="22"/>
        </w:rPr>
        <w:t>Teaching Faculty (Full-time, regular, or contractual).</w:t>
      </w:r>
    </w:p>
    <w:p>
      <w:pPr>
        <w:pStyle w:val="ListBullet2"/>
        <w:spacing w:line="276" w:lineRule="auto"/>
        <w:ind w:left="1020"/>
      </w:pPr>
      <w:r>
        <w:rPr>
          <w:rFonts w:ascii="Cambria" w:hAnsi="Cambria"/>
          <w:b w:val="0"/>
          <w:i w:val="0"/>
          <w:sz w:val="22"/>
        </w:rPr>
        <w:t>Research Scholars / Postdoctoral Fellows.</w:t>
      </w:r>
    </w:p>
    <w:p>
      <w:pPr>
        <w:pStyle w:val="ListBullet2"/>
        <w:spacing w:line="276" w:lineRule="auto"/>
        <w:ind w:left="1020"/>
      </w:pPr>
      <w:r>
        <w:rPr>
          <w:rFonts w:ascii="Cambria" w:hAnsi="Cambria"/>
          <w:b w:val="0"/>
          <w:i w:val="0"/>
          <w:sz w:val="22"/>
        </w:rPr>
        <w:t>Students participating in funded research or innovation projects.</w:t>
      </w:r>
    </w:p>
    <w:p>
      <w:pPr>
        <w:pStyle w:val="ListBullet2"/>
        <w:spacing w:line="276" w:lineRule="auto"/>
        <w:ind w:left="1020"/>
      </w:pPr>
      <w:r>
        <w:rPr>
          <w:rFonts w:ascii="Cambria" w:hAnsi="Cambria"/>
          <w:b w:val="0"/>
          <w:i w:val="0"/>
          <w:sz w:val="22"/>
        </w:rPr>
        <w:t>Collaborators and consultants approved by the University.</w:t>
      </w:r>
    </w:p>
    <w:p>
      <w:pPr>
        <w:pStyle w:val="ListBullet"/>
        <w:spacing w:line="276" w:lineRule="auto"/>
        <w:ind w:left="510"/>
      </w:pPr>
      <w:r>
        <w:rPr>
          <w:rFonts w:ascii="Cambria" w:hAnsi="Cambria"/>
          <w:b w:val="0"/>
          <w:i w:val="0"/>
          <w:sz w:val="22"/>
        </w:rPr>
        <w:t>Applies to all forms of research and innovation:</w:t>
      </w:r>
    </w:p>
    <w:p>
      <w:pPr>
        <w:pStyle w:val="ListBullet2"/>
        <w:spacing w:line="276" w:lineRule="auto"/>
        <w:ind w:left="1020"/>
      </w:pPr>
      <w:r>
        <w:rPr>
          <w:rFonts w:ascii="Cambria" w:hAnsi="Cambria"/>
          <w:b w:val="0"/>
          <w:i w:val="0"/>
          <w:sz w:val="22"/>
        </w:rPr>
        <w:t>Sponsored Projects (Government, Industry, International).</w:t>
      </w:r>
    </w:p>
    <w:p>
      <w:pPr>
        <w:pStyle w:val="ListBullet2"/>
        <w:spacing w:line="276" w:lineRule="auto"/>
        <w:ind w:left="1020"/>
      </w:pPr>
      <w:r>
        <w:rPr>
          <w:rFonts w:ascii="Cambria" w:hAnsi="Cambria"/>
          <w:b w:val="0"/>
          <w:i w:val="0"/>
          <w:sz w:val="22"/>
        </w:rPr>
        <w:t>Consultancy Assignments.</w:t>
      </w:r>
    </w:p>
    <w:p>
      <w:pPr>
        <w:pStyle w:val="ListBullet2"/>
        <w:spacing w:line="276" w:lineRule="auto"/>
        <w:ind w:left="1020"/>
      </w:pPr>
      <w:r>
        <w:rPr>
          <w:rFonts w:ascii="Cambria" w:hAnsi="Cambria"/>
          <w:b w:val="0"/>
          <w:i w:val="0"/>
          <w:sz w:val="22"/>
        </w:rPr>
        <w:t>Publications, Patents, Start-ups, and Technology Transfers.</w:t>
      </w:r>
    </w:p>
    <w:p>
      <w:pPr>
        <w:keepNext/>
        <w:spacing w:before="200" w:after="120"/>
      </w:pPr>
      <w:r>
        <w:rPr>
          <w:rFonts w:ascii="Cambria" w:hAnsi="Cambria"/>
          <w:b/>
          <w:color w:val="1F3A5F"/>
          <w:sz w:val="24"/>
        </w:rPr>
        <w:t>III. Types of Research and Consultancy Activities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Category</w:t>
            </w:r>
          </w:p>
        </w:tc>
        <w:tc>
          <w:tcPr>
            <w:tcW w:type="dxa" w:w="3969"/>
            <w:shd w:val="clear" w:color="auto" w:fill="1F3A5F"/>
          </w:tcPr>
          <w:p>
            <w:pPr>
              <w:spacing w:after="40" w:before="40"/>
            </w:pPr>
            <w:r/>
            <w:r>
              <w:rPr>
                <w:rFonts w:ascii="Cambria" w:hAnsi="Cambria"/>
                <w:b/>
                <w:i w:val="0"/>
                <w:color w:val="FFFFFF"/>
                <w:sz w:val="22"/>
              </w:rPr>
              <w:t>Examples</w:t>
            </w:r>
          </w:p>
        </w:tc>
        <w:tc>
          <w:tcPr>
            <w:tcW w:type="dxa" w:w="2835"/>
            <w:shd w:val="clear" w:color="auto" w:fill="1F3A5F"/>
          </w:tcPr>
          <w:p>
            <w:pPr>
              <w:spacing w:after="40" w:before="40"/>
            </w:pPr>
            <w:r/>
            <w:r>
              <w:rPr>
                <w:rFonts w:ascii="Cambria" w:hAnsi="Cambria"/>
                <w:b/>
                <w:i w:val="0"/>
                <w:color w:val="FFFFFF"/>
                <w:sz w:val="22"/>
              </w:rPr>
              <w:t>Funding / Source</w:t>
            </w:r>
          </w:p>
        </w:tc>
      </w:tr>
      <w:tr>
        <w:tc>
          <w:tcPr>
            <w:tcW w:type="dxa" w:w="2268"/>
          </w:tcPr>
          <w:p>
            <w:pPr>
              <w:spacing w:after="40" w:before="40"/>
            </w:pPr>
            <w:r/>
            <w:r>
              <w:rPr>
                <w:rFonts w:ascii="Cambria" w:hAnsi="Cambria"/>
                <w:b w:val="0"/>
                <w:i w:val="0"/>
                <w:sz w:val="22"/>
              </w:rPr>
              <w:t>Sponsored Research Projects</w:t>
            </w:r>
          </w:p>
        </w:tc>
        <w:tc>
          <w:tcPr>
            <w:tcW w:type="dxa" w:w="3969"/>
          </w:tcPr>
          <w:p>
            <w:pPr>
              <w:spacing w:after="40" w:before="40"/>
            </w:pPr>
            <w:r/>
            <w:r>
              <w:rPr>
                <w:rFonts w:ascii="Cambria" w:hAnsi="Cambria"/>
                <w:b w:val="0"/>
                <w:i w:val="0"/>
                <w:sz w:val="22"/>
              </w:rPr>
              <w:t>DST, DBT, ICSSR, AICTE, UGC, CSR funds</w:t>
            </w:r>
          </w:p>
        </w:tc>
        <w:tc>
          <w:tcPr>
            <w:tcW w:type="dxa" w:w="2835"/>
          </w:tcPr>
          <w:p>
            <w:pPr>
              <w:spacing w:after="40" w:before="40"/>
            </w:pPr>
            <w:r/>
            <w:r>
              <w:rPr>
                <w:rFonts w:ascii="Cambria" w:hAnsi="Cambria"/>
                <w:b w:val="0"/>
                <w:i w:val="0"/>
                <w:sz w:val="22"/>
              </w:rPr>
              <w:t>Government / Corporate</w:t>
            </w:r>
          </w:p>
        </w:tc>
      </w:tr>
      <w:tr>
        <w:tc>
          <w:tcPr>
            <w:tcW w:type="dxa" w:w="2268"/>
            <w:shd w:val="clear" w:color="auto" w:fill="F0F2F5"/>
          </w:tcPr>
          <w:p>
            <w:pPr>
              <w:spacing w:after="40" w:before="40"/>
            </w:pPr>
            <w:r/>
            <w:r>
              <w:rPr>
                <w:rFonts w:ascii="Cambria" w:hAnsi="Cambria"/>
                <w:b w:val="0"/>
                <w:i w:val="0"/>
                <w:sz w:val="22"/>
              </w:rPr>
              <w:t>Consultancy Projects</w:t>
            </w:r>
          </w:p>
        </w:tc>
        <w:tc>
          <w:tcPr>
            <w:tcW w:type="dxa" w:w="3969"/>
            <w:shd w:val="clear" w:color="auto" w:fill="F0F2F5"/>
          </w:tcPr>
          <w:p>
            <w:pPr>
              <w:spacing w:after="40" w:before="40"/>
            </w:pPr>
            <w:r/>
            <w:r>
              <w:rPr>
                <w:rFonts w:ascii="Cambria" w:hAnsi="Cambria"/>
                <w:b w:val="0"/>
                <w:i w:val="0"/>
                <w:sz w:val="22"/>
              </w:rPr>
              <w:t>Industrial services, testing, product design, training</w:t>
            </w:r>
          </w:p>
        </w:tc>
        <w:tc>
          <w:tcPr>
            <w:tcW w:type="dxa" w:w="2835"/>
            <w:shd w:val="clear" w:color="auto" w:fill="F0F2F5"/>
          </w:tcPr>
          <w:p>
            <w:pPr>
              <w:spacing w:after="40" w:before="40"/>
            </w:pPr>
            <w:r/>
            <w:r>
              <w:rPr>
                <w:rFonts w:ascii="Cambria" w:hAnsi="Cambria"/>
                <w:b w:val="0"/>
                <w:i w:val="0"/>
                <w:sz w:val="22"/>
              </w:rPr>
              <w:t>Industry / Private</w:t>
            </w:r>
          </w:p>
        </w:tc>
      </w:tr>
      <w:tr>
        <w:tc>
          <w:tcPr>
            <w:tcW w:type="dxa" w:w="2268"/>
          </w:tcPr>
          <w:p>
            <w:pPr>
              <w:spacing w:after="40" w:before="40"/>
            </w:pPr>
            <w:r/>
            <w:r>
              <w:rPr>
                <w:rFonts w:ascii="Cambria" w:hAnsi="Cambria"/>
                <w:b w:val="0"/>
                <w:i w:val="0"/>
                <w:sz w:val="22"/>
              </w:rPr>
              <w:t>Innovation &amp; Start-up Projects</w:t>
            </w:r>
          </w:p>
        </w:tc>
        <w:tc>
          <w:tcPr>
            <w:tcW w:type="dxa" w:w="3969"/>
          </w:tcPr>
          <w:p>
            <w:pPr>
              <w:spacing w:after="40" w:before="40"/>
            </w:pPr>
            <w:r/>
            <w:r>
              <w:rPr>
                <w:rFonts w:ascii="Cambria" w:hAnsi="Cambria"/>
                <w:b w:val="0"/>
                <w:i w:val="0"/>
                <w:sz w:val="22"/>
              </w:rPr>
              <w:t>Incubation, prototypes, patents</w:t>
            </w:r>
          </w:p>
        </w:tc>
        <w:tc>
          <w:tcPr>
            <w:tcW w:type="dxa" w:w="2835"/>
          </w:tcPr>
          <w:p>
            <w:pPr>
              <w:spacing w:after="40" w:before="40"/>
            </w:pPr>
            <w:r/>
            <w:r>
              <w:rPr>
                <w:rFonts w:ascii="Cambria" w:hAnsi="Cambria"/>
                <w:b w:val="0"/>
                <w:i w:val="0"/>
                <w:sz w:val="22"/>
              </w:rPr>
              <w:t>Internal Seed Fund / MSME / Startup India</w:t>
            </w:r>
          </w:p>
        </w:tc>
      </w:tr>
      <w:tr>
        <w:tc>
          <w:tcPr>
            <w:tcW w:type="dxa" w:w="2268"/>
            <w:shd w:val="clear" w:color="auto" w:fill="F0F2F5"/>
          </w:tcPr>
          <w:p>
            <w:pPr>
              <w:spacing w:after="40" w:before="40"/>
            </w:pPr>
            <w:r/>
            <w:r>
              <w:rPr>
                <w:rFonts w:ascii="Cambria" w:hAnsi="Cambria"/>
                <w:b w:val="0"/>
                <w:i w:val="0"/>
                <w:sz w:val="22"/>
              </w:rPr>
              <w:t>Collaborative Research</w:t>
            </w:r>
          </w:p>
        </w:tc>
        <w:tc>
          <w:tcPr>
            <w:tcW w:type="dxa" w:w="3969"/>
            <w:shd w:val="clear" w:color="auto" w:fill="F0F2F5"/>
          </w:tcPr>
          <w:p>
            <w:pPr>
              <w:spacing w:after="40" w:before="40"/>
            </w:pPr>
            <w:r/>
            <w:r>
              <w:rPr>
                <w:rFonts w:ascii="Cambria" w:hAnsi="Cambria"/>
                <w:b w:val="0"/>
                <w:i w:val="0"/>
                <w:sz w:val="22"/>
              </w:rPr>
              <w:t>Joint projects with universities or R&amp;D labs</w:t>
            </w:r>
          </w:p>
        </w:tc>
        <w:tc>
          <w:tcPr>
            <w:tcW w:type="dxa" w:w="2835"/>
            <w:shd w:val="clear" w:color="auto" w:fill="F0F2F5"/>
          </w:tcPr>
          <w:p>
            <w:pPr>
              <w:spacing w:after="40" w:before="40"/>
            </w:pPr>
            <w:r/>
            <w:r>
              <w:rPr>
                <w:rFonts w:ascii="Cambria" w:hAnsi="Cambria"/>
                <w:b w:val="0"/>
                <w:i w:val="0"/>
                <w:sz w:val="22"/>
              </w:rPr>
              <w:t>MoUs / Partnerships</w:t>
            </w:r>
          </w:p>
        </w:tc>
      </w:tr>
      <w:tr>
        <w:tc>
          <w:tcPr>
            <w:tcW w:type="dxa" w:w="2268"/>
          </w:tcPr>
          <w:p>
            <w:pPr>
              <w:spacing w:after="40" w:before="40"/>
            </w:pPr>
            <w:r/>
            <w:r>
              <w:rPr>
                <w:rFonts w:ascii="Cambria" w:hAnsi="Cambria"/>
                <w:b w:val="0"/>
                <w:i w:val="0"/>
                <w:sz w:val="22"/>
              </w:rPr>
              <w:t>Academic Research Output</w:t>
            </w:r>
          </w:p>
        </w:tc>
        <w:tc>
          <w:tcPr>
            <w:tcW w:type="dxa" w:w="3969"/>
          </w:tcPr>
          <w:p>
            <w:pPr>
              <w:spacing w:after="40" w:before="40"/>
            </w:pPr>
            <w:r/>
            <w:r>
              <w:rPr>
                <w:rFonts w:ascii="Cambria" w:hAnsi="Cambria"/>
                <w:b w:val="0"/>
                <w:i w:val="0"/>
                <w:sz w:val="22"/>
              </w:rPr>
              <w:t>Publications, book chapters, edited volumes</w:t>
            </w:r>
          </w:p>
        </w:tc>
        <w:tc>
          <w:tcPr>
            <w:tcW w:type="dxa" w:w="2835"/>
          </w:tcPr>
          <w:p>
            <w:pPr>
              <w:spacing w:after="40" w:before="40"/>
            </w:pPr>
            <w:r/>
            <w:r>
              <w:rPr>
                <w:rFonts w:ascii="Cambria" w:hAnsi="Cambria"/>
                <w:b w:val="0"/>
                <w:i w:val="0"/>
                <w:sz w:val="22"/>
              </w:rPr>
              <w:t>Institutional / Self-funded</w:t>
            </w:r>
          </w:p>
        </w:tc>
      </w:tr>
    </w:tbl>
    <w:p>
      <w:pPr>
        <w:spacing w:after="40"/>
      </w:pPr>
    </w:p>
    <w:p>
      <w:pPr>
        <w:keepNext/>
        <w:spacing w:before="200" w:after="120"/>
      </w:pPr>
      <w:r>
        <w:rPr>
          <w:rFonts w:ascii="Cambria" w:hAnsi="Cambria"/>
          <w:b/>
          <w:color w:val="1F3A5F"/>
          <w:sz w:val="24"/>
        </w:rPr>
        <w:t>IV. Research and Innovation Incentives</w:t>
      </w:r>
    </w:p>
    <w:p>
      <w:pPr>
        <w:keepNext/>
        <w:spacing w:before="200" w:after="120"/>
      </w:pPr>
      <w:r>
        <w:rPr>
          <w:rFonts w:ascii="Cambria" w:hAnsi="Cambria"/>
          <w:b/>
          <w:color w:val="1F3A5F"/>
          <w:sz w:val="24"/>
        </w:rPr>
        <w:t>1. Publication Incentives</w:t>
      </w:r>
    </w:p>
    <w:p>
      <w:pPr>
        <w:jc w:val="both"/>
      </w:pPr>
      <w:r>
        <w:rPr>
          <w:rFonts w:ascii="Cambria" w:hAnsi="Cambria"/>
          <w:i w:val="0"/>
          <w:sz w:val="22"/>
        </w:rPr>
        <w:t>Faculty publishing in recognized journals shall receive monetary or non-monetary incentives as per the following:</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2608"/>
            <w:shd w:val="clear" w:color="auto" w:fill="1F3A5F"/>
          </w:tcPr>
          <w:p>
            <w:pPr>
              <w:spacing w:after="40" w:before="40"/>
            </w:pPr>
            <w:r/>
            <w:r>
              <w:rPr>
                <w:rFonts w:ascii="Cambria" w:hAnsi="Cambria"/>
                <w:b/>
                <w:i w:val="0"/>
                <w:color w:val="FFFFFF"/>
                <w:sz w:val="22"/>
              </w:rPr>
              <w:t>Publication Type</w:t>
            </w:r>
          </w:p>
        </w:tc>
        <w:tc>
          <w:tcPr>
            <w:tcW w:type="dxa" w:w="1927"/>
            <w:shd w:val="clear" w:color="auto" w:fill="1F3A5F"/>
          </w:tcPr>
          <w:p>
            <w:pPr>
              <w:spacing w:after="40" w:before="40"/>
            </w:pPr>
            <w:r/>
            <w:r>
              <w:rPr>
                <w:rFonts w:ascii="Cambria" w:hAnsi="Cambria"/>
                <w:b/>
                <w:i w:val="0"/>
                <w:color w:val="FFFFFF"/>
                <w:sz w:val="22"/>
              </w:rPr>
              <w:t>Indexing / Quality Level</w:t>
            </w:r>
          </w:p>
        </w:tc>
        <w:tc>
          <w:tcPr>
            <w:tcW w:type="dxa" w:w="1134"/>
            <w:shd w:val="clear" w:color="auto" w:fill="1F3A5F"/>
          </w:tcPr>
          <w:p>
            <w:pPr>
              <w:spacing w:after="40" w:before="40"/>
            </w:pPr>
            <w:r/>
            <w:r>
              <w:rPr>
                <w:rFonts w:ascii="Cambria" w:hAnsi="Cambria"/>
                <w:b/>
                <w:i w:val="0"/>
                <w:color w:val="FFFFFF"/>
                <w:sz w:val="22"/>
              </w:rPr>
              <w:t>Incentive (₹)</w:t>
            </w:r>
          </w:p>
        </w:tc>
        <w:tc>
          <w:tcPr>
            <w:tcW w:type="dxa" w:w="3402"/>
            <w:shd w:val="clear" w:color="auto" w:fill="1F3A5F"/>
          </w:tcPr>
          <w:p>
            <w:pPr>
              <w:spacing w:after="40" w:before="40"/>
            </w:pPr>
            <w:r/>
            <w:r>
              <w:rPr>
                <w:rFonts w:ascii="Cambria" w:hAnsi="Cambria"/>
                <w:b/>
                <w:i w:val="0"/>
                <w:color w:val="FFFFFF"/>
                <w:sz w:val="22"/>
              </w:rPr>
              <w:t>Remarks</w:t>
            </w:r>
          </w:p>
        </w:tc>
      </w:tr>
      <w:tr>
        <w:tc>
          <w:tcPr>
            <w:tcW w:type="dxa" w:w="2608"/>
          </w:tcPr>
          <w:p>
            <w:pPr>
              <w:spacing w:after="40" w:before="40"/>
            </w:pPr>
            <w:r/>
            <w:r>
              <w:rPr>
                <w:rFonts w:ascii="Cambria" w:hAnsi="Cambria"/>
                <w:b w:val="0"/>
                <w:i w:val="0"/>
                <w:sz w:val="22"/>
              </w:rPr>
              <w:t>SCI / SCIE / Scopus Indexed Journal</w:t>
            </w:r>
          </w:p>
        </w:tc>
        <w:tc>
          <w:tcPr>
            <w:tcW w:type="dxa" w:w="1927"/>
          </w:tcPr>
          <w:p>
            <w:pPr>
              <w:spacing w:after="40" w:before="40"/>
            </w:pPr>
            <w:r/>
            <w:r>
              <w:rPr>
                <w:rFonts w:ascii="Cambria" w:hAnsi="Cambria"/>
                <w:b w:val="0"/>
                <w:i w:val="0"/>
                <w:sz w:val="22"/>
              </w:rPr>
              <w:t>Q1 / Q2 Ranking</w:t>
            </w:r>
          </w:p>
        </w:tc>
        <w:tc>
          <w:tcPr>
            <w:tcW w:type="dxa" w:w="1134"/>
          </w:tcPr>
          <w:p>
            <w:pPr>
              <w:spacing w:after="40" w:before="40"/>
            </w:pPr>
            <w:r/>
            <w:r>
              <w:rPr>
                <w:rFonts w:ascii="Cambria" w:hAnsi="Cambria"/>
                <w:b w:val="0"/>
                <w:i w:val="0"/>
                <w:sz w:val="22"/>
              </w:rPr>
              <w:t>10,000</w:t>
            </w:r>
          </w:p>
        </w:tc>
        <w:tc>
          <w:tcPr>
            <w:tcW w:type="dxa" w:w="3402"/>
          </w:tcPr>
          <w:p>
            <w:pPr>
              <w:spacing w:after="40" w:before="40"/>
            </w:pPr>
            <w:r/>
            <w:r>
              <w:rPr>
                <w:rFonts w:ascii="Cambria" w:hAnsi="Cambria"/>
                <w:b w:val="0"/>
                <w:i w:val="0"/>
                <w:sz w:val="22"/>
              </w:rPr>
              <w:t>Must include University affiliation</w:t>
            </w:r>
          </w:p>
        </w:tc>
      </w:tr>
      <w:tr>
        <w:tc>
          <w:tcPr>
            <w:tcW w:type="dxa" w:w="2608"/>
            <w:shd w:val="clear" w:color="auto" w:fill="F0F2F5"/>
          </w:tcPr>
          <w:p>
            <w:pPr>
              <w:spacing w:after="40" w:before="40"/>
            </w:pPr>
            <w:r/>
            <w:r>
              <w:rPr>
                <w:rFonts w:ascii="Cambria" w:hAnsi="Cambria"/>
                <w:b w:val="0"/>
                <w:i w:val="0"/>
                <w:sz w:val="22"/>
              </w:rPr>
              <w:t>UGC-CARE / ABDC Listed</w:t>
            </w:r>
          </w:p>
        </w:tc>
        <w:tc>
          <w:tcPr>
            <w:tcW w:type="dxa" w:w="1927"/>
            <w:shd w:val="clear" w:color="auto" w:fill="F0F2F5"/>
          </w:tcPr>
          <w:p>
            <w:pPr>
              <w:spacing w:after="40" w:before="40"/>
            </w:pPr>
            <w:r/>
            <w:r>
              <w:rPr>
                <w:rFonts w:ascii="Cambria" w:hAnsi="Cambria"/>
                <w:b w:val="0"/>
                <w:i w:val="0"/>
                <w:sz w:val="22"/>
              </w:rPr>
              <w:t>Peer-reviewed</w:t>
            </w:r>
          </w:p>
        </w:tc>
        <w:tc>
          <w:tcPr>
            <w:tcW w:type="dxa" w:w="1134"/>
            <w:shd w:val="clear" w:color="auto" w:fill="F0F2F5"/>
          </w:tcPr>
          <w:p>
            <w:pPr>
              <w:spacing w:after="40" w:before="40"/>
            </w:pPr>
            <w:r/>
            <w:r>
              <w:rPr>
                <w:rFonts w:ascii="Cambria" w:hAnsi="Cambria"/>
                <w:b w:val="0"/>
                <w:i w:val="0"/>
                <w:sz w:val="22"/>
              </w:rPr>
              <w:t>5,000</w:t>
            </w:r>
          </w:p>
        </w:tc>
        <w:tc>
          <w:tcPr>
            <w:tcW w:type="dxa" w:w="3402"/>
            <w:shd w:val="clear" w:color="auto" w:fill="F0F2F5"/>
          </w:tcPr>
          <w:p>
            <w:pPr>
              <w:spacing w:after="40" w:before="40"/>
            </w:pPr>
            <w:r/>
            <w:r>
              <w:rPr>
                <w:rFonts w:ascii="Cambria" w:hAnsi="Cambria"/>
                <w:b w:val="0"/>
                <w:i w:val="0"/>
                <w:sz w:val="22"/>
              </w:rPr>
              <w:t>First author or corresponding author</w:t>
            </w:r>
          </w:p>
        </w:tc>
      </w:tr>
      <w:tr>
        <w:tc>
          <w:tcPr>
            <w:tcW w:type="dxa" w:w="2608"/>
          </w:tcPr>
          <w:p>
            <w:pPr>
              <w:spacing w:after="40" w:before="40"/>
            </w:pPr>
            <w:r/>
            <w:r>
              <w:rPr>
                <w:rFonts w:ascii="Cambria" w:hAnsi="Cambria"/>
                <w:b w:val="0"/>
                <w:i w:val="0"/>
                <w:sz w:val="22"/>
              </w:rPr>
              <w:t>Book / Book Chapter (Reputed Publisher)</w:t>
            </w:r>
          </w:p>
        </w:tc>
        <w:tc>
          <w:tcPr>
            <w:tcW w:type="dxa" w:w="1927"/>
          </w:tcPr>
          <w:p>
            <w:pPr>
              <w:spacing w:after="40" w:before="40"/>
            </w:pPr>
            <w:r/>
            <w:r>
              <w:rPr>
                <w:rFonts w:ascii="Cambria" w:hAnsi="Cambria"/>
                <w:b w:val="0"/>
                <w:i w:val="0"/>
                <w:sz w:val="22"/>
              </w:rPr>
              <w:t>ISBN verified</w:t>
            </w:r>
          </w:p>
        </w:tc>
        <w:tc>
          <w:tcPr>
            <w:tcW w:type="dxa" w:w="1134"/>
          </w:tcPr>
          <w:p>
            <w:pPr>
              <w:spacing w:after="40" w:before="40"/>
            </w:pPr>
            <w:r/>
            <w:r>
              <w:rPr>
                <w:rFonts w:ascii="Cambria" w:hAnsi="Cambria"/>
                <w:b w:val="0"/>
                <w:i w:val="0"/>
                <w:sz w:val="22"/>
              </w:rPr>
              <w:t>3,000</w:t>
            </w:r>
          </w:p>
        </w:tc>
        <w:tc>
          <w:tcPr>
            <w:tcW w:type="dxa" w:w="3402"/>
          </w:tcPr>
          <w:p>
            <w:pPr>
              <w:spacing w:after="40" w:before="40"/>
            </w:pPr>
            <w:r/>
            <w:r>
              <w:rPr>
                <w:rFonts w:ascii="Cambria" w:hAnsi="Cambria"/>
                <w:b w:val="0"/>
                <w:i w:val="0"/>
                <w:sz w:val="22"/>
              </w:rPr>
              <w:t>Co-authors share equally</w:t>
            </w:r>
          </w:p>
        </w:tc>
      </w:tr>
      <w:tr>
        <w:tc>
          <w:tcPr>
            <w:tcW w:type="dxa" w:w="2608"/>
            <w:shd w:val="clear" w:color="auto" w:fill="F0F2F5"/>
          </w:tcPr>
          <w:p>
            <w:pPr>
              <w:spacing w:after="40" w:before="40"/>
            </w:pPr>
            <w:r/>
            <w:r>
              <w:rPr>
                <w:rFonts w:ascii="Cambria" w:hAnsi="Cambria"/>
                <w:b w:val="0"/>
                <w:i w:val="0"/>
                <w:sz w:val="22"/>
              </w:rPr>
              <w:t>Conference Papers</w:t>
            </w:r>
          </w:p>
        </w:tc>
        <w:tc>
          <w:tcPr>
            <w:tcW w:type="dxa" w:w="1927"/>
            <w:shd w:val="clear" w:color="auto" w:fill="F0F2F5"/>
          </w:tcPr>
          <w:p>
            <w:pPr>
              <w:spacing w:after="40" w:before="40"/>
            </w:pPr>
            <w:r/>
            <w:r>
              <w:rPr>
                <w:rFonts w:ascii="Cambria" w:hAnsi="Cambria"/>
                <w:b w:val="0"/>
                <w:i w:val="0"/>
                <w:sz w:val="22"/>
              </w:rPr>
              <w:t>IEEE / Springer / Elsevier</w:t>
            </w:r>
          </w:p>
        </w:tc>
        <w:tc>
          <w:tcPr>
            <w:tcW w:type="dxa" w:w="1134"/>
            <w:shd w:val="clear" w:color="auto" w:fill="F0F2F5"/>
          </w:tcPr>
          <w:p>
            <w:pPr>
              <w:spacing w:after="40" w:before="40"/>
            </w:pPr>
            <w:r/>
            <w:r>
              <w:rPr>
                <w:rFonts w:ascii="Cambria" w:hAnsi="Cambria"/>
                <w:b w:val="0"/>
                <w:i w:val="0"/>
                <w:sz w:val="22"/>
              </w:rPr>
              <w:t>2,000</w:t>
            </w:r>
          </w:p>
        </w:tc>
        <w:tc>
          <w:tcPr>
            <w:tcW w:type="dxa" w:w="3402"/>
            <w:shd w:val="clear" w:color="auto" w:fill="F0F2F5"/>
          </w:tcPr>
          <w:p>
            <w:pPr>
              <w:spacing w:after="40" w:before="40"/>
            </w:pPr>
            <w:r/>
            <w:r>
              <w:rPr>
                <w:rFonts w:ascii="Cambria" w:hAnsi="Cambria"/>
                <w:b w:val="0"/>
                <w:i w:val="0"/>
                <w:sz w:val="22"/>
              </w:rPr>
              <w:t>Upon presentation proof</w:t>
            </w:r>
          </w:p>
        </w:tc>
      </w:tr>
    </w:tbl>
    <w:p>
      <w:pPr>
        <w:spacing w:after="40"/>
      </w:pPr>
    </w:p>
    <w:p>
      <w:pPr>
        <w:keepNext/>
        <w:spacing w:before="200" w:after="120"/>
      </w:pPr>
      <w:r>
        <w:rPr>
          <w:rFonts w:ascii="Cambria" w:hAnsi="Cambria"/>
          <w:b/>
          <w:color w:val="1F3A5F"/>
          <w:sz w:val="24"/>
        </w:rPr>
        <w:t>2. Patent and IPR Incentives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Stage</w:t>
            </w:r>
          </w:p>
        </w:tc>
        <w:tc>
          <w:tcPr>
            <w:tcW w:type="dxa" w:w="3118"/>
            <w:shd w:val="clear" w:color="auto" w:fill="1F3A5F"/>
          </w:tcPr>
          <w:p>
            <w:pPr>
              <w:spacing w:after="40" w:before="40"/>
            </w:pPr>
            <w:r/>
            <w:r>
              <w:rPr>
                <w:rFonts w:ascii="Cambria" w:hAnsi="Cambria"/>
                <w:b/>
                <w:i w:val="0"/>
                <w:color w:val="FFFFFF"/>
                <w:sz w:val="22"/>
              </w:rPr>
              <w:t>Incentive / Support</w:t>
            </w:r>
          </w:p>
        </w:tc>
        <w:tc>
          <w:tcPr>
            <w:tcW w:type="dxa" w:w="3912"/>
            <w:shd w:val="clear" w:color="auto" w:fill="1F3A5F"/>
          </w:tcPr>
          <w:p>
            <w:pPr>
              <w:spacing w:after="40" w:before="40"/>
            </w:pPr>
            <w:r/>
            <w:r>
              <w:rPr>
                <w:rFonts w:ascii="Cambria" w:hAnsi="Cambria"/>
                <w:b/>
                <w:i w:val="0"/>
                <w:color w:val="FFFFFF"/>
                <w:sz w:val="22"/>
              </w:rPr>
              <w:t>Remarks</w:t>
            </w:r>
          </w:p>
        </w:tc>
      </w:tr>
      <w:tr>
        <w:tc>
          <w:tcPr>
            <w:tcW w:type="dxa" w:w="2041"/>
          </w:tcPr>
          <w:p>
            <w:pPr>
              <w:spacing w:after="40" w:before="40"/>
            </w:pPr>
            <w:r/>
            <w:r>
              <w:rPr>
                <w:rFonts w:ascii="Cambria" w:hAnsi="Cambria"/>
                <w:b w:val="0"/>
                <w:i w:val="0"/>
                <w:sz w:val="22"/>
              </w:rPr>
              <w:t>Patent Filed</w:t>
            </w:r>
          </w:p>
        </w:tc>
        <w:tc>
          <w:tcPr>
            <w:tcW w:type="dxa" w:w="3118"/>
          </w:tcPr>
          <w:p>
            <w:pPr>
              <w:spacing w:after="40" w:before="40"/>
            </w:pPr>
            <w:r/>
            <w:r>
              <w:rPr>
                <w:rFonts w:ascii="Cambria" w:hAnsi="Cambria"/>
                <w:b w:val="0"/>
                <w:i w:val="0"/>
                <w:sz w:val="22"/>
              </w:rPr>
              <w:t>₹10,000</w:t>
            </w:r>
          </w:p>
        </w:tc>
        <w:tc>
          <w:tcPr>
            <w:tcW w:type="dxa" w:w="3912"/>
          </w:tcPr>
          <w:p>
            <w:pPr>
              <w:spacing w:after="40" w:before="40"/>
            </w:pPr>
            <w:r/>
            <w:r>
              <w:rPr>
                <w:rFonts w:ascii="Cambria" w:hAnsi="Cambria"/>
                <w:b w:val="0"/>
                <w:i w:val="0"/>
                <w:sz w:val="22"/>
              </w:rPr>
              <w:t>With IPR cell approval</w:t>
            </w:r>
          </w:p>
        </w:tc>
      </w:tr>
      <w:tr>
        <w:tc>
          <w:tcPr>
            <w:tcW w:type="dxa" w:w="2041"/>
            <w:shd w:val="clear" w:color="auto" w:fill="F0F2F5"/>
          </w:tcPr>
          <w:p>
            <w:pPr>
              <w:spacing w:after="40" w:before="40"/>
            </w:pPr>
            <w:r/>
            <w:r>
              <w:rPr>
                <w:rFonts w:ascii="Cambria" w:hAnsi="Cambria"/>
                <w:b w:val="0"/>
                <w:i w:val="0"/>
                <w:sz w:val="22"/>
              </w:rPr>
              <w:t>Patent Published</w:t>
            </w:r>
          </w:p>
        </w:tc>
        <w:tc>
          <w:tcPr>
            <w:tcW w:type="dxa" w:w="3118"/>
            <w:shd w:val="clear" w:color="auto" w:fill="F0F2F5"/>
          </w:tcPr>
          <w:p>
            <w:pPr>
              <w:spacing w:after="40" w:before="40"/>
            </w:pPr>
            <w:r/>
            <w:r>
              <w:rPr>
                <w:rFonts w:ascii="Cambria" w:hAnsi="Cambria"/>
                <w:b w:val="0"/>
                <w:i w:val="0"/>
                <w:sz w:val="22"/>
              </w:rPr>
              <w:t>₹15,000</w:t>
            </w:r>
          </w:p>
        </w:tc>
        <w:tc>
          <w:tcPr>
            <w:tcW w:type="dxa" w:w="3912"/>
            <w:shd w:val="clear" w:color="auto" w:fill="F0F2F5"/>
          </w:tcPr>
          <w:p>
            <w:pPr>
              <w:spacing w:after="40" w:before="40"/>
            </w:pPr>
            <w:r/>
            <w:r>
              <w:rPr>
                <w:rFonts w:ascii="Cambria" w:hAnsi="Cambria"/>
                <w:b w:val="0"/>
                <w:i w:val="0"/>
                <w:sz w:val="22"/>
              </w:rPr>
              <w:t>On publication in Patent Journal</w:t>
            </w:r>
          </w:p>
        </w:tc>
      </w:tr>
      <w:tr>
        <w:tc>
          <w:tcPr>
            <w:tcW w:type="dxa" w:w="2041"/>
          </w:tcPr>
          <w:p>
            <w:pPr>
              <w:spacing w:after="40" w:before="40"/>
            </w:pPr>
            <w:r/>
            <w:r>
              <w:rPr>
                <w:rFonts w:ascii="Cambria" w:hAnsi="Cambria"/>
                <w:b w:val="0"/>
                <w:i w:val="0"/>
                <w:sz w:val="22"/>
              </w:rPr>
              <w:t>Patent Granted</w:t>
            </w:r>
          </w:p>
        </w:tc>
        <w:tc>
          <w:tcPr>
            <w:tcW w:type="dxa" w:w="3118"/>
          </w:tcPr>
          <w:p>
            <w:pPr>
              <w:spacing w:after="40" w:before="40"/>
            </w:pPr>
            <w:r/>
            <w:r>
              <w:rPr>
                <w:rFonts w:ascii="Cambria" w:hAnsi="Cambria"/>
                <w:b w:val="0"/>
                <w:i w:val="0"/>
                <w:sz w:val="22"/>
              </w:rPr>
              <w:t>₹25,000 + reimbursement of legal fees</w:t>
            </w:r>
          </w:p>
        </w:tc>
        <w:tc>
          <w:tcPr>
            <w:tcW w:type="dxa" w:w="3912"/>
          </w:tcPr>
          <w:p>
            <w:pPr>
              <w:spacing w:after="40" w:before="40"/>
            </w:pPr>
            <w:r/>
            <w:r>
              <w:rPr>
                <w:rFonts w:ascii="Cambria" w:hAnsi="Cambria"/>
                <w:b w:val="0"/>
                <w:i w:val="0"/>
                <w:sz w:val="22"/>
              </w:rPr>
              <w:t>Shared with co-inventors</w:t>
            </w:r>
          </w:p>
        </w:tc>
      </w:tr>
      <w:tr>
        <w:tc>
          <w:tcPr>
            <w:tcW w:type="dxa" w:w="2041"/>
            <w:shd w:val="clear" w:color="auto" w:fill="F0F2F5"/>
          </w:tcPr>
          <w:p>
            <w:pPr>
              <w:spacing w:after="40" w:before="40"/>
            </w:pPr>
            <w:r/>
            <w:r>
              <w:rPr>
                <w:rFonts w:ascii="Cambria" w:hAnsi="Cambria"/>
                <w:b w:val="0"/>
                <w:i w:val="0"/>
                <w:sz w:val="22"/>
              </w:rPr>
              <w:t>Copyright Registered</w:t>
            </w:r>
          </w:p>
        </w:tc>
        <w:tc>
          <w:tcPr>
            <w:tcW w:type="dxa" w:w="3118"/>
            <w:shd w:val="clear" w:color="auto" w:fill="F0F2F5"/>
          </w:tcPr>
          <w:p>
            <w:pPr>
              <w:spacing w:after="40" w:before="40"/>
            </w:pPr>
            <w:r/>
            <w:r>
              <w:rPr>
                <w:rFonts w:ascii="Cambria" w:hAnsi="Cambria"/>
                <w:b w:val="0"/>
                <w:i w:val="0"/>
                <w:sz w:val="22"/>
              </w:rPr>
              <w:t>₹5,000</w:t>
            </w:r>
          </w:p>
        </w:tc>
        <w:tc>
          <w:tcPr>
            <w:tcW w:type="dxa" w:w="3912"/>
            <w:shd w:val="clear" w:color="auto" w:fill="F0F2F5"/>
          </w:tcPr>
          <w:p>
            <w:pPr>
              <w:spacing w:after="40" w:before="40"/>
            </w:pPr>
            <w:r/>
            <w:r>
              <w:rPr>
                <w:rFonts w:ascii="Cambria" w:hAnsi="Cambria"/>
                <w:b w:val="0"/>
                <w:i w:val="0"/>
                <w:sz w:val="22"/>
              </w:rPr>
              <w:t>For software, book, or artistic work</w:t>
            </w:r>
          </w:p>
        </w:tc>
      </w:tr>
      <w:tr>
        <w:tc>
          <w:tcPr>
            <w:tcW w:type="dxa" w:w="2041"/>
          </w:tcPr>
          <w:p>
            <w:pPr>
              <w:spacing w:after="40" w:before="40"/>
            </w:pPr>
            <w:r/>
            <w:r>
              <w:rPr>
                <w:rFonts w:ascii="Cambria" w:hAnsi="Cambria"/>
                <w:b w:val="0"/>
                <w:i w:val="0"/>
                <w:sz w:val="22"/>
              </w:rPr>
              <w:t>Technology Transfer</w:t>
            </w:r>
          </w:p>
        </w:tc>
        <w:tc>
          <w:tcPr>
            <w:tcW w:type="dxa" w:w="3118"/>
          </w:tcPr>
          <w:p>
            <w:pPr>
              <w:spacing w:after="40" w:before="40"/>
            </w:pPr>
            <w:r/>
            <w:r>
              <w:rPr>
                <w:rFonts w:ascii="Cambria" w:hAnsi="Cambria"/>
                <w:b w:val="0"/>
                <w:i w:val="0"/>
                <w:sz w:val="22"/>
              </w:rPr>
              <w:t>50% revenue share to inventors</w:t>
            </w:r>
          </w:p>
        </w:tc>
        <w:tc>
          <w:tcPr>
            <w:tcW w:type="dxa" w:w="3912"/>
          </w:tcPr>
          <w:p>
            <w:pPr>
              <w:spacing w:after="40" w:before="40"/>
            </w:pPr>
            <w:r/>
            <w:r>
              <w:rPr>
                <w:rFonts w:ascii="Cambria" w:hAnsi="Cambria"/>
                <w:b w:val="0"/>
                <w:i w:val="0"/>
                <w:sz w:val="22"/>
              </w:rPr>
              <w:t>Remaining 50% to University Research Fund</w:t>
            </w:r>
          </w:p>
        </w:tc>
      </w:tr>
    </w:tbl>
    <w:p>
      <w:pPr>
        <w:spacing w:after="40"/>
      </w:pPr>
    </w:p>
    <w:p>
      <w:pPr>
        <w:keepNext/>
        <w:spacing w:before="200" w:after="120"/>
      </w:pPr>
      <w:r>
        <w:rPr>
          <w:rFonts w:ascii="Cambria" w:hAnsi="Cambria"/>
          <w:b/>
          <w:color w:val="1F3A5F"/>
          <w:sz w:val="24"/>
        </w:rPr>
        <w:t>3. Research Project Incentives</w:t>
      </w:r>
    </w:p>
    <w:p>
      <w:pPr>
        <w:pStyle w:val="ListBullet"/>
        <w:spacing w:line="276" w:lineRule="auto"/>
        <w:ind w:left="510"/>
      </w:pPr>
      <w:r>
        <w:rPr>
          <w:rFonts w:ascii="Cambria" w:hAnsi="Cambria"/>
          <w:b w:val="0"/>
          <w:i w:val="0"/>
          <w:sz w:val="22"/>
        </w:rPr>
        <w:t>Faculty securing externally funded projects are eligible for:</w:t>
      </w:r>
    </w:p>
    <w:p>
      <w:pPr>
        <w:pStyle w:val="ListBullet2"/>
        <w:spacing w:line="276" w:lineRule="auto"/>
        <w:ind w:left="1020"/>
      </w:pPr>
      <w:r>
        <w:rPr>
          <w:rFonts w:ascii="Cambria" w:hAnsi="Cambria"/>
          <w:b w:val="0"/>
          <w:i w:val="0"/>
          <w:sz w:val="22"/>
        </w:rPr>
        <w:t>Seed Grant Top-up: 5–10% of sanctioned project cost.</w:t>
      </w:r>
    </w:p>
    <w:p>
      <w:pPr>
        <w:pStyle w:val="ListBullet2"/>
        <w:spacing w:line="276" w:lineRule="auto"/>
        <w:ind w:left="1020"/>
      </w:pPr>
      <w:r>
        <w:rPr>
          <w:rFonts w:ascii="Cambria" w:hAnsi="Cambria"/>
          <w:b w:val="0"/>
          <w:i w:val="0"/>
          <w:sz w:val="22"/>
        </w:rPr>
        <w:t>Overhead Charges:</w:t>
      </w:r>
    </w:p>
    <w:p>
      <w:pPr>
        <w:pStyle w:val="ListBullet2"/>
        <w:ind w:left="1474"/>
      </w:pPr>
      <w:r>
        <w:rPr>
          <w:rFonts w:ascii="Cambria" w:hAnsi="Cambria"/>
          <w:b w:val="0"/>
          <w:i w:val="0"/>
          <w:sz w:val="22"/>
        </w:rPr>
        <w:t>30% retained by University for infrastructure.</w:t>
      </w:r>
    </w:p>
    <w:p>
      <w:pPr>
        <w:pStyle w:val="ListBullet2"/>
        <w:ind w:left="1474"/>
      </w:pPr>
      <w:r>
        <w:rPr>
          <w:rFonts w:ascii="Cambria" w:hAnsi="Cambria"/>
          <w:b w:val="0"/>
          <w:i w:val="0"/>
          <w:sz w:val="22"/>
        </w:rPr>
        <w:t>70% shared among PI, Co-PIs, and Department.</w:t>
      </w:r>
    </w:p>
    <w:p>
      <w:pPr>
        <w:pStyle w:val="ListBullet"/>
        <w:spacing w:line="276" w:lineRule="auto"/>
        <w:ind w:left="510"/>
      </w:pPr>
      <w:r>
        <w:rPr>
          <w:rFonts w:ascii="Cambria" w:hAnsi="Cambria"/>
          <w:b w:val="0"/>
          <w:i w:val="0"/>
          <w:sz w:val="22"/>
        </w:rPr>
        <w:t>Projects exceeding ₹10 lakh shall be recognized in the Annual Research Awards Ceremony.</w:t>
      </w:r>
    </w:p>
    <w:p>
      <w:pPr>
        <w:keepNext/>
        <w:spacing w:before="200" w:after="120"/>
      </w:pPr>
      <w:r>
        <w:rPr>
          <w:rFonts w:ascii="Cambria" w:hAnsi="Cambria"/>
          <w:b/>
          <w:color w:val="1F3A5F"/>
          <w:sz w:val="24"/>
        </w:rPr>
        <w:t>4. Consultancy Incentives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494"/>
            <w:shd w:val="clear" w:color="auto" w:fill="1F3A5F"/>
          </w:tcPr>
          <w:p>
            <w:pPr>
              <w:spacing w:after="40" w:before="40"/>
            </w:pPr>
            <w:r/>
            <w:r>
              <w:rPr>
                <w:rFonts w:ascii="Cambria" w:hAnsi="Cambria"/>
                <w:b/>
                <w:i w:val="0"/>
                <w:color w:val="FFFFFF"/>
                <w:sz w:val="22"/>
              </w:rPr>
              <w:t>Nature of Consultancy</w:t>
            </w:r>
          </w:p>
        </w:tc>
        <w:tc>
          <w:tcPr>
            <w:tcW w:type="dxa" w:w="2494"/>
            <w:shd w:val="clear" w:color="auto" w:fill="1F3A5F"/>
          </w:tcPr>
          <w:p>
            <w:pPr>
              <w:spacing w:after="40" w:before="40"/>
            </w:pPr>
            <w:r/>
            <w:r>
              <w:rPr>
                <w:rFonts w:ascii="Cambria" w:hAnsi="Cambria"/>
                <w:b/>
                <w:i w:val="0"/>
                <w:color w:val="FFFFFF"/>
                <w:sz w:val="22"/>
              </w:rPr>
              <w:t>Revenue Sharing (PI : Dept : University)</w:t>
            </w:r>
          </w:p>
        </w:tc>
        <w:tc>
          <w:tcPr>
            <w:tcW w:type="dxa" w:w="3798"/>
            <w:shd w:val="clear" w:color="auto" w:fill="1F3A5F"/>
          </w:tcPr>
          <w:p>
            <w:pPr>
              <w:spacing w:after="40" w:before="40"/>
            </w:pPr>
            <w:r/>
            <w:r>
              <w:rPr>
                <w:rFonts w:ascii="Cambria" w:hAnsi="Cambria"/>
                <w:b/>
                <w:i w:val="0"/>
                <w:color w:val="FFFFFF"/>
                <w:sz w:val="22"/>
              </w:rPr>
              <w:t>Remarks</w:t>
            </w:r>
          </w:p>
        </w:tc>
      </w:tr>
      <w:tr>
        <w:tc>
          <w:tcPr>
            <w:tcW w:type="dxa" w:w="2494"/>
          </w:tcPr>
          <w:p>
            <w:pPr>
              <w:spacing w:after="40" w:before="40"/>
            </w:pPr>
            <w:r/>
            <w:r>
              <w:rPr>
                <w:rFonts w:ascii="Cambria" w:hAnsi="Cambria"/>
                <w:b w:val="0"/>
                <w:i w:val="0"/>
                <w:sz w:val="22"/>
              </w:rPr>
              <w:t>Industrial / Testing Consultancy</w:t>
            </w:r>
          </w:p>
        </w:tc>
        <w:tc>
          <w:tcPr>
            <w:tcW w:type="dxa" w:w="2494"/>
          </w:tcPr>
          <w:p>
            <w:pPr>
              <w:spacing w:after="40" w:before="40"/>
            </w:pPr>
            <w:r/>
            <w:r>
              <w:rPr>
                <w:rFonts w:ascii="Cambria" w:hAnsi="Cambria"/>
                <w:b w:val="0"/>
                <w:i w:val="0"/>
                <w:sz w:val="22"/>
              </w:rPr>
              <w:t>60 : 20 : 20</w:t>
            </w:r>
          </w:p>
        </w:tc>
        <w:tc>
          <w:tcPr>
            <w:tcW w:type="dxa" w:w="3798"/>
          </w:tcPr>
          <w:p>
            <w:pPr>
              <w:spacing w:after="40" w:before="40"/>
            </w:pPr>
            <w:r/>
            <w:r>
              <w:rPr>
                <w:rFonts w:ascii="Cambria" w:hAnsi="Cambria"/>
                <w:b w:val="0"/>
                <w:i w:val="0"/>
                <w:sz w:val="22"/>
              </w:rPr>
              <w:t>Approved through Consultancy Cell</w:t>
            </w:r>
          </w:p>
        </w:tc>
      </w:tr>
      <w:tr>
        <w:tc>
          <w:tcPr>
            <w:tcW w:type="dxa" w:w="2494"/>
            <w:shd w:val="clear" w:color="auto" w:fill="F0F2F5"/>
          </w:tcPr>
          <w:p>
            <w:pPr>
              <w:spacing w:after="40" w:before="40"/>
            </w:pPr>
            <w:r/>
            <w:r>
              <w:rPr>
                <w:rFonts w:ascii="Cambria" w:hAnsi="Cambria"/>
                <w:b w:val="0"/>
                <w:i w:val="0"/>
                <w:sz w:val="22"/>
              </w:rPr>
              <w:t>Training / Expert Advisory</w:t>
            </w:r>
          </w:p>
        </w:tc>
        <w:tc>
          <w:tcPr>
            <w:tcW w:type="dxa" w:w="2494"/>
            <w:shd w:val="clear" w:color="auto" w:fill="F0F2F5"/>
          </w:tcPr>
          <w:p>
            <w:pPr>
              <w:spacing w:after="40" w:before="40"/>
            </w:pPr>
            <w:r/>
            <w:r>
              <w:rPr>
                <w:rFonts w:ascii="Cambria" w:hAnsi="Cambria"/>
                <w:b w:val="0"/>
                <w:i w:val="0"/>
                <w:sz w:val="22"/>
              </w:rPr>
              <w:t>50 : 25 : 25</w:t>
            </w:r>
          </w:p>
        </w:tc>
        <w:tc>
          <w:tcPr>
            <w:tcW w:type="dxa" w:w="3798"/>
            <w:shd w:val="clear" w:color="auto" w:fill="F0F2F5"/>
          </w:tcPr>
          <w:p>
            <w:pPr>
              <w:spacing w:after="40" w:before="40"/>
            </w:pPr>
            <w:r/>
            <w:r>
              <w:rPr>
                <w:rFonts w:ascii="Cambria" w:hAnsi="Cambria"/>
                <w:b w:val="0"/>
                <w:i w:val="0"/>
                <w:sz w:val="22"/>
              </w:rPr>
              <w:t>Subject to prior approval</w:t>
            </w:r>
          </w:p>
        </w:tc>
      </w:tr>
      <w:tr>
        <w:tc>
          <w:tcPr>
            <w:tcW w:type="dxa" w:w="2494"/>
          </w:tcPr>
          <w:p>
            <w:pPr>
              <w:spacing w:after="40" w:before="40"/>
            </w:pPr>
            <w:r/>
            <w:r>
              <w:rPr>
                <w:rFonts w:ascii="Cambria" w:hAnsi="Cambria"/>
                <w:b w:val="0"/>
                <w:i w:val="0"/>
                <w:sz w:val="22"/>
              </w:rPr>
              <w:t>CSR / Government Advisory</w:t>
            </w:r>
          </w:p>
        </w:tc>
        <w:tc>
          <w:tcPr>
            <w:tcW w:type="dxa" w:w="2494"/>
          </w:tcPr>
          <w:p>
            <w:pPr>
              <w:spacing w:after="40" w:before="40"/>
            </w:pPr>
            <w:r/>
            <w:r>
              <w:rPr>
                <w:rFonts w:ascii="Cambria" w:hAnsi="Cambria"/>
                <w:b w:val="0"/>
                <w:i w:val="0"/>
                <w:sz w:val="22"/>
              </w:rPr>
              <w:t>50 : 20 : 30</w:t>
            </w:r>
          </w:p>
        </w:tc>
        <w:tc>
          <w:tcPr>
            <w:tcW w:type="dxa" w:w="3798"/>
          </w:tcPr>
          <w:p>
            <w:pPr>
              <w:spacing w:after="40" w:before="40"/>
            </w:pPr>
            <w:r/>
            <w:r>
              <w:rPr>
                <w:rFonts w:ascii="Cambria" w:hAnsi="Cambria"/>
                <w:b w:val="0"/>
                <w:i w:val="0"/>
                <w:sz w:val="22"/>
              </w:rPr>
              <w:t>For community / social projects</w:t>
            </w:r>
          </w:p>
        </w:tc>
      </w:tr>
      <w:tr>
        <w:tc>
          <w:tcPr>
            <w:tcW w:type="dxa" w:w="2494"/>
            <w:shd w:val="clear" w:color="auto" w:fill="F0F2F5"/>
          </w:tcPr>
          <w:p>
            <w:pPr>
              <w:spacing w:after="40" w:before="40"/>
            </w:pPr>
            <w:r/>
            <w:r>
              <w:rPr>
                <w:rFonts w:ascii="Cambria" w:hAnsi="Cambria"/>
                <w:b w:val="0"/>
                <w:i w:val="0"/>
                <w:sz w:val="22"/>
              </w:rPr>
              <w:t>Internal Consultancy</w:t>
            </w:r>
          </w:p>
        </w:tc>
        <w:tc>
          <w:tcPr>
            <w:tcW w:type="dxa" w:w="2494"/>
            <w:shd w:val="clear" w:color="auto" w:fill="F0F2F5"/>
          </w:tcPr>
          <w:p>
            <w:pPr>
              <w:spacing w:after="40" w:before="40"/>
            </w:pPr>
            <w:r/>
            <w:r>
              <w:rPr>
                <w:rFonts w:ascii="Cambria" w:hAnsi="Cambria"/>
                <w:b w:val="0"/>
                <w:i w:val="0"/>
                <w:sz w:val="22"/>
              </w:rPr>
              <w:t>70 : 10 : 20</w:t>
            </w:r>
          </w:p>
        </w:tc>
        <w:tc>
          <w:tcPr>
            <w:tcW w:type="dxa" w:w="3798"/>
            <w:shd w:val="clear" w:color="auto" w:fill="F0F2F5"/>
          </w:tcPr>
          <w:p>
            <w:pPr>
              <w:spacing w:after="40" w:before="40"/>
            </w:pPr>
            <w:r/>
            <w:r>
              <w:rPr>
                <w:rFonts w:ascii="Cambria" w:hAnsi="Cambria"/>
                <w:b w:val="0"/>
                <w:i w:val="0"/>
                <w:sz w:val="22"/>
              </w:rPr>
              <w:t>Within University system</w:t>
            </w:r>
          </w:p>
        </w:tc>
      </w:tr>
    </w:tbl>
    <w:p>
      <w:pPr>
        <w:spacing w:after="40"/>
      </w:pPr>
    </w:p>
    <w:p>
      <w:pPr>
        <w:pStyle w:val="ListBullet"/>
        <w:spacing w:line="276" w:lineRule="auto"/>
        <w:ind w:left="510"/>
      </w:pPr>
      <w:r>
        <w:rPr>
          <w:rFonts w:ascii="Cambria" w:hAnsi="Cambria"/>
          <w:b w:val="0"/>
          <w:i w:val="0"/>
          <w:sz w:val="22"/>
        </w:rPr>
        <w:t>All consultancy agreements must be routed through the Consultancy and Industry Collaboration Cell (CICC) for approval and compliance.</w:t>
      </w:r>
    </w:p>
    <w:p>
      <w:pPr>
        <w:keepNext/>
        <w:spacing w:before="200" w:after="120"/>
      </w:pPr>
      <w:r>
        <w:rPr>
          <w:rFonts w:ascii="Cambria" w:hAnsi="Cambria"/>
          <w:b/>
          <w:color w:val="1F3A5F"/>
          <w:sz w:val="24"/>
        </w:rPr>
        <w:t>5. Innovation and Start-up Support</w:t>
      </w:r>
    </w:p>
    <w:p>
      <w:pPr>
        <w:pStyle w:val="ListBullet"/>
        <w:spacing w:line="276" w:lineRule="auto"/>
        <w:ind w:left="510"/>
      </w:pPr>
      <w:r>
        <w:rPr>
          <w:rFonts w:ascii="Cambria" w:hAnsi="Cambria"/>
          <w:b w:val="0"/>
          <w:i w:val="0"/>
          <w:sz w:val="22"/>
        </w:rPr>
        <w:t>Faculty and students developing start-ups or innovative solutions under Innovation Cell / Incubation Centre shall receive:</w:t>
      </w:r>
    </w:p>
    <w:p>
      <w:pPr>
        <w:pStyle w:val="ListBullet2"/>
        <w:spacing w:line="276" w:lineRule="auto"/>
        <w:ind w:left="1020"/>
      </w:pPr>
      <w:r>
        <w:rPr>
          <w:rFonts w:ascii="Cambria" w:hAnsi="Cambria"/>
          <w:b w:val="0"/>
          <w:i w:val="0"/>
          <w:sz w:val="22"/>
        </w:rPr>
        <w:t>Access to Seed Grant Funding (₹25,000 – ₹2,00,000).</w:t>
      </w:r>
    </w:p>
    <w:p>
      <w:pPr>
        <w:pStyle w:val="ListBullet2"/>
        <w:spacing w:line="276" w:lineRule="auto"/>
        <w:ind w:left="1020"/>
      </w:pPr>
      <w:r>
        <w:rPr>
          <w:rFonts w:ascii="Cambria" w:hAnsi="Cambria"/>
          <w:b w:val="0"/>
          <w:i w:val="0"/>
          <w:sz w:val="22"/>
        </w:rPr>
        <w:t>Mentorship support through IIC / MSME / Start-up India networks.</w:t>
      </w:r>
    </w:p>
    <w:p>
      <w:pPr>
        <w:pStyle w:val="ListBullet2"/>
        <w:spacing w:line="276" w:lineRule="auto"/>
        <w:ind w:left="1020"/>
      </w:pPr>
      <w:r>
        <w:rPr>
          <w:rFonts w:ascii="Cambria" w:hAnsi="Cambria"/>
          <w:b w:val="0"/>
          <w:i w:val="0"/>
          <w:sz w:val="22"/>
        </w:rPr>
        <w:t>Infrastructure support — labs, co-working space, prototyping facilities.</w:t>
      </w:r>
    </w:p>
    <w:p>
      <w:pPr>
        <w:pStyle w:val="ListBullet2"/>
        <w:spacing w:line="276" w:lineRule="auto"/>
        <w:ind w:left="1020"/>
      </w:pPr>
      <w:r>
        <w:rPr>
          <w:rFonts w:ascii="Cambria" w:hAnsi="Cambria"/>
          <w:b w:val="0"/>
          <w:i w:val="0"/>
          <w:sz w:val="22"/>
        </w:rPr>
        <w:t>Eligibility to retain 90% of profit/revenue during incubation period.</w:t>
      </w:r>
    </w:p>
    <w:p>
      <w:pPr>
        <w:keepNext/>
        <w:spacing w:before="200" w:after="120"/>
      </w:pPr>
      <w:r>
        <w:rPr>
          <w:rFonts w:ascii="Cambria" w:hAnsi="Cambria"/>
          <w:b/>
          <w:color w:val="1F3A5F"/>
          <w:sz w:val="24"/>
        </w:rPr>
        <w:t>V. Research Funding Support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948"/>
            <w:shd w:val="clear" w:color="auto" w:fill="1F3A5F"/>
          </w:tcPr>
          <w:p>
            <w:pPr>
              <w:spacing w:after="40" w:before="40"/>
            </w:pPr>
            <w:r/>
            <w:r>
              <w:rPr>
                <w:rFonts w:ascii="Cambria" w:hAnsi="Cambria"/>
                <w:b/>
                <w:i w:val="0"/>
                <w:color w:val="FFFFFF"/>
                <w:sz w:val="22"/>
              </w:rPr>
              <w:t>Type of Support</w:t>
            </w:r>
          </w:p>
        </w:tc>
        <w:tc>
          <w:tcPr>
            <w:tcW w:type="dxa" w:w="2494"/>
            <w:shd w:val="clear" w:color="auto" w:fill="1F3A5F"/>
          </w:tcPr>
          <w:p>
            <w:pPr>
              <w:spacing w:after="40" w:before="40"/>
            </w:pPr>
            <w:r/>
            <w:r>
              <w:rPr>
                <w:rFonts w:ascii="Cambria" w:hAnsi="Cambria"/>
                <w:b/>
                <w:i w:val="0"/>
                <w:color w:val="FFFFFF"/>
                <w:sz w:val="22"/>
              </w:rPr>
              <w:t>Amount / Coverage</w:t>
            </w:r>
          </w:p>
        </w:tc>
        <w:tc>
          <w:tcPr>
            <w:tcW w:type="dxa" w:w="3345"/>
            <w:shd w:val="clear" w:color="auto" w:fill="1F3A5F"/>
          </w:tcPr>
          <w:p>
            <w:pPr>
              <w:spacing w:after="40" w:before="40"/>
            </w:pPr>
            <w:r/>
            <w:r>
              <w:rPr>
                <w:rFonts w:ascii="Cambria" w:hAnsi="Cambria"/>
                <w:b/>
                <w:i w:val="0"/>
                <w:color w:val="FFFFFF"/>
                <w:sz w:val="22"/>
              </w:rPr>
              <w:t>Condition</w:t>
            </w:r>
          </w:p>
        </w:tc>
      </w:tr>
      <w:tr>
        <w:tc>
          <w:tcPr>
            <w:tcW w:type="dxa" w:w="2948"/>
          </w:tcPr>
          <w:p>
            <w:pPr>
              <w:spacing w:after="40" w:before="40"/>
            </w:pPr>
            <w:r/>
            <w:r>
              <w:rPr>
                <w:rFonts w:ascii="Cambria" w:hAnsi="Cambria"/>
                <w:b w:val="0"/>
                <w:i w:val="0"/>
                <w:sz w:val="22"/>
              </w:rPr>
              <w:t>Internal Research Seed Grant (IRSG)</w:t>
            </w:r>
          </w:p>
        </w:tc>
        <w:tc>
          <w:tcPr>
            <w:tcW w:type="dxa" w:w="2494"/>
          </w:tcPr>
          <w:p>
            <w:pPr>
              <w:spacing w:after="40" w:before="40"/>
            </w:pPr>
            <w:r/>
            <w:r>
              <w:rPr>
                <w:rFonts w:ascii="Cambria" w:hAnsi="Cambria"/>
                <w:b w:val="0"/>
                <w:i w:val="0"/>
                <w:sz w:val="22"/>
              </w:rPr>
              <w:t>Up to ₹1,00,000 per faculty</w:t>
            </w:r>
          </w:p>
        </w:tc>
        <w:tc>
          <w:tcPr>
            <w:tcW w:type="dxa" w:w="3345"/>
          </w:tcPr>
          <w:p>
            <w:pPr>
              <w:spacing w:after="40" w:before="40"/>
            </w:pPr>
            <w:r/>
            <w:r>
              <w:rPr>
                <w:rFonts w:ascii="Cambria" w:hAnsi="Cambria"/>
                <w:b w:val="0"/>
                <w:i w:val="0"/>
                <w:sz w:val="22"/>
              </w:rPr>
              <w:t>Annual proposal call</w:t>
            </w:r>
          </w:p>
        </w:tc>
      </w:tr>
      <w:tr>
        <w:tc>
          <w:tcPr>
            <w:tcW w:type="dxa" w:w="2948"/>
            <w:shd w:val="clear" w:color="auto" w:fill="F0F2F5"/>
          </w:tcPr>
          <w:p>
            <w:pPr>
              <w:spacing w:after="40" w:before="40"/>
            </w:pPr>
            <w:r/>
            <w:r>
              <w:rPr>
                <w:rFonts w:ascii="Cambria" w:hAnsi="Cambria"/>
                <w:b w:val="0"/>
                <w:i w:val="0"/>
                <w:sz w:val="22"/>
              </w:rPr>
              <w:t>Travel Grant</w:t>
            </w:r>
          </w:p>
        </w:tc>
        <w:tc>
          <w:tcPr>
            <w:tcW w:type="dxa" w:w="2494"/>
            <w:shd w:val="clear" w:color="auto" w:fill="F0F2F5"/>
          </w:tcPr>
          <w:p>
            <w:pPr>
              <w:spacing w:after="40" w:before="40"/>
            </w:pPr>
            <w:r/>
            <w:r>
              <w:rPr>
                <w:rFonts w:ascii="Cambria" w:hAnsi="Cambria"/>
                <w:b w:val="0"/>
                <w:i w:val="0"/>
                <w:sz w:val="22"/>
              </w:rPr>
              <w:t>Up to ₹50,000 per year</w:t>
            </w:r>
          </w:p>
        </w:tc>
        <w:tc>
          <w:tcPr>
            <w:tcW w:type="dxa" w:w="3345"/>
            <w:shd w:val="clear" w:color="auto" w:fill="F0F2F5"/>
          </w:tcPr>
          <w:p>
            <w:pPr>
              <w:spacing w:after="40" w:before="40"/>
            </w:pPr>
            <w:r/>
            <w:r>
              <w:rPr>
                <w:rFonts w:ascii="Cambria" w:hAnsi="Cambria"/>
                <w:b w:val="0"/>
                <w:i w:val="0"/>
                <w:sz w:val="22"/>
              </w:rPr>
              <w:t>For conference paper presentation</w:t>
            </w:r>
          </w:p>
        </w:tc>
      </w:tr>
      <w:tr>
        <w:tc>
          <w:tcPr>
            <w:tcW w:type="dxa" w:w="2948"/>
          </w:tcPr>
          <w:p>
            <w:pPr>
              <w:spacing w:after="40" w:before="40"/>
            </w:pPr>
            <w:r/>
            <w:r>
              <w:rPr>
                <w:rFonts w:ascii="Cambria" w:hAnsi="Cambria"/>
                <w:b w:val="0"/>
                <w:i w:val="0"/>
                <w:sz w:val="22"/>
              </w:rPr>
              <w:t>Minor Research Grant</w:t>
            </w:r>
          </w:p>
        </w:tc>
        <w:tc>
          <w:tcPr>
            <w:tcW w:type="dxa" w:w="2494"/>
          </w:tcPr>
          <w:p>
            <w:pPr>
              <w:spacing w:after="40" w:before="40"/>
            </w:pPr>
            <w:r/>
            <w:r>
              <w:rPr>
                <w:rFonts w:ascii="Cambria" w:hAnsi="Cambria"/>
                <w:b w:val="0"/>
                <w:i w:val="0"/>
                <w:sz w:val="22"/>
              </w:rPr>
              <w:t>₹50,000 – ₹2,00,000</w:t>
            </w:r>
          </w:p>
        </w:tc>
        <w:tc>
          <w:tcPr>
            <w:tcW w:type="dxa" w:w="3345"/>
          </w:tcPr>
          <w:p>
            <w:pPr>
              <w:spacing w:after="40" w:before="40"/>
            </w:pPr>
            <w:r/>
            <w:r>
              <w:rPr>
                <w:rFonts w:ascii="Cambria" w:hAnsi="Cambria"/>
                <w:b w:val="0"/>
                <w:i w:val="0"/>
                <w:sz w:val="22"/>
              </w:rPr>
              <w:t>For pilot or interdisciplinary projects</w:t>
            </w:r>
          </w:p>
        </w:tc>
      </w:tr>
      <w:tr>
        <w:tc>
          <w:tcPr>
            <w:tcW w:type="dxa" w:w="2948"/>
            <w:shd w:val="clear" w:color="auto" w:fill="F0F2F5"/>
          </w:tcPr>
          <w:p>
            <w:pPr>
              <w:spacing w:after="40" w:before="40"/>
            </w:pPr>
            <w:r/>
            <w:r>
              <w:rPr>
                <w:rFonts w:ascii="Cambria" w:hAnsi="Cambria"/>
                <w:b w:val="0"/>
                <w:i w:val="0"/>
                <w:sz w:val="22"/>
              </w:rPr>
              <w:t>Major Research Grant (External)</w:t>
            </w:r>
          </w:p>
        </w:tc>
        <w:tc>
          <w:tcPr>
            <w:tcW w:type="dxa" w:w="2494"/>
            <w:shd w:val="clear" w:color="auto" w:fill="F0F2F5"/>
          </w:tcPr>
          <w:p>
            <w:pPr>
              <w:spacing w:after="40" w:before="40"/>
            </w:pPr>
            <w:r/>
            <w:r>
              <w:rPr>
                <w:rFonts w:ascii="Cambria" w:hAnsi="Cambria"/>
                <w:b w:val="0"/>
                <w:i w:val="0"/>
                <w:sz w:val="22"/>
              </w:rPr>
              <w:t>As per funding agency norms</w:t>
            </w:r>
          </w:p>
        </w:tc>
        <w:tc>
          <w:tcPr>
            <w:tcW w:type="dxa" w:w="3345"/>
            <w:shd w:val="clear" w:color="auto" w:fill="F0F2F5"/>
          </w:tcPr>
          <w:p>
            <w:pPr>
              <w:spacing w:after="40" w:before="40"/>
            </w:pPr>
            <w:r/>
            <w:r>
              <w:rPr>
                <w:rFonts w:ascii="Cambria" w:hAnsi="Cambria"/>
                <w:b w:val="0"/>
                <w:i w:val="0"/>
                <w:sz w:val="22"/>
              </w:rPr>
              <w:t>Institutional facilitation</w:t>
            </w:r>
          </w:p>
        </w:tc>
      </w:tr>
      <w:tr>
        <w:tc>
          <w:tcPr>
            <w:tcW w:type="dxa" w:w="2948"/>
          </w:tcPr>
          <w:p>
            <w:pPr>
              <w:spacing w:after="40" w:before="40"/>
            </w:pPr>
            <w:r/>
            <w:r>
              <w:rPr>
                <w:rFonts w:ascii="Cambria" w:hAnsi="Cambria"/>
                <w:b w:val="0"/>
                <w:i w:val="0"/>
                <w:sz w:val="22"/>
              </w:rPr>
              <w:t>Publication / Processing Fee Reimbursement</w:t>
            </w:r>
          </w:p>
        </w:tc>
        <w:tc>
          <w:tcPr>
            <w:tcW w:type="dxa" w:w="2494"/>
          </w:tcPr>
          <w:p>
            <w:pPr>
              <w:spacing w:after="40" w:before="40"/>
            </w:pPr>
            <w:r/>
            <w:r>
              <w:rPr>
                <w:rFonts w:ascii="Cambria" w:hAnsi="Cambria"/>
                <w:b w:val="0"/>
                <w:i w:val="0"/>
                <w:sz w:val="22"/>
              </w:rPr>
              <w:t>Actuals (up to ₹15,000)</w:t>
            </w:r>
          </w:p>
        </w:tc>
        <w:tc>
          <w:tcPr>
            <w:tcW w:type="dxa" w:w="3345"/>
          </w:tcPr>
          <w:p>
            <w:pPr>
              <w:spacing w:after="40" w:before="40"/>
            </w:pPr>
            <w:r/>
            <w:r>
              <w:rPr>
                <w:rFonts w:ascii="Cambria" w:hAnsi="Cambria"/>
                <w:b w:val="0"/>
                <w:i w:val="0"/>
                <w:sz w:val="22"/>
              </w:rPr>
              <w:t>For SCOPUS / SCI-indexed journals</w:t>
            </w:r>
          </w:p>
        </w:tc>
      </w:tr>
    </w:tbl>
    <w:p>
      <w:pPr>
        <w:spacing w:after="40"/>
      </w:pPr>
    </w:p>
    <w:p>
      <w:pPr>
        <w:keepNext/>
        <w:spacing w:before="200" w:after="120"/>
      </w:pPr>
      <w:r>
        <w:rPr>
          <w:rFonts w:ascii="Cambria" w:hAnsi="Cambria"/>
          <w:b/>
          <w:color w:val="1F3A5F"/>
          <w:sz w:val="24"/>
        </w:rPr>
        <w:t>VI. Administrative Framework</w:t>
      </w:r>
    </w:p>
    <w:p>
      <w:pPr>
        <w:keepNext/>
        <w:spacing w:before="200" w:after="120"/>
      </w:pPr>
      <w:r>
        <w:rPr>
          <w:rFonts w:ascii="Cambria" w:hAnsi="Cambria"/>
          <w:b/>
          <w:color w:val="1F3A5F"/>
          <w:sz w:val="24"/>
        </w:rPr>
        <w:t>1. Research and Consultancy Coordination</w:t>
      </w:r>
    </w:p>
    <w:p>
      <w:pPr>
        <w:pStyle w:val="ListBullet"/>
        <w:spacing w:line="276" w:lineRule="auto"/>
        <w:ind w:left="510"/>
      </w:pPr>
      <w:r>
        <w:rPr>
          <w:rFonts w:ascii="Cambria" w:hAnsi="Cambria"/>
          <w:b w:val="0"/>
          <w:i w:val="0"/>
          <w:sz w:val="22"/>
        </w:rPr>
        <w:t>The Research and Development (R&amp;D) Cell shall act as the nodal body for implementation.</w:t>
      </w:r>
    </w:p>
    <w:p>
      <w:pPr>
        <w:pStyle w:val="ListBullet"/>
        <w:spacing w:line="276" w:lineRule="auto"/>
        <w:ind w:left="510"/>
      </w:pPr>
      <w:r>
        <w:rPr>
          <w:rFonts w:ascii="Cambria" w:hAnsi="Cambria"/>
          <w:b w:val="0"/>
          <w:i w:val="0"/>
          <w:sz w:val="22"/>
        </w:rPr>
        <w:t>Sub-cells under it include:</w:t>
      </w:r>
    </w:p>
    <w:p>
      <w:pPr>
        <w:pStyle w:val="ListBullet2"/>
        <w:spacing w:line="276" w:lineRule="auto"/>
        <w:ind w:left="1020"/>
      </w:pPr>
      <w:r>
        <w:rPr>
          <w:rFonts w:ascii="Cambria" w:hAnsi="Cambria"/>
          <w:b w:val="0"/>
          <w:i w:val="0"/>
          <w:sz w:val="22"/>
        </w:rPr>
        <w:t>Intellectual Property Rights (IPR) Cell</w:t>
      </w:r>
    </w:p>
    <w:p>
      <w:pPr>
        <w:pStyle w:val="ListBullet2"/>
        <w:spacing w:line="276" w:lineRule="auto"/>
        <w:ind w:left="1020"/>
      </w:pPr>
      <w:r>
        <w:rPr>
          <w:rFonts w:ascii="Cambria" w:hAnsi="Cambria"/>
          <w:b w:val="0"/>
          <w:i w:val="0"/>
          <w:sz w:val="22"/>
        </w:rPr>
        <w:t>Consultancy and Industry Collaboration Cell (CICC)</w:t>
      </w:r>
    </w:p>
    <w:p>
      <w:pPr>
        <w:pStyle w:val="ListBullet2"/>
        <w:spacing w:line="276" w:lineRule="auto"/>
        <w:ind w:left="1020"/>
      </w:pPr>
      <w:r>
        <w:rPr>
          <w:rFonts w:ascii="Cambria" w:hAnsi="Cambria"/>
          <w:b w:val="0"/>
          <w:i w:val="0"/>
          <w:sz w:val="22"/>
        </w:rPr>
        <w:t>Innovation &amp; Incubation Centre (IIC)</w:t>
      </w:r>
    </w:p>
    <w:p>
      <w:pPr>
        <w:keepNext/>
        <w:spacing w:before="200" w:after="120"/>
      </w:pPr>
      <w:r>
        <w:rPr>
          <w:rFonts w:ascii="Cambria" w:hAnsi="Cambria"/>
          <w:b/>
          <w:color w:val="1F3A5F"/>
          <w:sz w:val="24"/>
        </w:rPr>
        <w:t>2.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1984"/>
            <w:shd w:val="clear" w:color="auto" w:fill="1F3A5F"/>
          </w:tcPr>
          <w:p>
            <w:pPr>
              <w:spacing w:after="40" w:before="40"/>
            </w:pPr>
            <w:r/>
            <w:r>
              <w:rPr>
                <w:rFonts w:ascii="Cambria" w:hAnsi="Cambria"/>
                <w:b/>
                <w:i w:val="0"/>
                <w:color w:val="FFFFFF"/>
                <w:sz w:val="22"/>
              </w:rPr>
              <w:t>Unit / Office</w:t>
            </w:r>
          </w:p>
        </w:tc>
        <w:tc>
          <w:tcPr>
            <w:tcW w:type="dxa" w:w="7371"/>
            <w:shd w:val="clear" w:color="auto" w:fill="1F3A5F"/>
          </w:tcPr>
          <w:p>
            <w:pPr>
              <w:spacing w:after="40" w:before="40"/>
            </w:pPr>
            <w:r/>
            <w:r>
              <w:rPr>
                <w:rFonts w:ascii="Cambria" w:hAnsi="Cambria"/>
                <w:b/>
                <w:i w:val="0"/>
                <w:color w:val="FFFFFF"/>
                <w:sz w:val="22"/>
              </w:rPr>
              <w:t>Primary Responsibilities</w:t>
            </w:r>
          </w:p>
        </w:tc>
      </w:tr>
      <w:tr>
        <w:tc>
          <w:tcPr>
            <w:tcW w:type="dxa" w:w="1984"/>
          </w:tcPr>
          <w:p>
            <w:pPr>
              <w:spacing w:after="40" w:before="40"/>
            </w:pPr>
            <w:r/>
            <w:r>
              <w:rPr>
                <w:rFonts w:ascii="Cambria" w:hAnsi="Cambria"/>
                <w:b w:val="0"/>
                <w:i w:val="0"/>
                <w:sz w:val="22"/>
              </w:rPr>
              <w:t>R&amp;D Cell</w:t>
            </w:r>
          </w:p>
        </w:tc>
        <w:tc>
          <w:tcPr>
            <w:tcW w:type="dxa" w:w="7371"/>
          </w:tcPr>
          <w:p>
            <w:pPr>
              <w:spacing w:after="40" w:before="40"/>
            </w:pPr>
            <w:r/>
            <w:r>
              <w:rPr>
                <w:rFonts w:ascii="Cambria" w:hAnsi="Cambria"/>
                <w:b w:val="0"/>
                <w:i w:val="0"/>
                <w:sz w:val="22"/>
              </w:rPr>
              <w:t>Approve projects, monitor utilization, and track outcomes.</w:t>
            </w:r>
          </w:p>
        </w:tc>
      </w:tr>
      <w:tr>
        <w:tc>
          <w:tcPr>
            <w:tcW w:type="dxa" w:w="1984"/>
            <w:shd w:val="clear" w:color="auto" w:fill="F0F2F5"/>
          </w:tcPr>
          <w:p>
            <w:pPr>
              <w:spacing w:after="40" w:before="40"/>
            </w:pPr>
            <w:r/>
            <w:r>
              <w:rPr>
                <w:rFonts w:ascii="Cambria" w:hAnsi="Cambria"/>
                <w:b w:val="0"/>
                <w:i w:val="0"/>
                <w:sz w:val="22"/>
              </w:rPr>
              <w:t>IPR Cell</w:t>
            </w:r>
          </w:p>
        </w:tc>
        <w:tc>
          <w:tcPr>
            <w:tcW w:type="dxa" w:w="7371"/>
            <w:shd w:val="clear" w:color="auto" w:fill="F0F2F5"/>
          </w:tcPr>
          <w:p>
            <w:pPr>
              <w:spacing w:after="40" w:before="40"/>
            </w:pPr>
            <w:r/>
            <w:r>
              <w:rPr>
                <w:rFonts w:ascii="Cambria" w:hAnsi="Cambria"/>
                <w:b w:val="0"/>
                <w:i w:val="0"/>
                <w:sz w:val="22"/>
              </w:rPr>
              <w:t>Manage patent filing, copyright registration, and IP policy compliance.</w:t>
            </w:r>
          </w:p>
        </w:tc>
      </w:tr>
      <w:tr>
        <w:tc>
          <w:tcPr>
            <w:tcW w:type="dxa" w:w="1984"/>
          </w:tcPr>
          <w:p>
            <w:pPr>
              <w:spacing w:after="40" w:before="40"/>
            </w:pPr>
            <w:r/>
            <w:r>
              <w:rPr>
                <w:rFonts w:ascii="Cambria" w:hAnsi="Cambria"/>
                <w:b w:val="0"/>
                <w:i w:val="0"/>
                <w:sz w:val="22"/>
              </w:rPr>
              <w:t>CICC</w:t>
            </w:r>
          </w:p>
        </w:tc>
        <w:tc>
          <w:tcPr>
            <w:tcW w:type="dxa" w:w="7371"/>
          </w:tcPr>
          <w:p>
            <w:pPr>
              <w:spacing w:after="40" w:before="40"/>
            </w:pPr>
            <w:r/>
            <w:r>
              <w:rPr>
                <w:rFonts w:ascii="Cambria" w:hAnsi="Cambria"/>
                <w:b w:val="0"/>
                <w:i w:val="0"/>
                <w:sz w:val="22"/>
              </w:rPr>
              <w:t>Facilitate consultancy proposals, MoUs, and client contracts.</w:t>
            </w:r>
          </w:p>
        </w:tc>
      </w:tr>
      <w:tr>
        <w:tc>
          <w:tcPr>
            <w:tcW w:type="dxa" w:w="1984"/>
            <w:shd w:val="clear" w:color="auto" w:fill="F0F2F5"/>
          </w:tcPr>
          <w:p>
            <w:pPr>
              <w:spacing w:after="40" w:before="40"/>
            </w:pPr>
            <w:r/>
            <w:r>
              <w:rPr>
                <w:rFonts w:ascii="Cambria" w:hAnsi="Cambria"/>
                <w:b w:val="0"/>
                <w:i w:val="0"/>
                <w:sz w:val="22"/>
              </w:rPr>
              <w:t>Finance Section</w:t>
            </w:r>
          </w:p>
        </w:tc>
        <w:tc>
          <w:tcPr>
            <w:tcW w:type="dxa" w:w="7371"/>
            <w:shd w:val="clear" w:color="auto" w:fill="F0F2F5"/>
          </w:tcPr>
          <w:p>
            <w:pPr>
              <w:spacing w:after="40" w:before="40"/>
            </w:pPr>
            <w:r/>
            <w:r>
              <w:rPr>
                <w:rFonts w:ascii="Cambria" w:hAnsi="Cambria"/>
                <w:b w:val="0"/>
                <w:i w:val="0"/>
                <w:sz w:val="22"/>
              </w:rPr>
              <w:t>Maintain project accounts, disburse incentives, ensure audit compliance.</w:t>
            </w:r>
          </w:p>
        </w:tc>
      </w:tr>
      <w:tr>
        <w:tc>
          <w:tcPr>
            <w:tcW w:type="dxa" w:w="1984"/>
          </w:tcPr>
          <w:p>
            <w:pPr>
              <w:spacing w:after="40" w:before="40"/>
            </w:pPr>
            <w:r/>
            <w:r>
              <w:rPr>
                <w:rFonts w:ascii="Cambria" w:hAnsi="Cambria"/>
                <w:b w:val="0"/>
                <w:i w:val="0"/>
                <w:sz w:val="22"/>
              </w:rPr>
              <w:t>IQAC</w:t>
            </w:r>
          </w:p>
        </w:tc>
        <w:tc>
          <w:tcPr>
            <w:tcW w:type="dxa" w:w="7371"/>
          </w:tcPr>
          <w:p>
            <w:pPr>
              <w:spacing w:after="40" w:before="40"/>
            </w:pPr>
            <w:r/>
            <w:r>
              <w:rPr>
                <w:rFonts w:ascii="Cambria" w:hAnsi="Cambria"/>
                <w:b w:val="0"/>
                <w:i w:val="0"/>
                <w:sz w:val="22"/>
              </w:rPr>
              <w:t>Record evidence for NAAC / NBA / NIRF documentation.</w:t>
            </w:r>
          </w:p>
        </w:tc>
      </w:tr>
    </w:tbl>
    <w:p>
      <w:pPr>
        <w:spacing w:after="40"/>
      </w:pPr>
    </w:p>
    <w:p>
      <w:pPr>
        <w:keepNext/>
        <w:spacing w:before="200" w:after="120"/>
      </w:pPr>
      <w:r>
        <w:rPr>
          <w:rFonts w:ascii="Cambria" w:hAnsi="Cambria"/>
          <w:b/>
          <w:color w:val="1F3A5F"/>
          <w:sz w:val="24"/>
        </w:rPr>
        <w:t>VII. Ethics and Compliance</w:t>
      </w:r>
    </w:p>
    <w:p>
      <w:pPr>
        <w:pStyle w:val="ListBullet"/>
        <w:spacing w:line="276" w:lineRule="auto"/>
        <w:ind w:left="510"/>
      </w:pPr>
      <w:r>
        <w:rPr>
          <w:rFonts w:ascii="Cambria" w:hAnsi="Cambria"/>
          <w:b w:val="0"/>
          <w:i w:val="0"/>
          <w:sz w:val="22"/>
        </w:rPr>
        <w:t>All research must adhere to ethical, environmental, and legal standards.</w:t>
      </w:r>
    </w:p>
    <w:p>
      <w:pPr>
        <w:pStyle w:val="ListBullet"/>
        <w:spacing w:line="276" w:lineRule="auto"/>
        <w:ind w:left="510"/>
      </w:pPr>
      <w:r>
        <w:rPr>
          <w:rFonts w:ascii="Cambria" w:hAnsi="Cambria"/>
          <w:b w:val="0"/>
          <w:i w:val="0"/>
          <w:sz w:val="22"/>
        </w:rPr>
        <w:t>Plagiarism check is mandatory before submission of manuscripts.</w:t>
      </w:r>
    </w:p>
    <w:p>
      <w:pPr>
        <w:pStyle w:val="ListBullet"/>
        <w:spacing w:line="276" w:lineRule="auto"/>
        <w:ind w:left="510"/>
      </w:pPr>
      <w:r>
        <w:rPr>
          <w:rFonts w:ascii="Cambria" w:hAnsi="Cambria"/>
          <w:b w:val="0"/>
          <w:i w:val="0"/>
          <w:sz w:val="22"/>
        </w:rPr>
        <w:t>Projects involving human or animal subjects must have Institutional Ethics Committee (IEC) approval.</w:t>
      </w:r>
    </w:p>
    <w:p>
      <w:pPr>
        <w:pStyle w:val="ListBullet"/>
        <w:spacing w:line="276" w:lineRule="auto"/>
        <w:ind w:left="510"/>
      </w:pPr>
      <w:r>
        <w:rPr>
          <w:rFonts w:ascii="Cambria" w:hAnsi="Cambria"/>
          <w:b w:val="0"/>
          <w:i w:val="0"/>
          <w:sz w:val="22"/>
        </w:rPr>
        <w:t>Consultancy projects must not conflict with University interests or academic schedules.</w:t>
      </w:r>
    </w:p>
    <w:p>
      <w:pPr>
        <w:keepNext/>
        <w:spacing w:before="200" w:after="120"/>
      </w:pPr>
      <w:r>
        <w:rPr>
          <w:rFonts w:ascii="Cambria" w:hAnsi="Cambria"/>
          <w:b/>
          <w:color w:val="1F3A5F"/>
          <w:sz w:val="24"/>
        </w:rPr>
        <w:t>VIII. Monitoring, Evaluation, and Reporting</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742"/>
            <w:shd w:val="clear" w:color="auto" w:fill="1F3A5F"/>
          </w:tcPr>
          <w:p>
            <w:pPr>
              <w:spacing w:after="40" w:before="40"/>
            </w:pPr>
            <w:r/>
            <w:r>
              <w:rPr>
                <w:rFonts w:ascii="Cambria" w:hAnsi="Cambria"/>
                <w:b/>
                <w:i w:val="0"/>
                <w:color w:val="FFFFFF"/>
                <w:sz w:val="22"/>
              </w:rPr>
              <w:t>Activity</w:t>
            </w:r>
          </w:p>
        </w:tc>
        <w:tc>
          <w:tcPr>
            <w:tcW w:type="dxa" w:w="1701"/>
            <w:shd w:val="clear" w:color="auto" w:fill="1F3A5F"/>
          </w:tcPr>
          <w:p>
            <w:pPr>
              <w:spacing w:after="40" w:before="40"/>
            </w:pPr>
            <w:r/>
            <w:r>
              <w:rPr>
                <w:rFonts w:ascii="Cambria" w:hAnsi="Cambria"/>
                <w:b/>
                <w:i w:val="0"/>
                <w:color w:val="FFFFFF"/>
                <w:sz w:val="22"/>
              </w:rPr>
              <w:t>Frequency</w:t>
            </w:r>
          </w:p>
        </w:tc>
        <w:tc>
          <w:tcPr>
            <w:tcW w:type="dxa" w:w="3912"/>
            <w:shd w:val="clear" w:color="auto" w:fill="1F3A5F"/>
          </w:tcPr>
          <w:p>
            <w:pPr>
              <w:spacing w:after="40" w:before="40"/>
            </w:pPr>
            <w:r/>
            <w:r>
              <w:rPr>
                <w:rFonts w:ascii="Cambria" w:hAnsi="Cambria"/>
                <w:b/>
                <w:i w:val="0"/>
                <w:color w:val="FFFFFF"/>
                <w:sz w:val="22"/>
              </w:rPr>
              <w:t>Reporting Authority</w:t>
            </w:r>
          </w:p>
        </w:tc>
      </w:tr>
      <w:tr>
        <w:tc>
          <w:tcPr>
            <w:tcW w:type="dxa" w:w="3742"/>
          </w:tcPr>
          <w:p>
            <w:pPr>
              <w:spacing w:after="40" w:before="40"/>
            </w:pPr>
            <w:r/>
            <w:r>
              <w:rPr>
                <w:rFonts w:ascii="Cambria" w:hAnsi="Cambria"/>
                <w:b w:val="0"/>
                <w:i w:val="0"/>
                <w:sz w:val="22"/>
              </w:rPr>
              <w:t>Research Progress Reports</w:t>
            </w:r>
          </w:p>
        </w:tc>
        <w:tc>
          <w:tcPr>
            <w:tcW w:type="dxa" w:w="1701"/>
          </w:tcPr>
          <w:p>
            <w:pPr>
              <w:spacing w:after="40" w:before="40"/>
            </w:pPr>
            <w:r/>
            <w:r>
              <w:rPr>
                <w:rFonts w:ascii="Cambria" w:hAnsi="Cambria"/>
                <w:b w:val="0"/>
                <w:i w:val="0"/>
                <w:sz w:val="22"/>
              </w:rPr>
              <w:t>Quarterly</w:t>
            </w:r>
          </w:p>
        </w:tc>
        <w:tc>
          <w:tcPr>
            <w:tcW w:type="dxa" w:w="3912"/>
          </w:tcPr>
          <w:p>
            <w:pPr>
              <w:spacing w:after="40" w:before="40"/>
            </w:pPr>
            <w:r/>
            <w:r>
              <w:rPr>
                <w:rFonts w:ascii="Cambria" w:hAnsi="Cambria"/>
                <w:b w:val="0"/>
                <w:i w:val="0"/>
                <w:sz w:val="22"/>
              </w:rPr>
              <w:t>R&amp;D Cell / Registrar</w:t>
            </w:r>
          </w:p>
        </w:tc>
      </w:tr>
      <w:tr>
        <w:tc>
          <w:tcPr>
            <w:tcW w:type="dxa" w:w="3742"/>
            <w:shd w:val="clear" w:color="auto" w:fill="F0F2F5"/>
          </w:tcPr>
          <w:p>
            <w:pPr>
              <w:spacing w:after="40" w:before="40"/>
            </w:pPr>
            <w:r/>
            <w:r>
              <w:rPr>
                <w:rFonts w:ascii="Cambria" w:hAnsi="Cambria"/>
                <w:b w:val="0"/>
                <w:i w:val="0"/>
                <w:sz w:val="22"/>
              </w:rPr>
              <w:t>Consultancy Utilization Report</w:t>
            </w:r>
          </w:p>
        </w:tc>
        <w:tc>
          <w:tcPr>
            <w:tcW w:type="dxa" w:w="1701"/>
            <w:shd w:val="clear" w:color="auto" w:fill="F0F2F5"/>
          </w:tcPr>
          <w:p>
            <w:pPr>
              <w:spacing w:after="40" w:before="40"/>
            </w:pPr>
            <w:r/>
            <w:r>
              <w:rPr>
                <w:rFonts w:ascii="Cambria" w:hAnsi="Cambria"/>
                <w:b w:val="0"/>
                <w:i w:val="0"/>
                <w:sz w:val="22"/>
              </w:rPr>
              <w:t>Half-yearly</w:t>
            </w:r>
          </w:p>
        </w:tc>
        <w:tc>
          <w:tcPr>
            <w:tcW w:type="dxa" w:w="3912"/>
            <w:shd w:val="clear" w:color="auto" w:fill="F0F2F5"/>
          </w:tcPr>
          <w:p>
            <w:pPr>
              <w:spacing w:after="40" w:before="40"/>
            </w:pPr>
            <w:r/>
            <w:r>
              <w:rPr>
                <w:rFonts w:ascii="Cambria" w:hAnsi="Cambria"/>
                <w:b w:val="0"/>
                <w:i w:val="0"/>
                <w:sz w:val="22"/>
              </w:rPr>
              <w:t>CICC / Finance</w:t>
            </w:r>
          </w:p>
        </w:tc>
      </w:tr>
      <w:tr>
        <w:tc>
          <w:tcPr>
            <w:tcW w:type="dxa" w:w="3742"/>
          </w:tcPr>
          <w:p>
            <w:pPr>
              <w:spacing w:after="40" w:before="40"/>
            </w:pPr>
            <w:r/>
            <w:r>
              <w:rPr>
                <w:rFonts w:ascii="Cambria" w:hAnsi="Cambria"/>
                <w:b w:val="0"/>
                <w:i w:val="0"/>
                <w:sz w:val="22"/>
              </w:rPr>
              <w:t>Innovation &amp; Start-up Review</w:t>
            </w:r>
          </w:p>
        </w:tc>
        <w:tc>
          <w:tcPr>
            <w:tcW w:type="dxa" w:w="1701"/>
          </w:tcPr>
          <w:p>
            <w:pPr>
              <w:spacing w:after="40" w:before="40"/>
            </w:pPr>
            <w:r/>
            <w:r>
              <w:rPr>
                <w:rFonts w:ascii="Cambria" w:hAnsi="Cambria"/>
                <w:b w:val="0"/>
                <w:i w:val="0"/>
                <w:sz w:val="22"/>
              </w:rPr>
              <w:t>Annual</w:t>
            </w:r>
          </w:p>
        </w:tc>
        <w:tc>
          <w:tcPr>
            <w:tcW w:type="dxa" w:w="3912"/>
          </w:tcPr>
          <w:p>
            <w:pPr>
              <w:spacing w:after="40" w:before="40"/>
            </w:pPr>
            <w:r/>
            <w:r>
              <w:rPr>
                <w:rFonts w:ascii="Cambria" w:hAnsi="Cambria"/>
                <w:b w:val="0"/>
                <w:i w:val="0"/>
                <w:sz w:val="22"/>
              </w:rPr>
              <w:t>IIC / Dean (Innovation)</w:t>
            </w:r>
          </w:p>
        </w:tc>
      </w:tr>
      <w:tr>
        <w:tc>
          <w:tcPr>
            <w:tcW w:type="dxa" w:w="3742"/>
            <w:shd w:val="clear" w:color="auto" w:fill="F0F2F5"/>
          </w:tcPr>
          <w:p>
            <w:pPr>
              <w:spacing w:after="40" w:before="40"/>
            </w:pPr>
            <w:r/>
            <w:r>
              <w:rPr>
                <w:rFonts w:ascii="Cambria" w:hAnsi="Cambria"/>
                <w:b w:val="0"/>
                <w:i w:val="0"/>
                <w:sz w:val="22"/>
              </w:rPr>
              <w:t>Faculty Research Performance Review</w:t>
            </w:r>
          </w:p>
        </w:tc>
        <w:tc>
          <w:tcPr>
            <w:tcW w:type="dxa" w:w="1701"/>
            <w:shd w:val="clear" w:color="auto" w:fill="F0F2F5"/>
          </w:tcPr>
          <w:p>
            <w:pPr>
              <w:spacing w:after="40" w:before="40"/>
            </w:pPr>
            <w:r/>
            <w:r>
              <w:rPr>
                <w:rFonts w:ascii="Cambria" w:hAnsi="Cambria"/>
                <w:b w:val="0"/>
                <w:i w:val="0"/>
                <w:sz w:val="22"/>
              </w:rPr>
              <w:t>Annual</w:t>
            </w:r>
          </w:p>
        </w:tc>
        <w:tc>
          <w:tcPr>
            <w:tcW w:type="dxa" w:w="3912"/>
            <w:shd w:val="clear" w:color="auto" w:fill="F0F2F5"/>
          </w:tcPr>
          <w:p>
            <w:pPr>
              <w:spacing w:after="40" w:before="40"/>
            </w:pPr>
            <w:r/>
            <w:r>
              <w:rPr>
                <w:rFonts w:ascii="Cambria" w:hAnsi="Cambria"/>
                <w:b w:val="0"/>
                <w:i w:val="0"/>
                <w:sz w:val="22"/>
              </w:rPr>
              <w:t>IQAC / Dean (Research)</w:t>
            </w:r>
          </w:p>
        </w:tc>
      </w:tr>
    </w:tbl>
    <w:p>
      <w:pPr>
        <w:spacing w:after="40"/>
      </w:pPr>
    </w:p>
    <w:p>
      <w:pPr>
        <w:pStyle w:val="ListBullet"/>
        <w:spacing w:line="276" w:lineRule="auto"/>
        <w:ind w:left="510"/>
      </w:pPr>
      <w:r>
        <w:rPr>
          <w:rFonts w:ascii="Cambria" w:hAnsi="Cambria"/>
          <w:b w:val="0"/>
          <w:i w:val="0"/>
          <w:sz w:val="22"/>
        </w:rPr>
        <w:t>An Annual Research and Innovation Report shall be presented to the Board of Management (BoM), summarizing:</w:t>
      </w:r>
    </w:p>
    <w:p>
      <w:pPr>
        <w:pStyle w:val="ListBullet2"/>
        <w:spacing w:line="276" w:lineRule="auto"/>
        <w:ind w:left="1020"/>
      </w:pPr>
      <w:r>
        <w:rPr>
          <w:rFonts w:ascii="Cambria" w:hAnsi="Cambria"/>
          <w:b w:val="0"/>
          <w:i w:val="0"/>
          <w:sz w:val="22"/>
        </w:rPr>
        <w:t>Grants received, patents filed, publications indexed, and consultancy revenue generated.</w:t>
      </w:r>
    </w:p>
    <w:p>
      <w:pPr>
        <w:keepNext/>
        <w:spacing w:before="200" w:after="120"/>
      </w:pPr>
      <w:r>
        <w:rPr>
          <w:rFonts w:ascii="Cambria" w:hAnsi="Cambria"/>
          <w:b/>
          <w:color w:val="1F3A5F"/>
          <w:sz w:val="24"/>
        </w:rPr>
        <w:t>IX. Incentive Disbursement Process</w:t>
      </w:r>
    </w:p>
    <w:p>
      <w:pPr>
        <w:spacing w:line="276" w:lineRule="auto"/>
        <w:ind w:left="357" w:hanging="357"/>
      </w:pPr>
      <w:r>
        <w:rPr>
          <w:rFonts w:ascii="Cambria" w:hAnsi="Cambria"/>
          <w:b w:val="0"/>
          <w:i w:val="0"/>
          <w:sz w:val="22"/>
        </w:rPr>
        <w:t xml:space="preserve">1. </w:t>
      </w:r>
      <w:r>
        <w:rPr>
          <w:rFonts w:ascii="Cambria" w:hAnsi="Cambria"/>
          <w:b w:val="0"/>
          <w:i w:val="0"/>
          <w:sz w:val="22"/>
        </w:rPr>
        <w:t>Researcher submits claim form with proof of publication/project completion.</w:t>
      </w:r>
    </w:p>
    <w:p>
      <w:pPr>
        <w:spacing w:line="276" w:lineRule="auto"/>
        <w:ind w:left="357" w:hanging="357"/>
      </w:pPr>
      <w:r>
        <w:rPr>
          <w:rFonts w:ascii="Cambria" w:hAnsi="Cambria"/>
          <w:b w:val="0"/>
          <w:i w:val="0"/>
          <w:sz w:val="22"/>
        </w:rPr>
        <w:t xml:space="preserve">2. </w:t>
      </w:r>
      <w:r>
        <w:rPr>
          <w:rFonts w:ascii="Cambria" w:hAnsi="Cambria"/>
          <w:b w:val="0"/>
          <w:i w:val="0"/>
          <w:sz w:val="22"/>
        </w:rPr>
        <w:t>Concerned Cell (R&amp;D/IPR/CICC) verifies claim and forwards to Registrar.</w:t>
      </w:r>
    </w:p>
    <w:p>
      <w:pPr>
        <w:spacing w:line="276" w:lineRule="auto"/>
        <w:ind w:left="357" w:hanging="357"/>
      </w:pPr>
      <w:r>
        <w:rPr>
          <w:rFonts w:ascii="Cambria" w:hAnsi="Cambria"/>
          <w:b w:val="0"/>
          <w:i w:val="0"/>
          <w:sz w:val="22"/>
        </w:rPr>
        <w:t xml:space="preserve">3. </w:t>
      </w:r>
      <w:r>
        <w:rPr>
          <w:rFonts w:ascii="Cambria" w:hAnsi="Cambria"/>
          <w:b w:val="0"/>
          <w:i w:val="0"/>
          <w:sz w:val="22"/>
        </w:rPr>
        <w:t>Registrar approves and forwards to Finance for payment.</w:t>
      </w:r>
    </w:p>
    <w:p>
      <w:pPr>
        <w:spacing w:line="276" w:lineRule="auto"/>
        <w:ind w:left="357" w:hanging="357"/>
      </w:pPr>
      <w:r>
        <w:rPr>
          <w:rFonts w:ascii="Cambria" w:hAnsi="Cambria"/>
          <w:b w:val="0"/>
          <w:i w:val="0"/>
          <w:sz w:val="22"/>
        </w:rPr>
        <w:t xml:space="preserve">4. </w:t>
      </w:r>
      <w:r>
        <w:rPr>
          <w:rFonts w:ascii="Cambria" w:hAnsi="Cambria"/>
          <w:b w:val="0"/>
          <w:i w:val="0"/>
          <w:sz w:val="22"/>
        </w:rPr>
        <w:t>Finance section disburses incentive within 30 working days of approval.</w:t>
      </w:r>
    </w:p>
    <w:p>
      <w:pPr>
        <w:keepNext/>
        <w:spacing w:before="200" w:after="120"/>
      </w:pPr>
      <w:r>
        <w:rPr>
          <w:rFonts w:ascii="Cambria" w:hAnsi="Cambria"/>
          <w:b/>
          <w:color w:val="1F3A5F"/>
          <w:sz w:val="24"/>
        </w:rPr>
        <w:t>X. Review and Revision</w:t>
      </w:r>
    </w:p>
    <w:p>
      <w:pPr>
        <w:pStyle w:val="ListBullet"/>
        <w:spacing w:line="276" w:lineRule="auto"/>
        <w:ind w:left="510"/>
      </w:pPr>
      <w:r>
        <w:rPr>
          <w:rFonts w:ascii="Cambria" w:hAnsi="Cambria"/>
          <w:b w:val="0"/>
          <w:i w:val="0"/>
          <w:sz w:val="22"/>
        </w:rPr>
        <w:t>The policy shall be reviewed every three years by the R&amp;D Cell in consultation with the BoM and IQAC.</w:t>
      </w:r>
    </w:p>
    <w:p>
      <w:pPr>
        <w:pStyle w:val="ListBullet"/>
        <w:spacing w:line="276" w:lineRule="auto"/>
        <w:ind w:left="510"/>
      </w:pPr>
      <w:r>
        <w:rPr>
          <w:rFonts w:ascii="Cambria" w:hAnsi="Cambria"/>
          <w:b w:val="0"/>
          <w:i w:val="0"/>
          <w:sz w:val="22"/>
        </w:rPr>
        <w:t>Amendments may be made to align with UGC, AICTE, DST, DBT, MSME, or Government of India guidelines.</w:t>
      </w:r>
    </w:p>
    <w:p>
      <w:pPr>
        <w:keepNext/>
        <w:spacing w:before="200" w:after="120"/>
      </w:pPr>
      <w:r>
        <w:rPr>
          <w:rFonts w:ascii="Cambria" w:hAnsi="Cambria"/>
          <w:b/>
          <w:color w:val="1F3A5F"/>
          <w:sz w:val="24"/>
        </w:rPr>
        <w:t>XI.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Aspect</w:t>
            </w:r>
          </w:p>
        </w:tc>
        <w:tc>
          <w:tcPr>
            <w:tcW w:type="dxa" w:w="4706"/>
            <w:shd w:val="clear" w:color="auto" w:fill="1F3A5F"/>
          </w:tcPr>
          <w:p>
            <w:pPr>
              <w:spacing w:after="40" w:before="40"/>
            </w:pPr>
            <w:r/>
            <w:r>
              <w:rPr>
                <w:rFonts w:ascii="Cambria" w:hAnsi="Cambria"/>
                <w:b/>
                <w:i w:val="0"/>
                <w:color w:val="FFFFFF"/>
                <w:sz w:val="22"/>
              </w:rPr>
              <w:t>Provision</w:t>
            </w:r>
          </w:p>
        </w:tc>
        <w:tc>
          <w:tcPr>
            <w:tcW w:type="dxa" w:w="2664"/>
            <w:shd w:val="clear" w:color="auto" w:fill="1F3A5F"/>
          </w:tcPr>
          <w:p>
            <w:pPr>
              <w:spacing w:after="40" w:before="40"/>
            </w:pPr>
            <w:r/>
            <w:r>
              <w:rPr>
                <w:rFonts w:ascii="Cambria" w:hAnsi="Cambria"/>
                <w:b/>
                <w:i w:val="0"/>
                <w:color w:val="FFFFFF"/>
                <w:sz w:val="22"/>
              </w:rPr>
              <w:t>Authority / Cell</w:t>
            </w:r>
          </w:p>
        </w:tc>
      </w:tr>
      <w:tr>
        <w:tc>
          <w:tcPr>
            <w:tcW w:type="dxa" w:w="2041"/>
          </w:tcPr>
          <w:p>
            <w:pPr>
              <w:spacing w:after="40" w:before="40"/>
            </w:pPr>
            <w:r/>
            <w:r>
              <w:rPr>
                <w:rFonts w:ascii="Cambria" w:hAnsi="Cambria"/>
                <w:b w:val="0"/>
                <w:i w:val="0"/>
                <w:sz w:val="22"/>
              </w:rPr>
              <w:t>Publication Incentive</w:t>
            </w:r>
          </w:p>
        </w:tc>
        <w:tc>
          <w:tcPr>
            <w:tcW w:type="dxa" w:w="4706"/>
          </w:tcPr>
          <w:p>
            <w:pPr>
              <w:spacing w:after="40" w:before="40"/>
            </w:pPr>
            <w:r/>
            <w:r>
              <w:rPr>
                <w:rFonts w:ascii="Cambria" w:hAnsi="Cambria"/>
                <w:b w:val="0"/>
                <w:i w:val="0"/>
                <w:sz w:val="22"/>
              </w:rPr>
              <w:t>₹5,000–₹10,000 per publication</w:t>
            </w:r>
          </w:p>
        </w:tc>
        <w:tc>
          <w:tcPr>
            <w:tcW w:type="dxa" w:w="2664"/>
          </w:tcPr>
          <w:p>
            <w:pPr>
              <w:spacing w:after="40" w:before="40"/>
            </w:pPr>
            <w:r/>
            <w:r>
              <w:rPr>
                <w:rFonts w:ascii="Cambria" w:hAnsi="Cambria"/>
                <w:b w:val="0"/>
                <w:i w:val="0"/>
                <w:sz w:val="22"/>
              </w:rPr>
              <w:t>R&amp;D Cell / IQAC</w:t>
            </w:r>
          </w:p>
        </w:tc>
      </w:tr>
      <w:tr>
        <w:tc>
          <w:tcPr>
            <w:tcW w:type="dxa" w:w="2041"/>
            <w:shd w:val="clear" w:color="auto" w:fill="F0F2F5"/>
          </w:tcPr>
          <w:p>
            <w:pPr>
              <w:spacing w:after="40" w:before="40"/>
            </w:pPr>
            <w:r/>
            <w:r>
              <w:rPr>
                <w:rFonts w:ascii="Cambria" w:hAnsi="Cambria"/>
                <w:b w:val="0"/>
                <w:i w:val="0"/>
                <w:sz w:val="22"/>
              </w:rPr>
              <w:t>Patent Filing / Grant</w:t>
            </w:r>
          </w:p>
        </w:tc>
        <w:tc>
          <w:tcPr>
            <w:tcW w:type="dxa" w:w="4706"/>
            <w:shd w:val="clear" w:color="auto" w:fill="F0F2F5"/>
          </w:tcPr>
          <w:p>
            <w:pPr>
              <w:spacing w:after="40" w:before="40"/>
            </w:pPr>
            <w:r/>
            <w:r>
              <w:rPr>
                <w:rFonts w:ascii="Cambria" w:hAnsi="Cambria"/>
                <w:b w:val="0"/>
                <w:i w:val="0"/>
                <w:sz w:val="22"/>
              </w:rPr>
              <w:t>₹10,000–₹25,000 + reimbursement</w:t>
            </w:r>
          </w:p>
        </w:tc>
        <w:tc>
          <w:tcPr>
            <w:tcW w:type="dxa" w:w="2664"/>
            <w:shd w:val="clear" w:color="auto" w:fill="F0F2F5"/>
          </w:tcPr>
          <w:p>
            <w:pPr>
              <w:spacing w:after="40" w:before="40"/>
            </w:pPr>
            <w:r/>
            <w:r>
              <w:rPr>
                <w:rFonts w:ascii="Cambria" w:hAnsi="Cambria"/>
                <w:b w:val="0"/>
                <w:i w:val="0"/>
                <w:sz w:val="22"/>
              </w:rPr>
              <w:t>IPR Cell</w:t>
            </w:r>
          </w:p>
        </w:tc>
      </w:tr>
      <w:tr>
        <w:tc>
          <w:tcPr>
            <w:tcW w:type="dxa" w:w="2041"/>
          </w:tcPr>
          <w:p>
            <w:pPr>
              <w:spacing w:after="40" w:before="40"/>
            </w:pPr>
            <w:r/>
            <w:r>
              <w:rPr>
                <w:rFonts w:ascii="Cambria" w:hAnsi="Cambria"/>
                <w:b w:val="0"/>
                <w:i w:val="0"/>
                <w:sz w:val="22"/>
              </w:rPr>
              <w:t>Consultancy Revenue</w:t>
            </w:r>
          </w:p>
        </w:tc>
        <w:tc>
          <w:tcPr>
            <w:tcW w:type="dxa" w:w="4706"/>
          </w:tcPr>
          <w:p>
            <w:pPr>
              <w:spacing w:after="40" w:before="40"/>
            </w:pPr>
            <w:r/>
            <w:r>
              <w:rPr>
                <w:rFonts w:ascii="Cambria" w:hAnsi="Cambria"/>
                <w:b w:val="0"/>
                <w:i w:val="0"/>
                <w:sz w:val="22"/>
              </w:rPr>
              <w:t>60:20:20 (PI:Dept:University)</w:t>
            </w:r>
          </w:p>
        </w:tc>
        <w:tc>
          <w:tcPr>
            <w:tcW w:type="dxa" w:w="2664"/>
          </w:tcPr>
          <w:p>
            <w:pPr>
              <w:spacing w:after="40" w:before="40"/>
            </w:pPr>
            <w:r/>
            <w:r>
              <w:rPr>
                <w:rFonts w:ascii="Cambria" w:hAnsi="Cambria"/>
                <w:b w:val="0"/>
                <w:i w:val="0"/>
                <w:sz w:val="22"/>
              </w:rPr>
              <w:t>CICC / Finance</w:t>
            </w:r>
          </w:p>
        </w:tc>
      </w:tr>
      <w:tr>
        <w:tc>
          <w:tcPr>
            <w:tcW w:type="dxa" w:w="2041"/>
            <w:shd w:val="clear" w:color="auto" w:fill="F0F2F5"/>
          </w:tcPr>
          <w:p>
            <w:pPr>
              <w:spacing w:after="40" w:before="40"/>
            </w:pPr>
            <w:r/>
            <w:r>
              <w:rPr>
                <w:rFonts w:ascii="Cambria" w:hAnsi="Cambria"/>
                <w:b w:val="0"/>
                <w:i w:val="0"/>
                <w:sz w:val="22"/>
              </w:rPr>
              <w:t>Seed / Minor Grant</w:t>
            </w:r>
          </w:p>
        </w:tc>
        <w:tc>
          <w:tcPr>
            <w:tcW w:type="dxa" w:w="4706"/>
            <w:shd w:val="clear" w:color="auto" w:fill="F0F2F5"/>
          </w:tcPr>
          <w:p>
            <w:pPr>
              <w:spacing w:after="40" w:before="40"/>
            </w:pPr>
            <w:r/>
            <w:r>
              <w:rPr>
                <w:rFonts w:ascii="Cambria" w:hAnsi="Cambria"/>
                <w:b w:val="0"/>
                <w:i w:val="0"/>
                <w:sz w:val="22"/>
              </w:rPr>
              <w:t>₹50,000 – ₹2,00,000</w:t>
            </w:r>
          </w:p>
        </w:tc>
        <w:tc>
          <w:tcPr>
            <w:tcW w:type="dxa" w:w="2664"/>
            <w:shd w:val="clear" w:color="auto" w:fill="F0F2F5"/>
          </w:tcPr>
          <w:p>
            <w:pPr>
              <w:spacing w:after="40" w:before="40"/>
            </w:pPr>
            <w:r/>
            <w:r>
              <w:rPr>
                <w:rFonts w:ascii="Cambria" w:hAnsi="Cambria"/>
                <w:b w:val="0"/>
                <w:i w:val="0"/>
                <w:sz w:val="22"/>
              </w:rPr>
              <w:t>R&amp;D Cell</w:t>
            </w:r>
          </w:p>
        </w:tc>
      </w:tr>
      <w:tr>
        <w:tc>
          <w:tcPr>
            <w:tcW w:type="dxa" w:w="2041"/>
          </w:tcPr>
          <w:p>
            <w:pPr>
              <w:spacing w:after="40" w:before="40"/>
            </w:pPr>
            <w:r/>
            <w:r>
              <w:rPr>
                <w:rFonts w:ascii="Cambria" w:hAnsi="Cambria"/>
                <w:b w:val="0"/>
                <w:i w:val="0"/>
                <w:sz w:val="22"/>
              </w:rPr>
              <w:t>Innovation Support</w:t>
            </w:r>
          </w:p>
        </w:tc>
        <w:tc>
          <w:tcPr>
            <w:tcW w:type="dxa" w:w="4706"/>
          </w:tcPr>
          <w:p>
            <w:pPr>
              <w:spacing w:after="40" w:before="40"/>
            </w:pPr>
            <w:r/>
            <w:r>
              <w:rPr>
                <w:rFonts w:ascii="Cambria" w:hAnsi="Cambria"/>
                <w:b w:val="0"/>
                <w:i w:val="0"/>
                <w:sz w:val="22"/>
              </w:rPr>
              <w:t>₹25,000 – ₹2,00,000 (Seed Fund)</w:t>
            </w:r>
          </w:p>
        </w:tc>
        <w:tc>
          <w:tcPr>
            <w:tcW w:type="dxa" w:w="2664"/>
          </w:tcPr>
          <w:p>
            <w:pPr>
              <w:spacing w:after="40" w:before="40"/>
            </w:pPr>
            <w:r/>
            <w:r>
              <w:rPr>
                <w:rFonts w:ascii="Cambria" w:hAnsi="Cambria"/>
                <w:b w:val="0"/>
                <w:i w:val="0"/>
                <w:sz w:val="22"/>
              </w:rPr>
              <w:t>IIC</w:t>
            </w:r>
          </w:p>
        </w:tc>
      </w:tr>
      <w:tr>
        <w:tc>
          <w:tcPr>
            <w:tcW w:type="dxa" w:w="2041"/>
            <w:shd w:val="clear" w:color="auto" w:fill="F0F2F5"/>
          </w:tcPr>
          <w:p>
            <w:pPr>
              <w:spacing w:after="40" w:before="40"/>
            </w:pPr>
            <w:r/>
            <w:r>
              <w:rPr>
                <w:rFonts w:ascii="Cambria" w:hAnsi="Cambria"/>
                <w:b w:val="0"/>
                <w:i w:val="0"/>
                <w:sz w:val="22"/>
              </w:rPr>
              <w:t>Ethics &amp; Compliance</w:t>
            </w:r>
          </w:p>
        </w:tc>
        <w:tc>
          <w:tcPr>
            <w:tcW w:type="dxa" w:w="4706"/>
            <w:shd w:val="clear" w:color="auto" w:fill="F0F2F5"/>
          </w:tcPr>
          <w:p>
            <w:pPr>
              <w:spacing w:after="40" w:before="40"/>
            </w:pPr>
            <w:r/>
            <w:r>
              <w:rPr>
                <w:rFonts w:ascii="Cambria" w:hAnsi="Cambria"/>
                <w:b w:val="0"/>
                <w:i w:val="0"/>
                <w:sz w:val="22"/>
              </w:rPr>
              <w:t>Mandatory IEC / Plagiarism clearance</w:t>
            </w:r>
          </w:p>
        </w:tc>
        <w:tc>
          <w:tcPr>
            <w:tcW w:type="dxa" w:w="2664"/>
            <w:shd w:val="clear" w:color="auto" w:fill="F0F2F5"/>
          </w:tcPr>
          <w:p>
            <w:pPr>
              <w:spacing w:after="40" w:before="40"/>
            </w:pPr>
            <w:r/>
            <w:r>
              <w:rPr>
                <w:rFonts w:ascii="Cambria" w:hAnsi="Cambria"/>
                <w:b w:val="0"/>
                <w:i w:val="0"/>
                <w:sz w:val="22"/>
              </w:rPr>
              <w:t>R&amp;D Cell</w:t>
            </w:r>
          </w:p>
        </w:tc>
      </w:tr>
      <w:tr>
        <w:tc>
          <w:tcPr>
            <w:tcW w:type="dxa" w:w="2041"/>
          </w:tcPr>
          <w:p>
            <w:pPr>
              <w:spacing w:after="40" w:before="40"/>
            </w:pPr>
            <w:r/>
            <w:r>
              <w:rPr>
                <w:rFonts w:ascii="Cambria" w:hAnsi="Cambria"/>
                <w:b w:val="0"/>
                <w:i w:val="0"/>
                <w:sz w:val="22"/>
              </w:rPr>
              <w:t>Reporting</w:t>
            </w:r>
          </w:p>
        </w:tc>
        <w:tc>
          <w:tcPr>
            <w:tcW w:type="dxa" w:w="4706"/>
          </w:tcPr>
          <w:p>
            <w:pPr>
              <w:spacing w:after="40" w:before="40"/>
            </w:pPr>
            <w:r/>
            <w:r>
              <w:rPr>
                <w:rFonts w:ascii="Cambria" w:hAnsi="Cambria"/>
                <w:b w:val="0"/>
                <w:i w:val="0"/>
                <w:sz w:val="22"/>
              </w:rPr>
              <w:t>Annual Research Report to BoM</w:t>
            </w:r>
          </w:p>
        </w:tc>
        <w:tc>
          <w:tcPr>
            <w:tcW w:type="dxa" w:w="2664"/>
          </w:tcPr>
          <w:p>
            <w:pPr>
              <w:spacing w:after="40" w:before="40"/>
            </w:pPr>
            <w:r/>
            <w:r>
              <w:rPr>
                <w:rFonts w:ascii="Cambria" w:hAnsi="Cambria"/>
                <w:b w:val="0"/>
                <w:i w:val="0"/>
                <w:sz w:val="22"/>
              </w:rPr>
              <w:t>Registrar / IQAC</w:t>
            </w:r>
          </w:p>
        </w:tc>
      </w:tr>
    </w:tbl>
    <w:p>
      <w:pPr>
        <w:spacing w:after="40"/>
      </w:pPr>
    </w:p>
    <w:p>
      <w:pPr>
        <w:keepNext/>
        <w:spacing w:before="200" w:after="120"/>
      </w:pPr>
      <w:r>
        <w:rPr>
          <w:rFonts w:ascii="Cambria" w:hAnsi="Cambria"/>
          <w:b/>
          <w:color w:val="1F3A5F"/>
          <w:sz w:val="24"/>
        </w:rPr>
        <w:t>XII. Policy Principles</w:t>
      </w:r>
    </w:p>
    <w:p>
      <w:pPr>
        <w:pStyle w:val="ListBullet"/>
        <w:spacing w:line="276" w:lineRule="auto"/>
        <w:ind w:left="510"/>
      </w:pPr>
      <w:r>
        <w:rPr>
          <w:rFonts w:ascii="Cambria" w:hAnsi="Cambria"/>
          <w:b w:val="0"/>
          <w:i w:val="0"/>
          <w:sz w:val="22"/>
        </w:rPr>
        <w:t>Research and consultancy are integral to the University’s academic excellence and societal contribution.</w:t>
      </w:r>
    </w:p>
    <w:p>
      <w:pPr>
        <w:pStyle w:val="ListBullet"/>
        <w:spacing w:line="276" w:lineRule="auto"/>
        <w:ind w:left="510"/>
      </w:pPr>
      <w:r>
        <w:rPr>
          <w:rFonts w:ascii="Cambria" w:hAnsi="Cambria"/>
          <w:b w:val="0"/>
          <w:i w:val="0"/>
          <w:sz w:val="22"/>
        </w:rPr>
        <w:t>Incentives shall be merit-based, performance-linked, and transparent.</w:t>
      </w:r>
    </w:p>
    <w:p>
      <w:pPr>
        <w:pStyle w:val="ListBullet"/>
        <w:spacing w:line="276" w:lineRule="auto"/>
        <w:ind w:left="510"/>
      </w:pPr>
      <w:r>
        <w:rPr>
          <w:rFonts w:ascii="Cambria" w:hAnsi="Cambria"/>
          <w:b w:val="0"/>
          <w:i w:val="0"/>
          <w:sz w:val="22"/>
        </w:rPr>
        <w:t>All research outputs must acknowledge University affiliation in every publication or patent.</w:t>
      </w:r>
    </w:p>
    <w:p>
      <w:pPr>
        <w:pStyle w:val="ListBullet"/>
        <w:spacing w:line="276" w:lineRule="auto"/>
        <w:ind w:left="510"/>
      </w:pPr>
      <w:r>
        <w:rPr>
          <w:rFonts w:ascii="Cambria" w:hAnsi="Cambria"/>
          <w:b w:val="0"/>
          <w:i w:val="0"/>
          <w:sz w:val="22"/>
        </w:rPr>
        <w:t>Collaborative and interdisciplinary projects shall be encouraged and prioritized for institutional support.</w:t>
      </w:r>
    </w:p>
    <w:p>
      <w:pPr>
        <w:pStyle w:val="ListBullet"/>
        <w:spacing w:line="276" w:lineRule="auto"/>
        <w:ind w:left="510"/>
      </w:pPr>
      <w:r>
        <w:rPr>
          <w:rFonts w:ascii="Cambria" w:hAnsi="Cambria"/>
          <w:b w:val="0"/>
          <w:i w:val="0"/>
          <w:sz w:val="22"/>
        </w:rPr>
        <w:t>Revenue generated from research and consultancy shall be reinvested into R&amp;D infrastructure, labs, and seed funds.</w:t>
      </w:r>
    </w:p>
    <w:p>
      <w:pPr>
        <w:keepNext/>
        <w:spacing w:before="200" w:after="120"/>
      </w:pPr>
      <w:r>
        <w:rPr>
          <w:rFonts w:ascii="Cambria" w:hAnsi="Cambria"/>
          <w:b/>
          <w:color w:val="1F3A5F"/>
          <w:sz w:val="27"/>
        </w:rPr>
        <w:t>K. Intellectual Property Rights (IPR) and Patent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comprehensive framework for the creation, protection, management, and commercialization of intellectual property (IP) generated by faculty, researchers, students, and staff of the University.</w:t>
      </w:r>
    </w:p>
    <w:p>
      <w:pPr>
        <w:pStyle w:val="ListBullet"/>
        <w:spacing w:line="276" w:lineRule="auto"/>
        <w:ind w:left="510"/>
      </w:pPr>
      <w:r>
        <w:rPr>
          <w:rFonts w:ascii="Cambria" w:hAnsi="Cambria"/>
          <w:b w:val="0"/>
          <w:i w:val="0"/>
          <w:sz w:val="22"/>
        </w:rPr>
        <w:t>To encourage innovation, research, and entrepreneurship, ensuring that intellectual outputs are ethically managed, legally protected, and equitably shared among contributors and the University.</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Promote and safeguard intellectual property arising from University-led research and development.</w:t>
      </w:r>
    </w:p>
    <w:p>
      <w:pPr>
        <w:pStyle w:val="ListBullet"/>
        <w:spacing w:line="276" w:lineRule="auto"/>
        <w:ind w:left="510"/>
      </w:pPr>
      <w:r>
        <w:rPr>
          <w:rFonts w:ascii="Cambria" w:hAnsi="Cambria"/>
          <w:b w:val="0"/>
          <w:i w:val="0"/>
          <w:sz w:val="22"/>
        </w:rPr>
        <w:t>Ensure fair and transparent ownership rights between inventors, collaborators, and the University.</w:t>
      </w:r>
    </w:p>
    <w:p>
      <w:pPr>
        <w:pStyle w:val="ListBullet"/>
        <w:spacing w:line="276" w:lineRule="auto"/>
        <w:ind w:left="510"/>
      </w:pPr>
      <w:r>
        <w:rPr>
          <w:rFonts w:ascii="Cambria" w:hAnsi="Cambria"/>
          <w:b w:val="0"/>
          <w:i w:val="0"/>
          <w:sz w:val="22"/>
        </w:rPr>
        <w:t>Facilitate patent filing, copyright registration, and technology transfer.</w:t>
      </w:r>
    </w:p>
    <w:p>
      <w:pPr>
        <w:pStyle w:val="ListBullet"/>
        <w:spacing w:line="276" w:lineRule="auto"/>
        <w:ind w:left="510"/>
      </w:pPr>
      <w:r>
        <w:rPr>
          <w:rFonts w:ascii="Cambria" w:hAnsi="Cambria"/>
          <w:b w:val="0"/>
          <w:i w:val="0"/>
          <w:sz w:val="22"/>
        </w:rPr>
        <w:t>Encourage innovation, product development, and start-up creation aligned with national policies (Startup India, National IPR Policy 2016, Atal Innovation Mission).</w:t>
      </w:r>
    </w:p>
    <w:p>
      <w:pPr>
        <w:pStyle w:val="ListBullet"/>
        <w:spacing w:line="276" w:lineRule="auto"/>
        <w:ind w:left="510"/>
      </w:pPr>
      <w:r>
        <w:rPr>
          <w:rFonts w:ascii="Cambria" w:hAnsi="Cambria"/>
          <w:b w:val="0"/>
          <w:i w:val="0"/>
          <w:sz w:val="22"/>
        </w:rPr>
        <w:t>Integrate IPR literacy into academic and research culture through awareness, training, and incubation support.</w:t>
      </w:r>
    </w:p>
    <w:p>
      <w:pPr>
        <w:keepNext/>
        <w:spacing w:before="200" w:after="120"/>
      </w:pPr>
      <w:r>
        <w:rPr>
          <w:rFonts w:ascii="Cambria" w:hAnsi="Cambria"/>
          <w:b/>
          <w:color w:val="1F3A5F"/>
          <w:sz w:val="24"/>
        </w:rPr>
        <w:t>II. Scope and Coverage</w:t>
      </w:r>
    </w:p>
    <w:p>
      <w:pPr>
        <w:pStyle w:val="ListBullet"/>
        <w:spacing w:line="276" w:lineRule="auto"/>
        <w:ind w:left="510"/>
      </w:pPr>
      <w:r>
        <w:rPr>
          <w:rFonts w:ascii="Cambria" w:hAnsi="Cambria"/>
          <w:b w:val="0"/>
          <w:i w:val="0"/>
          <w:sz w:val="22"/>
        </w:rPr>
        <w:t>Applicable to all faculty members, researchers, students, project staff, consultants, and visiting scholars engaged in research within the University or using its resources.</w:t>
      </w:r>
    </w:p>
    <w:p>
      <w:pPr>
        <w:pStyle w:val="ListBullet"/>
        <w:spacing w:line="276" w:lineRule="auto"/>
        <w:ind w:left="510"/>
      </w:pPr>
      <w:r>
        <w:rPr>
          <w:rFonts w:ascii="Cambria" w:hAnsi="Cambria"/>
          <w:b w:val="0"/>
          <w:i w:val="0"/>
          <w:sz w:val="22"/>
        </w:rPr>
        <w:t>Covers all types of intellectual creations including:</w:t>
      </w:r>
    </w:p>
    <w:p>
      <w:pPr>
        <w:pStyle w:val="ListBullet2"/>
        <w:spacing w:line="276" w:lineRule="auto"/>
        <w:ind w:left="1020"/>
      </w:pPr>
      <w:r>
        <w:rPr>
          <w:rFonts w:ascii="Cambria" w:hAnsi="Cambria"/>
          <w:b w:val="0"/>
          <w:i w:val="0"/>
          <w:sz w:val="22"/>
        </w:rPr>
        <w:t>Inventions, processes, and prototypes</w:t>
      </w:r>
    </w:p>
    <w:p>
      <w:pPr>
        <w:pStyle w:val="ListBullet2"/>
        <w:spacing w:line="276" w:lineRule="auto"/>
        <w:ind w:left="1020"/>
      </w:pPr>
      <w:r>
        <w:rPr>
          <w:rFonts w:ascii="Cambria" w:hAnsi="Cambria"/>
          <w:b w:val="0"/>
          <w:i w:val="0"/>
          <w:sz w:val="22"/>
        </w:rPr>
        <w:t>Software, algorithms, and databases</w:t>
      </w:r>
    </w:p>
    <w:p>
      <w:pPr>
        <w:pStyle w:val="ListBullet2"/>
        <w:spacing w:line="276" w:lineRule="auto"/>
        <w:ind w:left="1020"/>
      </w:pPr>
      <w:r>
        <w:rPr>
          <w:rFonts w:ascii="Cambria" w:hAnsi="Cambria"/>
          <w:b w:val="0"/>
          <w:i w:val="0"/>
          <w:sz w:val="22"/>
        </w:rPr>
        <w:t>Books, artistic works, designs, and teaching materials</w:t>
      </w:r>
    </w:p>
    <w:p>
      <w:pPr>
        <w:pStyle w:val="ListBullet2"/>
        <w:spacing w:line="276" w:lineRule="auto"/>
        <w:ind w:left="1020"/>
      </w:pPr>
      <w:r>
        <w:rPr>
          <w:rFonts w:ascii="Cambria" w:hAnsi="Cambria"/>
          <w:b w:val="0"/>
          <w:i w:val="0"/>
          <w:sz w:val="22"/>
        </w:rPr>
        <w:t>Plant varieties, biological materials, and trade secrets</w:t>
      </w:r>
    </w:p>
    <w:p>
      <w:pPr>
        <w:pStyle w:val="ListBullet2"/>
        <w:spacing w:line="276" w:lineRule="auto"/>
        <w:ind w:left="1020"/>
      </w:pPr>
      <w:r>
        <w:rPr>
          <w:rFonts w:ascii="Cambria" w:hAnsi="Cambria"/>
          <w:b w:val="0"/>
          <w:i w:val="0"/>
          <w:sz w:val="22"/>
        </w:rPr>
        <w:t>Trademarks, logos, and institutional branding assets</w:t>
      </w:r>
    </w:p>
    <w:p>
      <w:pPr>
        <w:keepNext/>
        <w:spacing w:before="200" w:after="120"/>
      </w:pPr>
      <w:r>
        <w:rPr>
          <w:rFonts w:ascii="Cambria" w:hAnsi="Cambria"/>
          <w:b/>
          <w:color w:val="1F3A5F"/>
          <w:sz w:val="24"/>
        </w:rPr>
        <w:t>III. Ownership of Intellectual Property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515"/>
            <w:shd w:val="clear" w:color="auto" w:fill="1F3A5F"/>
          </w:tcPr>
          <w:p>
            <w:pPr>
              <w:spacing w:after="40" w:before="40"/>
            </w:pPr>
            <w:r/>
            <w:r>
              <w:rPr>
                <w:rFonts w:ascii="Cambria" w:hAnsi="Cambria"/>
                <w:b/>
                <w:i w:val="0"/>
                <w:color w:val="FFFFFF"/>
                <w:sz w:val="22"/>
              </w:rPr>
              <w:t>Scenario</w:t>
            </w:r>
          </w:p>
        </w:tc>
        <w:tc>
          <w:tcPr>
            <w:tcW w:type="dxa" w:w="3005"/>
            <w:shd w:val="clear" w:color="auto" w:fill="1F3A5F"/>
          </w:tcPr>
          <w:p>
            <w:pPr>
              <w:spacing w:after="40" w:before="40"/>
            </w:pPr>
            <w:r/>
            <w:r>
              <w:rPr>
                <w:rFonts w:ascii="Cambria" w:hAnsi="Cambria"/>
                <w:b/>
                <w:i w:val="0"/>
                <w:color w:val="FFFFFF"/>
                <w:sz w:val="22"/>
              </w:rPr>
              <w:t>Ownership Rights</w:t>
            </w:r>
          </w:p>
        </w:tc>
        <w:tc>
          <w:tcPr>
            <w:tcW w:type="dxa" w:w="2891"/>
            <w:shd w:val="clear" w:color="auto" w:fill="1F3A5F"/>
          </w:tcPr>
          <w:p>
            <w:pPr>
              <w:spacing w:after="40" w:before="40"/>
            </w:pPr>
            <w:r/>
            <w:r>
              <w:rPr>
                <w:rFonts w:ascii="Cambria" w:hAnsi="Cambria"/>
                <w:b/>
                <w:i w:val="0"/>
                <w:color w:val="FFFFFF"/>
                <w:sz w:val="22"/>
              </w:rPr>
              <w:t>Remarks</w:t>
            </w:r>
          </w:p>
        </w:tc>
      </w:tr>
      <w:tr>
        <w:tc>
          <w:tcPr>
            <w:tcW w:type="dxa" w:w="3515"/>
          </w:tcPr>
          <w:p>
            <w:pPr>
              <w:spacing w:after="40" w:before="40"/>
            </w:pPr>
            <w:r/>
            <w:r>
              <w:rPr>
                <w:rFonts w:ascii="Cambria" w:hAnsi="Cambria"/>
                <w:b w:val="0"/>
                <w:i w:val="0"/>
                <w:sz w:val="22"/>
              </w:rPr>
              <w:t>Research conducted entirely with University resources</w:t>
            </w:r>
          </w:p>
        </w:tc>
        <w:tc>
          <w:tcPr>
            <w:tcW w:type="dxa" w:w="3005"/>
          </w:tcPr>
          <w:p>
            <w:pPr>
              <w:spacing w:after="40" w:before="40"/>
            </w:pPr>
            <w:r/>
            <w:r>
              <w:rPr>
                <w:rFonts w:ascii="Cambria" w:hAnsi="Cambria"/>
                <w:b w:val="0"/>
                <w:i w:val="0"/>
                <w:sz w:val="22"/>
              </w:rPr>
              <w:t>University (jointly with inventor)</w:t>
            </w:r>
          </w:p>
        </w:tc>
        <w:tc>
          <w:tcPr>
            <w:tcW w:type="dxa" w:w="2891"/>
          </w:tcPr>
          <w:p>
            <w:pPr>
              <w:spacing w:after="40" w:before="40"/>
            </w:pPr>
            <w:r/>
            <w:r>
              <w:rPr>
                <w:rFonts w:ascii="Cambria" w:hAnsi="Cambria"/>
                <w:b w:val="0"/>
                <w:i w:val="0"/>
                <w:sz w:val="22"/>
              </w:rPr>
              <w:t>University has ownership and filing rights</w:t>
            </w:r>
          </w:p>
        </w:tc>
      </w:tr>
      <w:tr>
        <w:tc>
          <w:tcPr>
            <w:tcW w:type="dxa" w:w="3515"/>
            <w:shd w:val="clear" w:color="auto" w:fill="F0F2F5"/>
          </w:tcPr>
          <w:p>
            <w:pPr>
              <w:spacing w:after="40" w:before="40"/>
            </w:pPr>
            <w:r/>
            <w:r>
              <w:rPr>
                <w:rFonts w:ascii="Cambria" w:hAnsi="Cambria"/>
                <w:b w:val="0"/>
                <w:i w:val="0"/>
                <w:sz w:val="22"/>
              </w:rPr>
              <w:t>Research conducted with external funding</w:t>
            </w:r>
          </w:p>
        </w:tc>
        <w:tc>
          <w:tcPr>
            <w:tcW w:type="dxa" w:w="3005"/>
            <w:shd w:val="clear" w:color="auto" w:fill="F0F2F5"/>
          </w:tcPr>
          <w:p>
            <w:pPr>
              <w:spacing w:after="40" w:before="40"/>
            </w:pPr>
            <w:r/>
            <w:r>
              <w:rPr>
                <w:rFonts w:ascii="Cambria" w:hAnsi="Cambria"/>
                <w:b w:val="0"/>
                <w:i w:val="0"/>
                <w:sz w:val="22"/>
              </w:rPr>
              <w:t>Shared between University and funding agency</w:t>
            </w:r>
          </w:p>
        </w:tc>
        <w:tc>
          <w:tcPr>
            <w:tcW w:type="dxa" w:w="2891"/>
            <w:shd w:val="clear" w:color="auto" w:fill="F0F2F5"/>
          </w:tcPr>
          <w:p>
            <w:pPr>
              <w:spacing w:after="40" w:before="40"/>
            </w:pPr>
            <w:r/>
            <w:r>
              <w:rPr>
                <w:rFonts w:ascii="Cambria" w:hAnsi="Cambria"/>
                <w:b w:val="0"/>
                <w:i w:val="0"/>
                <w:sz w:val="22"/>
              </w:rPr>
              <w:t>As per MoU or project terms</w:t>
            </w:r>
          </w:p>
        </w:tc>
      </w:tr>
      <w:tr>
        <w:tc>
          <w:tcPr>
            <w:tcW w:type="dxa" w:w="3515"/>
          </w:tcPr>
          <w:p>
            <w:pPr>
              <w:spacing w:after="40" w:before="40"/>
            </w:pPr>
            <w:r/>
            <w:r>
              <w:rPr>
                <w:rFonts w:ascii="Cambria" w:hAnsi="Cambria"/>
                <w:b w:val="0"/>
                <w:i w:val="0"/>
                <w:sz w:val="22"/>
              </w:rPr>
              <w:t>Research conducted without University support</w:t>
            </w:r>
          </w:p>
        </w:tc>
        <w:tc>
          <w:tcPr>
            <w:tcW w:type="dxa" w:w="3005"/>
          </w:tcPr>
          <w:p>
            <w:pPr>
              <w:spacing w:after="40" w:before="40"/>
            </w:pPr>
            <w:r/>
            <w:r>
              <w:rPr>
                <w:rFonts w:ascii="Cambria" w:hAnsi="Cambria"/>
                <w:b w:val="0"/>
                <w:i w:val="0"/>
                <w:sz w:val="22"/>
              </w:rPr>
              <w:t>Individual inventor(s)</w:t>
            </w:r>
          </w:p>
        </w:tc>
        <w:tc>
          <w:tcPr>
            <w:tcW w:type="dxa" w:w="2891"/>
          </w:tcPr>
          <w:p>
            <w:pPr>
              <w:spacing w:after="40" w:before="40"/>
            </w:pPr>
            <w:r/>
            <w:r>
              <w:rPr>
                <w:rFonts w:ascii="Cambria" w:hAnsi="Cambria"/>
                <w:b w:val="0"/>
                <w:i w:val="0"/>
                <w:sz w:val="22"/>
              </w:rPr>
              <w:t>Subject to disclosure and approval</w:t>
            </w:r>
          </w:p>
        </w:tc>
      </w:tr>
      <w:tr>
        <w:tc>
          <w:tcPr>
            <w:tcW w:type="dxa" w:w="3515"/>
            <w:shd w:val="clear" w:color="auto" w:fill="F0F2F5"/>
          </w:tcPr>
          <w:p>
            <w:pPr>
              <w:spacing w:after="40" w:before="40"/>
            </w:pPr>
            <w:r/>
            <w:r>
              <w:rPr>
                <w:rFonts w:ascii="Cambria" w:hAnsi="Cambria"/>
                <w:b w:val="0"/>
                <w:i w:val="0"/>
                <w:sz w:val="22"/>
              </w:rPr>
              <w:t>Collaborative projects with other institutions or industries</w:t>
            </w:r>
          </w:p>
        </w:tc>
        <w:tc>
          <w:tcPr>
            <w:tcW w:type="dxa" w:w="3005"/>
            <w:shd w:val="clear" w:color="auto" w:fill="F0F2F5"/>
          </w:tcPr>
          <w:p>
            <w:pPr>
              <w:spacing w:after="40" w:before="40"/>
            </w:pPr>
            <w:r/>
            <w:r>
              <w:rPr>
                <w:rFonts w:ascii="Cambria" w:hAnsi="Cambria"/>
                <w:b w:val="0"/>
                <w:i w:val="0"/>
                <w:sz w:val="22"/>
              </w:rPr>
              <w:t>Shared ownership as per MoU or NDA</w:t>
            </w:r>
          </w:p>
        </w:tc>
        <w:tc>
          <w:tcPr>
            <w:tcW w:type="dxa" w:w="2891"/>
            <w:shd w:val="clear" w:color="auto" w:fill="F0F2F5"/>
          </w:tcPr>
          <w:p>
            <w:pPr>
              <w:spacing w:after="40" w:before="40"/>
            </w:pPr>
            <w:r/>
            <w:r>
              <w:rPr>
                <w:rFonts w:ascii="Cambria" w:hAnsi="Cambria"/>
                <w:b w:val="0"/>
                <w:i w:val="0"/>
                <w:sz w:val="22"/>
              </w:rPr>
              <w:t>Terms defined case-wise</w:t>
            </w:r>
          </w:p>
        </w:tc>
      </w:tr>
      <w:tr>
        <w:tc>
          <w:tcPr>
            <w:tcW w:type="dxa" w:w="3515"/>
          </w:tcPr>
          <w:p>
            <w:pPr>
              <w:spacing w:after="40" w:before="40"/>
            </w:pPr>
            <w:r/>
            <w:r>
              <w:rPr>
                <w:rFonts w:ascii="Cambria" w:hAnsi="Cambria"/>
                <w:b w:val="0"/>
                <w:i w:val="0"/>
                <w:sz w:val="22"/>
              </w:rPr>
              <w:t>Student or scholar inventions under faculty supervision</w:t>
            </w:r>
          </w:p>
        </w:tc>
        <w:tc>
          <w:tcPr>
            <w:tcW w:type="dxa" w:w="3005"/>
          </w:tcPr>
          <w:p>
            <w:pPr>
              <w:spacing w:after="40" w:before="40"/>
            </w:pPr>
            <w:r/>
            <w:r>
              <w:rPr>
                <w:rFonts w:ascii="Cambria" w:hAnsi="Cambria"/>
                <w:b w:val="0"/>
                <w:i w:val="0"/>
                <w:sz w:val="22"/>
              </w:rPr>
              <w:t>Joint ownership (Student + Supervisor + University)</w:t>
            </w:r>
          </w:p>
        </w:tc>
        <w:tc>
          <w:tcPr>
            <w:tcW w:type="dxa" w:w="2891"/>
          </w:tcPr>
          <w:p>
            <w:pPr>
              <w:spacing w:after="40" w:before="40"/>
            </w:pPr>
            <w:r/>
            <w:r>
              <w:rPr>
                <w:rFonts w:ascii="Cambria" w:hAnsi="Cambria"/>
                <w:b w:val="0"/>
                <w:i w:val="0"/>
                <w:sz w:val="22"/>
              </w:rPr>
              <w:t>Must disclose through IPR Cell</w:t>
            </w:r>
          </w:p>
        </w:tc>
      </w:tr>
    </w:tbl>
    <w:p>
      <w:pPr>
        <w:spacing w:after="40"/>
      </w:pPr>
    </w:p>
    <w:p>
      <w:pPr>
        <w:keepNext/>
        <w:spacing w:before="200" w:after="120"/>
      </w:pPr>
      <w:r>
        <w:rPr>
          <w:rFonts w:ascii="Cambria" w:hAnsi="Cambria"/>
          <w:b/>
          <w:color w:val="1F3A5F"/>
          <w:sz w:val="24"/>
        </w:rPr>
        <w:t>IV. Invention Disclosure and Patent Filing Process</w:t>
      </w:r>
    </w:p>
    <w:p>
      <w:pPr>
        <w:keepNext/>
        <w:spacing w:before="200" w:after="120"/>
      </w:pPr>
      <w:r>
        <w:rPr>
          <w:rFonts w:ascii="Cambria" w:hAnsi="Cambria"/>
          <w:b/>
          <w:color w:val="1F3A5F"/>
          <w:sz w:val="24"/>
        </w:rPr>
        <w:t>1. Disclosure Procedure</w:t>
      </w:r>
    </w:p>
    <w:p>
      <w:pPr>
        <w:pStyle w:val="ListBullet"/>
        <w:spacing w:line="276" w:lineRule="auto"/>
        <w:ind w:left="510"/>
      </w:pPr>
      <w:r>
        <w:rPr>
          <w:rFonts w:ascii="Cambria" w:hAnsi="Cambria"/>
          <w:b w:val="0"/>
          <w:i w:val="0"/>
          <w:sz w:val="22"/>
        </w:rPr>
        <w:t>Every inventor must submit a Confidential Invention Disclosure Form (IDF) to the IPR Cell before any public disclosure.</w:t>
      </w:r>
    </w:p>
    <w:p>
      <w:pPr>
        <w:pStyle w:val="ListBullet"/>
        <w:spacing w:line="276" w:lineRule="auto"/>
        <w:ind w:left="510"/>
      </w:pPr>
      <w:r>
        <w:rPr>
          <w:rFonts w:ascii="Cambria" w:hAnsi="Cambria"/>
          <w:b w:val="0"/>
          <w:i w:val="0"/>
          <w:sz w:val="22"/>
        </w:rPr>
        <w:t>The IPR Cell will evaluate:</w:t>
      </w:r>
    </w:p>
    <w:p>
      <w:pPr>
        <w:pStyle w:val="ListBullet2"/>
        <w:spacing w:line="276" w:lineRule="auto"/>
        <w:ind w:left="1020"/>
      </w:pPr>
      <w:r>
        <w:rPr>
          <w:rFonts w:ascii="Cambria" w:hAnsi="Cambria"/>
          <w:b w:val="0"/>
          <w:i w:val="0"/>
          <w:sz w:val="22"/>
        </w:rPr>
        <w:t>Novelty and utility of the invention.</w:t>
      </w:r>
    </w:p>
    <w:p>
      <w:pPr>
        <w:pStyle w:val="ListBullet2"/>
        <w:spacing w:line="276" w:lineRule="auto"/>
        <w:ind w:left="1020"/>
      </w:pPr>
      <w:r>
        <w:rPr>
          <w:rFonts w:ascii="Cambria" w:hAnsi="Cambria"/>
          <w:b w:val="0"/>
          <w:i w:val="0"/>
          <w:sz w:val="22"/>
        </w:rPr>
        <w:t>Potential for patentability or commercialization.</w:t>
      </w:r>
    </w:p>
    <w:p>
      <w:pPr>
        <w:pStyle w:val="ListBullet2"/>
        <w:spacing w:line="276" w:lineRule="auto"/>
        <w:ind w:left="1020"/>
      </w:pPr>
      <w:r>
        <w:rPr>
          <w:rFonts w:ascii="Cambria" w:hAnsi="Cambria"/>
          <w:b w:val="0"/>
          <w:i w:val="0"/>
          <w:sz w:val="22"/>
        </w:rPr>
        <w:t>Funding source and ownership claims.</w:t>
      </w:r>
    </w:p>
    <w:p>
      <w:pPr>
        <w:keepNext/>
        <w:spacing w:before="200" w:after="120"/>
      </w:pPr>
      <w:r>
        <w:rPr>
          <w:rFonts w:ascii="Cambria" w:hAnsi="Cambria"/>
          <w:b/>
          <w:color w:val="1F3A5F"/>
          <w:sz w:val="24"/>
        </w:rPr>
        <w:t>2. Evaluation and Approval</w:t>
      </w:r>
    </w:p>
    <w:p>
      <w:pPr>
        <w:pStyle w:val="ListBullet"/>
        <w:spacing w:line="276" w:lineRule="auto"/>
        <w:ind w:left="510"/>
      </w:pPr>
      <w:r>
        <w:rPr>
          <w:rFonts w:ascii="Cambria" w:hAnsi="Cambria"/>
          <w:b w:val="0"/>
          <w:i w:val="0"/>
          <w:sz w:val="22"/>
        </w:rPr>
        <w:t>The IPR Cell forwards the disclosure to the University IPR Evaluation Committee (UIEC) consisting of:</w:t>
      </w:r>
    </w:p>
    <w:p>
      <w:pPr>
        <w:pStyle w:val="ListBullet2"/>
        <w:spacing w:line="276" w:lineRule="auto"/>
        <w:ind w:left="1020"/>
      </w:pPr>
      <w:r>
        <w:rPr>
          <w:rFonts w:ascii="Cambria" w:hAnsi="Cambria"/>
          <w:b w:val="0"/>
          <w:i w:val="0"/>
          <w:sz w:val="22"/>
        </w:rPr>
        <w:t>Dean (Research) — Chairperson</w:t>
      </w:r>
    </w:p>
    <w:p>
      <w:pPr>
        <w:pStyle w:val="ListBullet2"/>
        <w:spacing w:line="276" w:lineRule="auto"/>
        <w:ind w:left="1020"/>
      </w:pPr>
      <w:r>
        <w:rPr>
          <w:rFonts w:ascii="Cambria" w:hAnsi="Cambria"/>
          <w:b w:val="0"/>
          <w:i w:val="0"/>
          <w:sz w:val="22"/>
        </w:rPr>
        <w:t>Head, IPR Cell — Member Secretary</w:t>
      </w:r>
    </w:p>
    <w:p>
      <w:pPr>
        <w:pStyle w:val="ListBullet2"/>
        <w:spacing w:line="276" w:lineRule="auto"/>
        <w:ind w:left="1020"/>
      </w:pPr>
      <w:r>
        <w:rPr>
          <w:rFonts w:ascii="Cambria" w:hAnsi="Cambria"/>
          <w:b w:val="0"/>
          <w:i w:val="0"/>
          <w:sz w:val="22"/>
        </w:rPr>
        <w:t>Legal Officer / Patent Attorney — Member</w:t>
      </w:r>
    </w:p>
    <w:p>
      <w:pPr>
        <w:pStyle w:val="ListBullet2"/>
        <w:spacing w:line="276" w:lineRule="auto"/>
        <w:ind w:left="1020"/>
      </w:pPr>
      <w:r>
        <w:rPr>
          <w:rFonts w:ascii="Cambria" w:hAnsi="Cambria"/>
          <w:b w:val="0"/>
          <w:i w:val="0"/>
          <w:sz w:val="22"/>
        </w:rPr>
        <w:t>One Subject Expert — Member</w:t>
      </w:r>
    </w:p>
    <w:p>
      <w:pPr>
        <w:pStyle w:val="ListBullet"/>
        <w:spacing w:line="276" w:lineRule="auto"/>
        <w:ind w:left="510"/>
      </w:pPr>
      <w:r>
        <w:rPr>
          <w:rFonts w:ascii="Cambria" w:hAnsi="Cambria"/>
          <w:b w:val="0"/>
          <w:i w:val="0"/>
          <w:sz w:val="22"/>
        </w:rPr>
        <w:t>Based on evaluation, the UIEC decides:</w:t>
      </w:r>
    </w:p>
    <w:p>
      <w:pPr>
        <w:pStyle w:val="ListBullet2"/>
        <w:spacing w:line="276" w:lineRule="auto"/>
        <w:ind w:left="1020"/>
      </w:pPr>
      <w:r>
        <w:rPr>
          <w:rFonts w:ascii="Cambria" w:hAnsi="Cambria"/>
          <w:b w:val="0"/>
          <w:i w:val="0"/>
          <w:sz w:val="22"/>
        </w:rPr>
        <w:t>Whether to file a patent.</w:t>
      </w:r>
    </w:p>
    <w:p>
      <w:pPr>
        <w:pStyle w:val="ListBullet2"/>
        <w:spacing w:line="276" w:lineRule="auto"/>
        <w:ind w:left="1020"/>
      </w:pPr>
      <w:r>
        <w:rPr>
          <w:rFonts w:ascii="Cambria" w:hAnsi="Cambria"/>
          <w:b w:val="0"/>
          <w:i w:val="0"/>
          <w:sz w:val="22"/>
        </w:rPr>
        <w:t>Ownership and cost-sharing structure.</w:t>
      </w:r>
    </w:p>
    <w:p>
      <w:pPr>
        <w:pStyle w:val="ListBullet2"/>
        <w:spacing w:line="276" w:lineRule="auto"/>
        <w:ind w:left="1020"/>
      </w:pPr>
      <w:r>
        <w:rPr>
          <w:rFonts w:ascii="Cambria" w:hAnsi="Cambria"/>
          <w:b w:val="0"/>
          <w:i w:val="0"/>
          <w:sz w:val="22"/>
        </w:rPr>
        <w:t>Commercialization strategy.</w:t>
      </w:r>
    </w:p>
    <w:p>
      <w:pPr>
        <w:keepNext/>
        <w:spacing w:before="200" w:after="120"/>
      </w:pPr>
      <w:r>
        <w:rPr>
          <w:rFonts w:ascii="Cambria" w:hAnsi="Cambria"/>
          <w:b/>
          <w:color w:val="1F3A5F"/>
          <w:sz w:val="24"/>
        </w:rPr>
        <w:t>3. Filing of Patent / Copyright</w:t>
      </w:r>
    </w:p>
    <w:p>
      <w:pPr>
        <w:pStyle w:val="ListBullet"/>
        <w:spacing w:line="276" w:lineRule="auto"/>
        <w:ind w:left="510"/>
      </w:pPr>
      <w:r>
        <w:rPr>
          <w:rFonts w:ascii="Cambria" w:hAnsi="Cambria"/>
          <w:b w:val="0"/>
          <w:i w:val="0"/>
          <w:sz w:val="22"/>
        </w:rPr>
        <w:t>Approved inventions are filed through registered patent agents in the name of the University and inventor(s).</w:t>
      </w:r>
    </w:p>
    <w:p>
      <w:pPr>
        <w:pStyle w:val="ListBullet"/>
        <w:spacing w:line="276" w:lineRule="auto"/>
        <w:ind w:left="510"/>
      </w:pPr>
      <w:r>
        <w:rPr>
          <w:rFonts w:ascii="Cambria" w:hAnsi="Cambria"/>
          <w:b w:val="0"/>
          <w:i w:val="0"/>
          <w:sz w:val="22"/>
        </w:rPr>
        <w:t>The University bears the initial cost of filing, subject to available budget.</w:t>
      </w:r>
    </w:p>
    <w:p>
      <w:pPr>
        <w:pStyle w:val="ListBullet"/>
        <w:spacing w:line="276" w:lineRule="auto"/>
        <w:ind w:left="510"/>
      </w:pPr>
      <w:r>
        <w:rPr>
          <w:rFonts w:ascii="Cambria" w:hAnsi="Cambria"/>
          <w:b w:val="0"/>
          <w:i w:val="0"/>
          <w:sz w:val="22"/>
        </w:rPr>
        <w:t>Inventors must not publish or present the invention publicly before filing to preserve patent rights.</w:t>
      </w:r>
    </w:p>
    <w:p>
      <w:pPr>
        <w:keepNext/>
        <w:spacing w:before="200" w:after="120"/>
      </w:pPr>
      <w:r>
        <w:rPr>
          <w:rFonts w:ascii="Cambria" w:hAnsi="Cambria"/>
          <w:b/>
          <w:color w:val="1F3A5F"/>
          <w:sz w:val="24"/>
        </w:rPr>
        <w:t>4. Maintenance and Renewal</w:t>
      </w:r>
    </w:p>
    <w:p>
      <w:pPr>
        <w:pStyle w:val="ListBullet"/>
        <w:spacing w:line="276" w:lineRule="auto"/>
        <w:ind w:left="510"/>
      </w:pPr>
      <w:r>
        <w:rPr>
          <w:rFonts w:ascii="Cambria" w:hAnsi="Cambria"/>
          <w:b w:val="0"/>
          <w:i w:val="0"/>
          <w:sz w:val="22"/>
        </w:rPr>
        <w:t>The IPR Cell shall monitor renewal fees and deadlines.</w:t>
      </w:r>
    </w:p>
    <w:p>
      <w:pPr>
        <w:pStyle w:val="ListBullet"/>
        <w:spacing w:line="276" w:lineRule="auto"/>
        <w:ind w:left="510"/>
      </w:pPr>
      <w:r>
        <w:rPr>
          <w:rFonts w:ascii="Cambria" w:hAnsi="Cambria"/>
          <w:b w:val="0"/>
          <w:i w:val="0"/>
          <w:sz w:val="22"/>
        </w:rPr>
        <w:t>Costs for continued maintenance will be borne jointly by the University and inventor in a 70:30 ratio, unless waived by BoM.</w:t>
      </w:r>
    </w:p>
    <w:p>
      <w:pPr>
        <w:keepNext/>
        <w:spacing w:before="200" w:after="120"/>
      </w:pPr>
      <w:r>
        <w:rPr>
          <w:rFonts w:ascii="Cambria" w:hAnsi="Cambria"/>
          <w:b/>
          <w:color w:val="1F3A5F"/>
          <w:sz w:val="24"/>
        </w:rPr>
        <w:t>V. Revenue Sharing and Commercialization Policy</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Pr>
          <w:p>
            <w:pPr>
              <w:spacing w:after="40" w:before="40"/>
            </w:pPr>
            <w:r/>
            <w:r>
              <w:rPr>
                <w:rFonts w:ascii="Cambria" w:hAnsi="Cambria"/>
                <w:b/>
                <w:i w:val="0"/>
                <w:color w:val="FFFFFF"/>
                <w:sz w:val="22"/>
              </w:rPr>
              <w:t>Revenue Source</w:t>
            </w:r>
          </w:p>
        </w:tc>
        <w:tc>
          <w:tcPr>
            <w:tcW w:type="dxa" w:w="1247"/>
            <w:shd w:val="clear" w:color="auto" w:fill="1F3A5F"/>
          </w:tcPr>
          <w:p>
            <w:pPr>
              <w:spacing w:after="40" w:before="40"/>
            </w:pPr>
            <w:r/>
            <w:r>
              <w:rPr>
                <w:rFonts w:ascii="Cambria" w:hAnsi="Cambria"/>
                <w:b/>
                <w:i w:val="0"/>
                <w:color w:val="FFFFFF"/>
                <w:sz w:val="22"/>
              </w:rPr>
              <w:t>Inventor(s)</w:t>
            </w:r>
          </w:p>
        </w:tc>
        <w:tc>
          <w:tcPr>
            <w:tcW w:type="dxa" w:w="1474"/>
            <w:shd w:val="clear" w:color="auto" w:fill="1F3A5F"/>
          </w:tcPr>
          <w:p>
            <w:pPr>
              <w:spacing w:after="40" w:before="40"/>
            </w:pPr>
            <w:r/>
            <w:r>
              <w:rPr>
                <w:rFonts w:ascii="Cambria" w:hAnsi="Cambria"/>
                <w:b/>
                <w:i w:val="0"/>
                <w:color w:val="FFFFFF"/>
                <w:sz w:val="22"/>
              </w:rPr>
              <w:t>Department</w:t>
            </w:r>
          </w:p>
        </w:tc>
        <w:tc>
          <w:tcPr>
            <w:tcW w:type="dxa" w:w="1247"/>
            <w:shd w:val="clear" w:color="auto" w:fill="1F3A5F"/>
          </w:tcPr>
          <w:p>
            <w:pPr>
              <w:spacing w:after="40" w:before="40"/>
            </w:pPr>
            <w:r/>
            <w:r>
              <w:rPr>
                <w:rFonts w:ascii="Cambria" w:hAnsi="Cambria"/>
                <w:b/>
                <w:i w:val="0"/>
                <w:color w:val="FFFFFF"/>
                <w:sz w:val="22"/>
              </w:rPr>
              <w:t>University</w:t>
            </w:r>
          </w:p>
        </w:tc>
        <w:tc>
          <w:tcPr>
            <w:tcW w:type="dxa" w:w="3345"/>
            <w:shd w:val="clear" w:color="auto" w:fill="1F3A5F"/>
          </w:tcPr>
          <w:p>
            <w:pPr>
              <w:spacing w:after="40" w:before="40"/>
            </w:pPr>
            <w:r/>
            <w:r>
              <w:rPr>
                <w:rFonts w:ascii="Cambria" w:hAnsi="Cambria"/>
                <w:b/>
                <w:i w:val="0"/>
                <w:color w:val="FFFFFF"/>
                <w:sz w:val="22"/>
              </w:rPr>
              <w:t>Remarks</w:t>
            </w:r>
          </w:p>
        </w:tc>
      </w:tr>
      <w:tr>
        <w:tc>
          <w:tcPr>
            <w:tcW w:type="dxa" w:w="2041"/>
          </w:tcPr>
          <w:p>
            <w:pPr>
              <w:spacing w:after="40" w:before="40"/>
            </w:pPr>
            <w:r/>
            <w:r>
              <w:rPr>
                <w:rFonts w:ascii="Cambria" w:hAnsi="Cambria"/>
                <w:b w:val="0"/>
                <w:i w:val="0"/>
                <w:sz w:val="22"/>
              </w:rPr>
              <w:t>Patent Licensing / Sale</w:t>
            </w:r>
          </w:p>
        </w:tc>
        <w:tc>
          <w:tcPr>
            <w:tcW w:type="dxa" w:w="1247"/>
          </w:tcPr>
          <w:p>
            <w:pPr>
              <w:spacing w:after="40" w:before="40"/>
            </w:pPr>
            <w:r/>
            <w:r>
              <w:rPr>
                <w:rFonts w:ascii="Cambria" w:hAnsi="Cambria"/>
                <w:b w:val="0"/>
                <w:i w:val="0"/>
                <w:sz w:val="22"/>
              </w:rPr>
              <w:t>50%</w:t>
            </w:r>
          </w:p>
        </w:tc>
        <w:tc>
          <w:tcPr>
            <w:tcW w:type="dxa" w:w="1474"/>
          </w:tcPr>
          <w:p>
            <w:pPr>
              <w:spacing w:after="40" w:before="40"/>
            </w:pPr>
            <w:r/>
            <w:r>
              <w:rPr>
                <w:rFonts w:ascii="Cambria" w:hAnsi="Cambria"/>
                <w:b w:val="0"/>
                <w:i w:val="0"/>
                <w:sz w:val="22"/>
              </w:rPr>
              <w:t>25%</w:t>
            </w:r>
          </w:p>
        </w:tc>
        <w:tc>
          <w:tcPr>
            <w:tcW w:type="dxa" w:w="1247"/>
          </w:tcPr>
          <w:p>
            <w:pPr>
              <w:spacing w:after="40" w:before="40"/>
            </w:pPr>
            <w:r/>
            <w:r>
              <w:rPr>
                <w:rFonts w:ascii="Cambria" w:hAnsi="Cambria"/>
                <w:b w:val="0"/>
                <w:i w:val="0"/>
                <w:sz w:val="22"/>
              </w:rPr>
              <w:t>25%</w:t>
            </w:r>
          </w:p>
        </w:tc>
        <w:tc>
          <w:tcPr>
            <w:tcW w:type="dxa" w:w="3345"/>
          </w:tcPr>
          <w:p>
            <w:pPr>
              <w:spacing w:after="40" w:before="40"/>
            </w:pPr>
            <w:r/>
            <w:r>
              <w:rPr>
                <w:rFonts w:ascii="Cambria" w:hAnsi="Cambria"/>
                <w:b w:val="0"/>
                <w:i w:val="0"/>
                <w:sz w:val="22"/>
              </w:rPr>
              <w:t>Shared net revenue after expenses</w:t>
            </w:r>
          </w:p>
        </w:tc>
      </w:tr>
      <w:tr>
        <w:tc>
          <w:tcPr>
            <w:tcW w:type="dxa" w:w="2041"/>
            <w:shd w:val="clear" w:color="auto" w:fill="F0F2F5"/>
          </w:tcPr>
          <w:p>
            <w:pPr>
              <w:spacing w:after="40" w:before="40"/>
            </w:pPr>
            <w:r/>
            <w:r>
              <w:rPr>
                <w:rFonts w:ascii="Cambria" w:hAnsi="Cambria"/>
                <w:b w:val="0"/>
                <w:i w:val="0"/>
                <w:sz w:val="22"/>
              </w:rPr>
              <w:t>Technology Transfer</w:t>
            </w:r>
          </w:p>
        </w:tc>
        <w:tc>
          <w:tcPr>
            <w:tcW w:type="dxa" w:w="1247"/>
            <w:shd w:val="clear" w:color="auto" w:fill="F0F2F5"/>
          </w:tcPr>
          <w:p>
            <w:pPr>
              <w:spacing w:after="40" w:before="40"/>
            </w:pPr>
            <w:r/>
            <w:r>
              <w:rPr>
                <w:rFonts w:ascii="Cambria" w:hAnsi="Cambria"/>
                <w:b w:val="0"/>
                <w:i w:val="0"/>
                <w:sz w:val="22"/>
              </w:rPr>
              <w:t>60%</w:t>
            </w:r>
          </w:p>
        </w:tc>
        <w:tc>
          <w:tcPr>
            <w:tcW w:type="dxa" w:w="1474"/>
            <w:shd w:val="clear" w:color="auto" w:fill="F0F2F5"/>
          </w:tcPr>
          <w:p>
            <w:pPr>
              <w:spacing w:after="40" w:before="40"/>
            </w:pPr>
            <w:r/>
            <w:r>
              <w:rPr>
                <w:rFonts w:ascii="Cambria" w:hAnsi="Cambria"/>
                <w:b w:val="0"/>
                <w:i w:val="0"/>
                <w:sz w:val="22"/>
              </w:rPr>
              <w:t>20%</w:t>
            </w:r>
          </w:p>
        </w:tc>
        <w:tc>
          <w:tcPr>
            <w:tcW w:type="dxa" w:w="1247"/>
            <w:shd w:val="clear" w:color="auto" w:fill="F0F2F5"/>
          </w:tcPr>
          <w:p>
            <w:pPr>
              <w:spacing w:after="40" w:before="40"/>
            </w:pPr>
            <w:r/>
            <w:r>
              <w:rPr>
                <w:rFonts w:ascii="Cambria" w:hAnsi="Cambria"/>
                <w:b w:val="0"/>
                <w:i w:val="0"/>
                <w:sz w:val="22"/>
              </w:rPr>
              <w:t>20%</w:t>
            </w:r>
          </w:p>
        </w:tc>
        <w:tc>
          <w:tcPr>
            <w:tcW w:type="dxa" w:w="3345"/>
            <w:shd w:val="clear" w:color="auto" w:fill="F0F2F5"/>
          </w:tcPr>
          <w:p>
            <w:pPr>
              <w:spacing w:after="40" w:before="40"/>
            </w:pPr>
            <w:r/>
            <w:r>
              <w:rPr>
                <w:rFonts w:ascii="Cambria" w:hAnsi="Cambria"/>
                <w:b w:val="0"/>
                <w:i w:val="0"/>
                <w:sz w:val="22"/>
              </w:rPr>
              <w:t>Based on commercial contract</w:t>
            </w:r>
          </w:p>
        </w:tc>
      </w:tr>
    </w:tbl>
    <w:p>
      <w:pPr>
        <w:spacing w:after="40"/>
      </w:pPr>
    </w:p>
    <w:p>
      <w:pPr>
        <w:keepNext/>
        <w:spacing w:before="200" w:after="120"/>
      </w:pPr>
      <w:r>
        <w:rPr>
          <w:rFonts w:ascii="Cambria" w:hAnsi="Cambria"/>
          <w:b/>
          <w:color w:val="1F3A5F"/>
          <w:sz w:val="27"/>
        </w:rPr>
        <w:t>L. Entrepreneurial &amp; Start-up Support Policy (continued)</w:t>
      </w:r>
    </w:p>
    <w:p>
      <w:pPr>
        <w:jc w:val="both"/>
      </w:pPr>
      <w:r>
        <w:rPr>
          <w:rFonts w:ascii="Cambria" w:hAnsi="Cambria"/>
          <w:i/>
          <w:sz w:val="22"/>
        </w:rPr>
        <w:t>[NOTE: Source pages 60-64 of this section (Purpose, Objectives, and clauses I-X including the Body/Committee responsibilities table) were not available in the captured image range and are not transcribed here. Content resumes verbatim from source page 65, image Screenshot (11255).png, at clause XI.]</w:t>
      </w:r>
    </w:p>
    <w:tbl>
      <w:tblPr>
        <w:tblStyle w:val="TableGrid"/>
        <w:tblW w:type="auto" w:w="0"/>
        <w:jc w:val="center"/>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pPr>
            <w:r/>
            <w:r>
              <w:rPr>
                <w:rFonts w:ascii="Cambria" w:hAnsi="Cambria"/>
                <w:b/>
                <w:i w:val="0"/>
                <w:color w:val="FFFFFF"/>
                <w:sz w:val="22"/>
              </w:rPr>
              <w:t>Body / Committee</w:t>
            </w:r>
          </w:p>
        </w:tc>
        <w:tc>
          <w:tcPr>
            <w:tcW w:type="dxa" w:w="6577"/>
            <w:shd w:val="clear" w:color="auto" w:fill="1F3A5F"/>
          </w:tcPr>
          <w:p>
            <w:pPr>
              <w:spacing w:after="40" w:before="40"/>
            </w:pPr>
            <w:r/>
            <w:r>
              <w:rPr>
                <w:rFonts w:ascii="Cambria" w:hAnsi="Cambria"/>
                <w:b/>
                <w:i w:val="0"/>
                <w:color w:val="FFFFFF"/>
                <w:sz w:val="22"/>
              </w:rPr>
              <w:t>Key Roles and Responsibilities</w:t>
            </w:r>
          </w:p>
        </w:tc>
      </w:tr>
      <w:tr>
        <w:tc>
          <w:tcPr>
            <w:tcW w:type="dxa" w:w="2835"/>
          </w:tcPr>
          <w:p>
            <w:pPr>
              <w:spacing w:after="40" w:before="40"/>
            </w:pPr>
            <w:r/>
            <w:r>
              <w:rPr>
                <w:rFonts w:ascii="Cambria" w:hAnsi="Cambria"/>
                <w:b w:val="0"/>
                <w:i w:val="0"/>
                <w:sz w:val="22"/>
              </w:rPr>
              <w:t>Finance &amp; Audit Section</w:t>
            </w:r>
          </w:p>
        </w:tc>
        <w:tc>
          <w:tcPr>
            <w:tcW w:type="dxa" w:w="6577"/>
          </w:tcPr>
          <w:p>
            <w:pPr>
              <w:spacing w:after="40" w:before="40"/>
            </w:pPr>
            <w:r/>
            <w:r>
              <w:rPr>
                <w:rFonts w:ascii="Cambria" w:hAnsi="Cambria"/>
                <w:b w:val="0"/>
                <w:i w:val="0"/>
                <w:sz w:val="22"/>
              </w:rPr>
              <w:t>Manage fund disbursement, equity realization, and audit compliance.</w:t>
            </w:r>
          </w:p>
        </w:tc>
      </w:tr>
      <w:tr>
        <w:tc>
          <w:tcPr>
            <w:tcW w:type="dxa" w:w="2835"/>
            <w:shd w:val="clear" w:color="auto" w:fill="F0F2F5"/>
          </w:tcPr>
          <w:p>
            <w:pPr>
              <w:spacing w:after="40" w:before="40"/>
            </w:pPr>
            <w:r/>
            <w:r>
              <w:rPr>
                <w:rFonts w:ascii="Cambria" w:hAnsi="Cambria"/>
                <w:b w:val="0"/>
                <w:i w:val="0"/>
                <w:sz w:val="22"/>
              </w:rPr>
              <w:t>IQAC</w:t>
            </w:r>
          </w:p>
        </w:tc>
        <w:tc>
          <w:tcPr>
            <w:tcW w:type="dxa" w:w="6577"/>
            <w:shd w:val="clear" w:color="auto" w:fill="F0F2F5"/>
          </w:tcPr>
          <w:p>
            <w:pPr>
              <w:spacing w:after="40" w:before="40"/>
            </w:pPr>
            <w:r/>
            <w:r>
              <w:rPr>
                <w:rFonts w:ascii="Cambria" w:hAnsi="Cambria"/>
                <w:b w:val="0"/>
                <w:i w:val="0"/>
                <w:sz w:val="22"/>
              </w:rPr>
              <w:t>Track start-up outcomes for accreditation evidence and NIRF metrics.</w:t>
            </w:r>
          </w:p>
        </w:tc>
      </w:tr>
    </w:tbl>
    <w:p>
      <w:pPr>
        <w:spacing w:after="40"/>
      </w:pPr>
    </w:p>
    <w:p>
      <w:pPr>
        <w:keepNext/>
        <w:spacing w:before="200" w:after="120"/>
      </w:pPr>
      <w:r>
        <w:rPr>
          <w:rFonts w:ascii="Cambria" w:hAnsi="Cambria"/>
          <w:b/>
          <w:color w:val="1F3A5F"/>
          <w:sz w:val="24"/>
        </w:rPr>
        <w:t>XI. Monitoring, Evaluation, and Exit Policy</w:t>
      </w:r>
    </w:p>
    <w:p>
      <w:pPr>
        <w:pStyle w:val="ListBullet"/>
        <w:spacing w:line="276" w:lineRule="auto"/>
        <w:ind w:left="510"/>
      </w:pPr>
      <w:r>
        <w:rPr>
          <w:rFonts w:ascii="Cambria" w:hAnsi="Cambria"/>
          <w:b w:val="0"/>
          <w:i w:val="0"/>
          <w:sz w:val="22"/>
        </w:rPr>
        <w:t>Quarterly progress reports to be submitted by incubated start-ups.</w:t>
      </w:r>
    </w:p>
    <w:p>
      <w:pPr>
        <w:pStyle w:val="ListBullet"/>
        <w:spacing w:line="276" w:lineRule="auto"/>
        <w:ind w:left="510"/>
      </w:pPr>
      <w:r>
        <w:rPr>
          <w:rFonts w:ascii="Cambria" w:hAnsi="Cambria"/>
          <w:b w:val="0"/>
          <w:i w:val="0"/>
          <w:sz w:val="22"/>
        </w:rPr>
        <w:t>Annual Review Meetings conducted by SFC to assess performance, sustainability, and utilization of grants.</w:t>
      </w:r>
    </w:p>
    <w:p>
      <w:pPr>
        <w:pStyle w:val="ListBullet"/>
        <w:spacing w:line="276" w:lineRule="auto"/>
        <w:ind w:left="510"/>
      </w:pPr>
      <w:r>
        <w:rPr>
          <w:rFonts w:ascii="Cambria" w:hAnsi="Cambria"/>
          <w:b w:val="0"/>
          <w:i w:val="0"/>
          <w:sz w:val="22"/>
        </w:rPr>
        <w:t>Non-performing or inactive start-ups may be disengaged after two review cycles.</w:t>
      </w:r>
    </w:p>
    <w:p>
      <w:pPr>
        <w:pStyle w:val="ListBullet"/>
        <w:spacing w:line="276" w:lineRule="auto"/>
        <w:ind w:left="510"/>
      </w:pPr>
      <w:r>
        <w:rPr>
          <w:rFonts w:ascii="Cambria" w:hAnsi="Cambria"/>
          <w:b w:val="0"/>
          <w:i w:val="0"/>
          <w:sz w:val="22"/>
        </w:rPr>
        <w:t>Upon successful incubation, start-ups may graduate and continue under alumni entrepreneurship linkage.</w:t>
      </w:r>
    </w:p>
    <w:p>
      <w:pPr>
        <w:keepNext/>
        <w:spacing w:before="200" w:after="120"/>
      </w:pPr>
      <w:r>
        <w:rPr>
          <w:rFonts w:ascii="Cambria" w:hAnsi="Cambria"/>
          <w:b/>
          <w:color w:val="1F3A5F"/>
          <w:sz w:val="24"/>
        </w:rPr>
        <w:t>XII. Ethical and Legal Compliance</w:t>
      </w:r>
    </w:p>
    <w:p>
      <w:pPr>
        <w:pStyle w:val="ListBullet"/>
        <w:spacing w:line="276" w:lineRule="auto"/>
        <w:ind w:left="510"/>
      </w:pPr>
      <w:r>
        <w:rPr>
          <w:rFonts w:ascii="Cambria" w:hAnsi="Cambria"/>
          <w:b w:val="0"/>
          <w:i w:val="0"/>
          <w:sz w:val="22"/>
        </w:rPr>
        <w:t>Start-ups must comply with:</w:t>
      </w:r>
    </w:p>
    <w:p>
      <w:pPr>
        <w:pStyle w:val="ListBullet2"/>
        <w:spacing w:line="276" w:lineRule="auto"/>
        <w:ind w:left="1020"/>
      </w:pPr>
      <w:r>
        <w:rPr>
          <w:rFonts w:ascii="Cambria" w:hAnsi="Cambria"/>
          <w:b w:val="0"/>
          <w:i w:val="0"/>
          <w:sz w:val="22"/>
        </w:rPr>
        <w:t>Indian Companies Act, 2013 / LLP Act.</w:t>
      </w:r>
    </w:p>
    <w:p>
      <w:pPr>
        <w:pStyle w:val="ListBullet2"/>
        <w:spacing w:line="276" w:lineRule="auto"/>
        <w:ind w:left="1020"/>
      </w:pPr>
      <w:r>
        <w:rPr>
          <w:rFonts w:ascii="Cambria" w:hAnsi="Cambria"/>
          <w:b w:val="0"/>
          <w:i w:val="0"/>
          <w:sz w:val="22"/>
        </w:rPr>
        <w:t>Intellectual Property Laws.</w:t>
      </w:r>
    </w:p>
    <w:p>
      <w:pPr>
        <w:pStyle w:val="ListBullet2"/>
        <w:spacing w:line="276" w:lineRule="auto"/>
        <w:ind w:left="1020"/>
      </w:pPr>
      <w:r>
        <w:rPr>
          <w:rFonts w:ascii="Cambria" w:hAnsi="Cambria"/>
          <w:b w:val="0"/>
          <w:i w:val="0"/>
          <w:sz w:val="22"/>
        </w:rPr>
        <w:t>Environmental and Labor Regulations.</w:t>
      </w:r>
    </w:p>
    <w:p>
      <w:pPr>
        <w:pStyle w:val="ListBullet"/>
        <w:spacing w:line="276" w:lineRule="auto"/>
        <w:ind w:left="510"/>
      </w:pPr>
      <w:r>
        <w:rPr>
          <w:rFonts w:ascii="Cambria" w:hAnsi="Cambria"/>
          <w:b w:val="0"/>
          <w:i w:val="0"/>
          <w:sz w:val="22"/>
        </w:rPr>
        <w:t>Faculty and students must disclose any conflict of interest in writing to the IIC.</w:t>
      </w:r>
    </w:p>
    <w:p>
      <w:pPr>
        <w:pStyle w:val="ListBullet"/>
        <w:spacing w:line="276" w:lineRule="auto"/>
        <w:ind w:left="510"/>
      </w:pPr>
      <w:r>
        <w:rPr>
          <w:rFonts w:ascii="Cambria" w:hAnsi="Cambria"/>
          <w:b w:val="0"/>
          <w:i w:val="0"/>
          <w:sz w:val="22"/>
        </w:rPr>
        <w:t>Start-ups engaged in social or sustainability domains will receive preferential institutional support.</w:t>
      </w:r>
    </w:p>
    <w:p>
      <w:pPr>
        <w:keepNext/>
        <w:spacing w:before="200" w:after="120"/>
      </w:pPr>
      <w:r>
        <w:rPr>
          <w:rFonts w:ascii="Cambria" w:hAnsi="Cambria"/>
          <w:b/>
          <w:color w:val="1F3A5F"/>
          <w:sz w:val="24"/>
        </w:rPr>
        <w:t>XIII. Documentation and Reporting</w:t>
      </w:r>
    </w:p>
    <w:p>
      <w:pPr>
        <w:pStyle w:val="ListBullet"/>
        <w:spacing w:line="276" w:lineRule="auto"/>
        <w:ind w:left="510"/>
      </w:pPr>
      <w:r>
        <w:rPr>
          <w:rFonts w:ascii="Cambria" w:hAnsi="Cambria"/>
          <w:b w:val="0"/>
          <w:i w:val="0"/>
          <w:sz w:val="22"/>
        </w:rPr>
        <w:t>The IIC / EDC shall maintain:</w:t>
      </w:r>
    </w:p>
    <w:p>
      <w:pPr>
        <w:pStyle w:val="ListBullet2"/>
        <w:spacing w:line="276" w:lineRule="auto"/>
        <w:ind w:left="1020"/>
      </w:pPr>
      <w:r>
        <w:rPr>
          <w:rFonts w:ascii="Cambria" w:hAnsi="Cambria"/>
          <w:b w:val="0"/>
          <w:i w:val="0"/>
          <w:sz w:val="22"/>
        </w:rPr>
        <w:t>Register of all start-ups and incubatees.</w:t>
      </w:r>
    </w:p>
    <w:p>
      <w:pPr>
        <w:pStyle w:val="ListBullet2"/>
        <w:spacing w:line="276" w:lineRule="auto"/>
        <w:ind w:left="1020"/>
      </w:pPr>
      <w:r>
        <w:rPr>
          <w:rFonts w:ascii="Cambria" w:hAnsi="Cambria"/>
          <w:b w:val="0"/>
          <w:i w:val="0"/>
          <w:sz w:val="22"/>
        </w:rPr>
        <w:t>Funding utilization records and progress reports.</w:t>
      </w:r>
    </w:p>
    <w:p>
      <w:pPr>
        <w:pStyle w:val="ListBullet2"/>
        <w:spacing w:line="276" w:lineRule="auto"/>
        <w:ind w:left="1020"/>
      </w:pPr>
      <w:r>
        <w:rPr>
          <w:rFonts w:ascii="Cambria" w:hAnsi="Cambria"/>
          <w:b w:val="0"/>
          <w:i w:val="0"/>
          <w:sz w:val="22"/>
        </w:rPr>
        <w:t>Annual Innovation and Entrepreneurship Performance Report submitted to the BoM and IQAC.</w:t>
      </w:r>
    </w:p>
    <w:p>
      <w:pPr>
        <w:pStyle w:val="ListBullet"/>
        <w:spacing w:line="276" w:lineRule="auto"/>
        <w:ind w:left="510"/>
      </w:pPr>
      <w:r>
        <w:rPr>
          <w:rFonts w:ascii="Cambria" w:hAnsi="Cambria"/>
          <w:b w:val="0"/>
          <w:i w:val="0"/>
          <w:sz w:val="22"/>
        </w:rPr>
        <w:t>Outcomes to be reported for:</w:t>
      </w:r>
    </w:p>
    <w:p>
      <w:pPr>
        <w:pStyle w:val="ListBullet2"/>
        <w:spacing w:line="276" w:lineRule="auto"/>
        <w:ind w:left="1020"/>
      </w:pPr>
      <w:r>
        <w:rPr>
          <w:rFonts w:ascii="Cambria" w:hAnsi="Cambria"/>
          <w:b w:val="0"/>
          <w:i w:val="0"/>
          <w:sz w:val="22"/>
        </w:rPr>
        <w:t>NAAC (Criterion 3.3.4, 3.3.5, 3.6.2)</w:t>
      </w:r>
    </w:p>
    <w:p>
      <w:pPr>
        <w:pStyle w:val="ListBullet2"/>
        <w:spacing w:line="276" w:lineRule="auto"/>
        <w:ind w:left="1020"/>
      </w:pPr>
      <w:r>
        <w:rPr>
          <w:rFonts w:ascii="Cambria" w:hAnsi="Cambria"/>
          <w:b w:val="0"/>
          <w:i w:val="0"/>
          <w:sz w:val="22"/>
        </w:rPr>
        <w:t>NIRF Innovation Score</w:t>
      </w:r>
    </w:p>
    <w:p>
      <w:pPr>
        <w:pStyle w:val="ListBullet2"/>
        <w:spacing w:line="276" w:lineRule="auto"/>
        <w:ind w:left="1020"/>
      </w:pPr>
      <w:r>
        <w:rPr>
          <w:rFonts w:ascii="Cambria" w:hAnsi="Cambria"/>
          <w:b w:val="0"/>
          <w:i w:val="0"/>
          <w:sz w:val="22"/>
        </w:rPr>
        <w:t>MoE's IIC Star Rating Framework.</w:t>
      </w:r>
    </w:p>
    <w:p>
      <w:pPr>
        <w:keepNext/>
        <w:spacing w:before="200" w:after="120"/>
      </w:pPr>
      <w:r>
        <w:rPr>
          <w:rFonts w:ascii="Cambria" w:hAnsi="Cambria"/>
          <w:b/>
          <w:color w:val="1F3A5F"/>
          <w:sz w:val="24"/>
        </w:rPr>
        <w:t>XIV. Incentives and Recognition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494"/>
            <w:shd w:val="clear" w:color="auto" w:fill="1F3A5F"/>
          </w:tcPr>
          <w:p>
            <w:pPr>
              <w:spacing w:after="40" w:before="40"/>
            </w:pPr>
            <w:r/>
            <w:r>
              <w:rPr>
                <w:rFonts w:ascii="Cambria" w:hAnsi="Cambria"/>
                <w:b/>
                <w:i w:val="0"/>
                <w:color w:val="FFFFFF"/>
                <w:sz w:val="22"/>
              </w:rPr>
              <w:t>Category</w:t>
            </w:r>
          </w:p>
        </w:tc>
        <w:tc>
          <w:tcPr>
            <w:tcW w:type="dxa" w:w="3628"/>
            <w:shd w:val="clear" w:color="auto" w:fill="1F3A5F"/>
          </w:tcPr>
          <w:p>
            <w:pPr>
              <w:spacing w:after="40" w:before="40"/>
            </w:pPr>
            <w:r/>
            <w:r>
              <w:rPr>
                <w:rFonts w:ascii="Cambria" w:hAnsi="Cambria"/>
                <w:b/>
                <w:i w:val="0"/>
                <w:color w:val="FFFFFF"/>
                <w:sz w:val="22"/>
              </w:rPr>
              <w:t>Nature of Incentive</w:t>
            </w:r>
          </w:p>
        </w:tc>
        <w:tc>
          <w:tcPr>
            <w:tcW w:type="dxa" w:w="3288"/>
            <w:shd w:val="clear" w:color="auto" w:fill="1F3A5F"/>
          </w:tcPr>
          <w:p>
            <w:pPr>
              <w:spacing w:after="40" w:before="40"/>
            </w:pPr>
            <w:r/>
            <w:r>
              <w:rPr>
                <w:rFonts w:ascii="Cambria" w:hAnsi="Cambria"/>
                <w:b/>
                <w:i w:val="0"/>
                <w:color w:val="FFFFFF"/>
                <w:sz w:val="22"/>
              </w:rPr>
              <w:t>Eligibility</w:t>
            </w:r>
          </w:p>
        </w:tc>
      </w:tr>
      <w:tr>
        <w:tc>
          <w:tcPr>
            <w:tcW w:type="dxa" w:w="2494"/>
          </w:tcPr>
          <w:p>
            <w:pPr>
              <w:spacing w:after="40" w:before="40"/>
            </w:pPr>
            <w:r/>
            <w:r>
              <w:rPr>
                <w:rFonts w:ascii="Cambria" w:hAnsi="Cambria"/>
                <w:b w:val="0"/>
                <w:i w:val="0"/>
                <w:sz w:val="22"/>
              </w:rPr>
              <w:t>Best Faculty Entrepreneur</w:t>
            </w:r>
          </w:p>
        </w:tc>
        <w:tc>
          <w:tcPr>
            <w:tcW w:type="dxa" w:w="3628"/>
          </w:tcPr>
          <w:p>
            <w:pPr>
              <w:spacing w:after="40" w:before="40"/>
            </w:pPr>
            <w:r/>
            <w:r>
              <w:rPr>
                <w:rFonts w:ascii="Cambria" w:hAnsi="Cambria"/>
                <w:b w:val="0"/>
                <w:i w:val="0"/>
                <w:sz w:val="22"/>
              </w:rPr>
              <w:t>Certificate + ₹25,000 Cash Award</w:t>
            </w:r>
          </w:p>
        </w:tc>
        <w:tc>
          <w:tcPr>
            <w:tcW w:type="dxa" w:w="3288"/>
          </w:tcPr>
          <w:p>
            <w:pPr>
              <w:spacing w:after="40" w:before="40"/>
            </w:pPr>
            <w:r/>
            <w:r>
              <w:rPr>
                <w:rFonts w:ascii="Cambria" w:hAnsi="Cambria"/>
                <w:b w:val="0"/>
                <w:i w:val="0"/>
                <w:sz w:val="22"/>
              </w:rPr>
              <w:t>Annual IIC Evaluation</w:t>
            </w:r>
          </w:p>
        </w:tc>
      </w:tr>
      <w:tr>
        <w:tc>
          <w:tcPr>
            <w:tcW w:type="dxa" w:w="2494"/>
            <w:shd w:val="clear" w:color="auto" w:fill="F0F2F5"/>
          </w:tcPr>
          <w:p>
            <w:pPr>
              <w:spacing w:after="40" w:before="40"/>
            </w:pPr>
            <w:r/>
            <w:r>
              <w:rPr>
                <w:rFonts w:ascii="Cambria" w:hAnsi="Cambria"/>
                <w:b w:val="0"/>
                <w:i w:val="0"/>
                <w:sz w:val="22"/>
              </w:rPr>
              <w:t>Top Performing Start-up</w:t>
            </w:r>
          </w:p>
        </w:tc>
        <w:tc>
          <w:tcPr>
            <w:tcW w:type="dxa" w:w="3628"/>
            <w:shd w:val="clear" w:color="auto" w:fill="F0F2F5"/>
          </w:tcPr>
          <w:p>
            <w:pPr>
              <w:spacing w:after="40" w:before="40"/>
            </w:pPr>
            <w:r/>
            <w:r>
              <w:rPr>
                <w:rFonts w:ascii="Cambria" w:hAnsi="Cambria"/>
                <w:b w:val="0"/>
                <w:i w:val="0"/>
                <w:sz w:val="22"/>
              </w:rPr>
              <w:t>Trophy + ₹50,000 Seed Support</w:t>
            </w:r>
          </w:p>
        </w:tc>
        <w:tc>
          <w:tcPr>
            <w:tcW w:type="dxa" w:w="3288"/>
            <w:shd w:val="clear" w:color="auto" w:fill="F0F2F5"/>
          </w:tcPr>
          <w:p>
            <w:pPr>
              <w:spacing w:after="40" w:before="40"/>
            </w:pPr>
            <w:r/>
            <w:r>
              <w:rPr>
                <w:rFonts w:ascii="Cambria" w:hAnsi="Cambria"/>
                <w:b w:val="0"/>
                <w:i w:val="0"/>
                <w:sz w:val="22"/>
              </w:rPr>
              <w:t>Based on performance</w:t>
            </w:r>
          </w:p>
        </w:tc>
      </w:tr>
      <w:tr>
        <w:tc>
          <w:tcPr>
            <w:tcW w:type="dxa" w:w="2494"/>
          </w:tcPr>
          <w:p>
            <w:pPr>
              <w:spacing w:after="40" w:before="40"/>
            </w:pPr>
            <w:r/>
            <w:r>
              <w:rPr>
                <w:rFonts w:ascii="Cambria" w:hAnsi="Cambria"/>
                <w:b w:val="0"/>
                <w:i w:val="0"/>
                <w:sz w:val="22"/>
              </w:rPr>
              <w:t>Student Innovator Award</w:t>
            </w:r>
          </w:p>
        </w:tc>
        <w:tc>
          <w:tcPr>
            <w:tcW w:type="dxa" w:w="3628"/>
          </w:tcPr>
          <w:p>
            <w:pPr>
              <w:spacing w:after="40" w:before="40"/>
            </w:pPr>
            <w:r/>
            <w:r>
              <w:rPr>
                <w:rFonts w:ascii="Cambria" w:hAnsi="Cambria"/>
                <w:b w:val="0"/>
                <w:i w:val="0"/>
                <w:sz w:val="22"/>
              </w:rPr>
              <w:t>Certificate + ₹10,000</w:t>
            </w:r>
          </w:p>
        </w:tc>
        <w:tc>
          <w:tcPr>
            <w:tcW w:type="dxa" w:w="3288"/>
          </w:tcPr>
          <w:p>
            <w:pPr>
              <w:spacing w:after="40" w:before="40"/>
            </w:pPr>
            <w:r/>
            <w:r>
              <w:rPr>
                <w:rFonts w:ascii="Cambria" w:hAnsi="Cambria"/>
                <w:b w:val="0"/>
                <w:i w:val="0"/>
                <w:sz w:val="22"/>
              </w:rPr>
              <w:t>Annual Entrepreneurship Summit</w:t>
            </w:r>
          </w:p>
        </w:tc>
      </w:tr>
      <w:tr>
        <w:tc>
          <w:tcPr>
            <w:tcW w:type="dxa" w:w="2494"/>
            <w:shd w:val="clear" w:color="auto" w:fill="F0F2F5"/>
          </w:tcPr>
          <w:p>
            <w:pPr>
              <w:spacing w:after="40" w:before="40"/>
            </w:pPr>
            <w:r/>
            <w:r>
              <w:rPr>
                <w:rFonts w:ascii="Cambria" w:hAnsi="Cambria"/>
                <w:b w:val="0"/>
                <w:i w:val="0"/>
                <w:sz w:val="22"/>
              </w:rPr>
              <w:t>Mentor Recognition</w:t>
            </w:r>
          </w:p>
        </w:tc>
        <w:tc>
          <w:tcPr>
            <w:tcW w:type="dxa" w:w="3628"/>
            <w:shd w:val="clear" w:color="auto" w:fill="F0F2F5"/>
          </w:tcPr>
          <w:p>
            <w:pPr>
              <w:spacing w:after="40" w:before="40"/>
            </w:pPr>
            <w:r/>
            <w:r>
              <w:rPr>
                <w:rFonts w:ascii="Cambria" w:hAnsi="Cambria"/>
                <w:b w:val="0"/>
                <w:i w:val="0"/>
                <w:sz w:val="22"/>
              </w:rPr>
              <w:t>Certificate of Excellence</w:t>
            </w:r>
          </w:p>
        </w:tc>
        <w:tc>
          <w:tcPr>
            <w:tcW w:type="dxa" w:w="3288"/>
            <w:shd w:val="clear" w:color="auto" w:fill="F0F2F5"/>
          </w:tcPr>
          <w:p>
            <w:pPr>
              <w:spacing w:after="40" w:before="40"/>
            </w:pPr>
            <w:r/>
            <w:r>
              <w:rPr>
                <w:rFonts w:ascii="Cambria" w:hAnsi="Cambria"/>
                <w:b w:val="0"/>
                <w:i w:val="0"/>
                <w:sz w:val="22"/>
              </w:rPr>
              <w:t>Faculty guiding successful start-ups</w:t>
            </w:r>
          </w:p>
        </w:tc>
      </w:tr>
    </w:tbl>
    <w:p>
      <w:pPr>
        <w:spacing w:after="40"/>
      </w:pPr>
    </w:p>
    <w:p>
      <w:pPr>
        <w:keepNext/>
        <w:spacing w:before="200" w:after="120"/>
      </w:pPr>
      <w:r>
        <w:rPr>
          <w:rFonts w:ascii="Cambria" w:hAnsi="Cambria"/>
          <w:b/>
          <w:color w:val="1F3A5F"/>
          <w:sz w:val="24"/>
        </w:rPr>
        <w:t>XV. Policy Review and Alignment</w:t>
      </w:r>
    </w:p>
    <w:p>
      <w:pPr>
        <w:pStyle w:val="ListBullet"/>
        <w:spacing w:line="276" w:lineRule="auto"/>
        <w:ind w:left="510"/>
      </w:pPr>
      <w:r>
        <w:rPr>
          <w:rFonts w:ascii="Cambria" w:hAnsi="Cambria"/>
          <w:b w:val="0"/>
          <w:i w:val="0"/>
          <w:sz w:val="22"/>
        </w:rPr>
        <w:t>The policy shall be reviewed every three years by the IIC and BoM to align with:</w:t>
      </w:r>
    </w:p>
    <w:p>
      <w:pPr>
        <w:pStyle w:val="ListBullet2"/>
        <w:spacing w:line="276" w:lineRule="auto"/>
        <w:ind w:left="1020"/>
      </w:pPr>
      <w:r>
        <w:rPr>
          <w:rFonts w:ascii="Cambria" w:hAnsi="Cambria"/>
          <w:b w:val="0"/>
          <w:i w:val="0"/>
          <w:sz w:val="22"/>
        </w:rPr>
        <w:t>National Innovation and Startup Policy (NISP 2019)</w:t>
      </w:r>
    </w:p>
    <w:p>
      <w:pPr>
        <w:pStyle w:val="ListBullet2"/>
        <w:spacing w:line="276" w:lineRule="auto"/>
        <w:ind w:left="1020"/>
      </w:pPr>
      <w:r>
        <w:rPr>
          <w:rFonts w:ascii="Cambria" w:hAnsi="Cambria"/>
          <w:b w:val="0"/>
          <w:i w:val="0"/>
          <w:sz w:val="22"/>
        </w:rPr>
        <w:t>AICTE Innovation Policy 2020</w:t>
      </w:r>
    </w:p>
    <w:p>
      <w:pPr>
        <w:pStyle w:val="ListBullet2"/>
        <w:spacing w:line="276" w:lineRule="auto"/>
        <w:ind w:left="1020"/>
      </w:pPr>
      <w:r>
        <w:rPr>
          <w:rFonts w:ascii="Cambria" w:hAnsi="Cambria"/>
          <w:b w:val="0"/>
          <w:i w:val="0"/>
          <w:sz w:val="22"/>
        </w:rPr>
        <w:t>UGC Innovation &amp; Incubation Guidelines (2022)</w:t>
      </w:r>
    </w:p>
    <w:p>
      <w:pPr>
        <w:pStyle w:val="ListBullet2"/>
        <w:spacing w:line="276" w:lineRule="auto"/>
        <w:ind w:left="1020"/>
      </w:pPr>
      <w:r>
        <w:rPr>
          <w:rFonts w:ascii="Cambria" w:hAnsi="Cambria"/>
          <w:b w:val="0"/>
          <w:i w:val="0"/>
          <w:sz w:val="22"/>
        </w:rPr>
        <w:t>UN SDG Targets 8, 9, and 11.</w:t>
      </w:r>
    </w:p>
    <w:p>
      <w:r>
        <w:br w:type="page"/>
      </w:r>
    </w:p>
    <w:p>
      <w:pPr>
        <w:keepNext/>
        <w:spacing w:before="200" w:after="120"/>
      </w:pPr>
      <w:r>
        <w:rPr>
          <w:rFonts w:ascii="Cambria" w:hAnsi="Cambria"/>
          <w:b/>
          <w:color w:val="1F3A5F"/>
          <w:sz w:val="24"/>
        </w:rPr>
        <w:t>XVI.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Responsible Unit</w:t>
            </w:r>
          </w:p>
        </w:tc>
      </w:tr>
      <w:tr>
        <w:tc>
          <w:tcPr>
            <w:tcW w:type="dxa" w:w="1927"/>
          </w:tcPr>
          <w:p>
            <w:pPr>
              <w:spacing w:after="40" w:before="40"/>
            </w:pPr>
            <w:r/>
            <w:r>
              <w:rPr>
                <w:rFonts w:ascii="Cambria" w:hAnsi="Cambria"/>
                <w:b w:val="0"/>
                <w:i w:val="0"/>
                <w:sz w:val="22"/>
              </w:rPr>
              <w:t>Eligibility</w:t>
            </w:r>
          </w:p>
        </w:tc>
        <w:tc>
          <w:tcPr>
            <w:tcW w:type="dxa" w:w="4876"/>
          </w:tcPr>
          <w:p>
            <w:pPr>
              <w:spacing w:after="40" w:before="40"/>
            </w:pPr>
            <w:r/>
            <w:r>
              <w:rPr>
                <w:rFonts w:ascii="Cambria" w:hAnsi="Cambria"/>
                <w:b w:val="0"/>
                <w:i w:val="0"/>
                <w:sz w:val="22"/>
              </w:rPr>
              <w:t>Faculty, Students, Alumni, External Innovators</w:t>
            </w:r>
          </w:p>
        </w:tc>
        <w:tc>
          <w:tcPr>
            <w:tcW w:type="dxa" w:w="2608"/>
          </w:tcPr>
          <w:p>
            <w:pPr>
              <w:spacing w:after="40" w:before="40"/>
            </w:pPr>
            <w:r/>
            <w:r>
              <w:rPr>
                <w:rFonts w:ascii="Cambria" w:hAnsi="Cambria"/>
                <w:b w:val="0"/>
                <w:i w:val="0"/>
                <w:sz w:val="22"/>
              </w:rPr>
              <w:t>IIC / EDC</w:t>
            </w:r>
          </w:p>
        </w:tc>
      </w:tr>
      <w:tr>
        <w:tc>
          <w:tcPr>
            <w:tcW w:type="dxa" w:w="1927"/>
            <w:shd w:val="clear" w:color="auto" w:fill="F0F2F5"/>
          </w:tcPr>
          <w:p>
            <w:pPr>
              <w:spacing w:after="40" w:before="40"/>
            </w:pPr>
            <w:r/>
            <w:r>
              <w:rPr>
                <w:rFonts w:ascii="Cambria" w:hAnsi="Cambria"/>
                <w:b w:val="0"/>
                <w:i w:val="0"/>
                <w:sz w:val="22"/>
              </w:rPr>
              <w:t>Funding Support</w:t>
            </w:r>
          </w:p>
        </w:tc>
        <w:tc>
          <w:tcPr>
            <w:tcW w:type="dxa" w:w="4876"/>
            <w:shd w:val="clear" w:color="auto" w:fill="F0F2F5"/>
          </w:tcPr>
          <w:p>
            <w:pPr>
              <w:spacing w:after="40" w:before="40"/>
            </w:pPr>
            <w:r/>
            <w:r>
              <w:rPr>
                <w:rFonts w:ascii="Cambria" w:hAnsi="Cambria"/>
                <w:b w:val="0"/>
                <w:i w:val="0"/>
                <w:sz w:val="22"/>
              </w:rPr>
              <w:t>₹25,000–₹2,00,000 (Seed / Prototype)</w:t>
            </w:r>
          </w:p>
        </w:tc>
        <w:tc>
          <w:tcPr>
            <w:tcW w:type="dxa" w:w="2608"/>
            <w:shd w:val="clear" w:color="auto" w:fill="F0F2F5"/>
          </w:tcPr>
          <w:p>
            <w:pPr>
              <w:spacing w:after="40" w:before="40"/>
            </w:pPr>
            <w:r/>
            <w:r>
              <w:rPr>
                <w:rFonts w:ascii="Cambria" w:hAnsi="Cambria"/>
                <w:b w:val="0"/>
                <w:i w:val="0"/>
                <w:sz w:val="22"/>
              </w:rPr>
              <w:t>IIC / R&amp;D Cell</w:t>
            </w:r>
          </w:p>
        </w:tc>
      </w:tr>
      <w:tr>
        <w:tc>
          <w:tcPr>
            <w:tcW w:type="dxa" w:w="1927"/>
          </w:tcPr>
          <w:p>
            <w:pPr>
              <w:spacing w:after="40" w:before="40"/>
            </w:pPr>
            <w:r/>
            <w:r>
              <w:rPr>
                <w:rFonts w:ascii="Cambria" w:hAnsi="Cambria"/>
                <w:b w:val="0"/>
                <w:i w:val="0"/>
                <w:sz w:val="22"/>
              </w:rPr>
              <w:t>Equity Policy</w:t>
            </w:r>
          </w:p>
        </w:tc>
        <w:tc>
          <w:tcPr>
            <w:tcW w:type="dxa" w:w="4876"/>
          </w:tcPr>
          <w:p>
            <w:pPr>
              <w:spacing w:after="40" w:before="40"/>
            </w:pPr>
            <w:r/>
            <w:r>
              <w:rPr>
                <w:rFonts w:ascii="Cambria" w:hAnsi="Cambria"/>
                <w:b w:val="0"/>
                <w:i w:val="0"/>
                <w:sz w:val="22"/>
              </w:rPr>
              <w:t>Faculty (≤9.5%), Student (≤5%), University (≤20%)</w:t>
            </w:r>
          </w:p>
        </w:tc>
        <w:tc>
          <w:tcPr>
            <w:tcW w:type="dxa" w:w="2608"/>
          </w:tcPr>
          <w:p>
            <w:pPr>
              <w:spacing w:after="40" w:before="40"/>
            </w:pPr>
            <w:r/>
            <w:r>
              <w:rPr>
                <w:rFonts w:ascii="Cambria" w:hAnsi="Cambria"/>
                <w:b w:val="0"/>
                <w:i w:val="0"/>
                <w:sz w:val="22"/>
              </w:rPr>
              <w:t>BoM / IIC</w:t>
            </w:r>
          </w:p>
        </w:tc>
      </w:tr>
      <w:tr>
        <w:tc>
          <w:tcPr>
            <w:tcW w:type="dxa" w:w="1927"/>
            <w:shd w:val="clear" w:color="auto" w:fill="F0F2F5"/>
          </w:tcPr>
          <w:p>
            <w:pPr>
              <w:spacing w:after="40" w:before="40"/>
            </w:pPr>
            <w:r/>
            <w:r>
              <w:rPr>
                <w:rFonts w:ascii="Cambria" w:hAnsi="Cambria"/>
                <w:b w:val="0"/>
                <w:i w:val="0"/>
                <w:sz w:val="22"/>
              </w:rPr>
              <w:t>Infrastructure Support</w:t>
            </w:r>
          </w:p>
        </w:tc>
        <w:tc>
          <w:tcPr>
            <w:tcW w:type="dxa" w:w="4876"/>
            <w:shd w:val="clear" w:color="auto" w:fill="F0F2F5"/>
          </w:tcPr>
          <w:p>
            <w:pPr>
              <w:spacing w:after="40" w:before="40"/>
            </w:pPr>
            <w:r/>
            <w:r>
              <w:rPr>
                <w:rFonts w:ascii="Cambria" w:hAnsi="Cambria"/>
                <w:b w:val="0"/>
                <w:i w:val="0"/>
                <w:sz w:val="22"/>
              </w:rPr>
              <w:t>Labs, Co-working, Mentorship, Legal Aid</w:t>
            </w:r>
          </w:p>
        </w:tc>
        <w:tc>
          <w:tcPr>
            <w:tcW w:type="dxa" w:w="2608"/>
            <w:shd w:val="clear" w:color="auto" w:fill="F0F2F5"/>
          </w:tcPr>
          <w:p>
            <w:pPr>
              <w:spacing w:after="40" w:before="40"/>
            </w:pPr>
            <w:r/>
            <w:r>
              <w:rPr>
                <w:rFonts w:ascii="Cambria" w:hAnsi="Cambria"/>
                <w:b w:val="0"/>
                <w:i w:val="0"/>
                <w:sz w:val="22"/>
              </w:rPr>
              <w:t>IIC</w:t>
            </w:r>
          </w:p>
        </w:tc>
      </w:tr>
      <w:tr>
        <w:tc>
          <w:tcPr>
            <w:tcW w:type="dxa" w:w="1927"/>
          </w:tcPr>
          <w:p>
            <w:pPr>
              <w:spacing w:after="40" w:before="40"/>
            </w:pPr>
            <w:r/>
            <w:r>
              <w:rPr>
                <w:rFonts w:ascii="Cambria" w:hAnsi="Cambria"/>
                <w:b w:val="0"/>
                <w:i w:val="0"/>
                <w:sz w:val="22"/>
              </w:rPr>
              <w:t>Monitoring</w:t>
            </w:r>
          </w:p>
        </w:tc>
        <w:tc>
          <w:tcPr>
            <w:tcW w:type="dxa" w:w="4876"/>
          </w:tcPr>
          <w:p>
            <w:pPr>
              <w:spacing w:after="40" w:before="40"/>
            </w:pPr>
            <w:r/>
            <w:r>
              <w:rPr>
                <w:rFonts w:ascii="Cambria" w:hAnsi="Cambria"/>
                <w:b w:val="0"/>
                <w:i w:val="0"/>
                <w:sz w:val="22"/>
              </w:rPr>
              <w:t>Quarterly / Annual Reviews</w:t>
            </w:r>
          </w:p>
        </w:tc>
        <w:tc>
          <w:tcPr>
            <w:tcW w:type="dxa" w:w="2608"/>
          </w:tcPr>
          <w:p>
            <w:pPr>
              <w:spacing w:after="40" w:before="40"/>
            </w:pPr>
            <w:r/>
            <w:r>
              <w:rPr>
                <w:rFonts w:ascii="Cambria" w:hAnsi="Cambria"/>
                <w:b w:val="0"/>
                <w:i w:val="0"/>
                <w:sz w:val="22"/>
              </w:rPr>
              <w:t>SFC / IIC</w:t>
            </w:r>
          </w:p>
        </w:tc>
      </w:tr>
      <w:tr>
        <w:tc>
          <w:tcPr>
            <w:tcW w:type="dxa" w:w="1927"/>
            <w:shd w:val="clear" w:color="auto" w:fill="F0F2F5"/>
          </w:tcPr>
          <w:p>
            <w:pPr>
              <w:spacing w:after="40" w:before="40"/>
            </w:pPr>
            <w:r/>
            <w:r>
              <w:rPr>
                <w:rFonts w:ascii="Cambria" w:hAnsi="Cambria"/>
                <w:b w:val="0"/>
                <w:i w:val="0"/>
                <w:sz w:val="22"/>
              </w:rPr>
              <w:t>Incentives</w:t>
            </w:r>
          </w:p>
        </w:tc>
        <w:tc>
          <w:tcPr>
            <w:tcW w:type="dxa" w:w="4876"/>
            <w:shd w:val="clear" w:color="auto" w:fill="F0F2F5"/>
          </w:tcPr>
          <w:p>
            <w:pPr>
              <w:spacing w:after="40" w:before="40"/>
            </w:pPr>
            <w:r/>
            <w:r>
              <w:rPr>
                <w:rFonts w:ascii="Cambria" w:hAnsi="Cambria"/>
                <w:b w:val="0"/>
                <w:i w:val="0"/>
                <w:sz w:val="22"/>
              </w:rPr>
              <w:t>Awards, Recognition, Grants</w:t>
            </w:r>
          </w:p>
        </w:tc>
        <w:tc>
          <w:tcPr>
            <w:tcW w:type="dxa" w:w="2608"/>
            <w:shd w:val="clear" w:color="auto" w:fill="F0F2F5"/>
          </w:tcPr>
          <w:p>
            <w:pPr>
              <w:spacing w:after="40" w:before="40"/>
            </w:pPr>
            <w:r/>
            <w:r>
              <w:rPr>
                <w:rFonts w:ascii="Cambria" w:hAnsi="Cambria"/>
                <w:b w:val="0"/>
                <w:i w:val="0"/>
                <w:sz w:val="22"/>
              </w:rPr>
              <w:t>IIC / BoM</w:t>
            </w:r>
          </w:p>
        </w:tc>
      </w:tr>
      <w:tr>
        <w:tc>
          <w:tcPr>
            <w:tcW w:type="dxa" w:w="1927"/>
          </w:tcPr>
          <w:p>
            <w:pPr>
              <w:spacing w:after="40" w:before="40"/>
            </w:pPr>
            <w:r/>
            <w:r>
              <w:rPr>
                <w:rFonts w:ascii="Cambria" w:hAnsi="Cambria"/>
                <w:b w:val="0"/>
                <w:i w:val="0"/>
                <w:sz w:val="22"/>
              </w:rPr>
              <w:t>Compliance</w:t>
            </w:r>
          </w:p>
        </w:tc>
        <w:tc>
          <w:tcPr>
            <w:tcW w:type="dxa" w:w="4876"/>
          </w:tcPr>
          <w:p>
            <w:pPr>
              <w:spacing w:after="40" w:before="40"/>
            </w:pPr>
            <w:r/>
            <w:r>
              <w:rPr>
                <w:rFonts w:ascii="Cambria" w:hAnsi="Cambria"/>
                <w:b w:val="0"/>
                <w:i w:val="0"/>
                <w:sz w:val="22"/>
              </w:rPr>
              <w:t>Legal, IP, and Ethical Standards</w:t>
            </w:r>
          </w:p>
        </w:tc>
        <w:tc>
          <w:tcPr>
            <w:tcW w:type="dxa" w:w="2608"/>
          </w:tcPr>
          <w:p>
            <w:pPr>
              <w:spacing w:after="40" w:before="40"/>
            </w:pPr>
            <w:r/>
            <w:r>
              <w:rPr>
                <w:rFonts w:ascii="Cambria" w:hAnsi="Cambria"/>
                <w:b w:val="0"/>
                <w:i w:val="0"/>
                <w:sz w:val="22"/>
              </w:rPr>
              <w:t>Registrar / IPR Cell</w:t>
            </w:r>
          </w:p>
        </w:tc>
      </w:tr>
    </w:tbl>
    <w:p>
      <w:pPr>
        <w:spacing w:after="40"/>
      </w:pPr>
    </w:p>
    <w:p>
      <w:pPr>
        <w:keepNext/>
        <w:spacing w:before="200" w:after="120"/>
      </w:pPr>
      <w:r>
        <w:rPr>
          <w:rFonts w:ascii="Cambria" w:hAnsi="Cambria"/>
          <w:b/>
          <w:color w:val="1F3A5F"/>
          <w:sz w:val="24"/>
        </w:rPr>
        <w:t>XVII. Policy Principles</w:t>
      </w:r>
    </w:p>
    <w:p>
      <w:pPr>
        <w:pStyle w:val="ListBullet"/>
        <w:spacing w:line="276" w:lineRule="auto"/>
        <w:ind w:left="510"/>
      </w:pPr>
      <w:r>
        <w:rPr>
          <w:rFonts w:ascii="Cambria" w:hAnsi="Cambria"/>
          <w:b w:val="0"/>
          <w:i w:val="0"/>
          <w:sz w:val="22"/>
        </w:rPr>
        <w:t>Entrepreneurship is a strategic pillar of academic excellence and nation-building.</w:t>
      </w:r>
    </w:p>
    <w:p>
      <w:pPr>
        <w:pStyle w:val="ListBullet"/>
        <w:spacing w:line="276" w:lineRule="auto"/>
        <w:ind w:left="510"/>
      </w:pPr>
      <w:r>
        <w:rPr>
          <w:rFonts w:ascii="Cambria" w:hAnsi="Cambria"/>
          <w:b w:val="0"/>
          <w:i w:val="0"/>
          <w:sz w:val="22"/>
        </w:rPr>
        <w:t>The University shall act as an enabler, not owner, of innovation.</w:t>
      </w:r>
    </w:p>
    <w:p>
      <w:pPr>
        <w:pStyle w:val="ListBullet"/>
        <w:spacing w:line="276" w:lineRule="auto"/>
        <w:ind w:left="510"/>
      </w:pPr>
      <w:r>
        <w:rPr>
          <w:rFonts w:ascii="Cambria" w:hAnsi="Cambria"/>
          <w:b w:val="0"/>
          <w:i w:val="0"/>
          <w:sz w:val="22"/>
        </w:rPr>
        <w:t>All incubated ventures shall adhere to ethics, transparency, and sustainability.</w:t>
      </w:r>
    </w:p>
    <w:p>
      <w:pPr>
        <w:pStyle w:val="ListBullet"/>
        <w:spacing w:line="276" w:lineRule="auto"/>
        <w:ind w:left="510"/>
      </w:pPr>
      <w:r>
        <w:rPr>
          <w:rFonts w:ascii="Cambria" w:hAnsi="Cambria"/>
          <w:b w:val="0"/>
          <w:i w:val="0"/>
          <w:sz w:val="22"/>
        </w:rPr>
        <w:t>The institution will foster a triple-helix model connecting academia, industry, and government for inclusive innovation.</w:t>
      </w:r>
    </w:p>
    <w:p>
      <w:pPr>
        <w:pStyle w:val="ListBullet"/>
        <w:spacing w:line="276" w:lineRule="auto"/>
        <w:ind w:left="510"/>
      </w:pPr>
      <w:r>
        <w:rPr>
          <w:rFonts w:ascii="Cambria" w:hAnsi="Cambria"/>
          <w:b w:val="0"/>
          <w:i w:val="0"/>
          <w:sz w:val="22"/>
        </w:rPr>
        <w:t>Reinvest a minimum of 10% of annual consultancy and incubation revenue into strengthening start-up infrastructure.</w:t>
      </w:r>
    </w:p>
    <w:p>
      <w:pPr>
        <w:keepNext/>
        <w:spacing w:before="200" w:after="120"/>
      </w:pPr>
      <w:r>
        <w:rPr>
          <w:rFonts w:ascii="Cambria" w:hAnsi="Cambria"/>
          <w:b/>
          <w:color w:val="1F3A5F"/>
          <w:sz w:val="27"/>
        </w:rPr>
        <w:t>M. Industry Collaboration and MoU Framework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structured policy framework for industry collaboration, academic partnerships, and Memoranda of Understanding (MoUs) between the University and external organizations.</w:t>
      </w:r>
    </w:p>
    <w:p>
      <w:pPr>
        <w:pStyle w:val="ListBullet"/>
        <w:spacing w:line="276" w:lineRule="auto"/>
        <w:ind w:left="510"/>
      </w:pPr>
      <w:r>
        <w:rPr>
          <w:rFonts w:ascii="Cambria" w:hAnsi="Cambria"/>
          <w:b w:val="0"/>
          <w:i w:val="0"/>
          <w:sz w:val="22"/>
        </w:rPr>
        <w:t>The objective is to enhance research, innovation, employability, and societal impact through sustained and mutually beneficial engagements with industry, academia, and government.</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Facilitate collaborative research, consultancy, and innovation projects with industries and institutions.</w:t>
      </w:r>
    </w:p>
    <w:p>
      <w:pPr>
        <w:pStyle w:val="ListBullet"/>
        <w:spacing w:line="276" w:lineRule="auto"/>
        <w:ind w:left="510"/>
      </w:pPr>
      <w:r>
        <w:rPr>
          <w:rFonts w:ascii="Cambria" w:hAnsi="Cambria"/>
          <w:b w:val="0"/>
          <w:i w:val="0"/>
          <w:sz w:val="22"/>
        </w:rPr>
        <w:t>Create a platform for knowledge exchange, technology transfer, and skill development.</w:t>
      </w:r>
    </w:p>
    <w:p>
      <w:pPr>
        <w:pStyle w:val="ListBullet"/>
        <w:spacing w:line="276" w:lineRule="auto"/>
        <w:ind w:left="510"/>
      </w:pPr>
      <w:r>
        <w:rPr>
          <w:rFonts w:ascii="Cambria" w:hAnsi="Cambria"/>
          <w:b w:val="0"/>
          <w:i w:val="0"/>
          <w:sz w:val="22"/>
        </w:rPr>
        <w:t>Strengthen student employability and faculty-industry exposure through internships, live projects, and industry visits.</w:t>
      </w:r>
    </w:p>
    <w:p>
      <w:pPr>
        <w:pStyle w:val="ListBullet"/>
        <w:spacing w:line="276" w:lineRule="auto"/>
        <w:ind w:left="510"/>
      </w:pPr>
      <w:r>
        <w:rPr>
          <w:rFonts w:ascii="Cambria" w:hAnsi="Cambria"/>
          <w:b w:val="0"/>
          <w:i w:val="0"/>
          <w:sz w:val="22"/>
        </w:rPr>
        <w:t>Promote co-creation of curricula, joint certification programs, and entrepreneurial partnerships.</w:t>
      </w:r>
    </w:p>
    <w:p>
      <w:pPr>
        <w:pStyle w:val="ListBullet"/>
        <w:spacing w:line="276" w:lineRule="auto"/>
        <w:ind w:left="510"/>
      </w:pPr>
      <w:r>
        <w:rPr>
          <w:rFonts w:ascii="Cambria" w:hAnsi="Cambria"/>
          <w:b w:val="0"/>
          <w:i w:val="0"/>
          <w:sz w:val="22"/>
        </w:rPr>
        <w:t>Establish the University as a hub for academia–industry–society linkage, aligned with national missions like Skill India, Make in India, Atal Innovation Mission (AIM), and NEP 2020.</w:t>
      </w:r>
    </w:p>
    <w:p>
      <w:pPr>
        <w:keepNext/>
        <w:spacing w:before="200" w:after="120"/>
      </w:pPr>
      <w:r>
        <w:rPr>
          <w:rFonts w:ascii="Cambria" w:hAnsi="Cambria"/>
          <w:b/>
          <w:color w:val="1F3A5F"/>
          <w:sz w:val="24"/>
        </w:rPr>
        <w:t>II. Scope and Coverage</w:t>
      </w:r>
    </w:p>
    <w:p>
      <w:pPr>
        <w:pStyle w:val="ListBullet"/>
        <w:spacing w:line="276" w:lineRule="auto"/>
        <w:ind w:left="510"/>
      </w:pPr>
      <w:r>
        <w:rPr>
          <w:rFonts w:ascii="Cambria" w:hAnsi="Cambria"/>
          <w:b w:val="0"/>
          <w:i w:val="0"/>
          <w:sz w:val="22"/>
        </w:rPr>
        <w:t>Applicable to all collaborations and MoUs initiated by:</w:t>
      </w:r>
    </w:p>
    <w:p>
      <w:pPr>
        <w:pStyle w:val="ListBullet2"/>
        <w:spacing w:line="276" w:lineRule="auto"/>
        <w:ind w:left="1020"/>
      </w:pPr>
      <w:r>
        <w:rPr>
          <w:rFonts w:ascii="Cambria" w:hAnsi="Cambria"/>
          <w:b w:val="0"/>
          <w:i w:val="0"/>
          <w:sz w:val="22"/>
        </w:rPr>
        <w:t>University Departments, Research Centers, and Incubation Units</w:t>
      </w:r>
    </w:p>
    <w:p>
      <w:pPr>
        <w:pStyle w:val="ListBullet2"/>
        <w:spacing w:line="276" w:lineRule="auto"/>
        <w:ind w:left="1020"/>
      </w:pPr>
      <w:r>
        <w:rPr>
          <w:rFonts w:ascii="Cambria" w:hAnsi="Cambria"/>
          <w:b w:val="0"/>
          <w:i w:val="0"/>
          <w:sz w:val="22"/>
        </w:rPr>
        <w:t>External Academic Institutions (National / International)</w:t>
      </w:r>
    </w:p>
    <w:p>
      <w:pPr>
        <w:pStyle w:val="ListBullet2"/>
        <w:spacing w:line="276" w:lineRule="auto"/>
        <w:ind w:left="1020"/>
      </w:pPr>
      <w:r>
        <w:rPr>
          <w:rFonts w:ascii="Cambria" w:hAnsi="Cambria"/>
          <w:b w:val="0"/>
          <w:i w:val="0"/>
          <w:sz w:val="22"/>
        </w:rPr>
        <w:t>Industries, MSMEs, Start-ups, NGOs, and Government Agencies</w:t>
      </w:r>
    </w:p>
    <w:p>
      <w:pPr>
        <w:pStyle w:val="ListBullet"/>
        <w:spacing w:line="276" w:lineRule="auto"/>
        <w:ind w:left="510"/>
      </w:pPr>
      <w:r>
        <w:rPr>
          <w:rFonts w:ascii="Cambria" w:hAnsi="Cambria"/>
          <w:b w:val="0"/>
          <w:i w:val="0"/>
          <w:sz w:val="22"/>
        </w:rPr>
        <w:t>Covers multiple areas of engagement, including:</w:t>
      </w:r>
    </w:p>
    <w:p>
      <w:pPr>
        <w:pStyle w:val="ListBullet2"/>
        <w:spacing w:line="276" w:lineRule="auto"/>
        <w:ind w:left="1020"/>
      </w:pPr>
      <w:r>
        <w:rPr>
          <w:rFonts w:ascii="Cambria" w:hAnsi="Cambria"/>
          <w:b w:val="0"/>
          <w:i w:val="0"/>
          <w:sz w:val="22"/>
        </w:rPr>
        <w:t>Research, innovation, and product development</w:t>
      </w:r>
    </w:p>
    <w:p>
      <w:pPr>
        <w:pStyle w:val="ListBullet2"/>
        <w:spacing w:line="276" w:lineRule="auto"/>
        <w:ind w:left="1020"/>
      </w:pPr>
      <w:r>
        <w:rPr>
          <w:rFonts w:ascii="Cambria" w:hAnsi="Cambria"/>
          <w:b w:val="0"/>
          <w:i w:val="0"/>
          <w:sz w:val="22"/>
        </w:rPr>
        <w:t>Industrial consultancy and testing services</w:t>
      </w:r>
    </w:p>
    <w:p>
      <w:pPr>
        <w:pStyle w:val="ListBullet2"/>
        <w:spacing w:line="276" w:lineRule="auto"/>
        <w:ind w:left="1020"/>
      </w:pPr>
      <w:r>
        <w:rPr>
          <w:rFonts w:ascii="Cambria" w:hAnsi="Cambria"/>
          <w:b w:val="0"/>
          <w:i w:val="0"/>
          <w:sz w:val="22"/>
        </w:rPr>
        <w:t>Faculty and student exchange</w:t>
      </w:r>
    </w:p>
    <w:p>
      <w:pPr>
        <w:pStyle w:val="ListBullet2"/>
        <w:spacing w:line="276" w:lineRule="auto"/>
        <w:ind w:left="1020"/>
      </w:pPr>
      <w:r>
        <w:rPr>
          <w:rFonts w:ascii="Cambria" w:hAnsi="Cambria"/>
          <w:b w:val="0"/>
          <w:i w:val="0"/>
          <w:sz w:val="22"/>
        </w:rPr>
        <w:t>Joint conferences, seminars, and training programs</w:t>
      </w:r>
    </w:p>
    <w:p>
      <w:pPr>
        <w:pStyle w:val="ListBullet2"/>
        <w:spacing w:line="276" w:lineRule="auto"/>
        <w:ind w:left="1020"/>
      </w:pPr>
      <w:r>
        <w:rPr>
          <w:rFonts w:ascii="Cambria" w:hAnsi="Cambria"/>
          <w:b w:val="0"/>
          <w:i w:val="0"/>
          <w:sz w:val="22"/>
        </w:rPr>
        <w:t>Curriculum co-design and experiential learning</w:t>
      </w:r>
    </w:p>
    <w:p>
      <w:pPr>
        <w:pStyle w:val="ListBullet2"/>
        <w:spacing w:line="276" w:lineRule="auto"/>
        <w:ind w:left="1020"/>
      </w:pPr>
      <w:r>
        <w:rPr>
          <w:rFonts w:ascii="Cambria" w:hAnsi="Cambria"/>
          <w:b w:val="0"/>
          <w:i w:val="0"/>
          <w:sz w:val="22"/>
        </w:rPr>
        <w:t>Technology transfer and commercialization</w:t>
      </w:r>
    </w:p>
    <w:p>
      <w:pPr>
        <w:pStyle w:val="ListBullet2"/>
        <w:spacing w:line="276" w:lineRule="auto"/>
        <w:ind w:left="1020"/>
      </w:pPr>
      <w:r>
        <w:rPr>
          <w:rFonts w:ascii="Cambria" w:hAnsi="Cambria"/>
          <w:b w:val="0"/>
          <w:i w:val="0"/>
          <w:sz w:val="22"/>
        </w:rPr>
        <w:t>Corporate Social Responsibility (CSR) initiatives</w:t>
      </w:r>
    </w:p>
    <w:p>
      <w:pPr>
        <w:keepNext/>
        <w:spacing w:before="200" w:after="120"/>
      </w:pPr>
      <w:r>
        <w:rPr>
          <w:rFonts w:ascii="Cambria" w:hAnsi="Cambria"/>
          <w:b/>
          <w:color w:val="1F3A5F"/>
          <w:sz w:val="24"/>
        </w:rPr>
        <w:t>III. Types of Collaborations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Type</w:t>
            </w:r>
          </w:p>
        </w:tc>
        <w:tc>
          <w:tcPr>
            <w:tcW w:type="dxa" w:w="3912"/>
            <w:shd w:val="clear" w:color="auto" w:fill="1F3A5F"/>
          </w:tcPr>
          <w:p>
            <w:pPr>
              <w:spacing w:after="40" w:before="40"/>
            </w:pPr>
            <w:r/>
            <w:r>
              <w:rPr>
                <w:rFonts w:ascii="Cambria" w:hAnsi="Cambria"/>
                <w:b/>
                <w:i w:val="0"/>
                <w:color w:val="FFFFFF"/>
                <w:sz w:val="22"/>
              </w:rPr>
              <w:t>Nature of Engagement</w:t>
            </w:r>
          </w:p>
        </w:tc>
        <w:tc>
          <w:tcPr>
            <w:tcW w:type="dxa" w:w="3458"/>
            <w:shd w:val="clear" w:color="auto" w:fill="1F3A5F"/>
          </w:tcPr>
          <w:p>
            <w:pPr>
              <w:spacing w:after="40" w:before="40"/>
            </w:pPr>
            <w:r/>
            <w:r>
              <w:rPr>
                <w:rFonts w:ascii="Cambria" w:hAnsi="Cambria"/>
                <w:b/>
                <w:i w:val="0"/>
                <w:color w:val="FFFFFF"/>
                <w:sz w:val="22"/>
              </w:rPr>
              <w:t>Examples</w:t>
            </w:r>
          </w:p>
        </w:tc>
      </w:tr>
      <w:tr>
        <w:tc>
          <w:tcPr>
            <w:tcW w:type="dxa" w:w="2041"/>
          </w:tcPr>
          <w:p>
            <w:pPr>
              <w:spacing w:after="40" w:before="40"/>
            </w:pPr>
            <w:r/>
            <w:r>
              <w:rPr>
                <w:rFonts w:ascii="Cambria" w:hAnsi="Cambria"/>
                <w:b w:val="0"/>
                <w:i w:val="0"/>
                <w:sz w:val="22"/>
              </w:rPr>
              <w:t>Academic Collaboration</w:t>
            </w:r>
          </w:p>
        </w:tc>
        <w:tc>
          <w:tcPr>
            <w:tcW w:type="dxa" w:w="3912"/>
          </w:tcPr>
          <w:p>
            <w:pPr>
              <w:spacing w:after="40" w:before="40"/>
            </w:pPr>
            <w:r/>
            <w:r>
              <w:rPr>
                <w:rFonts w:ascii="Cambria" w:hAnsi="Cambria"/>
                <w:b w:val="0"/>
                <w:i w:val="0"/>
                <w:sz w:val="22"/>
              </w:rPr>
              <w:t>Joint programs, dual degrees, faculty/student exchange</w:t>
            </w:r>
          </w:p>
        </w:tc>
        <w:tc>
          <w:tcPr>
            <w:tcW w:type="dxa" w:w="3458"/>
          </w:tcPr>
          <w:p>
            <w:pPr>
              <w:spacing w:after="40" w:before="40"/>
            </w:pPr>
            <w:r/>
            <w:r>
              <w:rPr>
                <w:rFonts w:ascii="Cambria" w:hAnsi="Cambria"/>
                <w:b w:val="0"/>
                <w:i w:val="0"/>
                <w:sz w:val="22"/>
              </w:rPr>
              <w:t>MoUs with universities, IITs, international partners</w:t>
            </w:r>
          </w:p>
        </w:tc>
      </w:tr>
      <w:tr>
        <w:tc>
          <w:tcPr>
            <w:tcW w:type="dxa" w:w="2041"/>
            <w:shd w:val="clear" w:color="auto" w:fill="F0F2F5"/>
          </w:tcPr>
          <w:p>
            <w:pPr>
              <w:spacing w:after="40" w:before="40"/>
            </w:pPr>
            <w:r/>
            <w:r>
              <w:rPr>
                <w:rFonts w:ascii="Cambria" w:hAnsi="Cambria"/>
                <w:b w:val="0"/>
                <w:i w:val="0"/>
                <w:sz w:val="22"/>
              </w:rPr>
              <w:t>Industrial Collaboration</w:t>
            </w:r>
          </w:p>
        </w:tc>
        <w:tc>
          <w:tcPr>
            <w:tcW w:type="dxa" w:w="3912"/>
            <w:shd w:val="clear" w:color="auto" w:fill="F0F2F5"/>
          </w:tcPr>
          <w:p>
            <w:pPr>
              <w:spacing w:after="40" w:before="40"/>
            </w:pPr>
            <w:r/>
            <w:r>
              <w:rPr>
                <w:rFonts w:ascii="Cambria" w:hAnsi="Cambria"/>
                <w:b w:val="0"/>
                <w:i w:val="0"/>
                <w:sz w:val="22"/>
              </w:rPr>
              <w:t>Research, testing, product design, internship facilitation</w:t>
            </w:r>
          </w:p>
        </w:tc>
        <w:tc>
          <w:tcPr>
            <w:tcW w:type="dxa" w:w="3458"/>
            <w:shd w:val="clear" w:color="auto" w:fill="F0F2F5"/>
          </w:tcPr>
          <w:p>
            <w:pPr>
              <w:spacing w:after="40" w:before="40"/>
            </w:pPr>
            <w:r/>
            <w:r>
              <w:rPr>
                <w:rFonts w:ascii="Cambria" w:hAnsi="Cambria"/>
                <w:b w:val="0"/>
                <w:i w:val="0"/>
                <w:sz w:val="22"/>
              </w:rPr>
              <w:t>MoUs with manufacturing, IT, healthcare, energy sectors</w:t>
            </w:r>
          </w:p>
        </w:tc>
      </w:tr>
      <w:tr>
        <w:tc>
          <w:tcPr>
            <w:tcW w:type="dxa" w:w="2041"/>
          </w:tcPr>
          <w:p>
            <w:pPr>
              <w:spacing w:after="40" w:before="40"/>
            </w:pPr>
            <w:r/>
            <w:r>
              <w:rPr>
                <w:rFonts w:ascii="Cambria" w:hAnsi="Cambria"/>
                <w:b w:val="0"/>
                <w:i w:val="0"/>
                <w:sz w:val="22"/>
              </w:rPr>
              <w:t>Research Collaboration</w:t>
            </w:r>
          </w:p>
        </w:tc>
        <w:tc>
          <w:tcPr>
            <w:tcW w:type="dxa" w:w="3912"/>
          </w:tcPr>
          <w:p>
            <w:pPr>
              <w:spacing w:after="40" w:before="40"/>
            </w:pPr>
            <w:r/>
            <w:r>
              <w:rPr>
                <w:rFonts w:ascii="Cambria" w:hAnsi="Cambria"/>
                <w:b w:val="0"/>
                <w:i w:val="0"/>
                <w:sz w:val="22"/>
              </w:rPr>
              <w:t>Sponsored projects, innovation challenges, patents</w:t>
            </w:r>
          </w:p>
        </w:tc>
        <w:tc>
          <w:tcPr>
            <w:tcW w:type="dxa" w:w="3458"/>
          </w:tcPr>
          <w:p>
            <w:pPr>
              <w:spacing w:after="40" w:before="40"/>
            </w:pPr>
            <w:r/>
            <w:r>
              <w:rPr>
                <w:rFonts w:ascii="Cambria" w:hAnsi="Cambria"/>
                <w:b w:val="0"/>
                <w:i w:val="0"/>
                <w:sz w:val="22"/>
              </w:rPr>
              <w:t>DST, DBT, DRDO, MSME, AICTE-funded projects</w:t>
            </w:r>
          </w:p>
        </w:tc>
      </w:tr>
      <w:tr>
        <w:tc>
          <w:tcPr>
            <w:tcW w:type="dxa" w:w="2041"/>
            <w:shd w:val="clear" w:color="auto" w:fill="F0F2F5"/>
          </w:tcPr>
          <w:p>
            <w:pPr>
              <w:spacing w:after="40" w:before="40"/>
            </w:pPr>
            <w:r/>
            <w:r>
              <w:rPr>
                <w:rFonts w:ascii="Cambria" w:hAnsi="Cambria"/>
                <w:b w:val="0"/>
                <w:i w:val="0"/>
                <w:sz w:val="22"/>
              </w:rPr>
              <w:t>Training and Skill Development</w:t>
            </w:r>
          </w:p>
        </w:tc>
        <w:tc>
          <w:tcPr>
            <w:tcW w:type="dxa" w:w="3912"/>
            <w:shd w:val="clear" w:color="auto" w:fill="F0F2F5"/>
          </w:tcPr>
          <w:p>
            <w:pPr>
              <w:spacing w:after="40" w:before="40"/>
            </w:pPr>
            <w:r/>
            <w:r>
              <w:rPr>
                <w:rFonts w:ascii="Cambria" w:hAnsi="Cambria"/>
                <w:b w:val="0"/>
                <w:i w:val="0"/>
                <w:sz w:val="22"/>
              </w:rPr>
              <w:t>Industry-designed certification programs, internships</w:t>
            </w:r>
          </w:p>
        </w:tc>
        <w:tc>
          <w:tcPr>
            <w:tcW w:type="dxa" w:w="3458"/>
            <w:shd w:val="clear" w:color="auto" w:fill="F0F2F5"/>
          </w:tcPr>
          <w:p>
            <w:pPr>
              <w:spacing w:after="40" w:before="40"/>
            </w:pPr>
            <w:r/>
            <w:r>
              <w:rPr>
                <w:rFonts w:ascii="Cambria" w:hAnsi="Cambria"/>
                <w:b w:val="0"/>
                <w:i w:val="0"/>
                <w:sz w:val="22"/>
              </w:rPr>
              <w:t>NSDC, Sector Skill Councils, corporate academies</w:t>
            </w:r>
          </w:p>
        </w:tc>
      </w:tr>
      <w:tr>
        <w:tc>
          <w:tcPr>
            <w:tcW w:type="dxa" w:w="2041"/>
          </w:tcPr>
          <w:p>
            <w:pPr>
              <w:spacing w:after="40" w:before="40"/>
            </w:pPr>
            <w:r/>
            <w:r>
              <w:rPr>
                <w:rFonts w:ascii="Cambria" w:hAnsi="Cambria"/>
                <w:b w:val="0"/>
                <w:i w:val="0"/>
                <w:sz w:val="22"/>
              </w:rPr>
              <w:t>CSR &amp; Social Innovation</w:t>
            </w:r>
          </w:p>
        </w:tc>
        <w:tc>
          <w:tcPr>
            <w:tcW w:type="dxa" w:w="3912"/>
          </w:tcPr>
          <w:p>
            <w:pPr>
              <w:spacing w:after="40" w:before="40"/>
            </w:pPr>
            <w:r/>
            <w:r>
              <w:rPr>
                <w:rFonts w:ascii="Cambria" w:hAnsi="Cambria"/>
                <w:b w:val="0"/>
                <w:i w:val="0"/>
                <w:sz w:val="22"/>
              </w:rPr>
              <w:t>Community-based development and sustainability projects</w:t>
            </w:r>
          </w:p>
        </w:tc>
        <w:tc>
          <w:tcPr>
            <w:tcW w:type="dxa" w:w="3458"/>
          </w:tcPr>
          <w:p>
            <w:pPr>
              <w:spacing w:after="40" w:before="40"/>
            </w:pPr>
            <w:r/>
            <w:r>
              <w:rPr>
                <w:rFonts w:ascii="Cambria" w:hAnsi="Cambria"/>
                <w:b w:val="0"/>
                <w:i w:val="0"/>
                <w:sz w:val="22"/>
              </w:rPr>
              <w:t>CSR-funded village adoption, green campus initiatives</w:t>
            </w:r>
          </w:p>
        </w:tc>
      </w:tr>
      <w:tr>
        <w:tc>
          <w:tcPr>
            <w:tcW w:type="dxa" w:w="2041"/>
            <w:shd w:val="clear" w:color="auto" w:fill="F0F2F5"/>
          </w:tcPr>
          <w:p>
            <w:pPr>
              <w:spacing w:after="40" w:before="40"/>
            </w:pPr>
            <w:r/>
            <w:r>
              <w:rPr>
                <w:rFonts w:ascii="Cambria" w:hAnsi="Cambria"/>
                <w:b w:val="0"/>
                <w:i w:val="0"/>
                <w:sz w:val="22"/>
              </w:rPr>
              <w:t>Start-up and Incubation Linkages</w:t>
            </w:r>
          </w:p>
        </w:tc>
        <w:tc>
          <w:tcPr>
            <w:tcW w:type="dxa" w:w="3912"/>
            <w:shd w:val="clear" w:color="auto" w:fill="F0F2F5"/>
          </w:tcPr>
          <w:p>
            <w:pPr>
              <w:spacing w:after="40" w:before="40"/>
            </w:pPr>
            <w:r/>
            <w:r>
              <w:rPr>
                <w:rFonts w:ascii="Cambria" w:hAnsi="Cambria"/>
                <w:b w:val="0"/>
                <w:i w:val="0"/>
                <w:sz w:val="22"/>
              </w:rPr>
              <w:t>Industry mentoring, seed investment, product trials</w:t>
            </w:r>
          </w:p>
        </w:tc>
        <w:tc>
          <w:tcPr>
            <w:tcW w:type="dxa" w:w="3458"/>
            <w:shd w:val="clear" w:color="auto" w:fill="F0F2F5"/>
          </w:tcPr>
          <w:p>
            <w:pPr>
              <w:spacing w:after="40" w:before="40"/>
            </w:pPr>
            <w:r/>
            <w:r>
              <w:rPr>
                <w:rFonts w:ascii="Cambria" w:hAnsi="Cambria"/>
                <w:b w:val="0"/>
                <w:i w:val="0"/>
                <w:sz w:val="22"/>
              </w:rPr>
              <w:t>Startup India, incubator networks, accelerators</w:t>
            </w:r>
          </w:p>
        </w:tc>
      </w:tr>
    </w:tbl>
    <w:p>
      <w:pPr>
        <w:spacing w:after="40"/>
      </w:pPr>
    </w:p>
    <w:p>
      <w:pPr>
        <w:keepNext/>
        <w:spacing w:before="200" w:after="120"/>
      </w:pPr>
      <w:r>
        <w:rPr>
          <w:rFonts w:ascii="Cambria" w:hAnsi="Cambria"/>
          <w:b/>
          <w:color w:val="1F3A5F"/>
          <w:sz w:val="24"/>
        </w:rPr>
        <w:t>IV. MoU Initiation and Approval Process</w:t>
      </w:r>
    </w:p>
    <w:p>
      <w:pPr>
        <w:keepNext/>
        <w:spacing w:before="200" w:after="120"/>
      </w:pPr>
      <w:r>
        <w:rPr>
          <w:rFonts w:ascii="Cambria" w:hAnsi="Cambria"/>
          <w:b/>
          <w:color w:val="1F3A5F"/>
          <w:sz w:val="24"/>
        </w:rPr>
        <w:t>1. Proposal Preparation</w:t>
      </w:r>
    </w:p>
    <w:p>
      <w:pPr>
        <w:pStyle w:val="ListBullet"/>
        <w:spacing w:line="276" w:lineRule="auto"/>
        <w:ind w:left="510"/>
      </w:pPr>
      <w:r>
        <w:rPr>
          <w:rFonts w:ascii="Cambria" w:hAnsi="Cambria"/>
          <w:b w:val="0"/>
          <w:i w:val="0"/>
          <w:sz w:val="22"/>
        </w:rPr>
        <w:t>The concerned Department / Centre shall prepare a MoU Proposal Document outlining:</w:t>
      </w:r>
    </w:p>
    <w:p>
      <w:pPr>
        <w:pStyle w:val="ListBullet2"/>
        <w:spacing w:line="276" w:lineRule="auto"/>
        <w:ind w:left="1020"/>
      </w:pPr>
      <w:r>
        <w:rPr>
          <w:rFonts w:ascii="Cambria" w:hAnsi="Cambria"/>
          <w:b w:val="0"/>
          <w:i w:val="0"/>
          <w:sz w:val="22"/>
        </w:rPr>
        <w:t>Objectives and expected outcomes.</w:t>
      </w:r>
    </w:p>
    <w:p>
      <w:pPr>
        <w:pStyle w:val="ListBullet2"/>
        <w:spacing w:line="276" w:lineRule="auto"/>
        <w:ind w:left="1020"/>
      </w:pPr>
      <w:r>
        <w:rPr>
          <w:rFonts w:ascii="Cambria" w:hAnsi="Cambria"/>
          <w:b w:val="0"/>
          <w:i w:val="0"/>
          <w:sz w:val="22"/>
        </w:rPr>
        <w:t>Nature of collaboration (academic, research, industrial, or CSR).</w:t>
      </w:r>
    </w:p>
    <w:p>
      <w:pPr>
        <w:pStyle w:val="ListBullet2"/>
        <w:spacing w:line="276" w:lineRule="auto"/>
        <w:ind w:left="1020"/>
      </w:pPr>
      <w:r>
        <w:rPr>
          <w:rFonts w:ascii="Cambria" w:hAnsi="Cambria"/>
          <w:b w:val="0"/>
          <w:i w:val="0"/>
          <w:sz w:val="22"/>
        </w:rPr>
        <w:t>Duration and responsibilities of each party.</w:t>
      </w:r>
    </w:p>
    <w:p>
      <w:pPr>
        <w:pStyle w:val="ListBullet2"/>
        <w:spacing w:line="276" w:lineRule="auto"/>
        <w:ind w:left="1020"/>
      </w:pPr>
      <w:r>
        <w:rPr>
          <w:rFonts w:ascii="Cambria" w:hAnsi="Cambria"/>
          <w:b w:val="0"/>
          <w:i w:val="0"/>
          <w:sz w:val="22"/>
        </w:rPr>
        <w:t>Financial, legal, and IP terms (if applicable).</w:t>
      </w:r>
    </w:p>
    <w:p>
      <w:pPr>
        <w:keepNext/>
        <w:spacing w:before="200" w:after="120"/>
      </w:pPr>
      <w:r>
        <w:rPr>
          <w:rFonts w:ascii="Cambria" w:hAnsi="Cambria"/>
          <w:b/>
          <w:color w:val="1F3A5F"/>
          <w:sz w:val="24"/>
        </w:rPr>
        <w:t>2. Internal Evaluation</w:t>
      </w:r>
    </w:p>
    <w:p>
      <w:pPr>
        <w:pStyle w:val="ListBullet"/>
        <w:spacing w:line="276" w:lineRule="auto"/>
        <w:ind w:left="510"/>
      </w:pPr>
      <w:r>
        <w:rPr>
          <w:rFonts w:ascii="Cambria" w:hAnsi="Cambria"/>
          <w:b w:val="0"/>
          <w:i w:val="0"/>
          <w:sz w:val="22"/>
        </w:rPr>
        <w:t>The proposal is vetted by the Industry Collaboration and Partnership Cell (ICPC) in consultation with:</w:t>
      </w:r>
    </w:p>
    <w:p>
      <w:pPr>
        <w:pStyle w:val="ListBullet2"/>
        <w:spacing w:line="276" w:lineRule="auto"/>
        <w:ind w:left="1020"/>
      </w:pPr>
      <w:r>
        <w:rPr>
          <w:rFonts w:ascii="Cambria" w:hAnsi="Cambria"/>
          <w:b w:val="0"/>
          <w:i w:val="0"/>
          <w:sz w:val="22"/>
        </w:rPr>
        <w:t>Dean (Research / Academics)</w:t>
      </w:r>
    </w:p>
    <w:p>
      <w:pPr>
        <w:pStyle w:val="ListBullet2"/>
        <w:spacing w:line="276" w:lineRule="auto"/>
        <w:ind w:left="1020"/>
      </w:pPr>
      <w:r>
        <w:rPr>
          <w:rFonts w:ascii="Cambria" w:hAnsi="Cambria"/>
          <w:b w:val="0"/>
          <w:i w:val="0"/>
          <w:sz w:val="22"/>
        </w:rPr>
        <w:t>Registrar / Legal Officer</w:t>
      </w:r>
    </w:p>
    <w:p>
      <w:pPr>
        <w:pStyle w:val="ListBullet2"/>
        <w:spacing w:line="276" w:lineRule="auto"/>
        <w:ind w:left="1020"/>
      </w:pPr>
      <w:r>
        <w:rPr>
          <w:rFonts w:ascii="Cambria" w:hAnsi="Cambria"/>
          <w:b w:val="0"/>
          <w:i w:val="0"/>
          <w:sz w:val="22"/>
        </w:rPr>
        <w:t>Finance Officer (for cost implications).</w:t>
      </w:r>
    </w:p>
    <w:p>
      <w:pPr>
        <w:keepNext/>
        <w:spacing w:before="200" w:after="120"/>
      </w:pPr>
      <w:r>
        <w:rPr>
          <w:rFonts w:ascii="Cambria" w:hAnsi="Cambria"/>
          <w:b/>
          <w:color w:val="1F3A5F"/>
          <w:sz w:val="24"/>
        </w:rPr>
        <w:t>3. Approval Authority</w:t>
      </w:r>
    </w:p>
    <w:tbl>
      <w:tblPr>
        <w:tblStyle w:val="TableGrid"/>
        <w:tblW w:type="auto" w:w="0"/>
        <w:jc w:val="center"/>
        <w:tblLook w:firstColumn="1" w:firstRow="1" w:lastColumn="0" w:lastRow="0" w:noHBand="0" w:noVBand="1" w:val="04A0"/>
        <w:tblLayout w:type="fixed"/>
      </w:tblPr>
      <w:tblGrid>
        <w:gridCol w:w="4706"/>
        <w:gridCol w:w="4706"/>
      </w:tblGrid>
      <w:tr>
        <w:tc>
          <w:tcPr>
            <w:tcW w:type="dxa" w:w="4649"/>
            <w:shd w:val="clear" w:color="auto" w:fill="1F3A5F"/>
          </w:tcPr>
          <w:p>
            <w:pPr>
              <w:spacing w:after="40" w:before="40"/>
            </w:pPr>
            <w:r/>
            <w:r>
              <w:rPr>
                <w:rFonts w:ascii="Cambria" w:hAnsi="Cambria"/>
                <w:b/>
                <w:i w:val="0"/>
                <w:color w:val="FFFFFF"/>
                <w:sz w:val="22"/>
              </w:rPr>
              <w:t>Type of MoU</w:t>
            </w:r>
          </w:p>
        </w:tc>
        <w:tc>
          <w:tcPr>
            <w:tcW w:type="dxa" w:w="4762"/>
            <w:shd w:val="clear" w:color="auto" w:fill="1F3A5F"/>
          </w:tcPr>
          <w:p>
            <w:pPr>
              <w:spacing w:after="40" w:before="40"/>
            </w:pPr>
            <w:r/>
            <w:r>
              <w:rPr>
                <w:rFonts w:ascii="Cambria" w:hAnsi="Cambria"/>
                <w:b/>
                <w:i w:val="0"/>
                <w:color w:val="FFFFFF"/>
                <w:sz w:val="22"/>
              </w:rPr>
              <w:t>Approving Authority</w:t>
            </w:r>
          </w:p>
        </w:tc>
      </w:tr>
      <w:tr>
        <w:tc>
          <w:tcPr>
            <w:tcW w:type="dxa" w:w="4649"/>
          </w:tcPr>
          <w:p>
            <w:pPr>
              <w:spacing w:after="40" w:before="40"/>
            </w:pPr>
            <w:r/>
            <w:r>
              <w:rPr>
                <w:rFonts w:ascii="Cambria" w:hAnsi="Cambria"/>
                <w:b w:val="0"/>
                <w:i w:val="0"/>
                <w:sz w:val="22"/>
              </w:rPr>
              <w:t>Within India</w:t>
            </w:r>
          </w:p>
        </w:tc>
        <w:tc>
          <w:tcPr>
            <w:tcW w:type="dxa" w:w="4762"/>
          </w:tcPr>
          <w:p>
            <w:pPr>
              <w:spacing w:after="40" w:before="40"/>
            </w:pPr>
            <w:r/>
            <w:r>
              <w:rPr>
                <w:rFonts w:ascii="Cambria" w:hAnsi="Cambria"/>
                <w:b w:val="0"/>
                <w:i w:val="0"/>
                <w:sz w:val="22"/>
              </w:rPr>
              <w:t>Vice-Chancellor / Registrar</w:t>
            </w:r>
          </w:p>
        </w:tc>
      </w:tr>
      <w:tr>
        <w:tc>
          <w:tcPr>
            <w:tcW w:type="dxa" w:w="4649"/>
            <w:shd w:val="clear" w:color="auto" w:fill="F0F2F5"/>
          </w:tcPr>
          <w:p>
            <w:pPr>
              <w:spacing w:after="40" w:before="40"/>
            </w:pPr>
            <w:r/>
            <w:r>
              <w:rPr>
                <w:rFonts w:ascii="Cambria" w:hAnsi="Cambria"/>
                <w:b w:val="0"/>
                <w:i w:val="0"/>
                <w:sz w:val="22"/>
              </w:rPr>
              <w:t>International MoUs</w:t>
            </w:r>
          </w:p>
        </w:tc>
        <w:tc>
          <w:tcPr>
            <w:tcW w:type="dxa" w:w="4762"/>
            <w:shd w:val="clear" w:color="auto" w:fill="F0F2F5"/>
          </w:tcPr>
          <w:p>
            <w:pPr>
              <w:spacing w:after="40" w:before="40"/>
            </w:pPr>
            <w:r/>
            <w:r>
              <w:rPr>
                <w:rFonts w:ascii="Cambria" w:hAnsi="Cambria"/>
                <w:b w:val="0"/>
                <w:i w:val="0"/>
                <w:sz w:val="22"/>
              </w:rPr>
              <w:t>Board of Management (BoM) approval</w:t>
            </w:r>
          </w:p>
        </w:tc>
      </w:tr>
      <w:tr>
        <w:tc>
          <w:tcPr>
            <w:tcW w:type="dxa" w:w="4649"/>
          </w:tcPr>
          <w:p>
            <w:pPr>
              <w:spacing w:after="40" w:before="40"/>
            </w:pPr>
            <w:r/>
            <w:r>
              <w:rPr>
                <w:rFonts w:ascii="Cambria" w:hAnsi="Cambria"/>
                <w:b w:val="0"/>
                <w:i w:val="0"/>
                <w:sz w:val="22"/>
              </w:rPr>
              <w:t>Funded / Revenue-linked MoUs</w:t>
            </w:r>
          </w:p>
        </w:tc>
        <w:tc>
          <w:tcPr>
            <w:tcW w:type="dxa" w:w="4762"/>
          </w:tcPr>
          <w:p>
            <w:pPr>
              <w:spacing w:after="40" w:before="40"/>
            </w:pPr>
            <w:r/>
            <w:r>
              <w:rPr>
                <w:rFonts w:ascii="Cambria" w:hAnsi="Cambria"/>
                <w:b w:val="0"/>
                <w:i w:val="0"/>
                <w:sz w:val="22"/>
              </w:rPr>
              <w:t>BoM + Finance Committee approval</w:t>
            </w:r>
          </w:p>
        </w:tc>
      </w:tr>
      <w:tr>
        <w:tc>
          <w:tcPr>
            <w:tcW w:type="dxa" w:w="4649"/>
            <w:shd w:val="clear" w:color="auto" w:fill="F0F2F5"/>
          </w:tcPr>
          <w:p>
            <w:pPr>
              <w:spacing w:after="40" w:before="40"/>
            </w:pPr>
            <w:r/>
            <w:r>
              <w:rPr>
                <w:rFonts w:ascii="Cambria" w:hAnsi="Cambria"/>
                <w:b w:val="0"/>
                <w:i w:val="0"/>
                <w:sz w:val="22"/>
              </w:rPr>
              <w:t>Departmental MoUs (Non-financial)</w:t>
            </w:r>
          </w:p>
        </w:tc>
        <w:tc>
          <w:tcPr>
            <w:tcW w:type="dxa" w:w="4762"/>
            <w:shd w:val="clear" w:color="auto" w:fill="F0F2F5"/>
          </w:tcPr>
          <w:p>
            <w:pPr>
              <w:spacing w:after="40" w:before="40"/>
            </w:pPr>
            <w:r/>
            <w:r>
              <w:rPr>
                <w:rFonts w:ascii="Cambria" w:hAnsi="Cambria"/>
                <w:b w:val="0"/>
                <w:i w:val="0"/>
                <w:sz w:val="22"/>
              </w:rPr>
              <w:t>Registrar / Dean (Academics)</w:t>
            </w:r>
          </w:p>
        </w:tc>
      </w:tr>
    </w:tbl>
    <w:p>
      <w:pPr>
        <w:spacing w:after="40"/>
      </w:pPr>
    </w:p>
    <w:p>
      <w:pPr>
        <w:keepNext/>
        <w:spacing w:before="200" w:after="120"/>
      </w:pPr>
      <w:r>
        <w:rPr>
          <w:rFonts w:ascii="Cambria" w:hAnsi="Cambria"/>
          <w:b/>
          <w:color w:val="1F3A5F"/>
          <w:sz w:val="24"/>
        </w:rPr>
        <w:t>4. Execution</w:t>
      </w:r>
    </w:p>
    <w:p>
      <w:pPr>
        <w:pStyle w:val="ListBullet"/>
        <w:spacing w:line="276" w:lineRule="auto"/>
        <w:ind w:left="510"/>
      </w:pPr>
      <w:r>
        <w:rPr>
          <w:rFonts w:ascii="Cambria" w:hAnsi="Cambria"/>
          <w:b w:val="0"/>
          <w:i w:val="0"/>
          <w:sz w:val="22"/>
        </w:rPr>
        <w:t>MoU to be signed by the Vice-Chancellor / Authorized Signatory and counterpart representative.</w:t>
      </w:r>
    </w:p>
    <w:p>
      <w:pPr>
        <w:pStyle w:val="ListBullet"/>
        <w:spacing w:line="276" w:lineRule="auto"/>
        <w:ind w:left="510"/>
      </w:pPr>
      <w:r>
        <w:rPr>
          <w:rFonts w:ascii="Cambria" w:hAnsi="Cambria"/>
          <w:b w:val="0"/>
          <w:i w:val="0"/>
          <w:sz w:val="22"/>
        </w:rPr>
        <w:t>A unique MoU number and digital record shall be maintained in the University MoU Register.</w:t>
      </w:r>
    </w:p>
    <w:p>
      <w:r>
        <w:br w:type="page"/>
      </w:r>
    </w:p>
    <w:p>
      <w:pPr>
        <w:keepNext/>
        <w:spacing w:before="200" w:after="120"/>
      </w:pPr>
      <w:r>
        <w:rPr>
          <w:rFonts w:ascii="Cambria" w:hAnsi="Cambria"/>
          <w:b/>
          <w:color w:val="1F3A5F"/>
          <w:sz w:val="24"/>
        </w:rPr>
        <w:t>V. Duration, Renewal, and Termination</w:t>
      </w:r>
    </w:p>
    <w:p>
      <w:pPr>
        <w:pStyle w:val="ListBullet"/>
        <w:spacing w:line="276" w:lineRule="auto"/>
        <w:ind w:left="510"/>
      </w:pPr>
      <w:r>
        <w:rPr>
          <w:rFonts w:ascii="Cambria" w:hAnsi="Cambria"/>
          <w:b w:val="0"/>
          <w:i w:val="0"/>
          <w:sz w:val="22"/>
        </w:rPr>
        <w:t>Validity: Normally 3 to 5 years, depending on the scope of collaboration.</w:t>
      </w:r>
    </w:p>
    <w:p>
      <w:pPr>
        <w:pStyle w:val="ListBullet"/>
        <w:spacing w:line="276" w:lineRule="auto"/>
        <w:ind w:left="510"/>
      </w:pPr>
      <w:r>
        <w:rPr>
          <w:rFonts w:ascii="Cambria" w:hAnsi="Cambria"/>
          <w:b w:val="0"/>
          <w:i w:val="0"/>
          <w:sz w:val="22"/>
        </w:rPr>
        <w:t>Renewal: Based on mutual consent and performance review conducted by ICPC.</w:t>
      </w:r>
    </w:p>
    <w:p>
      <w:pPr>
        <w:pStyle w:val="ListBullet"/>
        <w:spacing w:line="276" w:lineRule="auto"/>
        <w:ind w:left="510"/>
      </w:pPr>
      <w:r>
        <w:rPr>
          <w:rFonts w:ascii="Cambria" w:hAnsi="Cambria"/>
          <w:b w:val="0"/>
          <w:i w:val="0"/>
          <w:sz w:val="22"/>
        </w:rPr>
        <w:t>Termination:</w:t>
      </w:r>
    </w:p>
    <w:p>
      <w:pPr>
        <w:pStyle w:val="ListBullet2"/>
        <w:spacing w:line="276" w:lineRule="auto"/>
        <w:ind w:left="1020"/>
      </w:pPr>
      <w:r>
        <w:rPr>
          <w:rFonts w:ascii="Cambria" w:hAnsi="Cambria"/>
          <w:b w:val="0"/>
          <w:i w:val="0"/>
          <w:sz w:val="22"/>
        </w:rPr>
        <w:t>Either party may terminate with three months' written notice.</w:t>
      </w:r>
    </w:p>
    <w:p>
      <w:pPr>
        <w:pStyle w:val="ListBullet2"/>
        <w:spacing w:line="276" w:lineRule="auto"/>
        <w:ind w:left="1020"/>
      </w:pPr>
      <w:r>
        <w:rPr>
          <w:rFonts w:ascii="Cambria" w:hAnsi="Cambria"/>
          <w:b w:val="0"/>
          <w:i w:val="0"/>
          <w:sz w:val="22"/>
        </w:rPr>
        <w:t>Immediate termination if activities violate institutional ethics, financial norms, or national laws.</w:t>
      </w:r>
    </w:p>
    <w:p>
      <w:pPr>
        <w:keepNext/>
        <w:spacing w:before="200" w:after="120"/>
      </w:pPr>
      <w:r>
        <w:rPr>
          <w:rFonts w:ascii="Cambria" w:hAnsi="Cambria"/>
          <w:b/>
          <w:color w:val="1F3A5F"/>
          <w:sz w:val="24"/>
        </w:rPr>
        <w:t>VI. Roles and Responsibilities</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Stakeholder</w:t>
            </w:r>
          </w:p>
        </w:tc>
        <w:tc>
          <w:tcPr>
            <w:tcW w:type="dxa" w:w="6237"/>
            <w:shd w:val="clear" w:color="auto" w:fill="1F3A5F"/>
          </w:tcPr>
          <w:p>
            <w:pPr>
              <w:spacing w:after="40" w:before="40"/>
            </w:pPr>
            <w:r/>
            <w:r>
              <w:rPr>
                <w:rFonts w:ascii="Cambria" w:hAnsi="Cambria"/>
                <w:b/>
                <w:i w:val="0"/>
                <w:color w:val="FFFFFF"/>
                <w:sz w:val="22"/>
              </w:rPr>
              <w:t>Key Responsibilities</w:t>
            </w:r>
          </w:p>
        </w:tc>
      </w:tr>
      <w:tr>
        <w:tc>
          <w:tcPr>
            <w:tcW w:type="dxa" w:w="3175"/>
          </w:tcPr>
          <w:p>
            <w:pPr>
              <w:spacing w:after="40" w:before="40"/>
            </w:pPr>
            <w:r/>
            <w:r>
              <w:rPr>
                <w:rFonts w:ascii="Cambria" w:hAnsi="Cambria"/>
                <w:b w:val="0"/>
                <w:i w:val="0"/>
                <w:sz w:val="22"/>
              </w:rPr>
              <w:t>Industry Collaboration and Partnership Cell (ICPC)</w:t>
            </w:r>
          </w:p>
        </w:tc>
        <w:tc>
          <w:tcPr>
            <w:tcW w:type="dxa" w:w="6237"/>
          </w:tcPr>
          <w:p>
            <w:pPr>
              <w:spacing w:after="40" w:before="40"/>
            </w:pPr>
            <w:r/>
            <w:r>
              <w:rPr>
                <w:rFonts w:ascii="Cambria" w:hAnsi="Cambria"/>
                <w:b w:val="0"/>
                <w:i w:val="0"/>
                <w:sz w:val="22"/>
              </w:rPr>
              <w:t>Coordinate proposals, maintain MoU records, ensure compliance and follow-up.</w:t>
            </w:r>
          </w:p>
        </w:tc>
      </w:tr>
      <w:tr>
        <w:tc>
          <w:tcPr>
            <w:tcW w:type="dxa" w:w="3175"/>
            <w:shd w:val="clear" w:color="auto" w:fill="F0F2F5"/>
          </w:tcPr>
          <w:p>
            <w:pPr>
              <w:spacing w:after="40" w:before="40"/>
            </w:pPr>
            <w:r/>
            <w:r>
              <w:rPr>
                <w:rFonts w:ascii="Cambria" w:hAnsi="Cambria"/>
                <w:b w:val="0"/>
                <w:i w:val="0"/>
                <w:sz w:val="22"/>
              </w:rPr>
              <w:t>Registrar / Legal Officer</w:t>
            </w:r>
          </w:p>
        </w:tc>
        <w:tc>
          <w:tcPr>
            <w:tcW w:type="dxa" w:w="6237"/>
            <w:shd w:val="clear" w:color="auto" w:fill="F0F2F5"/>
          </w:tcPr>
          <w:p>
            <w:pPr>
              <w:spacing w:after="40" w:before="40"/>
            </w:pPr>
            <w:r/>
            <w:r>
              <w:rPr>
                <w:rFonts w:ascii="Cambria" w:hAnsi="Cambria"/>
                <w:b w:val="0"/>
                <w:i w:val="0"/>
                <w:sz w:val="22"/>
              </w:rPr>
              <w:t>Vet all agreements for legal soundness and institutional interest.</w:t>
            </w:r>
          </w:p>
        </w:tc>
      </w:tr>
      <w:tr>
        <w:tc>
          <w:tcPr>
            <w:tcW w:type="dxa" w:w="3175"/>
          </w:tcPr>
          <w:p>
            <w:pPr>
              <w:spacing w:after="40" w:before="40"/>
            </w:pPr>
            <w:r/>
            <w:r>
              <w:rPr>
                <w:rFonts w:ascii="Cambria" w:hAnsi="Cambria"/>
                <w:b w:val="0"/>
                <w:i w:val="0"/>
                <w:sz w:val="22"/>
              </w:rPr>
              <w:t>Dean (Research / Academics)</w:t>
            </w:r>
          </w:p>
        </w:tc>
        <w:tc>
          <w:tcPr>
            <w:tcW w:type="dxa" w:w="6237"/>
          </w:tcPr>
          <w:p>
            <w:pPr>
              <w:spacing w:after="40" w:before="40"/>
            </w:pPr>
            <w:r/>
            <w:r>
              <w:rPr>
                <w:rFonts w:ascii="Cambria" w:hAnsi="Cambria"/>
                <w:b w:val="0"/>
                <w:i w:val="0"/>
                <w:sz w:val="22"/>
              </w:rPr>
              <w:t>Facilitate academic and research collaborations, and monitor deliverables.</w:t>
            </w:r>
          </w:p>
        </w:tc>
      </w:tr>
      <w:tr>
        <w:tc>
          <w:tcPr>
            <w:tcW w:type="dxa" w:w="3175"/>
            <w:shd w:val="clear" w:color="auto" w:fill="F0F2F5"/>
          </w:tcPr>
          <w:p>
            <w:pPr>
              <w:spacing w:after="40" w:before="40"/>
            </w:pPr>
            <w:r/>
            <w:r>
              <w:rPr>
                <w:rFonts w:ascii="Cambria" w:hAnsi="Cambria"/>
                <w:b w:val="0"/>
                <w:i w:val="0"/>
                <w:sz w:val="22"/>
              </w:rPr>
              <w:t>Finance Officer</w:t>
            </w:r>
          </w:p>
        </w:tc>
        <w:tc>
          <w:tcPr>
            <w:tcW w:type="dxa" w:w="6237"/>
            <w:shd w:val="clear" w:color="auto" w:fill="F0F2F5"/>
          </w:tcPr>
          <w:p>
            <w:pPr>
              <w:spacing w:after="40" w:before="40"/>
            </w:pPr>
            <w:r/>
            <w:r>
              <w:rPr>
                <w:rFonts w:ascii="Cambria" w:hAnsi="Cambria"/>
                <w:b w:val="0"/>
                <w:i w:val="0"/>
                <w:sz w:val="22"/>
              </w:rPr>
              <w:t>Ensure financial propriety and revenue sharing under funded MoUs.</w:t>
            </w:r>
          </w:p>
        </w:tc>
      </w:tr>
      <w:tr>
        <w:tc>
          <w:tcPr>
            <w:tcW w:type="dxa" w:w="3175"/>
          </w:tcPr>
          <w:p>
            <w:pPr>
              <w:spacing w:after="40" w:before="40"/>
            </w:pPr>
            <w:r/>
            <w:r>
              <w:rPr>
                <w:rFonts w:ascii="Cambria" w:hAnsi="Cambria"/>
                <w:b w:val="0"/>
                <w:i w:val="0"/>
                <w:sz w:val="22"/>
              </w:rPr>
              <w:t>Department HoD / Faculty Coordinator</w:t>
            </w:r>
          </w:p>
        </w:tc>
        <w:tc>
          <w:tcPr>
            <w:tcW w:type="dxa" w:w="6237"/>
          </w:tcPr>
          <w:p>
            <w:pPr>
              <w:spacing w:after="40" w:before="40"/>
            </w:pPr>
            <w:r/>
            <w:r>
              <w:rPr>
                <w:rFonts w:ascii="Cambria" w:hAnsi="Cambria"/>
                <w:b w:val="0"/>
                <w:i w:val="0"/>
                <w:sz w:val="22"/>
              </w:rPr>
              <w:t>Implement MoU activities, report outcomes, and maintain communication with partner organization.</w:t>
            </w:r>
          </w:p>
        </w:tc>
      </w:tr>
      <w:tr>
        <w:tc>
          <w:tcPr>
            <w:tcW w:type="dxa" w:w="3175"/>
            <w:shd w:val="clear" w:color="auto" w:fill="F0F2F5"/>
          </w:tcPr>
          <w:p>
            <w:pPr>
              <w:spacing w:after="40" w:before="40"/>
            </w:pPr>
            <w:r/>
            <w:r>
              <w:rPr>
                <w:rFonts w:ascii="Cambria" w:hAnsi="Cambria"/>
                <w:b w:val="0"/>
                <w:i w:val="0"/>
                <w:sz w:val="22"/>
              </w:rPr>
              <w:t>IQAC / R&amp;D Cell</w:t>
            </w:r>
          </w:p>
        </w:tc>
        <w:tc>
          <w:tcPr>
            <w:tcW w:type="dxa" w:w="6237"/>
            <w:shd w:val="clear" w:color="auto" w:fill="F0F2F5"/>
          </w:tcPr>
          <w:p>
            <w:pPr>
              <w:spacing w:after="40" w:before="40"/>
            </w:pPr>
            <w:r/>
            <w:r>
              <w:rPr>
                <w:rFonts w:ascii="Cambria" w:hAnsi="Cambria"/>
                <w:b w:val="0"/>
                <w:i w:val="0"/>
                <w:sz w:val="22"/>
              </w:rPr>
              <w:t>Document outcomes for NAAC, NBA, and NIRF parameters.</w:t>
            </w:r>
          </w:p>
        </w:tc>
      </w:tr>
    </w:tbl>
    <w:p>
      <w:pPr>
        <w:spacing w:after="40"/>
      </w:pPr>
    </w:p>
    <w:p>
      <w:pPr>
        <w:keepNext/>
        <w:spacing w:before="200" w:after="120"/>
      </w:pPr>
      <w:r>
        <w:rPr>
          <w:rFonts w:ascii="Cambria" w:hAnsi="Cambria"/>
          <w:b/>
          <w:color w:val="1F3A5F"/>
          <w:sz w:val="24"/>
        </w:rPr>
        <w:t>VII. Financial and IP Provisions</w:t>
      </w:r>
    </w:p>
    <w:p>
      <w:pPr>
        <w:pStyle w:val="ListBullet"/>
        <w:spacing w:line="276" w:lineRule="auto"/>
        <w:ind w:left="510"/>
      </w:pPr>
      <w:r>
        <w:rPr>
          <w:rFonts w:ascii="Cambria" w:hAnsi="Cambria"/>
          <w:b w:val="0"/>
          <w:i w:val="0"/>
          <w:sz w:val="22"/>
        </w:rPr>
        <w:t>All funded collaborations must comply with University's Finance and IPR Policies.</w:t>
      </w:r>
    </w:p>
    <w:p>
      <w:pPr>
        <w:pStyle w:val="ListBullet"/>
        <w:spacing w:line="276" w:lineRule="auto"/>
        <w:ind w:left="510"/>
      </w:pPr>
      <w:r>
        <w:rPr>
          <w:rFonts w:ascii="Cambria" w:hAnsi="Cambria"/>
          <w:b w:val="0"/>
          <w:i w:val="0"/>
          <w:sz w:val="22"/>
        </w:rPr>
        <w:t>Revenue from consultancy or testing services under MoUs shall follow the 60:20:20 (PI:Dept:University) sharing pattern.</w:t>
      </w:r>
    </w:p>
    <w:p>
      <w:pPr>
        <w:pStyle w:val="ListBullet"/>
        <w:spacing w:line="276" w:lineRule="auto"/>
        <w:ind w:left="510"/>
      </w:pPr>
      <w:r>
        <w:rPr>
          <w:rFonts w:ascii="Cambria" w:hAnsi="Cambria"/>
          <w:b w:val="0"/>
          <w:i w:val="0"/>
          <w:sz w:val="22"/>
        </w:rPr>
        <w:t>In case of joint IP generation, ownership shall be determined as per IPR and Patent Policy or the MoU clause.</w:t>
      </w:r>
    </w:p>
    <w:p>
      <w:pPr>
        <w:pStyle w:val="ListBullet"/>
        <w:spacing w:line="276" w:lineRule="auto"/>
        <w:ind w:left="510"/>
      </w:pPr>
      <w:r>
        <w:rPr>
          <w:rFonts w:ascii="Cambria" w:hAnsi="Cambria"/>
          <w:b w:val="0"/>
          <w:i w:val="0"/>
          <w:sz w:val="22"/>
        </w:rPr>
        <w:t>All financial transactions must be routed through the University Finance Section for audit and transparency.</w:t>
      </w:r>
    </w:p>
    <w:p>
      <w:pPr>
        <w:keepNext/>
        <w:spacing w:before="200" w:after="120"/>
      </w:pPr>
      <w:r>
        <w:rPr>
          <w:rFonts w:ascii="Cambria" w:hAnsi="Cambria"/>
          <w:b/>
          <w:color w:val="1F3A5F"/>
          <w:sz w:val="24"/>
        </w:rPr>
        <w:t>VIII. Monitoring and Performance Evaluation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Stage</w:t>
            </w:r>
          </w:p>
        </w:tc>
        <w:tc>
          <w:tcPr>
            <w:tcW w:type="dxa" w:w="4762"/>
            <w:shd w:val="clear" w:color="auto" w:fill="1F3A5F"/>
          </w:tcPr>
          <w:p>
            <w:pPr>
              <w:spacing w:after="40" w:before="40"/>
            </w:pPr>
            <w:r/>
            <w:r>
              <w:rPr>
                <w:rFonts w:ascii="Cambria" w:hAnsi="Cambria"/>
                <w:b/>
                <w:i w:val="0"/>
                <w:color w:val="FFFFFF"/>
                <w:sz w:val="22"/>
              </w:rPr>
              <w:t>Evaluation Criteria</w:t>
            </w:r>
          </w:p>
        </w:tc>
        <w:tc>
          <w:tcPr>
            <w:tcW w:type="dxa" w:w="2608"/>
            <w:shd w:val="clear" w:color="auto" w:fill="1F3A5F"/>
          </w:tcPr>
          <w:p>
            <w:pPr>
              <w:spacing w:after="40" w:before="40"/>
            </w:pPr>
            <w:r/>
            <w:r>
              <w:rPr>
                <w:rFonts w:ascii="Cambria" w:hAnsi="Cambria"/>
                <w:b/>
                <w:i w:val="0"/>
                <w:color w:val="FFFFFF"/>
                <w:sz w:val="22"/>
              </w:rPr>
              <w:t>Monitoring Authority</w:t>
            </w:r>
          </w:p>
        </w:tc>
      </w:tr>
      <w:tr>
        <w:tc>
          <w:tcPr>
            <w:tcW w:type="dxa" w:w="2041"/>
          </w:tcPr>
          <w:p>
            <w:pPr>
              <w:spacing w:after="40" w:before="40"/>
            </w:pPr>
            <w:r/>
            <w:r>
              <w:rPr>
                <w:rFonts w:ascii="Cambria" w:hAnsi="Cambria"/>
                <w:b w:val="0"/>
                <w:i w:val="0"/>
                <w:sz w:val="22"/>
              </w:rPr>
              <w:t>Implementation Stage</w:t>
            </w:r>
          </w:p>
        </w:tc>
        <w:tc>
          <w:tcPr>
            <w:tcW w:type="dxa" w:w="4762"/>
          </w:tcPr>
          <w:p>
            <w:pPr>
              <w:spacing w:after="40" w:before="40"/>
            </w:pPr>
            <w:r/>
            <w:r>
              <w:rPr>
                <w:rFonts w:ascii="Cambria" w:hAnsi="Cambria"/>
                <w:b w:val="0"/>
                <w:i w:val="0"/>
                <w:sz w:val="22"/>
              </w:rPr>
              <w:t>Activity completion, participation, fund utilization</w:t>
            </w:r>
          </w:p>
        </w:tc>
        <w:tc>
          <w:tcPr>
            <w:tcW w:type="dxa" w:w="2608"/>
          </w:tcPr>
          <w:p>
            <w:pPr>
              <w:spacing w:after="40" w:before="40"/>
            </w:pPr>
            <w:r/>
            <w:r>
              <w:rPr>
                <w:rFonts w:ascii="Cambria" w:hAnsi="Cambria"/>
                <w:b w:val="0"/>
                <w:i w:val="0"/>
                <w:sz w:val="22"/>
              </w:rPr>
              <w:t>ICPC / Dean (Research)</w:t>
            </w:r>
          </w:p>
        </w:tc>
      </w:tr>
      <w:tr>
        <w:tc>
          <w:tcPr>
            <w:tcW w:type="dxa" w:w="2041"/>
            <w:shd w:val="clear" w:color="auto" w:fill="F0F2F5"/>
          </w:tcPr>
          <w:p>
            <w:pPr>
              <w:spacing w:after="40" w:before="40"/>
            </w:pPr>
            <w:r/>
            <w:r>
              <w:rPr>
                <w:rFonts w:ascii="Cambria" w:hAnsi="Cambria"/>
                <w:b w:val="0"/>
                <w:i w:val="0"/>
                <w:sz w:val="22"/>
              </w:rPr>
              <w:t>Mid-Term Review</w:t>
            </w:r>
          </w:p>
        </w:tc>
        <w:tc>
          <w:tcPr>
            <w:tcW w:type="dxa" w:w="4762"/>
            <w:shd w:val="clear" w:color="auto" w:fill="F0F2F5"/>
          </w:tcPr>
          <w:p>
            <w:pPr>
              <w:spacing w:after="40" w:before="40"/>
            </w:pPr>
            <w:r/>
            <w:r>
              <w:rPr>
                <w:rFonts w:ascii="Cambria" w:hAnsi="Cambria"/>
                <w:b w:val="0"/>
                <w:i w:val="0"/>
                <w:sz w:val="22"/>
              </w:rPr>
              <w:t>Outcome progress, deliverables achieved</w:t>
            </w:r>
          </w:p>
        </w:tc>
        <w:tc>
          <w:tcPr>
            <w:tcW w:type="dxa" w:w="2608"/>
            <w:shd w:val="clear" w:color="auto" w:fill="F0F2F5"/>
          </w:tcPr>
          <w:p>
            <w:pPr>
              <w:spacing w:after="40" w:before="40"/>
            </w:pPr>
            <w:r/>
            <w:r>
              <w:rPr>
                <w:rFonts w:ascii="Cambria" w:hAnsi="Cambria"/>
                <w:b w:val="0"/>
                <w:i w:val="0"/>
                <w:sz w:val="22"/>
              </w:rPr>
              <w:t>Registrar / BoM Subcommittee</w:t>
            </w:r>
          </w:p>
        </w:tc>
      </w:tr>
      <w:tr>
        <w:tc>
          <w:tcPr>
            <w:tcW w:type="dxa" w:w="2041"/>
          </w:tcPr>
          <w:p>
            <w:pPr>
              <w:spacing w:after="40" w:before="40"/>
            </w:pPr>
            <w:r/>
            <w:r>
              <w:rPr>
                <w:rFonts w:ascii="Cambria" w:hAnsi="Cambria"/>
                <w:b w:val="0"/>
                <w:i w:val="0"/>
                <w:sz w:val="22"/>
              </w:rPr>
              <w:t>Final Review</w:t>
            </w:r>
          </w:p>
        </w:tc>
        <w:tc>
          <w:tcPr>
            <w:tcW w:type="dxa" w:w="4762"/>
          </w:tcPr>
          <w:p>
            <w:pPr>
              <w:spacing w:after="40" w:before="40"/>
            </w:pPr>
            <w:r/>
            <w:r>
              <w:rPr>
                <w:rFonts w:ascii="Cambria" w:hAnsi="Cambria"/>
                <w:b w:val="0"/>
                <w:i w:val="0"/>
                <w:sz w:val="22"/>
              </w:rPr>
              <w:t>Impact analysis, publications, employability outcomes</w:t>
            </w:r>
          </w:p>
        </w:tc>
        <w:tc>
          <w:tcPr>
            <w:tcW w:type="dxa" w:w="2608"/>
          </w:tcPr>
          <w:p>
            <w:pPr>
              <w:spacing w:after="40" w:before="40"/>
            </w:pPr>
            <w:r/>
            <w:r>
              <w:rPr>
                <w:rFonts w:ascii="Cambria" w:hAnsi="Cambria"/>
                <w:b w:val="0"/>
                <w:i w:val="0"/>
                <w:sz w:val="22"/>
              </w:rPr>
              <w:t>IQAC / R&amp;D Cell</w:t>
            </w:r>
          </w:p>
        </w:tc>
      </w:tr>
      <w:tr>
        <w:tc>
          <w:tcPr>
            <w:tcW w:type="dxa" w:w="2041"/>
            <w:shd w:val="clear" w:color="auto" w:fill="F0F2F5"/>
          </w:tcPr>
          <w:p>
            <w:pPr>
              <w:spacing w:after="40" w:before="40"/>
            </w:pPr>
            <w:r/>
            <w:r>
              <w:rPr>
                <w:rFonts w:ascii="Cambria" w:hAnsi="Cambria"/>
                <w:b w:val="0"/>
                <w:i w:val="0"/>
                <w:sz w:val="22"/>
              </w:rPr>
              <w:t>Annual Summary Report</w:t>
            </w:r>
          </w:p>
        </w:tc>
        <w:tc>
          <w:tcPr>
            <w:tcW w:type="dxa" w:w="4762"/>
            <w:shd w:val="clear" w:color="auto" w:fill="F0F2F5"/>
          </w:tcPr>
          <w:p>
            <w:pPr>
              <w:spacing w:after="40" w:before="40"/>
            </w:pPr>
            <w:r/>
            <w:r>
              <w:rPr>
                <w:rFonts w:ascii="Cambria" w:hAnsi="Cambria"/>
                <w:b w:val="0"/>
                <w:i w:val="0"/>
                <w:sz w:val="22"/>
              </w:rPr>
              <w:t>Consolidated MoU performance report</w:t>
            </w:r>
          </w:p>
        </w:tc>
        <w:tc>
          <w:tcPr>
            <w:tcW w:type="dxa" w:w="2608"/>
            <w:shd w:val="clear" w:color="auto" w:fill="F0F2F5"/>
          </w:tcPr>
          <w:p>
            <w:pPr>
              <w:spacing w:after="40" w:before="40"/>
            </w:pPr>
            <w:r/>
            <w:r>
              <w:rPr>
                <w:rFonts w:ascii="Cambria" w:hAnsi="Cambria"/>
                <w:b w:val="0"/>
                <w:i w:val="0"/>
                <w:sz w:val="22"/>
              </w:rPr>
              <w:t>ICPC / BoM</w:t>
            </w:r>
          </w:p>
        </w:tc>
      </w:tr>
    </w:tbl>
    <w:p>
      <w:pPr>
        <w:spacing w:after="40"/>
      </w:pPr>
    </w:p>
    <w:p>
      <w:pPr>
        <w:pStyle w:val="ListBullet"/>
        <w:spacing w:line="276" w:lineRule="auto"/>
        <w:ind w:left="510"/>
      </w:pPr>
      <w:r>
        <w:rPr>
          <w:rFonts w:ascii="Cambria" w:hAnsi="Cambria"/>
          <w:b w:val="0"/>
          <w:i w:val="0"/>
          <w:sz w:val="22"/>
        </w:rPr>
        <w:t>Non-performing or inactive MoUs may be discontinued after review.</w:t>
      </w:r>
    </w:p>
    <w:p>
      <w:pPr>
        <w:pStyle w:val="ListBullet"/>
        <w:spacing w:line="276" w:lineRule="auto"/>
        <w:ind w:left="510"/>
      </w:pPr>
      <w:r>
        <w:rPr>
          <w:rFonts w:ascii="Cambria" w:hAnsi="Cambria"/>
          <w:b w:val="0"/>
          <w:i w:val="0"/>
          <w:sz w:val="22"/>
        </w:rPr>
        <w:t>Outstanding collaborations will be recognized annually at the University–Industry Excellence Awards.</w:t>
      </w:r>
    </w:p>
    <w:p>
      <w:pPr>
        <w:keepNext/>
        <w:spacing w:before="200" w:after="120"/>
      </w:pPr>
      <w:r>
        <w:rPr>
          <w:rFonts w:ascii="Cambria" w:hAnsi="Cambria"/>
          <w:b/>
          <w:color w:val="1F3A5F"/>
          <w:sz w:val="24"/>
        </w:rPr>
        <w:t>IX. Benefits and Incentives</w:t>
      </w:r>
    </w:p>
    <w:p>
      <w:pPr>
        <w:pStyle w:val="ListBullet"/>
        <w:spacing w:line="276" w:lineRule="auto"/>
        <w:ind w:left="510"/>
      </w:pPr>
      <w:r>
        <w:rPr>
          <w:rFonts w:ascii="Cambria" w:hAnsi="Cambria"/>
          <w:b w:val="0"/>
          <w:i w:val="0"/>
          <w:sz w:val="22"/>
        </w:rPr>
        <w:t>Faculty coordinating active MoUs shall receive:</w:t>
      </w:r>
    </w:p>
    <w:p>
      <w:pPr>
        <w:pStyle w:val="ListBullet2"/>
        <w:spacing w:line="276" w:lineRule="auto"/>
        <w:ind w:left="1020"/>
      </w:pPr>
      <w:r>
        <w:rPr>
          <w:rFonts w:ascii="Cambria" w:hAnsi="Cambria"/>
          <w:b w:val="0"/>
          <w:i w:val="0"/>
          <w:sz w:val="22"/>
        </w:rPr>
        <w:t>Recognition Certificate for performance.</w:t>
      </w:r>
    </w:p>
    <w:p>
      <w:pPr>
        <w:pStyle w:val="ListBullet2"/>
        <w:spacing w:line="276" w:lineRule="auto"/>
        <w:ind w:left="1020"/>
      </w:pPr>
      <w:r>
        <w:rPr>
          <w:rFonts w:ascii="Cambria" w:hAnsi="Cambria"/>
          <w:b w:val="0"/>
          <w:i w:val="0"/>
          <w:sz w:val="22"/>
        </w:rPr>
        <w:t>Priority in research grants or promotion appraisals.</w:t>
      </w:r>
    </w:p>
    <w:p>
      <w:pPr>
        <w:pStyle w:val="ListBullet"/>
        <w:spacing w:line="276" w:lineRule="auto"/>
        <w:ind w:left="510"/>
      </w:pPr>
      <w:r>
        <w:rPr>
          <w:rFonts w:ascii="Cambria" w:hAnsi="Cambria"/>
          <w:b w:val="0"/>
          <w:i w:val="0"/>
          <w:sz w:val="22"/>
        </w:rPr>
        <w:t>Departments with successful collaborations may be eligible for infrastructure grants or industry-sponsored chairs.</w:t>
      </w:r>
    </w:p>
    <w:p>
      <w:pPr>
        <w:pStyle w:val="ListBullet"/>
        <w:spacing w:line="276" w:lineRule="auto"/>
        <w:ind w:left="510"/>
      </w:pPr>
      <w:r>
        <w:rPr>
          <w:rFonts w:ascii="Cambria" w:hAnsi="Cambria"/>
          <w:b w:val="0"/>
          <w:i w:val="0"/>
          <w:sz w:val="22"/>
        </w:rPr>
        <w:t>Industry partners will receive:</w:t>
      </w:r>
    </w:p>
    <w:p>
      <w:pPr>
        <w:pStyle w:val="ListBullet2"/>
        <w:spacing w:line="276" w:lineRule="auto"/>
        <w:ind w:left="1020"/>
      </w:pPr>
      <w:r>
        <w:rPr>
          <w:rFonts w:ascii="Cambria" w:hAnsi="Cambria"/>
          <w:b w:val="0"/>
          <w:i w:val="0"/>
          <w:sz w:val="22"/>
        </w:rPr>
        <w:t>Access to University expertise, laboratories, and interns.</w:t>
      </w:r>
    </w:p>
    <w:p>
      <w:pPr>
        <w:pStyle w:val="ListBullet2"/>
        <w:spacing w:line="276" w:lineRule="auto"/>
        <w:ind w:left="1020"/>
      </w:pPr>
      <w:r>
        <w:rPr>
          <w:rFonts w:ascii="Cambria" w:hAnsi="Cambria"/>
          <w:b w:val="0"/>
          <w:i w:val="0"/>
          <w:sz w:val="22"/>
        </w:rPr>
        <w:t>Visibility through joint branding and University outreach events.</w:t>
      </w:r>
    </w:p>
    <w:p>
      <w:pPr>
        <w:keepNext/>
        <w:spacing w:before="200" w:after="120"/>
      </w:pPr>
      <w:r>
        <w:rPr>
          <w:rFonts w:ascii="Cambria" w:hAnsi="Cambria"/>
          <w:b/>
          <w:color w:val="1F3A5F"/>
          <w:sz w:val="24"/>
        </w:rPr>
        <w:t>X. Documentation and Reporting</w:t>
      </w:r>
    </w:p>
    <w:p>
      <w:pPr>
        <w:pStyle w:val="ListBullet"/>
        <w:spacing w:line="276" w:lineRule="auto"/>
        <w:ind w:left="510"/>
      </w:pPr>
      <w:r>
        <w:rPr>
          <w:rFonts w:ascii="Cambria" w:hAnsi="Cambria"/>
          <w:b w:val="0"/>
          <w:i w:val="0"/>
          <w:sz w:val="22"/>
        </w:rPr>
        <w:t>The Industry Collaboration and Partnership Cell (ICPC) shall maintain:</w:t>
      </w:r>
    </w:p>
    <w:p>
      <w:pPr>
        <w:pStyle w:val="ListBullet2"/>
        <w:spacing w:line="276" w:lineRule="auto"/>
        <w:ind w:left="1020"/>
      </w:pPr>
      <w:r>
        <w:rPr>
          <w:rFonts w:ascii="Cambria" w:hAnsi="Cambria"/>
          <w:b w:val="0"/>
          <w:i w:val="0"/>
          <w:sz w:val="22"/>
        </w:rPr>
        <w:t>Digital repository of all active and expired MoUs.</w:t>
      </w:r>
    </w:p>
    <w:p>
      <w:pPr>
        <w:pStyle w:val="ListBullet2"/>
        <w:spacing w:line="276" w:lineRule="auto"/>
        <w:ind w:left="1020"/>
      </w:pPr>
      <w:r>
        <w:rPr>
          <w:rFonts w:ascii="Cambria" w:hAnsi="Cambria"/>
          <w:b w:val="0"/>
          <w:i w:val="0"/>
          <w:sz w:val="22"/>
        </w:rPr>
        <w:t>Annual report of collaborative outcomes (internships, research, patents, placements).</w:t>
      </w:r>
    </w:p>
    <w:p>
      <w:pPr>
        <w:pStyle w:val="ListBullet2"/>
        <w:spacing w:line="276" w:lineRule="auto"/>
        <w:ind w:left="1020"/>
      </w:pPr>
      <w:r>
        <w:rPr>
          <w:rFonts w:ascii="Cambria" w:hAnsi="Cambria"/>
          <w:b w:val="0"/>
          <w:i w:val="0"/>
          <w:sz w:val="22"/>
        </w:rPr>
        <w:t>Evidence records for accreditation frameworks:</w:t>
      </w:r>
    </w:p>
    <w:p>
      <w:pPr>
        <w:pStyle w:val="ListBullet2"/>
        <w:ind w:left="1474"/>
      </w:pPr>
      <w:r>
        <w:rPr>
          <w:rFonts w:ascii="Cambria" w:hAnsi="Cambria"/>
          <w:b w:val="0"/>
          <w:i w:val="0"/>
          <w:sz w:val="22"/>
        </w:rPr>
        <w:t>NAAC Criterion 3.4.3 &amp; 3.5.1</w:t>
      </w:r>
    </w:p>
    <w:p>
      <w:pPr>
        <w:pStyle w:val="ListBullet2"/>
        <w:ind w:left="1474"/>
      </w:pPr>
      <w:r>
        <w:rPr>
          <w:rFonts w:ascii="Cambria" w:hAnsi="Cambria"/>
          <w:b w:val="0"/>
          <w:i w:val="0"/>
          <w:sz w:val="22"/>
        </w:rPr>
        <w:t>NBA Criterion 9 (Industry Interaction)</w:t>
      </w:r>
    </w:p>
    <w:p>
      <w:pPr>
        <w:pStyle w:val="ListBullet2"/>
        <w:ind w:left="1474"/>
      </w:pPr>
      <w:r>
        <w:rPr>
          <w:rFonts w:ascii="Cambria" w:hAnsi="Cambria"/>
          <w:b w:val="0"/>
          <w:i w:val="0"/>
          <w:sz w:val="22"/>
        </w:rPr>
        <w:t>NIRF Industry and Outreach Indicators.</w:t>
      </w:r>
    </w:p>
    <w:p>
      <w:pPr>
        <w:keepNext/>
        <w:spacing w:before="200" w:after="120"/>
      </w:pPr>
      <w:r>
        <w:rPr>
          <w:rFonts w:ascii="Cambria" w:hAnsi="Cambria"/>
          <w:b/>
          <w:color w:val="1F3A5F"/>
          <w:sz w:val="24"/>
        </w:rPr>
        <w:t>XI. Review and Policy Alignment</w:t>
      </w:r>
    </w:p>
    <w:p>
      <w:pPr>
        <w:pStyle w:val="ListBullet"/>
        <w:spacing w:line="276" w:lineRule="auto"/>
        <w:ind w:left="510"/>
      </w:pPr>
      <w:r>
        <w:rPr>
          <w:rFonts w:ascii="Cambria" w:hAnsi="Cambria"/>
          <w:b w:val="0"/>
          <w:i w:val="0"/>
          <w:sz w:val="22"/>
        </w:rPr>
        <w:t>The policy shall be reviewed every three years by the ICPC and BoM.</w:t>
      </w:r>
    </w:p>
    <w:p>
      <w:pPr>
        <w:pStyle w:val="ListBullet"/>
        <w:spacing w:line="276" w:lineRule="auto"/>
        <w:ind w:left="510"/>
      </w:pPr>
      <w:r>
        <w:rPr>
          <w:rFonts w:ascii="Cambria" w:hAnsi="Cambria"/>
          <w:b w:val="0"/>
          <w:i w:val="0"/>
          <w:sz w:val="22"/>
        </w:rPr>
        <w:t>Alignment shall be maintained with:</w:t>
      </w:r>
    </w:p>
    <w:p>
      <w:pPr>
        <w:pStyle w:val="ListBullet2"/>
        <w:spacing w:line="276" w:lineRule="auto"/>
        <w:ind w:left="1020"/>
      </w:pPr>
      <w:r>
        <w:rPr>
          <w:rFonts w:ascii="Cambria" w:hAnsi="Cambria"/>
          <w:b w:val="0"/>
          <w:i w:val="0"/>
          <w:sz w:val="22"/>
        </w:rPr>
        <w:t>UGC Guidelines for Institutional Collaboration, 2022</w:t>
      </w:r>
    </w:p>
    <w:p>
      <w:pPr>
        <w:pStyle w:val="ListBullet2"/>
        <w:spacing w:line="276" w:lineRule="auto"/>
        <w:ind w:left="1020"/>
      </w:pPr>
      <w:r>
        <w:rPr>
          <w:rFonts w:ascii="Cambria" w:hAnsi="Cambria"/>
          <w:b w:val="0"/>
          <w:i w:val="0"/>
          <w:sz w:val="22"/>
        </w:rPr>
        <w:t>AICTE Industry-Academia Collaboration Framework, 2021</w:t>
      </w:r>
    </w:p>
    <w:p>
      <w:pPr>
        <w:pStyle w:val="ListBullet2"/>
        <w:spacing w:line="276" w:lineRule="auto"/>
        <w:ind w:left="1020"/>
      </w:pPr>
      <w:r>
        <w:rPr>
          <w:rFonts w:ascii="Cambria" w:hAnsi="Cambria"/>
          <w:b w:val="0"/>
          <w:i w:val="0"/>
          <w:sz w:val="22"/>
        </w:rPr>
        <w:t>National Education Policy (NEP) 2020 – Section 11.1 &amp; 11.2</w:t>
      </w:r>
    </w:p>
    <w:p>
      <w:pPr>
        <w:pStyle w:val="ListBullet2"/>
        <w:spacing w:line="276" w:lineRule="auto"/>
        <w:ind w:left="1020"/>
      </w:pPr>
      <w:r>
        <w:rPr>
          <w:rFonts w:ascii="Cambria" w:hAnsi="Cambria"/>
          <w:b w:val="0"/>
          <w:i w:val="0"/>
          <w:sz w:val="22"/>
        </w:rPr>
        <w:t>MSME, DST, and CSR Collaboration Norms.</w:t>
      </w:r>
    </w:p>
    <w:p>
      <w:pPr>
        <w:keepNext/>
        <w:spacing w:before="200" w:after="120"/>
      </w:pPr>
      <w:r>
        <w:rPr>
          <w:rFonts w:ascii="Cambria" w:hAnsi="Cambria"/>
          <w:b/>
          <w:color w:val="1F3A5F"/>
          <w:sz w:val="24"/>
        </w:rPr>
        <w:t>XII.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Aspect</w:t>
            </w:r>
          </w:p>
        </w:tc>
        <w:tc>
          <w:tcPr>
            <w:tcW w:type="dxa" w:w="4309"/>
            <w:shd w:val="clear" w:color="auto" w:fill="1F3A5F"/>
          </w:tcPr>
          <w:p>
            <w:pPr>
              <w:spacing w:after="40" w:before="40"/>
            </w:pPr>
            <w:r/>
            <w:r>
              <w:rPr>
                <w:rFonts w:ascii="Cambria" w:hAnsi="Cambria"/>
                <w:b/>
                <w:i w:val="0"/>
                <w:color w:val="FFFFFF"/>
                <w:sz w:val="22"/>
              </w:rPr>
              <w:t>Provision</w:t>
            </w:r>
          </w:p>
        </w:tc>
        <w:tc>
          <w:tcPr>
            <w:tcW w:type="dxa" w:w="3061"/>
            <w:shd w:val="clear" w:color="auto" w:fill="1F3A5F"/>
          </w:tcPr>
          <w:p>
            <w:pPr>
              <w:spacing w:after="40" w:before="40"/>
            </w:pPr>
            <w:r/>
            <w:r>
              <w:rPr>
                <w:rFonts w:ascii="Cambria" w:hAnsi="Cambria"/>
                <w:b/>
                <w:i w:val="0"/>
                <w:color w:val="FFFFFF"/>
                <w:sz w:val="22"/>
              </w:rPr>
              <w:t>Responsible Authority</w:t>
            </w:r>
          </w:p>
        </w:tc>
      </w:tr>
      <w:tr>
        <w:tc>
          <w:tcPr>
            <w:tcW w:type="dxa" w:w="2041"/>
          </w:tcPr>
          <w:p>
            <w:pPr>
              <w:spacing w:after="40" w:before="40"/>
            </w:pPr>
            <w:r/>
            <w:r>
              <w:rPr>
                <w:rFonts w:ascii="Cambria" w:hAnsi="Cambria"/>
                <w:b w:val="0"/>
                <w:i w:val="0"/>
                <w:sz w:val="22"/>
              </w:rPr>
              <w:t>Proposal Preparation</w:t>
            </w:r>
          </w:p>
        </w:tc>
        <w:tc>
          <w:tcPr>
            <w:tcW w:type="dxa" w:w="4309"/>
          </w:tcPr>
          <w:p>
            <w:pPr>
              <w:spacing w:after="40" w:before="40"/>
            </w:pPr>
            <w:r/>
            <w:r>
              <w:rPr>
                <w:rFonts w:ascii="Cambria" w:hAnsi="Cambria"/>
                <w:b w:val="0"/>
                <w:i w:val="0"/>
                <w:sz w:val="22"/>
              </w:rPr>
              <w:t>Through Department / ICPC</w:t>
            </w:r>
          </w:p>
        </w:tc>
        <w:tc>
          <w:tcPr>
            <w:tcW w:type="dxa" w:w="3061"/>
          </w:tcPr>
          <w:p>
            <w:pPr>
              <w:spacing w:after="40" w:before="40"/>
            </w:pPr>
            <w:r/>
            <w:r>
              <w:rPr>
                <w:rFonts w:ascii="Cambria" w:hAnsi="Cambria"/>
                <w:b w:val="0"/>
                <w:i w:val="0"/>
                <w:sz w:val="22"/>
              </w:rPr>
              <w:t>HoD / Faculty Coordinator</w:t>
            </w:r>
          </w:p>
        </w:tc>
      </w:tr>
      <w:tr>
        <w:tc>
          <w:tcPr>
            <w:tcW w:type="dxa" w:w="2041"/>
            <w:shd w:val="clear" w:color="auto" w:fill="F0F2F5"/>
          </w:tcPr>
          <w:p>
            <w:pPr>
              <w:spacing w:after="40" w:before="40"/>
            </w:pPr>
            <w:r/>
            <w:r>
              <w:rPr>
                <w:rFonts w:ascii="Cambria" w:hAnsi="Cambria"/>
                <w:b w:val="0"/>
                <w:i w:val="0"/>
                <w:sz w:val="22"/>
              </w:rPr>
              <w:t>Approval Authority</w:t>
            </w:r>
          </w:p>
        </w:tc>
        <w:tc>
          <w:tcPr>
            <w:tcW w:type="dxa" w:w="4309"/>
            <w:shd w:val="clear" w:color="auto" w:fill="F0F2F5"/>
          </w:tcPr>
          <w:p>
            <w:pPr>
              <w:spacing w:after="40" w:before="40"/>
            </w:pPr>
            <w:r/>
            <w:r>
              <w:rPr>
                <w:rFonts w:ascii="Cambria" w:hAnsi="Cambria"/>
                <w:b w:val="0"/>
                <w:i w:val="0"/>
                <w:sz w:val="22"/>
              </w:rPr>
              <w:t>Registrar / V.C. / BoM (as applicable)</w:t>
            </w:r>
          </w:p>
        </w:tc>
        <w:tc>
          <w:tcPr>
            <w:tcW w:type="dxa" w:w="3061"/>
            <w:shd w:val="clear" w:color="auto" w:fill="F0F2F5"/>
          </w:tcPr>
          <w:p>
            <w:pPr>
              <w:spacing w:after="40" w:before="40"/>
            </w:pPr>
            <w:r/>
            <w:r>
              <w:rPr>
                <w:rFonts w:ascii="Cambria" w:hAnsi="Cambria"/>
                <w:b w:val="0"/>
                <w:i w:val="0"/>
                <w:sz w:val="22"/>
              </w:rPr>
              <w:t>Legal &amp; Finance Vetting</w:t>
            </w:r>
          </w:p>
        </w:tc>
      </w:tr>
      <w:tr>
        <w:tc>
          <w:tcPr>
            <w:tcW w:type="dxa" w:w="2041"/>
          </w:tcPr>
          <w:p>
            <w:pPr>
              <w:spacing w:after="40" w:before="40"/>
            </w:pPr>
            <w:r/>
            <w:r>
              <w:rPr>
                <w:rFonts w:ascii="Cambria" w:hAnsi="Cambria"/>
                <w:b w:val="0"/>
                <w:i w:val="0"/>
                <w:sz w:val="22"/>
              </w:rPr>
              <w:t>Duration</w:t>
            </w:r>
          </w:p>
        </w:tc>
        <w:tc>
          <w:tcPr>
            <w:tcW w:type="dxa" w:w="4309"/>
          </w:tcPr>
          <w:p>
            <w:pPr>
              <w:spacing w:after="40" w:before="40"/>
            </w:pPr>
            <w:r/>
            <w:r>
              <w:rPr>
                <w:rFonts w:ascii="Cambria" w:hAnsi="Cambria"/>
                <w:b w:val="0"/>
                <w:i w:val="0"/>
                <w:sz w:val="22"/>
              </w:rPr>
              <w:t>3–5 years (renewable)</w:t>
            </w:r>
          </w:p>
        </w:tc>
        <w:tc>
          <w:tcPr>
            <w:tcW w:type="dxa" w:w="3061"/>
          </w:tcPr>
          <w:p>
            <w:pPr>
              <w:spacing w:after="40" w:before="40"/>
            </w:pPr>
            <w:r/>
            <w:r>
              <w:rPr>
                <w:rFonts w:ascii="Cambria" w:hAnsi="Cambria"/>
                <w:b w:val="0"/>
                <w:i w:val="0"/>
                <w:sz w:val="22"/>
              </w:rPr>
              <w:t>ICPC</w:t>
            </w:r>
          </w:p>
        </w:tc>
      </w:tr>
      <w:tr>
        <w:tc>
          <w:tcPr>
            <w:tcW w:type="dxa" w:w="2041"/>
            <w:shd w:val="clear" w:color="auto" w:fill="F0F2F5"/>
          </w:tcPr>
          <w:p>
            <w:pPr>
              <w:spacing w:after="40" w:before="40"/>
            </w:pPr>
            <w:r/>
            <w:r>
              <w:rPr>
                <w:rFonts w:ascii="Cambria" w:hAnsi="Cambria"/>
                <w:b w:val="0"/>
                <w:i w:val="0"/>
                <w:sz w:val="22"/>
              </w:rPr>
              <w:t>Financial Norms</w:t>
            </w:r>
          </w:p>
        </w:tc>
        <w:tc>
          <w:tcPr>
            <w:tcW w:type="dxa" w:w="4309"/>
            <w:shd w:val="clear" w:color="auto" w:fill="F0F2F5"/>
          </w:tcPr>
          <w:p>
            <w:pPr>
              <w:spacing w:after="40" w:before="40"/>
            </w:pPr>
            <w:r/>
            <w:r>
              <w:rPr>
                <w:rFonts w:ascii="Cambria" w:hAnsi="Cambria"/>
                <w:b w:val="0"/>
                <w:i w:val="0"/>
                <w:sz w:val="22"/>
              </w:rPr>
              <w:t>As per University Finance Rules &amp; IPR Policy</w:t>
            </w:r>
          </w:p>
        </w:tc>
        <w:tc>
          <w:tcPr>
            <w:tcW w:type="dxa" w:w="3061"/>
            <w:shd w:val="clear" w:color="auto" w:fill="F0F2F5"/>
          </w:tcPr>
          <w:p>
            <w:pPr>
              <w:spacing w:after="40" w:before="40"/>
            </w:pPr>
            <w:r/>
            <w:r>
              <w:rPr>
                <w:rFonts w:ascii="Cambria" w:hAnsi="Cambria"/>
                <w:b w:val="0"/>
                <w:i w:val="0"/>
                <w:sz w:val="22"/>
              </w:rPr>
              <w:t>Finance Section</w:t>
            </w:r>
          </w:p>
        </w:tc>
      </w:tr>
      <w:tr>
        <w:tc>
          <w:tcPr>
            <w:tcW w:type="dxa" w:w="2041"/>
          </w:tcPr>
          <w:p>
            <w:pPr>
              <w:spacing w:after="40" w:before="40"/>
            </w:pPr>
            <w:r/>
            <w:r>
              <w:rPr>
                <w:rFonts w:ascii="Cambria" w:hAnsi="Cambria"/>
                <w:b w:val="0"/>
                <w:i w:val="0"/>
                <w:sz w:val="22"/>
              </w:rPr>
              <w:t>Documentation</w:t>
            </w:r>
          </w:p>
        </w:tc>
        <w:tc>
          <w:tcPr>
            <w:tcW w:type="dxa" w:w="4309"/>
          </w:tcPr>
          <w:p>
            <w:pPr>
              <w:spacing w:after="40" w:before="40"/>
            </w:pPr>
            <w:r/>
            <w:r>
              <w:rPr>
                <w:rFonts w:ascii="Cambria" w:hAnsi="Cambria"/>
                <w:b w:val="0"/>
                <w:i w:val="0"/>
                <w:sz w:val="22"/>
              </w:rPr>
              <w:t>Digital MoU Register &amp; Annual Report</w:t>
            </w:r>
          </w:p>
        </w:tc>
        <w:tc>
          <w:tcPr>
            <w:tcW w:type="dxa" w:w="3061"/>
          </w:tcPr>
          <w:p>
            <w:pPr>
              <w:spacing w:after="40" w:before="40"/>
            </w:pPr>
            <w:r/>
            <w:r>
              <w:rPr>
                <w:rFonts w:ascii="Cambria" w:hAnsi="Cambria"/>
                <w:b w:val="0"/>
                <w:i w:val="0"/>
                <w:sz w:val="22"/>
              </w:rPr>
              <w:t>ICPC / IQAC</w:t>
            </w:r>
          </w:p>
        </w:tc>
      </w:tr>
      <w:tr>
        <w:tc>
          <w:tcPr>
            <w:tcW w:type="dxa" w:w="2041"/>
            <w:shd w:val="clear" w:color="auto" w:fill="F0F2F5"/>
          </w:tcPr>
          <w:p>
            <w:pPr>
              <w:spacing w:after="40" w:before="40"/>
            </w:pPr>
            <w:r/>
            <w:r>
              <w:rPr>
                <w:rFonts w:ascii="Cambria" w:hAnsi="Cambria"/>
                <w:b w:val="0"/>
                <w:i w:val="0"/>
                <w:sz w:val="22"/>
              </w:rPr>
              <w:t>Performance Review</w:t>
            </w:r>
          </w:p>
        </w:tc>
        <w:tc>
          <w:tcPr>
            <w:tcW w:type="dxa" w:w="4309"/>
            <w:shd w:val="clear" w:color="auto" w:fill="F0F2F5"/>
          </w:tcPr>
          <w:p>
            <w:pPr>
              <w:spacing w:after="40" w:before="40"/>
            </w:pPr>
            <w:r/>
            <w:r>
              <w:rPr>
                <w:rFonts w:ascii="Cambria" w:hAnsi="Cambria"/>
                <w:b w:val="0"/>
                <w:i w:val="0"/>
                <w:sz w:val="22"/>
              </w:rPr>
              <w:t>Annual and Mid-term</w:t>
            </w:r>
          </w:p>
        </w:tc>
        <w:tc>
          <w:tcPr>
            <w:tcW w:type="dxa" w:w="3061"/>
            <w:shd w:val="clear" w:color="auto" w:fill="F0F2F5"/>
          </w:tcPr>
          <w:p>
            <w:pPr>
              <w:spacing w:after="40" w:before="40"/>
            </w:pPr>
            <w:r/>
            <w:r>
              <w:rPr>
                <w:rFonts w:ascii="Cambria" w:hAnsi="Cambria"/>
                <w:b w:val="0"/>
                <w:i w:val="0"/>
                <w:sz w:val="22"/>
              </w:rPr>
              <w:t>ICPC / BoM</w:t>
            </w:r>
          </w:p>
        </w:tc>
      </w:tr>
      <w:tr>
        <w:tc>
          <w:tcPr>
            <w:tcW w:type="dxa" w:w="2041"/>
          </w:tcPr>
          <w:p>
            <w:pPr>
              <w:spacing w:after="40" w:before="40"/>
            </w:pPr>
            <w:r/>
            <w:r>
              <w:rPr>
                <w:rFonts w:ascii="Cambria" w:hAnsi="Cambria"/>
                <w:b w:val="0"/>
                <w:i w:val="0"/>
                <w:sz w:val="22"/>
              </w:rPr>
              <w:t>Recognition</w:t>
            </w:r>
          </w:p>
        </w:tc>
        <w:tc>
          <w:tcPr>
            <w:tcW w:type="dxa" w:w="4309"/>
          </w:tcPr>
          <w:p>
            <w:pPr>
              <w:spacing w:after="40" w:before="40"/>
            </w:pPr>
            <w:r/>
            <w:r>
              <w:rPr>
                <w:rFonts w:ascii="Cambria" w:hAnsi="Cambria"/>
                <w:b w:val="0"/>
                <w:i w:val="0"/>
                <w:sz w:val="22"/>
              </w:rPr>
              <w:t>Certificates, Awards, Research Support</w:t>
            </w:r>
          </w:p>
        </w:tc>
        <w:tc>
          <w:tcPr>
            <w:tcW w:type="dxa" w:w="3061"/>
          </w:tcPr>
          <w:p>
            <w:pPr>
              <w:spacing w:after="40" w:before="40"/>
            </w:pPr>
            <w:r/>
            <w:r>
              <w:rPr>
                <w:rFonts w:ascii="Cambria" w:hAnsi="Cambria"/>
                <w:b w:val="0"/>
                <w:i w:val="0"/>
                <w:sz w:val="22"/>
              </w:rPr>
              <w:t>BoM / IIC / ICPC</w:t>
            </w:r>
          </w:p>
        </w:tc>
      </w:tr>
    </w:tbl>
    <w:p>
      <w:pPr>
        <w:spacing w:after="40"/>
      </w:pPr>
    </w:p>
    <w:p>
      <w:pPr>
        <w:keepNext/>
        <w:spacing w:before="200" w:after="120"/>
      </w:pPr>
      <w:r>
        <w:rPr>
          <w:rFonts w:ascii="Cambria" w:hAnsi="Cambria"/>
          <w:b/>
          <w:color w:val="1F3A5F"/>
          <w:sz w:val="24"/>
        </w:rPr>
        <w:t>XIII. Policy Principles</w:t>
      </w:r>
    </w:p>
    <w:p>
      <w:pPr>
        <w:pStyle w:val="ListBullet"/>
        <w:spacing w:line="276" w:lineRule="auto"/>
        <w:ind w:left="510"/>
      </w:pPr>
      <w:r>
        <w:rPr>
          <w:rFonts w:ascii="Cambria" w:hAnsi="Cambria"/>
          <w:b w:val="0"/>
          <w:i w:val="0"/>
          <w:sz w:val="22"/>
        </w:rPr>
        <w:t>Collaboration shall be ethical, transparent, and outcome-driven.</w:t>
      </w:r>
    </w:p>
    <w:p>
      <w:pPr>
        <w:pStyle w:val="ListBullet"/>
        <w:spacing w:line="276" w:lineRule="auto"/>
        <w:ind w:left="510"/>
      </w:pPr>
      <w:r>
        <w:rPr>
          <w:rFonts w:ascii="Cambria" w:hAnsi="Cambria"/>
          <w:b w:val="0"/>
          <w:i w:val="0"/>
          <w:sz w:val="22"/>
        </w:rPr>
        <w:t>All MoUs must be formally approved and legally vetted before execution.</w:t>
      </w:r>
    </w:p>
    <w:p>
      <w:pPr>
        <w:pStyle w:val="ListBullet"/>
        <w:spacing w:line="276" w:lineRule="auto"/>
        <w:ind w:left="510"/>
      </w:pPr>
      <w:r>
        <w:rPr>
          <w:rFonts w:ascii="Cambria" w:hAnsi="Cambria"/>
          <w:b w:val="0"/>
          <w:i w:val="0"/>
          <w:sz w:val="22"/>
        </w:rPr>
        <w:t>No individual or department shall sign agreements on behalf of the University without authorization.</w:t>
      </w:r>
    </w:p>
    <w:p>
      <w:pPr>
        <w:pStyle w:val="ListBullet"/>
        <w:spacing w:line="276" w:lineRule="auto"/>
        <w:ind w:left="510"/>
      </w:pPr>
      <w:r>
        <w:rPr>
          <w:rFonts w:ascii="Cambria" w:hAnsi="Cambria"/>
          <w:b w:val="0"/>
          <w:i w:val="0"/>
          <w:sz w:val="22"/>
        </w:rPr>
        <w:t>MoUs should lead to tangible academic, research, or social impact.</w:t>
      </w:r>
    </w:p>
    <w:p>
      <w:pPr>
        <w:pStyle w:val="ListBullet"/>
        <w:spacing w:line="276" w:lineRule="auto"/>
        <w:ind w:left="510"/>
      </w:pPr>
      <w:r>
        <w:rPr>
          <w:rFonts w:ascii="Cambria" w:hAnsi="Cambria"/>
          <w:b w:val="0"/>
          <w:i w:val="0"/>
          <w:sz w:val="22"/>
        </w:rPr>
        <w:t>The University shall continuously expand its industry and global network to enhance employability, research quality, and innovation outcomes.</w:t>
      </w:r>
    </w:p>
    <w:p>
      <w:pPr>
        <w:keepNext/>
        <w:spacing w:before="200" w:after="120"/>
      </w:pPr>
      <w:r>
        <w:rPr>
          <w:rFonts w:ascii="Cambria" w:hAnsi="Cambria"/>
          <w:b/>
          <w:color w:val="1F3A5F"/>
          <w:sz w:val="27"/>
        </w:rPr>
        <w:t>N. Faculty Development, Exchange, and Sabbatical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structured framework for faculty development, exchange, and sabbatical programs aimed at enhancing academic excellence, research productivity, innovation, and global engagement.</w:t>
      </w:r>
    </w:p>
    <w:p>
      <w:pPr>
        <w:pStyle w:val="ListBullet"/>
        <w:spacing w:line="276" w:lineRule="auto"/>
        <w:ind w:left="510"/>
      </w:pPr>
      <w:r>
        <w:rPr>
          <w:rFonts w:ascii="Cambria" w:hAnsi="Cambria"/>
          <w:b w:val="0"/>
          <w:i w:val="0"/>
          <w:sz w:val="22"/>
        </w:rPr>
        <w:t>This policy supports the University's mission to maintain a vibrant, skilled, and research-oriented faculty community aligned with the standards of UGC, AICTE, NAAC, NBA, and NEP 2020.</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Promote continuous professional and academic growth of faculty members.</w:t>
      </w:r>
    </w:p>
    <w:p>
      <w:pPr>
        <w:pStyle w:val="ListBullet"/>
        <w:spacing w:line="276" w:lineRule="auto"/>
        <w:ind w:left="510"/>
      </w:pPr>
      <w:r>
        <w:rPr>
          <w:rFonts w:ascii="Cambria" w:hAnsi="Cambria"/>
          <w:b w:val="0"/>
          <w:i w:val="0"/>
          <w:sz w:val="22"/>
        </w:rPr>
        <w:t>Encourage national and international collaboration through faculty exchange programs.</w:t>
      </w:r>
    </w:p>
    <w:p>
      <w:pPr>
        <w:pStyle w:val="ListBullet"/>
        <w:spacing w:line="276" w:lineRule="auto"/>
        <w:ind w:left="510"/>
      </w:pPr>
      <w:r>
        <w:rPr>
          <w:rFonts w:ascii="Cambria" w:hAnsi="Cambria"/>
          <w:b w:val="0"/>
          <w:i w:val="0"/>
          <w:sz w:val="22"/>
        </w:rPr>
        <w:t>Facilitate sabbatical leave and research fellowships to enable faculty to pursue advanced research, training, and innovation.</w:t>
      </w:r>
    </w:p>
    <w:p>
      <w:pPr>
        <w:pStyle w:val="ListBullet"/>
        <w:spacing w:line="276" w:lineRule="auto"/>
        <w:ind w:left="510"/>
      </w:pPr>
      <w:r>
        <w:rPr>
          <w:rFonts w:ascii="Cambria" w:hAnsi="Cambria"/>
          <w:b w:val="0"/>
          <w:i w:val="0"/>
          <w:sz w:val="22"/>
        </w:rPr>
        <w:t>Strengthen the University's global academic presence through joint teaching, research, and publication activities.</w:t>
      </w:r>
    </w:p>
    <w:p>
      <w:pPr>
        <w:pStyle w:val="ListBullet"/>
        <w:spacing w:line="276" w:lineRule="auto"/>
        <w:ind w:left="510"/>
      </w:pPr>
      <w:r>
        <w:rPr>
          <w:rFonts w:ascii="Cambria" w:hAnsi="Cambria"/>
          <w:b w:val="0"/>
          <w:i w:val="0"/>
          <w:sz w:val="22"/>
        </w:rPr>
        <w:t>Align faculty development with institutional quality benchmarks, career advancement, and accreditation excellence.</w:t>
      </w:r>
    </w:p>
    <w:p>
      <w:pPr>
        <w:keepNext/>
        <w:spacing w:before="200" w:after="120"/>
      </w:pPr>
      <w:r>
        <w:rPr>
          <w:rFonts w:ascii="Cambria" w:hAnsi="Cambria"/>
          <w:b/>
          <w:color w:val="1F3A5F"/>
          <w:sz w:val="24"/>
        </w:rPr>
        <w:t>II. Scope and Eligibility</w:t>
      </w:r>
    </w:p>
    <w:p>
      <w:pPr>
        <w:pStyle w:val="ListBullet"/>
        <w:spacing w:line="276" w:lineRule="auto"/>
        <w:ind w:left="510"/>
      </w:pPr>
      <w:r>
        <w:rPr>
          <w:rFonts w:ascii="Cambria" w:hAnsi="Cambria"/>
          <w:b w:val="0"/>
          <w:i w:val="0"/>
          <w:sz w:val="22"/>
        </w:rPr>
        <w:t>Applicable to all full-time faculty members (Professors, Associate Professors, Assistant Professors) serving under regular, probationary, or confirmed status.</w:t>
      </w:r>
    </w:p>
    <w:p>
      <w:pPr>
        <w:pStyle w:val="ListBullet"/>
        <w:spacing w:line="276" w:lineRule="auto"/>
        <w:ind w:left="510"/>
      </w:pPr>
      <w:r>
        <w:rPr>
          <w:rFonts w:ascii="Cambria" w:hAnsi="Cambria"/>
          <w:b w:val="0"/>
          <w:i w:val="0"/>
          <w:sz w:val="22"/>
        </w:rPr>
        <w:t>Eligible for all faculty development opportunities including:</w:t>
      </w:r>
    </w:p>
    <w:p>
      <w:pPr>
        <w:pStyle w:val="ListBullet2"/>
        <w:spacing w:line="276" w:lineRule="auto"/>
        <w:ind w:left="1020"/>
      </w:pPr>
      <w:r>
        <w:rPr>
          <w:rFonts w:ascii="Cambria" w:hAnsi="Cambria"/>
          <w:b w:val="0"/>
          <w:i w:val="0"/>
          <w:sz w:val="22"/>
        </w:rPr>
        <w:t>Faculty Development Programs (FDPs)</w:t>
      </w:r>
    </w:p>
    <w:p>
      <w:pPr>
        <w:pStyle w:val="ListBullet2"/>
        <w:spacing w:line="276" w:lineRule="auto"/>
        <w:ind w:left="1020"/>
      </w:pPr>
      <w:r>
        <w:rPr>
          <w:rFonts w:ascii="Cambria" w:hAnsi="Cambria"/>
          <w:b w:val="0"/>
          <w:i w:val="0"/>
          <w:sz w:val="22"/>
        </w:rPr>
        <w:t>Faculty Exchange Programs (National / International)</w:t>
      </w:r>
    </w:p>
    <w:p>
      <w:pPr>
        <w:pStyle w:val="ListBullet2"/>
        <w:spacing w:line="276" w:lineRule="auto"/>
        <w:ind w:left="1020"/>
      </w:pPr>
      <w:r>
        <w:rPr>
          <w:rFonts w:ascii="Cambria" w:hAnsi="Cambria"/>
          <w:b w:val="0"/>
          <w:i w:val="0"/>
          <w:sz w:val="22"/>
        </w:rPr>
        <w:t>Sabbatical Leave and Research Fellowship Programs</w:t>
      </w:r>
    </w:p>
    <w:p>
      <w:pPr>
        <w:pStyle w:val="ListBullet2"/>
        <w:spacing w:line="276" w:lineRule="auto"/>
        <w:ind w:left="1020"/>
      </w:pPr>
      <w:r>
        <w:rPr>
          <w:rFonts w:ascii="Cambria" w:hAnsi="Cambria"/>
          <w:b w:val="0"/>
          <w:i w:val="0"/>
          <w:sz w:val="22"/>
        </w:rPr>
        <w:t>Industrial Training or Consultancy Attachments</w:t>
      </w:r>
    </w:p>
    <w:p>
      <w:pPr>
        <w:pStyle w:val="ListBullet2"/>
        <w:spacing w:line="276" w:lineRule="auto"/>
        <w:ind w:left="1020"/>
      </w:pPr>
      <w:r>
        <w:rPr>
          <w:rFonts w:ascii="Cambria" w:hAnsi="Cambria"/>
          <w:b w:val="0"/>
          <w:i w:val="0"/>
          <w:sz w:val="22"/>
        </w:rPr>
        <w:t>Online Professional Certifications (SWAYAM, MOOCs, Coursera, etc.)</w:t>
      </w:r>
    </w:p>
    <w:p>
      <w:pPr>
        <w:keepNext/>
        <w:spacing w:before="200" w:after="120"/>
      </w:pPr>
      <w:r>
        <w:rPr>
          <w:rFonts w:ascii="Cambria" w:hAnsi="Cambria"/>
          <w:b/>
          <w:color w:val="1F3A5F"/>
          <w:sz w:val="24"/>
        </w:rPr>
        <w:t>III. Faculty Development Programs (FDPs)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927"/>
            <w:shd w:val="clear" w:color="auto" w:fill="1F3A5F"/>
          </w:tcPr>
          <w:p>
            <w:pPr>
              <w:spacing w:after="40" w:before="40"/>
            </w:pPr>
            <w:r/>
            <w:r>
              <w:rPr>
                <w:rFonts w:ascii="Cambria" w:hAnsi="Cambria"/>
                <w:b/>
                <w:i w:val="0"/>
                <w:color w:val="FFFFFF"/>
                <w:sz w:val="22"/>
              </w:rPr>
              <w:t>Type</w:t>
            </w:r>
          </w:p>
        </w:tc>
        <w:tc>
          <w:tcPr>
            <w:tcW w:type="dxa" w:w="3402"/>
            <w:shd w:val="clear" w:color="auto" w:fill="1F3A5F"/>
          </w:tcPr>
          <w:p>
            <w:pPr>
              <w:spacing w:after="40" w:before="40"/>
            </w:pPr>
            <w:r/>
            <w:r>
              <w:rPr>
                <w:rFonts w:ascii="Cambria" w:hAnsi="Cambria"/>
                <w:b/>
                <w:i w:val="0"/>
                <w:color w:val="FFFFFF"/>
                <w:sz w:val="22"/>
              </w:rPr>
              <w:t>Objective</w:t>
            </w:r>
          </w:p>
        </w:tc>
        <w:tc>
          <w:tcPr>
            <w:tcW w:type="dxa" w:w="1814"/>
            <w:shd w:val="clear" w:color="auto" w:fill="1F3A5F"/>
          </w:tcPr>
          <w:p>
            <w:pPr>
              <w:spacing w:after="40" w:before="40"/>
            </w:pPr>
            <w:r/>
            <w:r>
              <w:rPr>
                <w:rFonts w:ascii="Cambria" w:hAnsi="Cambria"/>
                <w:b/>
                <w:i w:val="0"/>
                <w:color w:val="FFFFFF"/>
                <w:sz w:val="22"/>
              </w:rPr>
              <w:t>Frequency / Duration</w:t>
            </w:r>
          </w:p>
        </w:tc>
        <w:tc>
          <w:tcPr>
            <w:tcW w:type="dxa" w:w="1927"/>
            <w:shd w:val="clear" w:color="auto" w:fill="1F3A5F"/>
          </w:tcPr>
          <w:p>
            <w:pPr>
              <w:spacing w:after="40" w:before="40"/>
            </w:pPr>
            <w:r/>
            <w:r>
              <w:rPr>
                <w:rFonts w:ascii="Cambria" w:hAnsi="Cambria"/>
                <w:b/>
                <w:i w:val="0"/>
                <w:color w:val="FFFFFF"/>
                <w:sz w:val="22"/>
              </w:rPr>
              <w:t>Funding Support</w:t>
            </w:r>
          </w:p>
        </w:tc>
      </w:tr>
      <w:tr>
        <w:tc>
          <w:tcPr>
            <w:tcW w:type="dxa" w:w="1927"/>
          </w:tcPr>
          <w:p>
            <w:pPr>
              <w:spacing w:after="40" w:before="40"/>
            </w:pPr>
            <w:r/>
            <w:r>
              <w:rPr>
                <w:rFonts w:ascii="Cambria" w:hAnsi="Cambria"/>
                <w:b w:val="0"/>
                <w:i w:val="0"/>
                <w:sz w:val="22"/>
              </w:rPr>
              <w:t>Orientation Program</w:t>
            </w:r>
          </w:p>
        </w:tc>
        <w:tc>
          <w:tcPr>
            <w:tcW w:type="dxa" w:w="3402"/>
          </w:tcPr>
          <w:p>
            <w:pPr>
              <w:spacing w:after="40" w:before="40"/>
            </w:pPr>
            <w:r/>
            <w:r>
              <w:rPr>
                <w:rFonts w:ascii="Cambria" w:hAnsi="Cambria"/>
                <w:b w:val="0"/>
                <w:i w:val="0"/>
                <w:sz w:val="22"/>
              </w:rPr>
              <w:t>For newly recruited faculty; focuses on institutional goals, ethics, and pedagogy.</w:t>
            </w:r>
          </w:p>
        </w:tc>
        <w:tc>
          <w:tcPr>
            <w:tcW w:type="dxa" w:w="1814"/>
          </w:tcPr>
          <w:p>
            <w:pPr>
              <w:spacing w:after="40" w:before="40"/>
            </w:pPr>
            <w:r/>
            <w:r>
              <w:rPr>
                <w:rFonts w:ascii="Cambria" w:hAnsi="Cambria"/>
                <w:b w:val="0"/>
                <w:i w:val="0"/>
                <w:sz w:val="22"/>
              </w:rPr>
              <w:t>Within 6 months of joining</w:t>
            </w:r>
          </w:p>
        </w:tc>
        <w:tc>
          <w:tcPr>
            <w:tcW w:type="dxa" w:w="1927"/>
          </w:tcPr>
          <w:p>
            <w:pPr>
              <w:spacing w:after="40" w:before="40"/>
            </w:pPr>
            <w:r/>
            <w:r>
              <w:rPr>
                <w:rFonts w:ascii="Cambria" w:hAnsi="Cambria"/>
                <w:b w:val="0"/>
                <w:i w:val="0"/>
                <w:sz w:val="22"/>
              </w:rPr>
              <w:t>Institution Sponsored</w:t>
            </w:r>
          </w:p>
        </w:tc>
      </w:tr>
      <w:tr>
        <w:tc>
          <w:tcPr>
            <w:tcW w:type="dxa" w:w="1927"/>
            <w:shd w:val="clear" w:color="auto" w:fill="F0F2F5"/>
          </w:tcPr>
          <w:p>
            <w:pPr>
              <w:spacing w:after="40" w:before="40"/>
            </w:pPr>
            <w:r/>
            <w:r>
              <w:rPr>
                <w:rFonts w:ascii="Cambria" w:hAnsi="Cambria"/>
                <w:b w:val="0"/>
                <w:i w:val="0"/>
                <w:sz w:val="22"/>
              </w:rPr>
              <w:t>Refresher Course</w:t>
            </w:r>
          </w:p>
        </w:tc>
        <w:tc>
          <w:tcPr>
            <w:tcW w:type="dxa" w:w="3402"/>
            <w:shd w:val="clear" w:color="auto" w:fill="F0F2F5"/>
          </w:tcPr>
          <w:p>
            <w:pPr>
              <w:spacing w:after="40" w:before="40"/>
            </w:pPr>
            <w:r/>
            <w:r>
              <w:rPr>
                <w:rFonts w:ascii="Cambria" w:hAnsi="Cambria"/>
                <w:b w:val="0"/>
                <w:i w:val="0"/>
                <w:sz w:val="22"/>
              </w:rPr>
              <w:t>Update domain knowledge and pedagogical innovation.</w:t>
            </w:r>
          </w:p>
        </w:tc>
        <w:tc>
          <w:tcPr>
            <w:tcW w:type="dxa" w:w="1814"/>
            <w:shd w:val="clear" w:color="auto" w:fill="F0F2F5"/>
          </w:tcPr>
          <w:p>
            <w:pPr>
              <w:spacing w:after="40" w:before="40"/>
            </w:pPr>
            <w:r/>
            <w:r>
              <w:rPr>
                <w:rFonts w:ascii="Cambria" w:hAnsi="Cambria"/>
                <w:b w:val="0"/>
                <w:i w:val="0"/>
                <w:sz w:val="22"/>
              </w:rPr>
              <w:t>Once every 2 years</w:t>
            </w:r>
          </w:p>
        </w:tc>
        <w:tc>
          <w:tcPr>
            <w:tcW w:type="dxa" w:w="1927"/>
            <w:shd w:val="clear" w:color="auto" w:fill="F0F2F5"/>
          </w:tcPr>
          <w:p>
            <w:pPr>
              <w:spacing w:after="40" w:before="40"/>
            </w:pPr>
            <w:r/>
            <w:r>
              <w:rPr>
                <w:rFonts w:ascii="Cambria" w:hAnsi="Cambria"/>
                <w:b w:val="0"/>
                <w:i w:val="0"/>
                <w:sz w:val="22"/>
              </w:rPr>
              <w:t>Institution / AICTE / UGC</w:t>
            </w:r>
          </w:p>
        </w:tc>
      </w:tr>
      <w:tr>
        <w:tc>
          <w:tcPr>
            <w:tcW w:type="dxa" w:w="1927"/>
          </w:tcPr>
          <w:p>
            <w:pPr>
              <w:spacing w:after="40" w:before="40"/>
            </w:pPr>
            <w:r/>
            <w:r>
              <w:rPr>
                <w:rFonts w:ascii="Cambria" w:hAnsi="Cambria"/>
                <w:b w:val="0"/>
                <w:i w:val="0"/>
                <w:sz w:val="22"/>
              </w:rPr>
              <w:t>FDP on Research &amp; Innovation</w:t>
            </w:r>
          </w:p>
        </w:tc>
        <w:tc>
          <w:tcPr>
            <w:tcW w:type="dxa" w:w="3402"/>
          </w:tcPr>
          <w:p>
            <w:pPr>
              <w:spacing w:after="40" w:before="40"/>
            </w:pPr>
            <w:r/>
            <w:r>
              <w:rPr>
                <w:rFonts w:ascii="Cambria" w:hAnsi="Cambria"/>
                <w:b w:val="0"/>
                <w:i w:val="0"/>
                <w:sz w:val="22"/>
              </w:rPr>
              <w:t>Enhance research capability, proposal writing, publication ethics.</w:t>
            </w:r>
          </w:p>
        </w:tc>
        <w:tc>
          <w:tcPr>
            <w:tcW w:type="dxa" w:w="1814"/>
          </w:tcPr>
          <w:p>
            <w:pPr>
              <w:spacing w:after="40" w:before="40"/>
            </w:pPr>
            <w:r/>
            <w:r>
              <w:rPr>
                <w:rFonts w:ascii="Cambria" w:hAnsi="Cambria"/>
                <w:b w:val="0"/>
                <w:i w:val="0"/>
                <w:sz w:val="22"/>
              </w:rPr>
              <w:t>Once every 2 years</w:t>
            </w:r>
          </w:p>
        </w:tc>
        <w:tc>
          <w:tcPr>
            <w:tcW w:type="dxa" w:w="1927"/>
          </w:tcPr>
          <w:p>
            <w:pPr>
              <w:spacing w:after="40" w:before="40"/>
            </w:pPr>
            <w:r/>
            <w:r>
              <w:rPr>
                <w:rFonts w:ascii="Cambria" w:hAnsi="Cambria"/>
                <w:b w:val="0"/>
                <w:i w:val="0"/>
                <w:sz w:val="22"/>
              </w:rPr>
              <w:t>R&amp;D Cell / External Grants</w:t>
            </w:r>
          </w:p>
        </w:tc>
      </w:tr>
      <w:tr>
        <w:tc>
          <w:tcPr>
            <w:tcW w:type="dxa" w:w="1927"/>
            <w:shd w:val="clear" w:color="auto" w:fill="F0F2F5"/>
          </w:tcPr>
          <w:p>
            <w:pPr>
              <w:spacing w:after="40" w:before="40"/>
            </w:pPr>
            <w:r/>
            <w:r>
              <w:rPr>
                <w:rFonts w:ascii="Cambria" w:hAnsi="Cambria"/>
                <w:b w:val="0"/>
                <w:i w:val="0"/>
                <w:sz w:val="22"/>
              </w:rPr>
              <w:t>ICT and E-Learning FDPs</w:t>
            </w:r>
          </w:p>
        </w:tc>
        <w:tc>
          <w:tcPr>
            <w:tcW w:type="dxa" w:w="3402"/>
            <w:shd w:val="clear" w:color="auto" w:fill="F0F2F5"/>
          </w:tcPr>
          <w:p>
            <w:pPr>
              <w:spacing w:after="40" w:before="40"/>
            </w:pPr>
            <w:r/>
            <w:r>
              <w:rPr>
                <w:rFonts w:ascii="Cambria" w:hAnsi="Cambria"/>
                <w:b w:val="0"/>
                <w:i w:val="0"/>
                <w:sz w:val="22"/>
              </w:rPr>
              <w:t>Training on digital tools, AI in education, blended learning.</w:t>
            </w:r>
          </w:p>
        </w:tc>
        <w:tc>
          <w:tcPr>
            <w:tcW w:type="dxa" w:w="1814"/>
            <w:shd w:val="clear" w:color="auto" w:fill="F0F2F5"/>
          </w:tcPr>
          <w:p>
            <w:pPr>
              <w:spacing w:after="40" w:before="40"/>
            </w:pPr>
            <w:r/>
            <w:r>
              <w:rPr>
                <w:rFonts w:ascii="Cambria" w:hAnsi="Cambria"/>
                <w:b w:val="0"/>
                <w:i w:val="0"/>
                <w:sz w:val="22"/>
              </w:rPr>
              <w:t>Annual</w:t>
            </w:r>
          </w:p>
        </w:tc>
        <w:tc>
          <w:tcPr>
            <w:tcW w:type="dxa" w:w="1927"/>
            <w:shd w:val="clear" w:color="auto" w:fill="F0F2F5"/>
          </w:tcPr>
          <w:p>
            <w:pPr>
              <w:spacing w:after="40" w:before="40"/>
            </w:pPr>
            <w:r/>
            <w:r>
              <w:rPr>
                <w:rFonts w:ascii="Cambria" w:hAnsi="Cambria"/>
                <w:b w:val="0"/>
                <w:i w:val="0"/>
                <w:sz w:val="22"/>
              </w:rPr>
              <w:t>IQAC / HRDC</w:t>
            </w:r>
          </w:p>
        </w:tc>
      </w:tr>
      <w:tr>
        <w:tc>
          <w:tcPr>
            <w:tcW w:type="dxa" w:w="1927"/>
          </w:tcPr>
          <w:p>
            <w:pPr>
              <w:spacing w:after="40" w:before="40"/>
            </w:pPr>
            <w:r/>
            <w:r>
              <w:rPr>
                <w:rFonts w:ascii="Cambria" w:hAnsi="Cambria"/>
                <w:b w:val="0"/>
                <w:i w:val="0"/>
                <w:sz w:val="22"/>
              </w:rPr>
              <w:t>Leadership &amp; Administration FDPs</w:t>
            </w:r>
          </w:p>
        </w:tc>
        <w:tc>
          <w:tcPr>
            <w:tcW w:type="dxa" w:w="3402"/>
          </w:tcPr>
          <w:p>
            <w:pPr>
              <w:spacing w:after="40" w:before="40"/>
            </w:pPr>
            <w:r/>
            <w:r>
              <w:rPr>
                <w:rFonts w:ascii="Cambria" w:hAnsi="Cambria"/>
                <w:b w:val="0"/>
                <w:i w:val="0"/>
                <w:sz w:val="22"/>
              </w:rPr>
              <w:t>Groom future academic leaders and administrators.</w:t>
            </w:r>
          </w:p>
        </w:tc>
        <w:tc>
          <w:tcPr>
            <w:tcW w:type="dxa" w:w="1814"/>
          </w:tcPr>
          <w:p>
            <w:pPr>
              <w:spacing w:after="40" w:before="40"/>
            </w:pPr>
            <w:r/>
            <w:r>
              <w:rPr>
                <w:rFonts w:ascii="Cambria" w:hAnsi="Cambria"/>
                <w:b w:val="0"/>
                <w:i w:val="0"/>
                <w:sz w:val="22"/>
              </w:rPr>
              <w:t>Biennial</w:t>
            </w:r>
          </w:p>
        </w:tc>
        <w:tc>
          <w:tcPr>
            <w:tcW w:type="dxa" w:w="1927"/>
          </w:tcPr>
          <w:p>
            <w:pPr>
              <w:spacing w:after="40" w:before="40"/>
            </w:pPr>
            <w:r/>
            <w:r>
              <w:rPr>
                <w:rFonts w:ascii="Cambria" w:hAnsi="Cambria"/>
                <w:b w:val="0"/>
                <w:i w:val="0"/>
                <w:sz w:val="22"/>
              </w:rPr>
              <w:t>University HRD Cell</w:t>
            </w:r>
          </w:p>
        </w:tc>
      </w:tr>
      <w:tr>
        <w:tc>
          <w:tcPr>
            <w:tcW w:type="dxa" w:w="1927"/>
            <w:shd w:val="clear" w:color="auto" w:fill="F0F2F5"/>
          </w:tcPr>
          <w:p>
            <w:pPr>
              <w:spacing w:after="40" w:before="40"/>
            </w:pPr>
            <w:r/>
            <w:r>
              <w:rPr>
                <w:rFonts w:ascii="Cambria" w:hAnsi="Cambria"/>
                <w:b w:val="0"/>
                <w:i w:val="0"/>
                <w:sz w:val="22"/>
              </w:rPr>
              <w:t>Industry Immersion / FDP with Industry</w:t>
            </w:r>
          </w:p>
        </w:tc>
        <w:tc>
          <w:tcPr>
            <w:tcW w:type="dxa" w:w="3402"/>
            <w:shd w:val="clear" w:color="auto" w:fill="F0F2F5"/>
          </w:tcPr>
          <w:p>
            <w:pPr>
              <w:spacing w:after="40" w:before="40"/>
            </w:pPr>
            <w:r/>
            <w:r>
              <w:rPr>
                <w:rFonts w:ascii="Cambria" w:hAnsi="Cambria"/>
                <w:b w:val="0"/>
                <w:i w:val="0"/>
                <w:sz w:val="22"/>
              </w:rPr>
              <w:t>Practical exposure to industry processes and project-based learning.</w:t>
            </w:r>
          </w:p>
        </w:tc>
        <w:tc>
          <w:tcPr>
            <w:tcW w:type="dxa" w:w="1814"/>
            <w:shd w:val="clear" w:color="auto" w:fill="F0F2F5"/>
          </w:tcPr>
          <w:p>
            <w:pPr>
              <w:spacing w:after="40" w:before="40"/>
            </w:pPr>
            <w:r/>
            <w:r>
              <w:rPr>
                <w:rFonts w:ascii="Cambria" w:hAnsi="Cambria"/>
                <w:b w:val="0"/>
                <w:i w:val="0"/>
                <w:sz w:val="22"/>
              </w:rPr>
              <w:t>Short-term (1–4 weeks)</w:t>
            </w:r>
          </w:p>
        </w:tc>
        <w:tc>
          <w:tcPr>
            <w:tcW w:type="dxa" w:w="1927"/>
            <w:shd w:val="clear" w:color="auto" w:fill="F0F2F5"/>
          </w:tcPr>
          <w:p>
            <w:pPr>
              <w:spacing w:after="40" w:before="40"/>
            </w:pPr>
            <w:r/>
            <w:r>
              <w:rPr>
                <w:rFonts w:ascii="Cambria" w:hAnsi="Cambria"/>
                <w:b w:val="0"/>
                <w:i w:val="0"/>
                <w:sz w:val="22"/>
              </w:rPr>
              <w:t>Industry Sponsored</w:t>
            </w:r>
          </w:p>
        </w:tc>
      </w:tr>
    </w:tbl>
    <w:p>
      <w:pPr>
        <w:spacing w:after="40"/>
      </w:pPr>
    </w:p>
    <w:p>
      <w:pPr>
        <w:keepNext/>
        <w:spacing w:before="200" w:after="120"/>
      </w:pPr>
      <w:r>
        <w:rPr>
          <w:rFonts w:ascii="Cambria" w:hAnsi="Cambria"/>
          <w:b/>
          <w:color w:val="1F3A5F"/>
          <w:sz w:val="24"/>
        </w:rPr>
        <w:t>IV. Faculty Exchange Programs</w:t>
      </w:r>
    </w:p>
    <w:p>
      <w:pPr>
        <w:keepNext/>
        <w:spacing w:before="200" w:after="120"/>
      </w:pPr>
      <w:r>
        <w:rPr>
          <w:rFonts w:ascii="Cambria" w:hAnsi="Cambria"/>
          <w:b/>
          <w:color w:val="1F3A5F"/>
          <w:sz w:val="24"/>
        </w:rPr>
        <w:t>1. Purpose</w:t>
      </w:r>
    </w:p>
    <w:p>
      <w:pPr>
        <w:pStyle w:val="ListBullet"/>
        <w:spacing w:line="276" w:lineRule="auto"/>
        <w:ind w:left="510"/>
      </w:pPr>
      <w:r>
        <w:rPr>
          <w:rFonts w:ascii="Cambria" w:hAnsi="Cambria"/>
          <w:b w:val="0"/>
          <w:i w:val="0"/>
          <w:sz w:val="22"/>
        </w:rPr>
        <w:t>Promote cross-institutional academic collaboration, knowledge transfer, and intercultural competence.</w:t>
      </w:r>
    </w:p>
    <w:p>
      <w:pPr>
        <w:pStyle w:val="ListBullet"/>
        <w:spacing w:line="276" w:lineRule="auto"/>
        <w:ind w:left="510"/>
      </w:pPr>
      <w:r>
        <w:rPr>
          <w:rFonts w:ascii="Cambria" w:hAnsi="Cambria"/>
          <w:b w:val="0"/>
          <w:i w:val="0"/>
          <w:sz w:val="22"/>
        </w:rPr>
        <w:t>Encourage joint research, teaching assignments, and curriculum development.</w:t>
      </w:r>
    </w:p>
    <w:p>
      <w:pPr>
        <w:keepNext/>
        <w:spacing w:before="200" w:after="120"/>
      </w:pPr>
      <w:r>
        <w:rPr>
          <w:rFonts w:ascii="Cambria" w:hAnsi="Cambria"/>
          <w:b/>
          <w:color w:val="1F3A5F"/>
          <w:sz w:val="24"/>
        </w:rPr>
        <w:t>2. Types of Exchanges</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927"/>
            <w:shd w:val="clear" w:color="auto" w:fill="1F3A5F"/>
          </w:tcPr>
          <w:p>
            <w:pPr>
              <w:spacing w:after="40" w:before="40"/>
            </w:pPr>
            <w:r/>
            <w:r>
              <w:rPr>
                <w:rFonts w:ascii="Cambria" w:hAnsi="Cambria"/>
                <w:b/>
                <w:i w:val="0"/>
                <w:color w:val="FFFFFF"/>
                <w:sz w:val="22"/>
              </w:rPr>
              <w:t>Category</w:t>
            </w:r>
          </w:p>
        </w:tc>
        <w:tc>
          <w:tcPr>
            <w:tcW w:type="dxa" w:w="2608"/>
            <w:shd w:val="clear" w:color="auto" w:fill="1F3A5F"/>
          </w:tcPr>
          <w:p>
            <w:pPr>
              <w:spacing w:after="40" w:before="40"/>
            </w:pPr>
            <w:r/>
            <w:r>
              <w:rPr>
                <w:rFonts w:ascii="Cambria" w:hAnsi="Cambria"/>
                <w:b/>
                <w:i w:val="0"/>
                <w:color w:val="FFFFFF"/>
                <w:sz w:val="22"/>
              </w:rPr>
              <w:t>Partner Type</w:t>
            </w:r>
          </w:p>
        </w:tc>
        <w:tc>
          <w:tcPr>
            <w:tcW w:type="dxa" w:w="1814"/>
            <w:shd w:val="clear" w:color="auto" w:fill="1F3A5F"/>
          </w:tcPr>
          <w:p>
            <w:pPr>
              <w:spacing w:after="40" w:before="40"/>
            </w:pPr>
            <w:r/>
            <w:r>
              <w:rPr>
                <w:rFonts w:ascii="Cambria" w:hAnsi="Cambria"/>
                <w:b/>
                <w:i w:val="0"/>
                <w:color w:val="FFFFFF"/>
                <w:sz w:val="22"/>
              </w:rPr>
              <w:t>Duration</w:t>
            </w:r>
          </w:p>
        </w:tc>
        <w:tc>
          <w:tcPr>
            <w:tcW w:type="dxa" w:w="2721"/>
            <w:shd w:val="clear" w:color="auto" w:fill="1F3A5F"/>
          </w:tcPr>
          <w:p>
            <w:pPr>
              <w:spacing w:after="40" w:before="40"/>
            </w:pPr>
            <w:r/>
            <w:r>
              <w:rPr>
                <w:rFonts w:ascii="Cambria" w:hAnsi="Cambria"/>
                <w:b/>
                <w:i w:val="0"/>
                <w:color w:val="FFFFFF"/>
                <w:sz w:val="22"/>
              </w:rPr>
              <w:t>Examples</w:t>
            </w:r>
          </w:p>
        </w:tc>
      </w:tr>
      <w:tr>
        <w:tc>
          <w:tcPr>
            <w:tcW w:type="dxa" w:w="1927"/>
          </w:tcPr>
          <w:p>
            <w:pPr>
              <w:spacing w:after="40" w:before="40"/>
            </w:pPr>
            <w:r/>
            <w:r>
              <w:rPr>
                <w:rFonts w:ascii="Cambria" w:hAnsi="Cambria"/>
                <w:b w:val="0"/>
                <w:i w:val="0"/>
                <w:sz w:val="22"/>
              </w:rPr>
              <w:t>National Exchange</w:t>
            </w:r>
          </w:p>
        </w:tc>
        <w:tc>
          <w:tcPr>
            <w:tcW w:type="dxa" w:w="2608"/>
          </w:tcPr>
          <w:p>
            <w:pPr>
              <w:spacing w:after="40" w:before="40"/>
            </w:pPr>
            <w:r/>
            <w:r>
              <w:rPr>
                <w:rFonts w:ascii="Cambria" w:hAnsi="Cambria"/>
                <w:b w:val="0"/>
                <w:i w:val="0"/>
                <w:sz w:val="22"/>
              </w:rPr>
              <w:t>IITs, NITs, Central/State Universities</w:t>
            </w:r>
          </w:p>
        </w:tc>
        <w:tc>
          <w:tcPr>
            <w:tcW w:type="dxa" w:w="1814"/>
          </w:tcPr>
          <w:p>
            <w:pPr>
              <w:spacing w:after="40" w:before="40"/>
            </w:pPr>
            <w:r/>
            <w:r>
              <w:rPr>
                <w:rFonts w:ascii="Cambria" w:hAnsi="Cambria"/>
                <w:b w:val="0"/>
                <w:i w:val="0"/>
                <w:sz w:val="22"/>
              </w:rPr>
              <w:t>1–6 months</w:t>
            </w:r>
          </w:p>
        </w:tc>
        <w:tc>
          <w:tcPr>
            <w:tcW w:type="dxa" w:w="2721"/>
          </w:tcPr>
          <w:p>
            <w:pPr>
              <w:spacing w:after="40" w:before="40"/>
            </w:pPr>
            <w:r/>
            <w:r>
              <w:rPr>
                <w:rFonts w:ascii="Cambria" w:hAnsi="Cambria"/>
                <w:b w:val="0"/>
                <w:i w:val="0"/>
                <w:sz w:val="22"/>
              </w:rPr>
              <w:t>AICTE QIP, NPTEL partnerships</w:t>
            </w:r>
          </w:p>
        </w:tc>
      </w:tr>
      <w:tr>
        <w:tc>
          <w:tcPr>
            <w:tcW w:type="dxa" w:w="1927"/>
            <w:shd w:val="clear" w:color="auto" w:fill="F0F2F5"/>
          </w:tcPr>
          <w:p>
            <w:pPr>
              <w:spacing w:after="40" w:before="40"/>
            </w:pPr>
            <w:r/>
            <w:r>
              <w:rPr>
                <w:rFonts w:ascii="Cambria" w:hAnsi="Cambria"/>
                <w:b w:val="0"/>
                <w:i w:val="0"/>
                <w:sz w:val="22"/>
              </w:rPr>
              <w:t>International Exchange</w:t>
            </w:r>
          </w:p>
        </w:tc>
        <w:tc>
          <w:tcPr>
            <w:tcW w:type="dxa" w:w="2608"/>
            <w:shd w:val="clear" w:color="auto" w:fill="F0F2F5"/>
          </w:tcPr>
          <w:p>
            <w:pPr>
              <w:spacing w:after="40" w:before="40"/>
            </w:pPr>
            <w:r/>
            <w:r>
              <w:rPr>
                <w:rFonts w:ascii="Cambria" w:hAnsi="Cambria"/>
                <w:b w:val="0"/>
                <w:i w:val="0"/>
                <w:sz w:val="22"/>
              </w:rPr>
              <w:t>MoU-based institutions abroad</w:t>
            </w:r>
          </w:p>
        </w:tc>
        <w:tc>
          <w:tcPr>
            <w:tcW w:type="dxa" w:w="1814"/>
            <w:shd w:val="clear" w:color="auto" w:fill="F0F2F5"/>
          </w:tcPr>
          <w:p>
            <w:pPr>
              <w:spacing w:after="40" w:before="40"/>
            </w:pPr>
            <w:r/>
            <w:r>
              <w:rPr>
                <w:rFonts w:ascii="Cambria" w:hAnsi="Cambria"/>
                <w:b w:val="0"/>
                <w:i w:val="0"/>
                <w:sz w:val="22"/>
              </w:rPr>
              <w:t>1 semester–1 year</w:t>
            </w:r>
          </w:p>
        </w:tc>
        <w:tc>
          <w:tcPr>
            <w:tcW w:type="dxa" w:w="2721"/>
            <w:shd w:val="clear" w:color="auto" w:fill="F0F2F5"/>
          </w:tcPr>
          <w:p>
            <w:pPr>
              <w:spacing w:after="40" w:before="40"/>
            </w:pPr>
            <w:r/>
            <w:r>
              <w:rPr>
                <w:rFonts w:ascii="Cambria" w:hAnsi="Cambria"/>
                <w:b w:val="0"/>
                <w:i w:val="0"/>
                <w:sz w:val="22"/>
              </w:rPr>
              <w:t>Erasmus+, DAAD, Fulbright</w:t>
            </w:r>
          </w:p>
        </w:tc>
      </w:tr>
      <w:tr>
        <w:tc>
          <w:tcPr>
            <w:tcW w:type="dxa" w:w="1927"/>
          </w:tcPr>
          <w:p>
            <w:pPr>
              <w:spacing w:after="40" w:before="40"/>
            </w:pPr>
            <w:r/>
            <w:r>
              <w:rPr>
                <w:rFonts w:ascii="Cambria" w:hAnsi="Cambria"/>
                <w:b w:val="0"/>
                <w:i w:val="0"/>
                <w:sz w:val="22"/>
              </w:rPr>
              <w:t>Industry Exchange</w:t>
            </w:r>
          </w:p>
        </w:tc>
        <w:tc>
          <w:tcPr>
            <w:tcW w:type="dxa" w:w="2608"/>
          </w:tcPr>
          <w:p>
            <w:pPr>
              <w:spacing w:after="40" w:before="40"/>
            </w:pPr>
            <w:r/>
            <w:r>
              <w:rPr>
                <w:rFonts w:ascii="Cambria" w:hAnsi="Cambria"/>
                <w:b w:val="0"/>
                <w:i w:val="0"/>
                <w:sz w:val="22"/>
              </w:rPr>
              <w:t>Corporate R&amp;D units, Labs</w:t>
            </w:r>
          </w:p>
        </w:tc>
        <w:tc>
          <w:tcPr>
            <w:tcW w:type="dxa" w:w="1814"/>
          </w:tcPr>
          <w:p>
            <w:pPr>
              <w:spacing w:after="40" w:before="40"/>
            </w:pPr>
            <w:r/>
            <w:r>
              <w:rPr>
                <w:rFonts w:ascii="Cambria" w:hAnsi="Cambria"/>
                <w:b w:val="0"/>
                <w:i w:val="0"/>
                <w:sz w:val="22"/>
              </w:rPr>
              <w:t>1–3 months</w:t>
            </w:r>
          </w:p>
        </w:tc>
        <w:tc>
          <w:tcPr>
            <w:tcW w:type="dxa" w:w="2721"/>
          </w:tcPr>
          <w:p>
            <w:pPr>
              <w:spacing w:after="40" w:before="40"/>
            </w:pPr>
            <w:r/>
            <w:r>
              <w:rPr>
                <w:rFonts w:ascii="Cambria" w:hAnsi="Cambria"/>
                <w:b w:val="0"/>
                <w:i w:val="0"/>
                <w:sz w:val="22"/>
              </w:rPr>
              <w:t>Industry collaboration projects</w:t>
            </w:r>
          </w:p>
        </w:tc>
      </w:tr>
    </w:tbl>
    <w:p>
      <w:pPr>
        <w:spacing w:after="40"/>
      </w:pPr>
    </w:p>
    <w:p>
      <w:pPr>
        <w:keepNext/>
        <w:spacing w:before="200" w:after="120"/>
      </w:pPr>
      <w:r>
        <w:rPr>
          <w:rFonts w:ascii="Cambria" w:hAnsi="Cambria"/>
          <w:b/>
          <w:color w:val="1F3A5F"/>
          <w:sz w:val="24"/>
        </w:rPr>
        <w:t>3. Eligibility and Conditions</w:t>
      </w:r>
    </w:p>
    <w:p>
      <w:pPr>
        <w:pStyle w:val="ListBullet"/>
        <w:spacing w:line="276" w:lineRule="auto"/>
        <w:ind w:left="510"/>
      </w:pPr>
      <w:r>
        <w:rPr>
          <w:rFonts w:ascii="Cambria" w:hAnsi="Cambria"/>
          <w:b w:val="0"/>
          <w:i w:val="0"/>
          <w:sz w:val="22"/>
        </w:rPr>
        <w:t>Minimum 3 years of continuous service at the University.</w:t>
      </w:r>
    </w:p>
    <w:p>
      <w:pPr>
        <w:pStyle w:val="ListBullet"/>
        <w:spacing w:line="276" w:lineRule="auto"/>
        <w:ind w:left="510"/>
      </w:pPr>
      <w:r>
        <w:rPr>
          <w:rFonts w:ascii="Cambria" w:hAnsi="Cambria"/>
          <w:b w:val="0"/>
          <w:i w:val="0"/>
          <w:sz w:val="22"/>
        </w:rPr>
        <w:t>Approval required from HoD, Dean (Academics), and Registrar.</w:t>
      </w:r>
    </w:p>
    <w:p>
      <w:pPr>
        <w:pStyle w:val="ListBullet"/>
        <w:spacing w:line="276" w:lineRule="auto"/>
        <w:ind w:left="510"/>
      </w:pPr>
      <w:r>
        <w:rPr>
          <w:rFonts w:ascii="Cambria" w:hAnsi="Cambria"/>
          <w:b w:val="0"/>
          <w:i w:val="0"/>
          <w:sz w:val="22"/>
        </w:rPr>
        <w:t>Faculty must submit:</w:t>
      </w:r>
    </w:p>
    <w:p>
      <w:pPr>
        <w:pStyle w:val="ListBullet2"/>
        <w:spacing w:line="276" w:lineRule="auto"/>
        <w:ind w:left="1020"/>
      </w:pPr>
      <w:r>
        <w:rPr>
          <w:rFonts w:ascii="Cambria" w:hAnsi="Cambria"/>
          <w:b w:val="0"/>
          <w:i w:val="0"/>
          <w:sz w:val="22"/>
        </w:rPr>
        <w:t>A proposal and justification statement.</w:t>
      </w:r>
    </w:p>
    <w:p>
      <w:pPr>
        <w:pStyle w:val="ListBullet2"/>
        <w:spacing w:line="276" w:lineRule="auto"/>
        <w:ind w:left="1020"/>
      </w:pPr>
      <w:r>
        <w:rPr>
          <w:rFonts w:ascii="Cambria" w:hAnsi="Cambria"/>
          <w:b w:val="0"/>
          <w:i w:val="0"/>
          <w:sz w:val="22"/>
        </w:rPr>
        <w:t>A letter of invitation / acceptance from host institution.</w:t>
      </w:r>
    </w:p>
    <w:p>
      <w:pPr>
        <w:pStyle w:val="ListBullet2"/>
        <w:spacing w:line="276" w:lineRule="auto"/>
        <w:ind w:left="1020"/>
      </w:pPr>
      <w:r>
        <w:rPr>
          <w:rFonts w:ascii="Cambria" w:hAnsi="Cambria"/>
          <w:b w:val="0"/>
          <w:i w:val="0"/>
          <w:sz w:val="22"/>
        </w:rPr>
        <w:t>Detailed work plan and expected outcomes.</w:t>
      </w:r>
    </w:p>
    <w:p>
      <w:pPr>
        <w:pStyle w:val="ListBullet"/>
        <w:spacing w:line="276" w:lineRule="auto"/>
        <w:ind w:left="510"/>
      </w:pPr>
      <w:r>
        <w:rPr>
          <w:rFonts w:ascii="Cambria" w:hAnsi="Cambria"/>
          <w:b w:val="0"/>
          <w:i w:val="0"/>
          <w:sz w:val="22"/>
        </w:rPr>
        <w:t>Duty Leave / On-duty status will be granted during exchange participation.</w:t>
      </w:r>
    </w:p>
    <w:p>
      <w:pPr>
        <w:keepNext/>
        <w:spacing w:before="200" w:after="120"/>
      </w:pPr>
      <w:r>
        <w:rPr>
          <w:rFonts w:ascii="Cambria" w:hAnsi="Cambria"/>
          <w:b/>
          <w:color w:val="1F3A5F"/>
          <w:sz w:val="24"/>
        </w:rPr>
        <w:t>4. Post-Completion Requirement</w:t>
      </w:r>
    </w:p>
    <w:p>
      <w:pPr>
        <w:pStyle w:val="ListBullet"/>
        <w:spacing w:line="276" w:lineRule="auto"/>
        <w:ind w:left="510"/>
      </w:pPr>
      <w:r>
        <w:rPr>
          <w:rFonts w:ascii="Cambria" w:hAnsi="Cambria"/>
          <w:b w:val="0"/>
          <w:i w:val="0"/>
          <w:sz w:val="22"/>
        </w:rPr>
        <w:t>Submission of a completion report including outcomes, collaborations formed, and publications initiated.</w:t>
      </w:r>
    </w:p>
    <w:p>
      <w:pPr>
        <w:pStyle w:val="ListBullet"/>
        <w:spacing w:line="276" w:lineRule="auto"/>
        <w:ind w:left="510"/>
      </w:pPr>
      <w:r>
        <w:rPr>
          <w:rFonts w:ascii="Cambria" w:hAnsi="Cambria"/>
          <w:b w:val="0"/>
          <w:i w:val="0"/>
          <w:sz w:val="22"/>
        </w:rPr>
        <w:t>Presentation of experience in a Faculty Colloquium Session organized by IQAC.</w:t>
      </w:r>
    </w:p>
    <w:p>
      <w:pPr>
        <w:keepNext/>
        <w:spacing w:before="200" w:after="120"/>
      </w:pPr>
      <w:r>
        <w:rPr>
          <w:rFonts w:ascii="Cambria" w:hAnsi="Cambria"/>
          <w:b/>
          <w:color w:val="1F3A5F"/>
          <w:sz w:val="24"/>
        </w:rPr>
        <w:t>V. Sabbatical Leave Policy</w:t>
      </w:r>
    </w:p>
    <w:p>
      <w:pPr>
        <w:keepNext/>
        <w:spacing w:before="200" w:after="120"/>
      </w:pPr>
      <w:r>
        <w:rPr>
          <w:rFonts w:ascii="Cambria" w:hAnsi="Cambria"/>
          <w:b/>
          <w:color w:val="1F3A5F"/>
          <w:sz w:val="24"/>
        </w:rPr>
        <w:t>1. Purpose</w:t>
      </w:r>
    </w:p>
    <w:p>
      <w:pPr>
        <w:pStyle w:val="ListBullet"/>
        <w:spacing w:line="276" w:lineRule="auto"/>
        <w:ind w:left="510"/>
      </w:pPr>
      <w:r>
        <w:rPr>
          <w:rFonts w:ascii="Cambria" w:hAnsi="Cambria"/>
          <w:b w:val="0"/>
          <w:i w:val="0"/>
          <w:sz w:val="22"/>
        </w:rPr>
        <w:t>To provide faculty with the opportunity to engage in advanced research, higher studies, writing, or innovation projects that contribute to institutional growth and academic reputation.</w:t>
      </w:r>
    </w:p>
    <w:p>
      <w:pPr>
        <w:keepNext/>
        <w:spacing w:before="200" w:after="120"/>
      </w:pPr>
      <w:r>
        <w:rPr>
          <w:rFonts w:ascii="Cambria" w:hAnsi="Cambria"/>
          <w:b/>
          <w:color w:val="1F3A5F"/>
          <w:sz w:val="24"/>
        </w:rPr>
        <w:t>2. Eligibility Criteria</w:t>
      </w:r>
    </w:p>
    <w:p>
      <w:pPr>
        <w:pStyle w:val="ListBullet"/>
        <w:spacing w:line="276" w:lineRule="auto"/>
        <w:ind w:left="510"/>
      </w:pPr>
      <w:r>
        <w:rPr>
          <w:rFonts w:ascii="Cambria" w:hAnsi="Cambria"/>
          <w:b w:val="0"/>
          <w:i w:val="0"/>
          <w:sz w:val="22"/>
        </w:rPr>
        <w:t>Faculty members who have:</w:t>
      </w:r>
    </w:p>
    <w:p>
      <w:pPr>
        <w:pStyle w:val="ListBullet2"/>
        <w:spacing w:line="276" w:lineRule="auto"/>
        <w:ind w:left="1020"/>
      </w:pPr>
      <w:r>
        <w:rPr>
          <w:rFonts w:ascii="Cambria" w:hAnsi="Cambria"/>
          <w:b w:val="0"/>
          <w:i w:val="0"/>
          <w:sz w:val="22"/>
        </w:rPr>
        <w:t>Completed 6 years of continuous service as confirmed faculty.</w:t>
      </w:r>
    </w:p>
    <w:p>
      <w:pPr>
        <w:pStyle w:val="ListBullet2"/>
        <w:spacing w:line="276" w:lineRule="auto"/>
        <w:ind w:left="1020"/>
      </w:pPr>
      <w:r>
        <w:rPr>
          <w:rFonts w:ascii="Cambria" w:hAnsi="Cambria"/>
          <w:b w:val="0"/>
          <w:i w:val="0"/>
          <w:sz w:val="22"/>
        </w:rPr>
        <w:t>Minimum three consecutive performance appraisals rated as “Good” or above.</w:t>
      </w:r>
    </w:p>
    <w:p>
      <w:pPr>
        <w:pStyle w:val="ListBullet"/>
        <w:spacing w:line="276" w:lineRule="auto"/>
        <w:ind w:left="510"/>
      </w:pPr>
      <w:r>
        <w:rPr>
          <w:rFonts w:ascii="Cambria" w:hAnsi="Cambria"/>
          <w:b w:val="0"/>
          <w:i w:val="0"/>
          <w:sz w:val="22"/>
        </w:rPr>
        <w:t>Sabbatical may be availed once in every 7 years of service.</w:t>
      </w:r>
    </w:p>
    <w:p>
      <w:pPr>
        <w:keepNext/>
        <w:spacing w:before="200" w:after="120"/>
      </w:pPr>
      <w:r>
        <w:rPr>
          <w:rFonts w:ascii="Cambria" w:hAnsi="Cambria"/>
          <w:b/>
          <w:color w:val="1F3A5F"/>
          <w:sz w:val="24"/>
        </w:rPr>
        <w:t>3. Duration and Terms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Category</w:t>
            </w:r>
          </w:p>
        </w:tc>
        <w:tc>
          <w:tcPr>
            <w:tcW w:type="dxa" w:w="1701"/>
            <w:shd w:val="clear" w:color="auto" w:fill="1F3A5F"/>
          </w:tcPr>
          <w:p>
            <w:pPr>
              <w:spacing w:after="40" w:before="40"/>
            </w:pPr>
            <w:r/>
            <w:r>
              <w:rPr>
                <w:rFonts w:ascii="Cambria" w:hAnsi="Cambria"/>
                <w:b/>
                <w:i w:val="0"/>
                <w:color w:val="FFFFFF"/>
                <w:sz w:val="22"/>
              </w:rPr>
              <w:t>Duration</w:t>
            </w:r>
          </w:p>
        </w:tc>
        <w:tc>
          <w:tcPr>
            <w:tcW w:type="dxa" w:w="4762"/>
            <w:shd w:val="clear" w:color="auto" w:fill="1F3A5F"/>
          </w:tcPr>
          <w:p>
            <w:pPr>
              <w:spacing w:after="40" w:before="40"/>
            </w:pPr>
            <w:r/>
            <w:r>
              <w:rPr>
                <w:rFonts w:ascii="Cambria" w:hAnsi="Cambria"/>
                <w:b/>
                <w:i w:val="0"/>
                <w:color w:val="FFFFFF"/>
                <w:sz w:val="22"/>
              </w:rPr>
              <w:t>Conditions</w:t>
            </w:r>
          </w:p>
        </w:tc>
      </w:tr>
      <w:tr>
        <w:tc>
          <w:tcPr>
            <w:tcW w:type="dxa" w:w="2608"/>
          </w:tcPr>
          <w:p>
            <w:pPr>
              <w:spacing w:after="40" w:before="40"/>
            </w:pPr>
            <w:r/>
            <w:r>
              <w:rPr>
                <w:rFonts w:ascii="Cambria" w:hAnsi="Cambria"/>
                <w:b w:val="0"/>
                <w:i w:val="0"/>
                <w:sz w:val="22"/>
              </w:rPr>
              <w:t>Academic Research Sabbatical</w:t>
            </w:r>
          </w:p>
        </w:tc>
        <w:tc>
          <w:tcPr>
            <w:tcW w:type="dxa" w:w="1701"/>
          </w:tcPr>
          <w:p>
            <w:pPr>
              <w:spacing w:after="40" w:before="40"/>
            </w:pPr>
            <w:r/>
            <w:r>
              <w:rPr>
                <w:rFonts w:ascii="Cambria" w:hAnsi="Cambria"/>
                <w:b w:val="0"/>
                <w:i w:val="0"/>
                <w:sz w:val="22"/>
              </w:rPr>
              <w:t>Up to 12 months</w:t>
            </w:r>
          </w:p>
        </w:tc>
        <w:tc>
          <w:tcPr>
            <w:tcW w:type="dxa" w:w="4762"/>
          </w:tcPr>
          <w:p>
            <w:pPr>
              <w:spacing w:after="40" w:before="40"/>
            </w:pPr>
            <w:r/>
            <w:r>
              <w:rPr>
                <w:rFonts w:ascii="Cambria" w:hAnsi="Cambria"/>
                <w:b w:val="0"/>
                <w:i w:val="0"/>
                <w:sz w:val="22"/>
              </w:rPr>
              <w:t>For research, publication, or higher studies.</w:t>
            </w:r>
          </w:p>
        </w:tc>
      </w:tr>
      <w:tr>
        <w:tc>
          <w:tcPr>
            <w:tcW w:type="dxa" w:w="2608"/>
            <w:shd w:val="clear" w:color="auto" w:fill="F0F2F5"/>
          </w:tcPr>
          <w:p>
            <w:pPr>
              <w:spacing w:after="40" w:before="40"/>
            </w:pPr>
            <w:r/>
            <w:r>
              <w:rPr>
                <w:rFonts w:ascii="Cambria" w:hAnsi="Cambria"/>
                <w:b w:val="0"/>
                <w:i w:val="0"/>
                <w:sz w:val="22"/>
              </w:rPr>
              <w:t>Industry Attachment Sabbatical</w:t>
            </w:r>
          </w:p>
        </w:tc>
        <w:tc>
          <w:tcPr>
            <w:tcW w:type="dxa" w:w="1701"/>
            <w:shd w:val="clear" w:color="auto" w:fill="F0F2F5"/>
          </w:tcPr>
          <w:p>
            <w:pPr>
              <w:spacing w:after="40" w:before="40"/>
            </w:pPr>
            <w:r/>
            <w:r>
              <w:rPr>
                <w:rFonts w:ascii="Cambria" w:hAnsi="Cambria"/>
                <w:b w:val="0"/>
                <w:i w:val="0"/>
                <w:sz w:val="22"/>
              </w:rPr>
              <w:t>Up to 6 months</w:t>
            </w:r>
          </w:p>
        </w:tc>
        <w:tc>
          <w:tcPr>
            <w:tcW w:type="dxa" w:w="4762"/>
            <w:shd w:val="clear" w:color="auto" w:fill="F0F2F5"/>
          </w:tcPr>
          <w:p>
            <w:pPr>
              <w:spacing w:after="40" w:before="40"/>
            </w:pPr>
            <w:r/>
            <w:r>
              <w:rPr>
                <w:rFonts w:ascii="Cambria" w:hAnsi="Cambria"/>
                <w:b w:val="0"/>
                <w:i w:val="0"/>
                <w:sz w:val="22"/>
              </w:rPr>
              <w:t>For industry collaboration or consultancy.</w:t>
            </w:r>
          </w:p>
        </w:tc>
      </w:tr>
      <w:tr>
        <w:tc>
          <w:tcPr>
            <w:tcW w:type="dxa" w:w="2608"/>
          </w:tcPr>
          <w:p>
            <w:pPr>
              <w:spacing w:after="40" w:before="40"/>
            </w:pPr>
            <w:r/>
            <w:r>
              <w:rPr>
                <w:rFonts w:ascii="Cambria" w:hAnsi="Cambria"/>
                <w:b w:val="0"/>
                <w:i w:val="0"/>
                <w:sz w:val="22"/>
              </w:rPr>
              <w:t>International Sabbatical Fellowship</w:t>
            </w:r>
          </w:p>
        </w:tc>
        <w:tc>
          <w:tcPr>
            <w:tcW w:type="dxa" w:w="1701"/>
          </w:tcPr>
          <w:p>
            <w:pPr>
              <w:spacing w:after="40" w:before="40"/>
            </w:pPr>
            <w:r/>
            <w:r>
              <w:rPr>
                <w:rFonts w:ascii="Cambria" w:hAnsi="Cambria"/>
                <w:b w:val="0"/>
                <w:i w:val="0"/>
                <w:sz w:val="22"/>
              </w:rPr>
              <w:t>Up to 12 months</w:t>
            </w:r>
          </w:p>
        </w:tc>
        <w:tc>
          <w:tcPr>
            <w:tcW w:type="dxa" w:w="4762"/>
          </w:tcPr>
          <w:p>
            <w:pPr>
              <w:spacing w:after="40" w:before="40"/>
            </w:pPr>
            <w:r/>
            <w:r>
              <w:rPr>
                <w:rFonts w:ascii="Cambria" w:hAnsi="Cambria"/>
                <w:b w:val="0"/>
                <w:i w:val="0"/>
                <w:sz w:val="22"/>
              </w:rPr>
              <w:t>Must be supported by external funding (e.g., DAAD, Fulbright).</w:t>
            </w:r>
          </w:p>
        </w:tc>
      </w:tr>
    </w:tbl>
    <w:p>
      <w:pPr>
        <w:spacing w:after="40"/>
      </w:pPr>
    </w:p>
    <w:p>
      <w:pPr>
        <w:pStyle w:val="ListBullet"/>
        <w:spacing w:line="276" w:lineRule="auto"/>
        <w:ind w:left="510"/>
      </w:pPr>
      <w:r>
        <w:rPr>
          <w:rFonts w:ascii="Cambria" w:hAnsi="Cambria"/>
          <w:b w:val="0"/>
          <w:i w:val="0"/>
          <w:sz w:val="22"/>
        </w:rPr>
        <w:t>Faculty will receive 50–100% of salary depending on University approval and funding availability.</w:t>
      </w:r>
    </w:p>
    <w:p>
      <w:pPr>
        <w:pStyle w:val="ListBullet"/>
        <w:spacing w:line="276" w:lineRule="auto"/>
        <w:ind w:left="510"/>
      </w:pPr>
      <w:r>
        <w:rPr>
          <w:rFonts w:ascii="Cambria" w:hAnsi="Cambria"/>
          <w:b w:val="0"/>
          <w:i w:val="0"/>
          <w:sz w:val="22"/>
        </w:rPr>
        <w:t>Faculty cannot take up any other employment during the sabbatical without explicit approval.</w:t>
      </w:r>
    </w:p>
    <w:p>
      <w:pPr>
        <w:pStyle w:val="ListBullet"/>
        <w:spacing w:line="276" w:lineRule="auto"/>
        <w:ind w:left="510"/>
      </w:pPr>
      <w:r>
        <w:rPr>
          <w:rFonts w:ascii="Cambria" w:hAnsi="Cambria"/>
          <w:b w:val="0"/>
          <w:i w:val="0"/>
          <w:sz w:val="22"/>
        </w:rPr>
        <w:t>All outcomes (reports, publications, patents) shall be submitted to the University upon return.</w:t>
      </w:r>
    </w:p>
    <w:p>
      <w:pPr>
        <w:keepNext/>
        <w:spacing w:before="200" w:after="120"/>
      </w:pPr>
      <w:r>
        <w:rPr>
          <w:rFonts w:ascii="Cambria" w:hAnsi="Cambria"/>
          <w:b/>
          <w:color w:val="1F3A5F"/>
          <w:sz w:val="24"/>
        </w:rPr>
        <w:t>4. Obligations Post Sabbatical</w:t>
      </w:r>
    </w:p>
    <w:p>
      <w:pPr>
        <w:pStyle w:val="ListBullet"/>
        <w:spacing w:line="276" w:lineRule="auto"/>
        <w:ind w:left="510"/>
      </w:pPr>
      <w:r>
        <w:rPr>
          <w:rFonts w:ascii="Cambria" w:hAnsi="Cambria"/>
          <w:b w:val="0"/>
          <w:i w:val="0"/>
          <w:sz w:val="22"/>
        </w:rPr>
        <w:t>Serve the University for a minimum of two years post-return.</w:t>
      </w:r>
    </w:p>
    <w:p>
      <w:pPr>
        <w:pStyle w:val="ListBullet"/>
        <w:spacing w:line="276" w:lineRule="auto"/>
        <w:ind w:left="510"/>
      </w:pPr>
      <w:r>
        <w:rPr>
          <w:rFonts w:ascii="Cambria" w:hAnsi="Cambria"/>
          <w:b w:val="0"/>
          <w:i w:val="0"/>
          <w:sz w:val="22"/>
        </w:rPr>
        <w:t>Submit a comprehensive research report and publish at least one paper or patent based on sabbatical work.</w:t>
      </w:r>
    </w:p>
    <w:p>
      <w:pPr>
        <w:pStyle w:val="ListBullet"/>
        <w:spacing w:line="276" w:lineRule="auto"/>
        <w:ind w:left="510"/>
      </w:pPr>
      <w:r>
        <w:rPr>
          <w:rFonts w:ascii="Cambria" w:hAnsi="Cambria"/>
          <w:b w:val="0"/>
          <w:i w:val="0"/>
          <w:sz w:val="22"/>
        </w:rPr>
        <w:t>Share learnings through internal seminars or workshops.</w:t>
      </w:r>
    </w:p>
    <w:p>
      <w:pPr>
        <w:keepNext/>
        <w:spacing w:before="200" w:after="120"/>
      </w:pPr>
      <w:r>
        <w:rPr>
          <w:rFonts w:ascii="Cambria" w:hAnsi="Cambria"/>
          <w:b/>
          <w:color w:val="1F3A5F"/>
          <w:sz w:val="24"/>
        </w:rPr>
        <w:t>VI. Professional Memberships and Recognition Support</w:t>
      </w:r>
    </w:p>
    <w:tbl>
      <w:tblPr>
        <w:tblStyle w:val="TableGrid"/>
        <w:tblW w:type="auto" w:w="0"/>
        <w:jc w:val="center"/>
        <w:tblLook w:firstColumn="1" w:firstRow="1" w:lastColumn="0" w:lastRow="0" w:noHBand="0" w:noVBand="1" w:val="04A0"/>
        <w:tblLayout w:type="fixed"/>
      </w:tblPr>
      <w:tblGrid>
        <w:gridCol w:w="4706"/>
        <w:gridCol w:w="4706"/>
      </w:tblGrid>
      <w:tr>
        <w:tc>
          <w:tcPr>
            <w:tcW w:type="dxa" w:w="3742"/>
            <w:shd w:val="clear" w:color="auto" w:fill="1F3A5F"/>
          </w:tcPr>
          <w:p>
            <w:pPr>
              <w:spacing w:after="40" w:before="40"/>
            </w:pPr>
            <w:r/>
            <w:r>
              <w:rPr>
                <w:rFonts w:ascii="Cambria" w:hAnsi="Cambria"/>
                <w:b/>
                <w:i w:val="0"/>
                <w:color w:val="FFFFFF"/>
                <w:sz w:val="22"/>
              </w:rPr>
              <w:t>Provision</w:t>
            </w:r>
          </w:p>
        </w:tc>
        <w:tc>
          <w:tcPr>
            <w:tcW w:type="dxa" w:w="5670"/>
            <w:shd w:val="clear" w:color="auto" w:fill="1F3A5F"/>
          </w:tcPr>
          <w:p>
            <w:pPr>
              <w:spacing w:after="40" w:before="40"/>
            </w:pPr>
            <w:r/>
            <w:r>
              <w:rPr>
                <w:rFonts w:ascii="Cambria" w:hAnsi="Cambria"/>
                <w:b/>
                <w:i w:val="0"/>
                <w:color w:val="FFFFFF"/>
                <w:sz w:val="22"/>
              </w:rPr>
              <w:t>Eligibility / Support</w:t>
            </w:r>
          </w:p>
        </w:tc>
      </w:tr>
      <w:tr>
        <w:tc>
          <w:tcPr>
            <w:tcW w:type="dxa" w:w="3742"/>
          </w:tcPr>
          <w:p>
            <w:pPr>
              <w:spacing w:after="40" w:before="40"/>
            </w:pPr>
            <w:r/>
            <w:r>
              <w:rPr>
                <w:rFonts w:ascii="Cambria" w:hAnsi="Cambria"/>
                <w:b w:val="0"/>
                <w:i w:val="0"/>
                <w:sz w:val="22"/>
              </w:rPr>
              <w:t>Reimbursement of Professional Body Membership Fees</w:t>
            </w:r>
          </w:p>
        </w:tc>
        <w:tc>
          <w:tcPr>
            <w:tcW w:type="dxa" w:w="5670"/>
          </w:tcPr>
          <w:p>
            <w:pPr>
              <w:spacing w:after="40" w:before="40"/>
            </w:pPr>
            <w:r/>
            <w:r>
              <w:rPr>
                <w:rFonts w:ascii="Cambria" w:hAnsi="Cambria"/>
                <w:b w:val="0"/>
                <w:i w:val="0"/>
                <w:sz w:val="22"/>
              </w:rPr>
              <w:t>Once every 2 years (up to ₹5,000) for approved organizations (IEEE, ACM, IEI, etc.)</w:t>
            </w:r>
          </w:p>
        </w:tc>
      </w:tr>
      <w:tr>
        <w:tc>
          <w:tcPr>
            <w:tcW w:type="dxa" w:w="3742"/>
            <w:shd w:val="clear" w:color="auto" w:fill="F0F2F5"/>
          </w:tcPr>
          <w:p>
            <w:pPr>
              <w:spacing w:after="40" w:before="40"/>
            </w:pPr>
            <w:r/>
            <w:r>
              <w:rPr>
                <w:rFonts w:ascii="Cambria" w:hAnsi="Cambria"/>
                <w:b w:val="0"/>
                <w:i w:val="0"/>
                <w:sz w:val="22"/>
              </w:rPr>
              <w:t>Support for attending International Conferences</w:t>
            </w:r>
          </w:p>
        </w:tc>
        <w:tc>
          <w:tcPr>
            <w:tcW w:type="dxa" w:w="5670"/>
            <w:shd w:val="clear" w:color="auto" w:fill="F0F2F5"/>
          </w:tcPr>
          <w:p>
            <w:pPr>
              <w:spacing w:after="40" w:before="40"/>
            </w:pPr>
            <w:r/>
            <w:r>
              <w:rPr>
                <w:rFonts w:ascii="Cambria" w:hAnsi="Cambria"/>
                <w:b w:val="0"/>
                <w:i w:val="0"/>
                <w:sz w:val="22"/>
              </w:rPr>
              <w:t>50% registration + travel (up to ₹50,000) with approved paper presentation</w:t>
            </w:r>
          </w:p>
        </w:tc>
      </w:tr>
      <w:tr>
        <w:tc>
          <w:tcPr>
            <w:tcW w:type="dxa" w:w="3742"/>
          </w:tcPr>
          <w:p>
            <w:pPr>
              <w:spacing w:after="40" w:before="40"/>
            </w:pPr>
            <w:r/>
            <w:r>
              <w:rPr>
                <w:rFonts w:ascii="Cambria" w:hAnsi="Cambria"/>
                <w:b w:val="0"/>
                <w:i w:val="0"/>
                <w:sz w:val="22"/>
              </w:rPr>
              <w:t>Recognition Awards for Faculty Excellence</w:t>
            </w:r>
          </w:p>
        </w:tc>
        <w:tc>
          <w:tcPr>
            <w:tcW w:type="dxa" w:w="5670"/>
          </w:tcPr>
          <w:p>
            <w:pPr>
              <w:spacing w:after="40" w:before="40"/>
            </w:pPr>
            <w:r/>
            <w:r>
              <w:rPr>
                <w:rFonts w:ascii="Cambria" w:hAnsi="Cambria"/>
                <w:b w:val="0"/>
                <w:i w:val="0"/>
                <w:sz w:val="22"/>
              </w:rPr>
              <w:t>Annual awards for best researcher, best teacher, and best innovator</w:t>
            </w:r>
          </w:p>
        </w:tc>
      </w:tr>
    </w:tbl>
    <w:p>
      <w:pPr>
        <w:spacing w:after="40"/>
      </w:pPr>
    </w:p>
    <w:p>
      <w:pPr>
        <w:keepNext/>
        <w:spacing w:before="200" w:after="120"/>
      </w:pPr>
      <w:r>
        <w:rPr>
          <w:rFonts w:ascii="Cambria" w:hAnsi="Cambria"/>
          <w:b/>
          <w:color w:val="1F3A5F"/>
          <w:sz w:val="24"/>
        </w:rPr>
        <w:t>VII. Governance and Implementation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Authority / Committee</w:t>
            </w:r>
          </w:p>
        </w:tc>
        <w:tc>
          <w:tcPr>
            <w:tcW w:type="dxa" w:w="6237"/>
            <w:shd w:val="clear" w:color="auto" w:fill="1F3A5F"/>
          </w:tcPr>
          <w:p>
            <w:pPr>
              <w:spacing w:after="40" w:before="40"/>
            </w:pPr>
            <w:r/>
            <w:r>
              <w:rPr>
                <w:rFonts w:ascii="Cambria" w:hAnsi="Cambria"/>
                <w:b/>
                <w:i w:val="0"/>
                <w:color w:val="FFFFFF"/>
                <w:sz w:val="22"/>
              </w:rPr>
              <w:t>Key Responsibilities</w:t>
            </w:r>
          </w:p>
        </w:tc>
      </w:tr>
      <w:tr>
        <w:tc>
          <w:tcPr>
            <w:tcW w:type="dxa" w:w="3175"/>
          </w:tcPr>
          <w:p>
            <w:pPr>
              <w:spacing w:after="40" w:before="40"/>
            </w:pPr>
            <w:r/>
            <w:r>
              <w:rPr>
                <w:rFonts w:ascii="Cambria" w:hAnsi="Cambria"/>
                <w:b w:val="0"/>
                <w:i w:val="0"/>
                <w:sz w:val="22"/>
              </w:rPr>
              <w:t>Faculty Development and Welfare Committee (FDWC)</w:t>
            </w:r>
          </w:p>
        </w:tc>
        <w:tc>
          <w:tcPr>
            <w:tcW w:type="dxa" w:w="6237"/>
          </w:tcPr>
          <w:p>
            <w:pPr>
              <w:spacing w:after="40" w:before="40"/>
            </w:pPr>
            <w:r/>
            <w:r>
              <w:rPr>
                <w:rFonts w:ascii="Cambria" w:hAnsi="Cambria"/>
                <w:b w:val="0"/>
                <w:i w:val="0"/>
                <w:sz w:val="22"/>
              </w:rPr>
              <w:t>Plan and oversee implementation of FDPs, exchanges, and sabbaticals.</w:t>
            </w:r>
          </w:p>
        </w:tc>
      </w:tr>
      <w:tr>
        <w:tc>
          <w:tcPr>
            <w:tcW w:type="dxa" w:w="3175"/>
            <w:shd w:val="clear" w:color="auto" w:fill="F0F2F5"/>
          </w:tcPr>
          <w:p>
            <w:pPr>
              <w:spacing w:after="40" w:before="40"/>
            </w:pPr>
            <w:r/>
            <w:r>
              <w:rPr>
                <w:rFonts w:ascii="Cambria" w:hAnsi="Cambria"/>
                <w:b w:val="0"/>
                <w:i w:val="0"/>
                <w:sz w:val="22"/>
              </w:rPr>
              <w:t>IQAC / HRD Cell</w:t>
            </w:r>
          </w:p>
        </w:tc>
        <w:tc>
          <w:tcPr>
            <w:tcW w:type="dxa" w:w="6237"/>
            <w:shd w:val="clear" w:color="auto" w:fill="F0F2F5"/>
          </w:tcPr>
          <w:p>
            <w:pPr>
              <w:spacing w:after="40" w:before="40"/>
            </w:pPr>
            <w:r/>
            <w:r>
              <w:rPr>
                <w:rFonts w:ascii="Cambria" w:hAnsi="Cambria"/>
                <w:b w:val="0"/>
                <w:i w:val="0"/>
                <w:sz w:val="22"/>
              </w:rPr>
              <w:t>Maintain training records, monitor outcomes, and ensure accreditation compliance.</w:t>
            </w:r>
          </w:p>
        </w:tc>
      </w:tr>
      <w:tr>
        <w:tc>
          <w:tcPr>
            <w:tcW w:type="dxa" w:w="3175"/>
          </w:tcPr>
          <w:p>
            <w:pPr>
              <w:spacing w:after="40" w:before="40"/>
            </w:pPr>
            <w:r/>
            <w:r>
              <w:rPr>
                <w:rFonts w:ascii="Cambria" w:hAnsi="Cambria"/>
                <w:b w:val="0"/>
                <w:i w:val="0"/>
                <w:sz w:val="22"/>
              </w:rPr>
              <w:t>Registrar / Finance Section</w:t>
            </w:r>
          </w:p>
        </w:tc>
        <w:tc>
          <w:tcPr>
            <w:tcW w:type="dxa" w:w="6237"/>
          </w:tcPr>
          <w:p>
            <w:pPr>
              <w:spacing w:after="40" w:before="40"/>
            </w:pPr>
            <w:r/>
            <w:r>
              <w:rPr>
                <w:rFonts w:ascii="Cambria" w:hAnsi="Cambria"/>
                <w:b w:val="0"/>
                <w:i w:val="0"/>
                <w:sz w:val="22"/>
              </w:rPr>
              <w:t>Process applications, funding approvals, and leave sanctions.</w:t>
            </w:r>
          </w:p>
        </w:tc>
      </w:tr>
      <w:tr>
        <w:tc>
          <w:tcPr>
            <w:tcW w:type="dxa" w:w="3175"/>
            <w:shd w:val="clear" w:color="auto" w:fill="F0F2F5"/>
          </w:tcPr>
          <w:p>
            <w:pPr>
              <w:spacing w:after="40" w:before="40"/>
            </w:pPr>
            <w:r/>
            <w:r>
              <w:rPr>
                <w:rFonts w:ascii="Cambria" w:hAnsi="Cambria"/>
                <w:b w:val="0"/>
                <w:i w:val="0"/>
                <w:sz w:val="22"/>
              </w:rPr>
              <w:t>Dean (Academics / Research)</w:t>
            </w:r>
          </w:p>
        </w:tc>
        <w:tc>
          <w:tcPr>
            <w:tcW w:type="dxa" w:w="6237"/>
            <w:shd w:val="clear" w:color="auto" w:fill="F0F2F5"/>
          </w:tcPr>
          <w:p>
            <w:pPr>
              <w:spacing w:after="40" w:before="40"/>
            </w:pPr>
            <w:r/>
            <w:r>
              <w:rPr>
                <w:rFonts w:ascii="Cambria" w:hAnsi="Cambria"/>
                <w:b w:val="0"/>
                <w:i w:val="0"/>
                <w:sz w:val="22"/>
              </w:rPr>
              <w:t>Evaluate proposals, ensure alignment with institutional priorities.</w:t>
            </w:r>
          </w:p>
        </w:tc>
      </w:tr>
      <w:tr>
        <w:tc>
          <w:tcPr>
            <w:tcW w:type="dxa" w:w="3175"/>
          </w:tcPr>
          <w:p>
            <w:pPr>
              <w:spacing w:after="40" w:before="40"/>
            </w:pPr>
            <w:r/>
            <w:r>
              <w:rPr>
                <w:rFonts w:ascii="Cambria" w:hAnsi="Cambria"/>
                <w:b w:val="0"/>
                <w:i w:val="0"/>
                <w:sz w:val="22"/>
              </w:rPr>
              <w:t>Board of Management (BoM)</w:t>
            </w:r>
          </w:p>
        </w:tc>
        <w:tc>
          <w:tcPr>
            <w:tcW w:type="dxa" w:w="6237"/>
          </w:tcPr>
          <w:p>
            <w:pPr>
              <w:spacing w:after="40" w:before="40"/>
            </w:pPr>
            <w:r/>
            <w:r>
              <w:rPr>
                <w:rFonts w:ascii="Cambria" w:hAnsi="Cambria"/>
                <w:b w:val="0"/>
                <w:i w:val="0"/>
                <w:sz w:val="22"/>
              </w:rPr>
              <w:t>Approve long-term sabbaticals and international exchanges.</w:t>
            </w:r>
          </w:p>
        </w:tc>
      </w:tr>
    </w:tbl>
    <w:p>
      <w:pPr>
        <w:spacing w:after="40"/>
      </w:pPr>
    </w:p>
    <w:p>
      <w:pPr>
        <w:keepNext/>
        <w:spacing w:before="200" w:after="120"/>
      </w:pPr>
      <w:r>
        <w:rPr>
          <w:rFonts w:ascii="Cambria" w:hAnsi="Cambria"/>
          <w:b/>
          <w:color w:val="1F3A5F"/>
          <w:sz w:val="24"/>
        </w:rPr>
        <w:t>VIII. Monitoring and Evaluation</w:t>
      </w:r>
    </w:p>
    <w:p>
      <w:pPr>
        <w:pStyle w:val="ListBullet"/>
        <w:spacing w:line="276" w:lineRule="auto"/>
        <w:ind w:left="510"/>
      </w:pPr>
      <w:r>
        <w:rPr>
          <w:rFonts w:ascii="Cambria" w:hAnsi="Cambria"/>
          <w:b w:val="0"/>
          <w:i w:val="0"/>
          <w:sz w:val="22"/>
        </w:rPr>
        <w:t>Annual Faculty Development Report to be compiled by HRD Cell and submitted to IQAC and BoM.</w:t>
      </w:r>
    </w:p>
    <w:p>
      <w:pPr>
        <w:pStyle w:val="ListBullet"/>
        <w:spacing w:line="276" w:lineRule="auto"/>
        <w:ind w:left="510"/>
      </w:pPr>
      <w:r>
        <w:rPr>
          <w:rFonts w:ascii="Cambria" w:hAnsi="Cambria"/>
          <w:b w:val="0"/>
          <w:i w:val="0"/>
          <w:sz w:val="22"/>
        </w:rPr>
        <w:t>Evaluation metrics include:</w:t>
      </w:r>
    </w:p>
    <w:p>
      <w:pPr>
        <w:pStyle w:val="ListBullet2"/>
        <w:spacing w:line="276" w:lineRule="auto"/>
        <w:ind w:left="1020"/>
      </w:pPr>
      <w:r>
        <w:rPr>
          <w:rFonts w:ascii="Cambria" w:hAnsi="Cambria"/>
          <w:b w:val="0"/>
          <w:i w:val="0"/>
          <w:sz w:val="22"/>
        </w:rPr>
        <w:t>Number of FDPs attended per faculty.</w:t>
      </w:r>
    </w:p>
    <w:p>
      <w:pPr>
        <w:pStyle w:val="ListBullet2"/>
        <w:spacing w:line="276" w:lineRule="auto"/>
        <w:ind w:left="1020"/>
      </w:pPr>
      <w:r>
        <w:rPr>
          <w:rFonts w:ascii="Cambria" w:hAnsi="Cambria"/>
          <w:b w:val="0"/>
          <w:i w:val="0"/>
          <w:sz w:val="22"/>
        </w:rPr>
        <w:t>Number of exchange programs and research collaborations formed.</w:t>
      </w:r>
    </w:p>
    <w:p>
      <w:pPr>
        <w:pStyle w:val="ListBullet2"/>
        <w:spacing w:line="276" w:lineRule="auto"/>
        <w:ind w:left="1020"/>
      </w:pPr>
      <w:r>
        <w:rPr>
          <w:rFonts w:ascii="Cambria" w:hAnsi="Cambria"/>
          <w:b w:val="0"/>
          <w:i w:val="0"/>
          <w:sz w:val="22"/>
        </w:rPr>
        <w:t>Increase in publications, patents, and grants post-training.</w:t>
      </w:r>
    </w:p>
    <w:p>
      <w:pPr>
        <w:pStyle w:val="ListBullet2"/>
        <w:spacing w:line="276" w:lineRule="auto"/>
        <w:ind w:left="1020"/>
      </w:pPr>
      <w:r>
        <w:rPr>
          <w:rFonts w:ascii="Cambria" w:hAnsi="Cambria"/>
          <w:b w:val="0"/>
          <w:i w:val="0"/>
          <w:sz w:val="22"/>
        </w:rPr>
        <w:t>Faculty satisfaction and impact assessment surveys.</w:t>
      </w:r>
    </w:p>
    <w:p>
      <w:pPr>
        <w:keepNext/>
        <w:spacing w:before="200" w:after="120"/>
      </w:pPr>
      <w:r>
        <w:rPr>
          <w:rFonts w:ascii="Cambria" w:hAnsi="Cambria"/>
          <w:b/>
          <w:color w:val="1F3A5F"/>
          <w:sz w:val="24"/>
        </w:rPr>
        <w:t>IX. Documentation and Accreditation Alignment</w:t>
      </w:r>
    </w:p>
    <w:p>
      <w:pPr>
        <w:pStyle w:val="ListBullet"/>
        <w:spacing w:line="276" w:lineRule="auto"/>
        <w:ind w:left="510"/>
      </w:pPr>
      <w:r>
        <w:rPr>
          <w:rFonts w:ascii="Cambria" w:hAnsi="Cambria"/>
          <w:b w:val="0"/>
          <w:i w:val="0"/>
          <w:sz w:val="22"/>
        </w:rPr>
        <w:t>The following records shall be maintained digitally by HRD Cell / IQAC:</w:t>
      </w:r>
    </w:p>
    <w:p>
      <w:pPr>
        <w:pStyle w:val="ListBullet2"/>
        <w:spacing w:line="276" w:lineRule="auto"/>
        <w:ind w:left="1020"/>
      </w:pPr>
      <w:r>
        <w:rPr>
          <w:rFonts w:ascii="Cambria" w:hAnsi="Cambria"/>
          <w:b w:val="0"/>
          <w:i w:val="0"/>
          <w:sz w:val="22"/>
        </w:rPr>
        <w:t>FDP Attendance and Certificates</w:t>
      </w:r>
    </w:p>
    <w:p>
      <w:pPr>
        <w:pStyle w:val="ListBullet2"/>
        <w:spacing w:line="276" w:lineRule="auto"/>
        <w:ind w:left="1020"/>
      </w:pPr>
      <w:r>
        <w:rPr>
          <w:rFonts w:ascii="Cambria" w:hAnsi="Cambria"/>
          <w:b w:val="0"/>
          <w:i w:val="0"/>
          <w:sz w:val="22"/>
        </w:rPr>
        <w:t>Sabbatical Leave Reports and Publications</w:t>
      </w:r>
    </w:p>
    <w:p>
      <w:pPr>
        <w:pStyle w:val="ListBullet2"/>
        <w:spacing w:line="276" w:lineRule="auto"/>
        <w:ind w:left="1020"/>
      </w:pPr>
      <w:r>
        <w:rPr>
          <w:rFonts w:ascii="Cambria" w:hAnsi="Cambria"/>
          <w:b w:val="0"/>
          <w:i w:val="0"/>
          <w:sz w:val="22"/>
        </w:rPr>
        <w:t>Exchange Program Reports and MoUs</w:t>
      </w:r>
    </w:p>
    <w:p>
      <w:pPr>
        <w:pStyle w:val="ListBullet2"/>
        <w:spacing w:line="276" w:lineRule="auto"/>
        <w:ind w:left="1020"/>
      </w:pPr>
      <w:r>
        <w:rPr>
          <w:rFonts w:ascii="Cambria" w:hAnsi="Cambria"/>
          <w:b w:val="0"/>
          <w:i w:val="0"/>
          <w:sz w:val="22"/>
        </w:rPr>
        <w:t>Annual Faculty Development Calendar and Budget Utilization</w:t>
      </w:r>
    </w:p>
    <w:p>
      <w:pPr>
        <w:pStyle w:val="ListBullet"/>
        <w:spacing w:line="276" w:lineRule="auto"/>
        <w:ind w:left="510"/>
      </w:pPr>
      <w:r>
        <w:rPr>
          <w:rFonts w:ascii="Cambria" w:hAnsi="Cambria"/>
          <w:b w:val="0"/>
          <w:i w:val="0"/>
          <w:sz w:val="22"/>
        </w:rPr>
        <w:t>Evidence mapping for:</w:t>
      </w:r>
    </w:p>
    <w:p>
      <w:pPr>
        <w:pStyle w:val="ListBullet2"/>
        <w:spacing w:line="276" w:lineRule="auto"/>
        <w:ind w:left="1020"/>
      </w:pPr>
      <w:r>
        <w:rPr>
          <w:rFonts w:ascii="Cambria" w:hAnsi="Cambria"/>
          <w:b w:val="0"/>
          <w:i w:val="0"/>
          <w:sz w:val="22"/>
        </w:rPr>
        <w:t>NAAC Criterion 6.3.4 (Professional Development)</w:t>
      </w:r>
    </w:p>
    <w:p>
      <w:pPr>
        <w:pStyle w:val="ListBullet2"/>
        <w:spacing w:line="276" w:lineRule="auto"/>
        <w:ind w:left="1020"/>
      </w:pPr>
      <w:r>
        <w:rPr>
          <w:rFonts w:ascii="Cambria" w:hAnsi="Cambria"/>
          <w:b w:val="0"/>
          <w:i w:val="0"/>
          <w:sz w:val="22"/>
        </w:rPr>
        <w:t>NBA Criterion 9.2 (Faculty Training)</w:t>
      </w:r>
    </w:p>
    <w:p>
      <w:pPr>
        <w:pStyle w:val="ListBullet2"/>
        <w:spacing w:line="276" w:lineRule="auto"/>
        <w:ind w:left="1020"/>
      </w:pPr>
      <w:r>
        <w:rPr>
          <w:rFonts w:ascii="Cambria" w:hAnsi="Cambria"/>
          <w:b w:val="0"/>
          <w:i w:val="0"/>
          <w:sz w:val="22"/>
        </w:rPr>
        <w:t>NIRF Teaching &amp; Learning Resources Parameters.</w:t>
      </w:r>
    </w:p>
    <w:p>
      <w:pPr>
        <w:keepNext/>
        <w:spacing w:before="200" w:after="120"/>
      </w:pPr>
      <w:r>
        <w:rPr>
          <w:rFonts w:ascii="Cambria" w:hAnsi="Cambria"/>
          <w:b/>
          <w:color w:val="1F3A5F"/>
          <w:sz w:val="24"/>
        </w:rPr>
        <w:t>X. Funding and Financial Norms</w:t>
      </w:r>
    </w:p>
    <w:p>
      <w:pPr>
        <w:pStyle w:val="ListBullet"/>
        <w:spacing w:line="276" w:lineRule="auto"/>
        <w:ind w:left="510"/>
      </w:pPr>
      <w:r>
        <w:rPr>
          <w:rFonts w:ascii="Cambria" w:hAnsi="Cambria"/>
          <w:b w:val="0"/>
          <w:i w:val="0"/>
          <w:sz w:val="22"/>
        </w:rPr>
        <w:t>Annual allocation of 1–2% of the University's salary expenditure toward faculty development.</w:t>
      </w:r>
    </w:p>
    <w:p>
      <w:pPr>
        <w:pStyle w:val="ListBullet"/>
        <w:spacing w:line="276" w:lineRule="auto"/>
        <w:ind w:left="510"/>
      </w:pPr>
      <w:r>
        <w:rPr>
          <w:rFonts w:ascii="Cambria" w:hAnsi="Cambria"/>
          <w:b w:val="0"/>
          <w:i w:val="0"/>
          <w:sz w:val="22"/>
        </w:rPr>
        <w:t>External sponsorship encouraged from AICTE, DST, DBT, ICSSR, CSR, and international agencies.</w:t>
      </w:r>
    </w:p>
    <w:p>
      <w:pPr>
        <w:pStyle w:val="ListBullet"/>
        <w:spacing w:line="276" w:lineRule="auto"/>
        <w:ind w:left="510"/>
      </w:pPr>
      <w:r>
        <w:rPr>
          <w:rFonts w:ascii="Cambria" w:hAnsi="Cambria"/>
          <w:b w:val="0"/>
          <w:i w:val="0"/>
          <w:sz w:val="22"/>
        </w:rPr>
        <w:t>Travel, registration, and accommodation expenses covered as per University Leave and TA Rules.</w:t>
      </w:r>
    </w:p>
    <w:p>
      <w:pPr>
        <w:keepNext/>
        <w:spacing w:before="200" w:after="120"/>
      </w:pPr>
      <w:r>
        <w:rPr>
          <w:rFonts w:ascii="Cambria" w:hAnsi="Cambria"/>
          <w:b/>
          <w:color w:val="1F3A5F"/>
          <w:sz w:val="24"/>
        </w:rPr>
        <w:t>XI. Policy Review and Updation</w:t>
      </w:r>
    </w:p>
    <w:p>
      <w:pPr>
        <w:pStyle w:val="ListBullet"/>
        <w:spacing w:line="276" w:lineRule="auto"/>
        <w:ind w:left="510"/>
      </w:pPr>
      <w:r>
        <w:rPr>
          <w:rFonts w:ascii="Cambria" w:hAnsi="Cambria"/>
          <w:b w:val="0"/>
          <w:i w:val="0"/>
          <w:sz w:val="22"/>
        </w:rPr>
        <w:t>The policy shall be reviewed every three years by the Faculty Development and Welfare Committee (FDWC).</w:t>
      </w:r>
    </w:p>
    <w:p>
      <w:pPr>
        <w:pStyle w:val="ListBullet"/>
        <w:spacing w:line="276" w:lineRule="auto"/>
        <w:ind w:left="510"/>
      </w:pPr>
      <w:r>
        <w:rPr>
          <w:rFonts w:ascii="Cambria" w:hAnsi="Cambria"/>
          <w:b w:val="0"/>
          <w:i w:val="0"/>
          <w:sz w:val="22"/>
        </w:rPr>
        <w:t>Revisions will be made in line with:</w:t>
      </w:r>
    </w:p>
    <w:p>
      <w:pPr>
        <w:pStyle w:val="ListBullet2"/>
        <w:spacing w:line="276" w:lineRule="auto"/>
        <w:ind w:left="1020"/>
      </w:pPr>
      <w:r>
        <w:rPr>
          <w:rFonts w:ascii="Cambria" w:hAnsi="Cambria"/>
          <w:b w:val="0"/>
          <w:i w:val="0"/>
          <w:sz w:val="22"/>
        </w:rPr>
        <w:t>UGC Regulation on Minimum Qualifications (2018)</w:t>
      </w:r>
    </w:p>
    <w:p>
      <w:pPr>
        <w:pStyle w:val="ListBullet2"/>
        <w:spacing w:line="276" w:lineRule="auto"/>
        <w:ind w:left="1020"/>
      </w:pPr>
      <w:r>
        <w:rPr>
          <w:rFonts w:ascii="Cambria" w:hAnsi="Cambria"/>
          <w:b w:val="0"/>
          <w:i w:val="0"/>
          <w:sz w:val="22"/>
        </w:rPr>
        <w:t>AICTE Career Advancement Scheme (CAS)</w:t>
      </w:r>
    </w:p>
    <w:p>
      <w:pPr>
        <w:pStyle w:val="ListBullet2"/>
        <w:spacing w:line="276" w:lineRule="auto"/>
        <w:ind w:left="1020"/>
      </w:pPr>
      <w:r>
        <w:rPr>
          <w:rFonts w:ascii="Cambria" w:hAnsi="Cambria"/>
          <w:b w:val="0"/>
          <w:i w:val="0"/>
          <w:sz w:val="22"/>
        </w:rPr>
        <w:t>National Education Policy (NEP) 2020</w:t>
      </w:r>
    </w:p>
    <w:p>
      <w:pPr>
        <w:pStyle w:val="ListBullet2"/>
        <w:spacing w:line="276" w:lineRule="auto"/>
        <w:ind w:left="1020"/>
      </w:pPr>
      <w:r>
        <w:rPr>
          <w:rFonts w:ascii="Cambria" w:hAnsi="Cambria"/>
          <w:b w:val="0"/>
          <w:i w:val="0"/>
          <w:sz w:val="22"/>
        </w:rPr>
        <w:t>Global best practices in higher education faculty management.</w:t>
      </w:r>
    </w:p>
    <w:p>
      <w:pPr>
        <w:keepNext/>
        <w:spacing w:before="200" w:after="120"/>
      </w:pPr>
      <w:r>
        <w:rPr>
          <w:rFonts w:ascii="Cambria" w:hAnsi="Cambria"/>
          <w:b/>
          <w:color w:val="1F3A5F"/>
          <w:sz w:val="24"/>
        </w:rPr>
        <w:t>XII.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Aspect</w:t>
            </w:r>
          </w:p>
        </w:tc>
        <w:tc>
          <w:tcPr>
            <w:tcW w:type="dxa" w:w="4422"/>
            <w:shd w:val="clear" w:color="auto" w:fill="1F3A5F"/>
          </w:tcPr>
          <w:p>
            <w:pPr>
              <w:spacing w:after="40" w:before="40"/>
            </w:pPr>
            <w:r/>
            <w:r>
              <w:rPr>
                <w:rFonts w:ascii="Cambria" w:hAnsi="Cambria"/>
                <w:b/>
                <w:i w:val="0"/>
                <w:color w:val="FFFFFF"/>
                <w:sz w:val="22"/>
              </w:rPr>
              <w:t>Provision</w:t>
            </w:r>
          </w:p>
        </w:tc>
        <w:tc>
          <w:tcPr>
            <w:tcW w:type="dxa" w:w="2721"/>
            <w:shd w:val="clear" w:color="auto" w:fill="1F3A5F"/>
          </w:tcPr>
          <w:p>
            <w:pPr>
              <w:spacing w:after="40" w:before="40"/>
            </w:pPr>
            <w:r/>
            <w:r>
              <w:rPr>
                <w:rFonts w:ascii="Cambria" w:hAnsi="Cambria"/>
                <w:b/>
                <w:i w:val="0"/>
                <w:color w:val="FFFFFF"/>
                <w:sz w:val="22"/>
              </w:rPr>
              <w:t>Responsible Authority</w:t>
            </w:r>
          </w:p>
        </w:tc>
      </w:tr>
      <w:tr>
        <w:tc>
          <w:tcPr>
            <w:tcW w:type="dxa" w:w="2041"/>
          </w:tcPr>
          <w:p>
            <w:pPr>
              <w:spacing w:after="40" w:before="40"/>
            </w:pPr>
            <w:r/>
            <w:r>
              <w:rPr>
                <w:rFonts w:ascii="Cambria" w:hAnsi="Cambria"/>
                <w:b w:val="0"/>
                <w:i w:val="0"/>
                <w:sz w:val="22"/>
              </w:rPr>
              <w:t>FDP Participation</w:t>
            </w:r>
          </w:p>
        </w:tc>
        <w:tc>
          <w:tcPr>
            <w:tcW w:type="dxa" w:w="4422"/>
          </w:tcPr>
          <w:p>
            <w:pPr>
              <w:spacing w:after="40" w:before="40"/>
            </w:pPr>
            <w:r/>
            <w:r>
              <w:rPr>
                <w:rFonts w:ascii="Cambria" w:hAnsi="Cambria"/>
                <w:b w:val="0"/>
                <w:i w:val="0"/>
                <w:sz w:val="22"/>
              </w:rPr>
              <w:t>At least 2 per year per faculty</w:t>
            </w:r>
          </w:p>
        </w:tc>
        <w:tc>
          <w:tcPr>
            <w:tcW w:type="dxa" w:w="2721"/>
          </w:tcPr>
          <w:p>
            <w:pPr>
              <w:spacing w:after="40" w:before="40"/>
            </w:pPr>
            <w:r/>
            <w:r>
              <w:rPr>
                <w:rFonts w:ascii="Cambria" w:hAnsi="Cambria"/>
                <w:b w:val="0"/>
                <w:i w:val="0"/>
                <w:sz w:val="22"/>
              </w:rPr>
              <w:t>IQAC / HRD Cell</w:t>
            </w:r>
          </w:p>
        </w:tc>
      </w:tr>
      <w:tr>
        <w:tc>
          <w:tcPr>
            <w:tcW w:type="dxa" w:w="2041"/>
            <w:shd w:val="clear" w:color="auto" w:fill="F0F2F5"/>
          </w:tcPr>
          <w:p>
            <w:pPr>
              <w:spacing w:after="40" w:before="40"/>
            </w:pPr>
            <w:r/>
            <w:r>
              <w:rPr>
                <w:rFonts w:ascii="Cambria" w:hAnsi="Cambria"/>
                <w:b w:val="0"/>
                <w:i w:val="0"/>
                <w:sz w:val="22"/>
              </w:rPr>
              <w:t>Exchange Eligibility</w:t>
            </w:r>
          </w:p>
        </w:tc>
        <w:tc>
          <w:tcPr>
            <w:tcW w:type="dxa" w:w="4422"/>
            <w:shd w:val="clear" w:color="auto" w:fill="F0F2F5"/>
          </w:tcPr>
          <w:p>
            <w:pPr>
              <w:spacing w:after="40" w:before="40"/>
            </w:pPr>
            <w:r/>
            <w:r>
              <w:rPr>
                <w:rFonts w:ascii="Cambria" w:hAnsi="Cambria"/>
                <w:b w:val="0"/>
                <w:i w:val="0"/>
                <w:sz w:val="22"/>
              </w:rPr>
              <w:t>3 years continuous service</w:t>
            </w:r>
          </w:p>
        </w:tc>
        <w:tc>
          <w:tcPr>
            <w:tcW w:type="dxa" w:w="2721"/>
            <w:shd w:val="clear" w:color="auto" w:fill="F0F2F5"/>
          </w:tcPr>
          <w:p>
            <w:pPr>
              <w:spacing w:after="40" w:before="40"/>
            </w:pPr>
            <w:r/>
            <w:r>
              <w:rPr>
                <w:rFonts w:ascii="Cambria" w:hAnsi="Cambria"/>
                <w:b w:val="0"/>
                <w:i w:val="0"/>
                <w:sz w:val="22"/>
              </w:rPr>
              <w:t>Dean (Academics)</w:t>
            </w:r>
          </w:p>
        </w:tc>
      </w:tr>
      <w:tr>
        <w:tc>
          <w:tcPr>
            <w:tcW w:type="dxa" w:w="2041"/>
          </w:tcPr>
          <w:p>
            <w:pPr>
              <w:spacing w:after="40" w:before="40"/>
            </w:pPr>
            <w:r/>
            <w:r>
              <w:rPr>
                <w:rFonts w:ascii="Cambria" w:hAnsi="Cambria"/>
                <w:b w:val="0"/>
                <w:i w:val="0"/>
                <w:sz w:val="22"/>
              </w:rPr>
              <w:t>Sabbatical Leave</w:t>
            </w:r>
          </w:p>
        </w:tc>
        <w:tc>
          <w:tcPr>
            <w:tcW w:type="dxa" w:w="4422"/>
          </w:tcPr>
          <w:p>
            <w:pPr>
              <w:spacing w:after="40" w:before="40"/>
            </w:pPr>
            <w:r/>
            <w:r>
              <w:rPr>
                <w:rFonts w:ascii="Cambria" w:hAnsi="Cambria"/>
                <w:b w:val="0"/>
                <w:i w:val="0"/>
                <w:sz w:val="22"/>
              </w:rPr>
              <w:t>Once every 7 years</w:t>
            </w:r>
          </w:p>
        </w:tc>
        <w:tc>
          <w:tcPr>
            <w:tcW w:type="dxa" w:w="2721"/>
          </w:tcPr>
          <w:p>
            <w:pPr>
              <w:spacing w:after="40" w:before="40"/>
            </w:pPr>
            <w:r/>
            <w:r>
              <w:rPr>
                <w:rFonts w:ascii="Cambria" w:hAnsi="Cambria"/>
                <w:b w:val="0"/>
                <w:i w:val="0"/>
                <w:sz w:val="22"/>
              </w:rPr>
              <w:t>BoM / Registrar</w:t>
            </w:r>
          </w:p>
        </w:tc>
      </w:tr>
      <w:tr>
        <w:tc>
          <w:tcPr>
            <w:tcW w:type="dxa" w:w="2041"/>
            <w:shd w:val="clear" w:color="auto" w:fill="F0F2F5"/>
          </w:tcPr>
          <w:p>
            <w:pPr>
              <w:spacing w:after="40" w:before="40"/>
            </w:pPr>
            <w:r/>
            <w:r>
              <w:rPr>
                <w:rFonts w:ascii="Cambria" w:hAnsi="Cambria"/>
                <w:b w:val="0"/>
                <w:i w:val="0"/>
                <w:sz w:val="22"/>
              </w:rPr>
              <w:t>Funding Limit</w:t>
            </w:r>
          </w:p>
        </w:tc>
        <w:tc>
          <w:tcPr>
            <w:tcW w:type="dxa" w:w="4422"/>
            <w:shd w:val="clear" w:color="auto" w:fill="F0F2F5"/>
          </w:tcPr>
          <w:p>
            <w:pPr>
              <w:spacing w:after="40" w:before="40"/>
            </w:pPr>
            <w:r/>
            <w:r>
              <w:rPr>
                <w:rFonts w:ascii="Cambria" w:hAnsi="Cambria"/>
                <w:b w:val="0"/>
                <w:i w:val="0"/>
                <w:sz w:val="22"/>
              </w:rPr>
              <w:t>₹50,000 (domestic) / ₹1,00,000 (international)</w:t>
            </w:r>
          </w:p>
        </w:tc>
        <w:tc>
          <w:tcPr>
            <w:tcW w:type="dxa" w:w="2721"/>
            <w:shd w:val="clear" w:color="auto" w:fill="F0F2F5"/>
          </w:tcPr>
          <w:p>
            <w:pPr>
              <w:spacing w:after="40" w:before="40"/>
            </w:pPr>
            <w:r/>
            <w:r>
              <w:rPr>
                <w:rFonts w:ascii="Cambria" w:hAnsi="Cambria"/>
                <w:b w:val="0"/>
                <w:i w:val="0"/>
                <w:sz w:val="22"/>
              </w:rPr>
              <w:t>Finance Section</w:t>
            </w:r>
          </w:p>
        </w:tc>
      </w:tr>
      <w:tr>
        <w:tc>
          <w:tcPr>
            <w:tcW w:type="dxa" w:w="2041"/>
          </w:tcPr>
          <w:p>
            <w:pPr>
              <w:spacing w:after="40" w:before="40"/>
            </w:pPr>
            <w:r/>
            <w:r>
              <w:rPr>
                <w:rFonts w:ascii="Cambria" w:hAnsi="Cambria"/>
                <w:b w:val="0"/>
                <w:i w:val="0"/>
                <w:sz w:val="22"/>
              </w:rPr>
              <w:t>Post-Completion Obligation</w:t>
            </w:r>
          </w:p>
        </w:tc>
        <w:tc>
          <w:tcPr>
            <w:tcW w:type="dxa" w:w="4422"/>
          </w:tcPr>
          <w:p>
            <w:pPr>
              <w:spacing w:after="40" w:before="40"/>
            </w:pPr>
            <w:r/>
            <w:r>
              <w:rPr>
                <w:rFonts w:ascii="Cambria" w:hAnsi="Cambria"/>
                <w:b w:val="0"/>
                <w:i w:val="0"/>
                <w:sz w:val="22"/>
              </w:rPr>
              <w:t>Minimum 2 years service</w:t>
            </w:r>
          </w:p>
        </w:tc>
        <w:tc>
          <w:tcPr>
            <w:tcW w:type="dxa" w:w="2721"/>
          </w:tcPr>
          <w:p>
            <w:pPr>
              <w:spacing w:after="40" w:before="40"/>
            </w:pPr>
            <w:r/>
            <w:r>
              <w:rPr>
                <w:rFonts w:ascii="Cambria" w:hAnsi="Cambria"/>
                <w:b w:val="0"/>
                <w:i w:val="0"/>
                <w:sz w:val="22"/>
              </w:rPr>
              <w:t>Faculty &amp; HRD Cell</w:t>
            </w:r>
          </w:p>
        </w:tc>
      </w:tr>
      <w:tr>
        <w:tc>
          <w:tcPr>
            <w:tcW w:type="dxa" w:w="2041"/>
            <w:shd w:val="clear" w:color="auto" w:fill="F0F2F5"/>
          </w:tcPr>
          <w:p>
            <w:pPr>
              <w:spacing w:after="40" w:before="40"/>
            </w:pPr>
            <w:r/>
            <w:r>
              <w:rPr>
                <w:rFonts w:ascii="Cambria" w:hAnsi="Cambria"/>
                <w:b w:val="0"/>
                <w:i w:val="0"/>
                <w:sz w:val="22"/>
              </w:rPr>
              <w:t>Policy Review</w:t>
            </w:r>
          </w:p>
        </w:tc>
        <w:tc>
          <w:tcPr>
            <w:tcW w:type="dxa" w:w="4422"/>
            <w:shd w:val="clear" w:color="auto" w:fill="F0F2F5"/>
          </w:tcPr>
          <w:p>
            <w:pPr>
              <w:spacing w:after="40" w:before="40"/>
            </w:pPr>
            <w:r/>
            <w:r>
              <w:rPr>
                <w:rFonts w:ascii="Cambria" w:hAnsi="Cambria"/>
                <w:b w:val="0"/>
                <w:i w:val="0"/>
                <w:sz w:val="22"/>
              </w:rPr>
              <w:t>Every 3 years</w:t>
            </w:r>
          </w:p>
        </w:tc>
        <w:tc>
          <w:tcPr>
            <w:tcW w:type="dxa" w:w="2721"/>
            <w:shd w:val="clear" w:color="auto" w:fill="F0F2F5"/>
          </w:tcPr>
          <w:p>
            <w:pPr>
              <w:spacing w:after="40" w:before="40"/>
            </w:pPr>
            <w:r/>
            <w:r>
              <w:rPr>
                <w:rFonts w:ascii="Cambria" w:hAnsi="Cambria"/>
                <w:b w:val="0"/>
                <w:i w:val="0"/>
                <w:sz w:val="22"/>
              </w:rPr>
              <w:t>FDWC / BoM</w:t>
            </w:r>
          </w:p>
        </w:tc>
      </w:tr>
    </w:tbl>
    <w:p>
      <w:pPr>
        <w:spacing w:after="40"/>
      </w:pPr>
    </w:p>
    <w:p>
      <w:pPr>
        <w:keepNext/>
        <w:spacing w:before="200" w:after="120"/>
      </w:pPr>
      <w:r>
        <w:rPr>
          <w:rFonts w:ascii="Cambria" w:hAnsi="Cambria"/>
          <w:b/>
          <w:color w:val="1F3A5F"/>
          <w:sz w:val="24"/>
        </w:rPr>
        <w:t>XIII. Policy Principles</w:t>
      </w:r>
    </w:p>
    <w:p>
      <w:pPr>
        <w:pStyle w:val="ListBullet"/>
        <w:spacing w:line="276" w:lineRule="auto"/>
        <w:ind w:left="510"/>
      </w:pPr>
      <w:r>
        <w:rPr>
          <w:rFonts w:ascii="Cambria" w:hAnsi="Cambria"/>
          <w:b w:val="0"/>
          <w:i w:val="0"/>
          <w:sz w:val="22"/>
        </w:rPr>
        <w:t>Faculty development is a strategic investment in institutional quality and innovation.</w:t>
      </w:r>
    </w:p>
    <w:p>
      <w:pPr>
        <w:pStyle w:val="ListBullet"/>
        <w:spacing w:line="276" w:lineRule="auto"/>
        <w:ind w:left="510"/>
      </w:pPr>
      <w:r>
        <w:rPr>
          <w:rFonts w:ascii="Cambria" w:hAnsi="Cambria"/>
          <w:b w:val="0"/>
          <w:i w:val="0"/>
          <w:sz w:val="22"/>
        </w:rPr>
        <w:t>Equal opportunity shall be ensured for all eligible faculty regardless of gender or discipline.</w:t>
      </w:r>
    </w:p>
    <w:p>
      <w:pPr>
        <w:pStyle w:val="ListBullet"/>
        <w:spacing w:line="276" w:lineRule="auto"/>
        <w:ind w:left="510"/>
      </w:pPr>
      <w:r>
        <w:rPr>
          <w:rFonts w:ascii="Cambria" w:hAnsi="Cambria"/>
          <w:b w:val="0"/>
          <w:i w:val="0"/>
          <w:sz w:val="22"/>
        </w:rPr>
        <w:t>Faculty growth will be linked to performance appraisal and promotion metrics.</w:t>
      </w:r>
    </w:p>
    <w:p>
      <w:pPr>
        <w:pStyle w:val="ListBullet"/>
        <w:spacing w:line="276" w:lineRule="auto"/>
        <w:ind w:left="510"/>
      </w:pPr>
      <w:r>
        <w:rPr>
          <w:rFonts w:ascii="Cambria" w:hAnsi="Cambria"/>
          <w:b w:val="0"/>
          <w:i w:val="0"/>
          <w:sz w:val="22"/>
        </w:rPr>
        <w:t>Programs must ensure alignment with the University's vision, SDGs, and NEP-2020 framework.</w:t>
      </w:r>
    </w:p>
    <w:p>
      <w:pPr>
        <w:pStyle w:val="ListBullet"/>
        <w:spacing w:line="276" w:lineRule="auto"/>
        <w:ind w:left="510"/>
      </w:pPr>
      <w:r>
        <w:rPr>
          <w:rFonts w:ascii="Cambria" w:hAnsi="Cambria"/>
          <w:b w:val="0"/>
          <w:i w:val="0"/>
          <w:sz w:val="22"/>
        </w:rPr>
        <w:t>Continuous learning, collaboration, and research are recognized as core elements of academic excellence.</w:t>
      </w:r>
    </w:p>
    <w:p>
      <w:r>
        <w:br w:type="page"/>
      </w:r>
    </w:p>
    <w:p>
      <w:pPr>
        <w:keepNext/>
        <w:spacing w:before="200" w:after="120"/>
      </w:pPr>
      <w:r>
        <w:rPr>
          <w:rFonts w:ascii="Cambria" w:hAnsi="Cambria"/>
          <w:b/>
          <w:color w:val="1F3A5F"/>
          <w:sz w:val="27"/>
        </w:rPr>
        <w:t>O. Performance Linked Incentive and Recognition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structured and transparent framework for rewarding high-performing faculty, staff, and administrative employees based on measurable academic, research, and institutional contributions.</w:t>
      </w:r>
    </w:p>
    <w:p>
      <w:pPr>
        <w:pStyle w:val="ListBullet"/>
        <w:spacing w:line="276" w:lineRule="auto"/>
        <w:ind w:left="510"/>
      </w:pPr>
      <w:r>
        <w:rPr>
          <w:rFonts w:ascii="Cambria" w:hAnsi="Cambria"/>
          <w:b w:val="0"/>
          <w:i w:val="0"/>
          <w:sz w:val="22"/>
        </w:rPr>
        <w:t>The policy aims to motivate excellence, innovation, and accountability, aligning individual performance with institutional goals, accreditation outcomes, and the Vision–Mission of the University.</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Promote a performance-driven culture through measurable and fair evaluation mechanisms.</w:t>
      </w:r>
    </w:p>
    <w:p>
      <w:pPr>
        <w:pStyle w:val="ListBullet"/>
        <w:spacing w:line="276" w:lineRule="auto"/>
        <w:ind w:left="510"/>
      </w:pPr>
      <w:r>
        <w:rPr>
          <w:rFonts w:ascii="Cambria" w:hAnsi="Cambria"/>
          <w:b w:val="0"/>
          <w:i w:val="0"/>
          <w:sz w:val="22"/>
        </w:rPr>
        <w:t>Recognize and reward faculty and staff contributions in teaching, research, innovation, consultancy, and community engagement.</w:t>
      </w:r>
    </w:p>
    <w:p>
      <w:pPr>
        <w:pStyle w:val="ListBullet"/>
        <w:spacing w:line="276" w:lineRule="auto"/>
        <w:ind w:left="510"/>
      </w:pPr>
      <w:r>
        <w:rPr>
          <w:rFonts w:ascii="Cambria" w:hAnsi="Cambria"/>
          <w:b w:val="0"/>
          <w:i w:val="0"/>
          <w:sz w:val="22"/>
        </w:rPr>
        <w:t>Strengthen institutional performance in NAAC, NBA, QS I-GAUGE, and NIRF parameters through outcome-based evaluation.</w:t>
      </w:r>
    </w:p>
    <w:p>
      <w:pPr>
        <w:pStyle w:val="ListBullet"/>
        <w:spacing w:line="276" w:lineRule="auto"/>
        <w:ind w:left="510"/>
      </w:pPr>
      <w:r>
        <w:rPr>
          <w:rFonts w:ascii="Cambria" w:hAnsi="Cambria"/>
          <w:b w:val="0"/>
          <w:i w:val="0"/>
          <w:sz w:val="22"/>
        </w:rPr>
        <w:t>Encourage sustained professional excellence and teamwork across academic and administrative domains.</w:t>
      </w:r>
    </w:p>
    <w:p>
      <w:pPr>
        <w:pStyle w:val="ListBullet"/>
        <w:spacing w:line="276" w:lineRule="auto"/>
        <w:ind w:left="510"/>
      </w:pPr>
      <w:r>
        <w:rPr>
          <w:rFonts w:ascii="Cambria" w:hAnsi="Cambria"/>
          <w:b w:val="0"/>
          <w:i w:val="0"/>
          <w:sz w:val="22"/>
        </w:rPr>
        <w:t>Support long-term faculty retention and institutional brand building through structured recognition and incentive mechanisms.</w:t>
      </w:r>
    </w:p>
    <w:p>
      <w:pPr>
        <w:keepNext/>
        <w:spacing w:before="200" w:after="120"/>
      </w:pPr>
      <w:r>
        <w:rPr>
          <w:rFonts w:ascii="Cambria" w:hAnsi="Cambria"/>
          <w:b/>
          <w:color w:val="1F3A5F"/>
          <w:sz w:val="24"/>
        </w:rPr>
        <w:t>II. Scope and Eligibility</w:t>
      </w:r>
    </w:p>
    <w:p>
      <w:pPr>
        <w:pStyle w:val="ListBullet"/>
        <w:spacing w:line="276" w:lineRule="auto"/>
        <w:ind w:left="510"/>
      </w:pPr>
      <w:r>
        <w:rPr>
          <w:rFonts w:ascii="Cambria" w:hAnsi="Cambria"/>
          <w:b w:val="0"/>
          <w:i w:val="0"/>
          <w:sz w:val="22"/>
        </w:rPr>
        <w:t>Applicable to all categories of employees:</w:t>
      </w:r>
    </w:p>
    <w:p>
      <w:pPr>
        <w:pStyle w:val="ListBullet2"/>
        <w:spacing w:line="276" w:lineRule="auto"/>
        <w:ind w:left="1020"/>
      </w:pPr>
      <w:r>
        <w:rPr>
          <w:rFonts w:ascii="Cambria" w:hAnsi="Cambria"/>
          <w:b w:val="0"/>
          <w:i w:val="0"/>
          <w:sz w:val="22"/>
        </w:rPr>
        <w:t>Teaching Faculty – Professors, Associate Professors, Assistant Professors.</w:t>
      </w:r>
    </w:p>
    <w:p>
      <w:pPr>
        <w:pStyle w:val="ListBullet2"/>
        <w:spacing w:line="276" w:lineRule="auto"/>
        <w:ind w:left="1020"/>
      </w:pPr>
      <w:r>
        <w:rPr>
          <w:rFonts w:ascii="Cambria" w:hAnsi="Cambria"/>
          <w:b w:val="0"/>
          <w:i w:val="0"/>
          <w:sz w:val="22"/>
        </w:rPr>
        <w:t>Non-Teaching Staff – Administrative and Technical Staff.</w:t>
      </w:r>
    </w:p>
    <w:p>
      <w:pPr>
        <w:pStyle w:val="ListBullet2"/>
        <w:spacing w:line="276" w:lineRule="auto"/>
        <w:ind w:left="1020"/>
      </w:pPr>
      <w:r>
        <w:rPr>
          <w:rFonts w:ascii="Cambria" w:hAnsi="Cambria"/>
          <w:b w:val="0"/>
          <w:i w:val="0"/>
          <w:sz w:val="22"/>
        </w:rPr>
        <w:t>Support and Contractual Staff – based on performance evaluation criteria.</w:t>
      </w:r>
    </w:p>
    <w:p>
      <w:pPr>
        <w:pStyle w:val="ListBullet"/>
        <w:spacing w:line="276" w:lineRule="auto"/>
        <w:ind w:left="510"/>
      </w:pPr>
      <w:r>
        <w:rPr>
          <w:rFonts w:ascii="Cambria" w:hAnsi="Cambria"/>
          <w:b w:val="0"/>
          <w:i w:val="0"/>
          <w:sz w:val="22"/>
        </w:rPr>
        <w:t>The policy covers monetary and non-monetary incentives linked to Key Performance Indicators (KPIs) and Annual Performance Appraisal Reports (APARs).</w:t>
      </w:r>
    </w:p>
    <w:p>
      <w:pPr>
        <w:keepNext/>
        <w:spacing w:before="200" w:after="120"/>
      </w:pPr>
      <w:r>
        <w:rPr>
          <w:rFonts w:ascii="Cambria" w:hAnsi="Cambria"/>
          <w:b/>
          <w:color w:val="1F3A5F"/>
          <w:sz w:val="24"/>
        </w:rPr>
        <w:t>III. Performance Evaluation Framework</w:t>
      </w:r>
    </w:p>
    <w:p>
      <w:pPr>
        <w:keepNext/>
        <w:spacing w:before="200" w:after="120"/>
      </w:pPr>
      <w:r>
        <w:rPr>
          <w:rFonts w:ascii="Cambria" w:hAnsi="Cambria"/>
          <w:b/>
          <w:color w:val="1F3A5F"/>
          <w:sz w:val="24"/>
        </w:rPr>
        <w:t>1. Key Evaluation Dimensions (for Teaching Faculty)</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Area</w:t>
            </w:r>
          </w:p>
        </w:tc>
        <w:tc>
          <w:tcPr>
            <w:tcW w:type="dxa" w:w="1360"/>
            <w:shd w:val="clear" w:color="auto" w:fill="1F3A5F"/>
          </w:tcPr>
          <w:p>
            <w:pPr>
              <w:spacing w:after="40" w:before="40"/>
            </w:pPr>
            <w:r/>
            <w:r>
              <w:rPr>
                <w:rFonts w:ascii="Cambria" w:hAnsi="Cambria"/>
                <w:b/>
                <w:i w:val="0"/>
                <w:color w:val="FFFFFF"/>
                <w:sz w:val="22"/>
              </w:rPr>
              <w:t>Weightage (%)</w:t>
            </w:r>
          </w:p>
        </w:tc>
        <w:tc>
          <w:tcPr>
            <w:tcW w:type="dxa" w:w="5783"/>
            <w:shd w:val="clear" w:color="auto" w:fill="1F3A5F"/>
          </w:tcPr>
          <w:p>
            <w:pPr>
              <w:spacing w:after="40" w:before="40"/>
            </w:pPr>
            <w:r/>
            <w:r>
              <w:rPr>
                <w:rFonts w:ascii="Cambria" w:hAnsi="Cambria"/>
                <w:b/>
                <w:i w:val="0"/>
                <w:color w:val="FFFFFF"/>
                <w:sz w:val="22"/>
              </w:rPr>
              <w:t>Performance Indicators</w:t>
            </w:r>
          </w:p>
        </w:tc>
      </w:tr>
      <w:tr>
        <w:tc>
          <w:tcPr>
            <w:tcW w:type="dxa" w:w="2268"/>
          </w:tcPr>
          <w:p>
            <w:pPr>
              <w:spacing w:after="40" w:before="40"/>
            </w:pPr>
            <w:r/>
            <w:r>
              <w:rPr>
                <w:rFonts w:ascii="Cambria" w:hAnsi="Cambria"/>
                <w:b w:val="0"/>
                <w:i w:val="0"/>
                <w:sz w:val="22"/>
              </w:rPr>
              <w:t>Teaching and Learning</w:t>
            </w:r>
          </w:p>
        </w:tc>
        <w:tc>
          <w:tcPr>
            <w:tcW w:type="dxa" w:w="1360"/>
          </w:tcPr>
          <w:p>
            <w:pPr>
              <w:spacing w:after="40" w:before="40"/>
            </w:pPr>
            <w:r/>
            <w:r>
              <w:rPr>
                <w:rFonts w:ascii="Cambria" w:hAnsi="Cambria"/>
                <w:b w:val="0"/>
                <w:i w:val="0"/>
                <w:sz w:val="22"/>
              </w:rPr>
              <w:t>30%</w:t>
            </w:r>
          </w:p>
        </w:tc>
        <w:tc>
          <w:tcPr>
            <w:tcW w:type="dxa" w:w="5783"/>
          </w:tcPr>
          <w:p>
            <w:pPr>
              <w:spacing w:after="40" w:before="40"/>
            </w:pPr>
            <w:r/>
            <w:r>
              <w:rPr>
                <w:rFonts w:ascii="Cambria" w:hAnsi="Cambria"/>
                <w:b w:val="0"/>
                <w:i w:val="0"/>
                <w:sz w:val="22"/>
              </w:rPr>
              <w:t>Course delivery, feedback, result analysis, innovation in pedagogy, use of ICT tools</w:t>
            </w:r>
          </w:p>
        </w:tc>
      </w:tr>
      <w:tr>
        <w:tc>
          <w:tcPr>
            <w:tcW w:type="dxa" w:w="2268"/>
            <w:shd w:val="clear" w:color="auto" w:fill="F0F2F5"/>
          </w:tcPr>
          <w:p>
            <w:pPr>
              <w:spacing w:after="40" w:before="40"/>
            </w:pPr>
            <w:r/>
            <w:r>
              <w:rPr>
                <w:rFonts w:ascii="Cambria" w:hAnsi="Cambria"/>
                <w:b w:val="0"/>
                <w:i w:val="0"/>
                <w:sz w:val="22"/>
              </w:rPr>
              <w:t>Research and Publications</w:t>
            </w:r>
          </w:p>
        </w:tc>
        <w:tc>
          <w:tcPr>
            <w:tcW w:type="dxa" w:w="1360"/>
            <w:shd w:val="clear" w:color="auto" w:fill="F0F2F5"/>
          </w:tcPr>
          <w:p>
            <w:pPr>
              <w:spacing w:after="40" w:before="40"/>
            </w:pPr>
            <w:r/>
            <w:r>
              <w:rPr>
                <w:rFonts w:ascii="Cambria" w:hAnsi="Cambria"/>
                <w:b w:val="0"/>
                <w:i w:val="0"/>
                <w:sz w:val="22"/>
              </w:rPr>
              <w:t>25%</w:t>
            </w:r>
          </w:p>
        </w:tc>
        <w:tc>
          <w:tcPr>
            <w:tcW w:type="dxa" w:w="5783"/>
            <w:shd w:val="clear" w:color="auto" w:fill="F0F2F5"/>
          </w:tcPr>
          <w:p>
            <w:pPr>
              <w:spacing w:after="40" w:before="40"/>
            </w:pPr>
            <w:r/>
            <w:r>
              <w:rPr>
                <w:rFonts w:ascii="Cambria" w:hAnsi="Cambria"/>
                <w:b w:val="0"/>
                <w:i w:val="0"/>
                <w:sz w:val="22"/>
              </w:rPr>
              <w:t>Papers in Scopus / SCI journals, book chapters, citations, h-index</w:t>
            </w:r>
          </w:p>
        </w:tc>
      </w:tr>
      <w:tr>
        <w:tc>
          <w:tcPr>
            <w:tcW w:type="dxa" w:w="2268"/>
          </w:tcPr>
          <w:p>
            <w:pPr>
              <w:spacing w:after="40" w:before="40"/>
            </w:pPr>
            <w:r/>
            <w:r>
              <w:rPr>
                <w:rFonts w:ascii="Cambria" w:hAnsi="Cambria"/>
                <w:b w:val="0"/>
                <w:i w:val="0"/>
                <w:sz w:val="22"/>
              </w:rPr>
              <w:t>Innovation and Patents</w:t>
            </w:r>
          </w:p>
        </w:tc>
        <w:tc>
          <w:tcPr>
            <w:tcW w:type="dxa" w:w="1360"/>
          </w:tcPr>
          <w:p>
            <w:pPr>
              <w:spacing w:after="40" w:before="40"/>
            </w:pPr>
            <w:r/>
            <w:r>
              <w:rPr>
                <w:rFonts w:ascii="Cambria" w:hAnsi="Cambria"/>
                <w:b w:val="0"/>
                <w:i w:val="0"/>
                <w:sz w:val="22"/>
              </w:rPr>
              <w:t>10%</w:t>
            </w:r>
          </w:p>
        </w:tc>
        <w:tc>
          <w:tcPr>
            <w:tcW w:type="dxa" w:w="5783"/>
          </w:tcPr>
          <w:p>
            <w:pPr>
              <w:spacing w:after="40" w:before="40"/>
            </w:pPr>
            <w:r/>
            <w:r>
              <w:rPr>
                <w:rFonts w:ascii="Cambria" w:hAnsi="Cambria"/>
                <w:b w:val="0"/>
                <w:i w:val="0"/>
                <w:sz w:val="22"/>
              </w:rPr>
              <w:t>Patents filed/granted, prototypes developed, innovation challenges organized</w:t>
            </w:r>
          </w:p>
        </w:tc>
      </w:tr>
      <w:tr>
        <w:tc>
          <w:tcPr>
            <w:tcW w:type="dxa" w:w="2268"/>
            <w:shd w:val="clear" w:color="auto" w:fill="F0F2F5"/>
          </w:tcPr>
          <w:p>
            <w:pPr>
              <w:spacing w:after="40" w:before="40"/>
            </w:pPr>
            <w:r/>
            <w:r>
              <w:rPr>
                <w:rFonts w:ascii="Cambria" w:hAnsi="Cambria"/>
                <w:b w:val="0"/>
                <w:i w:val="0"/>
                <w:sz w:val="22"/>
              </w:rPr>
              <w:t>Consultancy and Projects</w:t>
            </w:r>
          </w:p>
        </w:tc>
        <w:tc>
          <w:tcPr>
            <w:tcW w:type="dxa" w:w="1360"/>
            <w:shd w:val="clear" w:color="auto" w:fill="F0F2F5"/>
          </w:tcPr>
          <w:p>
            <w:pPr>
              <w:spacing w:after="40" w:before="40"/>
            </w:pPr>
            <w:r/>
            <w:r>
              <w:rPr>
                <w:rFonts w:ascii="Cambria" w:hAnsi="Cambria"/>
                <w:b w:val="0"/>
                <w:i w:val="0"/>
                <w:sz w:val="22"/>
              </w:rPr>
              <w:t>10%</w:t>
            </w:r>
          </w:p>
        </w:tc>
        <w:tc>
          <w:tcPr>
            <w:tcW w:type="dxa" w:w="5783"/>
            <w:shd w:val="clear" w:color="auto" w:fill="F0F2F5"/>
          </w:tcPr>
          <w:p>
            <w:pPr>
              <w:spacing w:after="40" w:before="40"/>
            </w:pPr>
            <w:r/>
            <w:r>
              <w:rPr>
                <w:rFonts w:ascii="Cambria" w:hAnsi="Cambria"/>
                <w:b w:val="0"/>
                <w:i w:val="0"/>
                <w:sz w:val="22"/>
              </w:rPr>
              <w:t>Funded projects, consultancy revenue generated</w:t>
            </w:r>
          </w:p>
        </w:tc>
      </w:tr>
      <w:tr>
        <w:tc>
          <w:tcPr>
            <w:tcW w:type="dxa" w:w="2268"/>
          </w:tcPr>
          <w:p>
            <w:pPr>
              <w:spacing w:after="40" w:before="40"/>
            </w:pPr>
            <w:r/>
            <w:r>
              <w:rPr>
                <w:rFonts w:ascii="Cambria" w:hAnsi="Cambria"/>
                <w:b w:val="0"/>
                <w:i w:val="0"/>
                <w:sz w:val="22"/>
              </w:rPr>
              <w:t>Institutional Contribution</w:t>
            </w:r>
          </w:p>
        </w:tc>
        <w:tc>
          <w:tcPr>
            <w:tcW w:type="dxa" w:w="1360"/>
          </w:tcPr>
          <w:p>
            <w:pPr>
              <w:spacing w:after="40" w:before="40"/>
            </w:pPr>
            <w:r/>
            <w:r>
              <w:rPr>
                <w:rFonts w:ascii="Cambria" w:hAnsi="Cambria"/>
                <w:b w:val="0"/>
                <w:i w:val="0"/>
                <w:sz w:val="22"/>
              </w:rPr>
              <w:t>10%</w:t>
            </w:r>
          </w:p>
        </w:tc>
        <w:tc>
          <w:tcPr>
            <w:tcW w:type="dxa" w:w="5783"/>
          </w:tcPr>
          <w:p>
            <w:pPr>
              <w:spacing w:after="40" w:before="40"/>
            </w:pPr>
            <w:r/>
            <w:r>
              <w:rPr>
                <w:rFonts w:ascii="Cambria" w:hAnsi="Cambria"/>
                <w:b w:val="0"/>
                <w:i w:val="0"/>
                <w:sz w:val="22"/>
              </w:rPr>
              <w:t>Committee work, accreditation, events, IQAC roles</w:t>
            </w:r>
          </w:p>
        </w:tc>
      </w:tr>
      <w:tr>
        <w:tc>
          <w:tcPr>
            <w:tcW w:type="dxa" w:w="2268"/>
            <w:shd w:val="clear" w:color="auto" w:fill="F0F2F5"/>
          </w:tcPr>
          <w:p>
            <w:pPr>
              <w:spacing w:after="40" w:before="40"/>
            </w:pPr>
            <w:r/>
            <w:r>
              <w:rPr>
                <w:rFonts w:ascii="Cambria" w:hAnsi="Cambria"/>
                <w:b w:val="0"/>
                <w:i w:val="0"/>
                <w:sz w:val="22"/>
              </w:rPr>
              <w:t>Student Mentoring and Engagement</w:t>
            </w:r>
          </w:p>
        </w:tc>
        <w:tc>
          <w:tcPr>
            <w:tcW w:type="dxa" w:w="1360"/>
            <w:shd w:val="clear" w:color="auto" w:fill="F0F2F5"/>
          </w:tcPr>
          <w:p>
            <w:pPr>
              <w:spacing w:after="40" w:before="40"/>
            </w:pPr>
            <w:r/>
            <w:r>
              <w:rPr>
                <w:rFonts w:ascii="Cambria" w:hAnsi="Cambria"/>
                <w:b w:val="0"/>
                <w:i w:val="0"/>
                <w:sz w:val="22"/>
              </w:rPr>
              <w:t>10%</w:t>
            </w:r>
          </w:p>
        </w:tc>
        <w:tc>
          <w:tcPr>
            <w:tcW w:type="dxa" w:w="5783"/>
            <w:shd w:val="clear" w:color="auto" w:fill="F0F2F5"/>
          </w:tcPr>
          <w:p>
            <w:pPr>
              <w:spacing w:after="40" w:before="40"/>
            </w:pPr>
            <w:r/>
            <w:r>
              <w:rPr>
                <w:rFonts w:ascii="Cambria" w:hAnsi="Cambria"/>
                <w:b w:val="0"/>
                <w:i w:val="0"/>
                <w:sz w:val="22"/>
              </w:rPr>
              <w:t>Mentoring records, club activities, outcome improvements</w:t>
            </w:r>
          </w:p>
        </w:tc>
      </w:tr>
      <w:tr>
        <w:tc>
          <w:tcPr>
            <w:tcW w:type="dxa" w:w="2268"/>
          </w:tcPr>
          <w:p>
            <w:pPr>
              <w:spacing w:after="40" w:before="40"/>
            </w:pPr>
            <w:r/>
            <w:r>
              <w:rPr>
                <w:rFonts w:ascii="Cambria" w:hAnsi="Cambria"/>
                <w:b w:val="0"/>
                <w:i w:val="0"/>
                <w:sz w:val="22"/>
              </w:rPr>
              <w:t>Community / Extension Activities</w:t>
            </w:r>
          </w:p>
        </w:tc>
        <w:tc>
          <w:tcPr>
            <w:tcW w:type="dxa" w:w="1360"/>
          </w:tcPr>
          <w:p>
            <w:pPr>
              <w:spacing w:after="40" w:before="40"/>
            </w:pPr>
            <w:r/>
            <w:r>
              <w:rPr>
                <w:rFonts w:ascii="Cambria" w:hAnsi="Cambria"/>
                <w:b w:val="0"/>
                <w:i w:val="0"/>
                <w:sz w:val="22"/>
              </w:rPr>
              <w:t>5%</w:t>
            </w:r>
          </w:p>
        </w:tc>
        <w:tc>
          <w:tcPr>
            <w:tcW w:type="dxa" w:w="5783"/>
          </w:tcPr>
          <w:p>
            <w:pPr>
              <w:spacing w:after="40" w:before="40"/>
            </w:pPr>
            <w:r/>
            <w:r>
              <w:rPr>
                <w:rFonts w:ascii="Cambria" w:hAnsi="Cambria"/>
                <w:b w:val="0"/>
                <w:i w:val="0"/>
                <w:sz w:val="22"/>
              </w:rPr>
              <w:t>NSS/NCC/SDG initiatives, social impact programs</w:t>
            </w:r>
          </w:p>
        </w:tc>
      </w:tr>
    </w:tbl>
    <w:p>
      <w:pPr>
        <w:spacing w:after="40"/>
      </w:pPr>
    </w:p>
    <w:p>
      <w:r>
        <w:rPr>
          <w:rFonts w:ascii="Cambria" w:hAnsi="Cambria"/>
          <w:i w:val="0"/>
          <w:sz w:val="22"/>
        </w:rPr>
        <w:t>Total = 100%</w:t>
      </w:r>
    </w:p>
    <w:p>
      <w:pPr>
        <w:keepNext/>
        <w:spacing w:before="200" w:after="120"/>
      </w:pPr>
      <w:r>
        <w:rPr>
          <w:rFonts w:ascii="Cambria" w:hAnsi="Cambria"/>
          <w:b/>
          <w:color w:val="1F3A5F"/>
          <w:sz w:val="24"/>
        </w:rPr>
        <w:t>2. Key Evaluation Dimensions (for Non-Teaching and Administrative Staff)</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268"/>
            <w:shd w:val="clear" w:color="auto" w:fill="1F3A5F"/>
          </w:tcPr>
          <w:p>
            <w:pPr>
              <w:spacing w:after="40" w:before="40"/>
            </w:pPr>
            <w:r/>
            <w:r>
              <w:rPr>
                <w:rFonts w:ascii="Cambria" w:hAnsi="Cambria"/>
                <w:b/>
                <w:i w:val="0"/>
                <w:color w:val="FFFFFF"/>
                <w:sz w:val="22"/>
              </w:rPr>
              <w:t>Area</w:t>
            </w:r>
          </w:p>
        </w:tc>
        <w:tc>
          <w:tcPr>
            <w:tcW w:type="dxa" w:w="1360"/>
            <w:shd w:val="clear" w:color="auto" w:fill="1F3A5F"/>
          </w:tcPr>
          <w:p>
            <w:pPr>
              <w:spacing w:after="40" w:before="40"/>
            </w:pPr>
            <w:r/>
            <w:r>
              <w:rPr>
                <w:rFonts w:ascii="Cambria" w:hAnsi="Cambria"/>
                <w:b/>
                <w:i w:val="0"/>
                <w:color w:val="FFFFFF"/>
                <w:sz w:val="22"/>
              </w:rPr>
              <w:t>Weightage (%)</w:t>
            </w:r>
          </w:p>
        </w:tc>
        <w:tc>
          <w:tcPr>
            <w:tcW w:type="dxa" w:w="5783"/>
            <w:shd w:val="clear" w:color="auto" w:fill="1F3A5F"/>
          </w:tcPr>
          <w:p>
            <w:pPr>
              <w:spacing w:after="40" w:before="40"/>
            </w:pPr>
            <w:r/>
            <w:r>
              <w:rPr>
                <w:rFonts w:ascii="Cambria" w:hAnsi="Cambria"/>
                <w:b/>
                <w:i w:val="0"/>
                <w:color w:val="FFFFFF"/>
                <w:sz w:val="22"/>
              </w:rPr>
              <w:t>Indicators</w:t>
            </w:r>
          </w:p>
        </w:tc>
      </w:tr>
      <w:tr>
        <w:tc>
          <w:tcPr>
            <w:tcW w:type="dxa" w:w="2268"/>
          </w:tcPr>
          <w:p>
            <w:pPr>
              <w:spacing w:after="40" w:before="40"/>
            </w:pPr>
            <w:r/>
            <w:r>
              <w:rPr>
                <w:rFonts w:ascii="Cambria" w:hAnsi="Cambria"/>
                <w:b w:val="0"/>
                <w:i w:val="0"/>
                <w:sz w:val="22"/>
              </w:rPr>
              <w:t>Work Efficiency and Accuracy</w:t>
            </w:r>
          </w:p>
        </w:tc>
        <w:tc>
          <w:tcPr>
            <w:tcW w:type="dxa" w:w="1360"/>
          </w:tcPr>
          <w:p>
            <w:pPr>
              <w:spacing w:after="40" w:before="40"/>
            </w:pPr>
            <w:r/>
            <w:r>
              <w:rPr>
                <w:rFonts w:ascii="Cambria" w:hAnsi="Cambria"/>
                <w:b w:val="0"/>
                <w:i w:val="0"/>
                <w:sz w:val="22"/>
              </w:rPr>
              <w:t>40%</w:t>
            </w:r>
          </w:p>
        </w:tc>
        <w:tc>
          <w:tcPr>
            <w:tcW w:type="dxa" w:w="5783"/>
          </w:tcPr>
          <w:p>
            <w:pPr>
              <w:spacing w:after="40" w:before="40"/>
            </w:pPr>
            <w:r/>
            <w:r>
              <w:rPr>
                <w:rFonts w:ascii="Cambria" w:hAnsi="Cambria"/>
                <w:b w:val="0"/>
                <w:i w:val="0"/>
                <w:sz w:val="22"/>
              </w:rPr>
              <w:t>Timely task completion, adherence to office procedures</w:t>
            </w:r>
          </w:p>
        </w:tc>
      </w:tr>
      <w:tr>
        <w:tc>
          <w:tcPr>
            <w:tcW w:type="dxa" w:w="2268"/>
            <w:shd w:val="clear" w:color="auto" w:fill="F0F2F5"/>
          </w:tcPr>
          <w:p>
            <w:pPr>
              <w:spacing w:after="40" w:before="40"/>
            </w:pPr>
            <w:r/>
            <w:r>
              <w:rPr>
                <w:rFonts w:ascii="Cambria" w:hAnsi="Cambria"/>
                <w:b w:val="0"/>
                <w:i w:val="0"/>
                <w:sz w:val="22"/>
              </w:rPr>
              <w:t>Attendance and Punctuality</w:t>
            </w:r>
          </w:p>
        </w:tc>
        <w:tc>
          <w:tcPr>
            <w:tcW w:type="dxa" w:w="1360"/>
            <w:shd w:val="clear" w:color="auto" w:fill="F0F2F5"/>
          </w:tcPr>
          <w:p>
            <w:pPr>
              <w:spacing w:after="40" w:before="40"/>
            </w:pPr>
            <w:r/>
            <w:r>
              <w:rPr>
                <w:rFonts w:ascii="Cambria" w:hAnsi="Cambria"/>
                <w:b w:val="0"/>
                <w:i w:val="0"/>
                <w:sz w:val="22"/>
              </w:rPr>
              <w:t>20%</w:t>
            </w:r>
          </w:p>
        </w:tc>
        <w:tc>
          <w:tcPr>
            <w:tcW w:type="dxa" w:w="5783"/>
            <w:shd w:val="clear" w:color="auto" w:fill="F0F2F5"/>
          </w:tcPr>
          <w:p>
            <w:pPr>
              <w:spacing w:after="40" w:before="40"/>
            </w:pPr>
            <w:r/>
            <w:r>
              <w:rPr>
                <w:rFonts w:ascii="Cambria" w:hAnsi="Cambria"/>
                <w:b w:val="0"/>
                <w:i w:val="0"/>
                <w:sz w:val="22"/>
              </w:rPr>
              <w:t>Monthly attendance, responsiveness</w:t>
            </w:r>
          </w:p>
        </w:tc>
      </w:tr>
      <w:tr>
        <w:tc>
          <w:tcPr>
            <w:tcW w:type="dxa" w:w="2268"/>
          </w:tcPr>
          <w:p>
            <w:pPr>
              <w:spacing w:after="40" w:before="40"/>
            </w:pPr>
            <w:r/>
            <w:r>
              <w:rPr>
                <w:rFonts w:ascii="Cambria" w:hAnsi="Cambria"/>
                <w:b w:val="0"/>
                <w:i w:val="0"/>
                <w:sz w:val="22"/>
              </w:rPr>
              <w:t>Innovation and Initiative</w:t>
            </w:r>
          </w:p>
        </w:tc>
        <w:tc>
          <w:tcPr>
            <w:tcW w:type="dxa" w:w="1360"/>
          </w:tcPr>
          <w:p>
            <w:pPr>
              <w:spacing w:after="40" w:before="40"/>
            </w:pPr>
            <w:r/>
            <w:r>
              <w:rPr>
                <w:rFonts w:ascii="Cambria" w:hAnsi="Cambria"/>
                <w:b w:val="0"/>
                <w:i w:val="0"/>
                <w:sz w:val="22"/>
              </w:rPr>
              <w:t>20%</w:t>
            </w:r>
          </w:p>
        </w:tc>
        <w:tc>
          <w:tcPr>
            <w:tcW w:type="dxa" w:w="5783"/>
          </w:tcPr>
          <w:p>
            <w:pPr>
              <w:spacing w:after="40" w:before="40"/>
            </w:pPr>
            <w:r/>
            <w:r>
              <w:rPr>
                <w:rFonts w:ascii="Cambria" w:hAnsi="Cambria"/>
                <w:b w:val="0"/>
                <w:i w:val="0"/>
                <w:sz w:val="22"/>
              </w:rPr>
              <w:t>Process improvement, automation initiatives</w:t>
            </w:r>
          </w:p>
        </w:tc>
      </w:tr>
      <w:tr>
        <w:tc>
          <w:tcPr>
            <w:tcW w:type="dxa" w:w="2268"/>
            <w:shd w:val="clear" w:color="auto" w:fill="F0F2F5"/>
          </w:tcPr>
          <w:p>
            <w:pPr>
              <w:spacing w:after="40" w:before="40"/>
            </w:pPr>
            <w:r/>
            <w:r>
              <w:rPr>
                <w:rFonts w:ascii="Cambria" w:hAnsi="Cambria"/>
                <w:b w:val="0"/>
                <w:i w:val="0"/>
                <w:sz w:val="22"/>
              </w:rPr>
              <w:t>Teamwork and Conduct</w:t>
            </w:r>
          </w:p>
        </w:tc>
        <w:tc>
          <w:tcPr>
            <w:tcW w:type="dxa" w:w="1360"/>
            <w:shd w:val="clear" w:color="auto" w:fill="F0F2F5"/>
          </w:tcPr>
          <w:p>
            <w:pPr>
              <w:spacing w:after="40" w:before="40"/>
            </w:pPr>
            <w:r/>
            <w:r>
              <w:rPr>
                <w:rFonts w:ascii="Cambria" w:hAnsi="Cambria"/>
                <w:b w:val="0"/>
                <w:i w:val="0"/>
                <w:sz w:val="22"/>
              </w:rPr>
              <w:t>10%</w:t>
            </w:r>
          </w:p>
        </w:tc>
        <w:tc>
          <w:tcPr>
            <w:tcW w:type="dxa" w:w="5783"/>
            <w:shd w:val="clear" w:color="auto" w:fill="F0F2F5"/>
          </w:tcPr>
          <w:p>
            <w:pPr>
              <w:spacing w:after="40" w:before="40"/>
            </w:pPr>
            <w:r/>
            <w:r>
              <w:rPr>
                <w:rFonts w:ascii="Cambria" w:hAnsi="Cambria"/>
                <w:b w:val="0"/>
                <w:i w:val="0"/>
                <w:sz w:val="22"/>
              </w:rPr>
              <w:t>Peer feedback, coordination with departments</w:t>
            </w:r>
          </w:p>
        </w:tc>
      </w:tr>
      <w:tr>
        <w:tc>
          <w:tcPr>
            <w:tcW w:type="dxa" w:w="2268"/>
          </w:tcPr>
          <w:p>
            <w:pPr>
              <w:spacing w:after="40" w:before="40"/>
            </w:pPr>
            <w:r/>
            <w:r>
              <w:rPr>
                <w:rFonts w:ascii="Cambria" w:hAnsi="Cambria"/>
                <w:b w:val="0"/>
                <w:i w:val="0"/>
                <w:sz w:val="22"/>
              </w:rPr>
              <w:t>Contribution to Institutional Goals</w:t>
            </w:r>
          </w:p>
        </w:tc>
        <w:tc>
          <w:tcPr>
            <w:tcW w:type="dxa" w:w="1360"/>
          </w:tcPr>
          <w:p>
            <w:pPr>
              <w:spacing w:after="40" w:before="40"/>
            </w:pPr>
            <w:r/>
            <w:r>
              <w:rPr>
                <w:rFonts w:ascii="Cambria" w:hAnsi="Cambria"/>
                <w:b w:val="0"/>
                <w:i w:val="0"/>
                <w:sz w:val="22"/>
              </w:rPr>
              <w:t>10%</w:t>
            </w:r>
          </w:p>
        </w:tc>
        <w:tc>
          <w:tcPr>
            <w:tcW w:type="dxa" w:w="5783"/>
          </w:tcPr>
          <w:p>
            <w:pPr>
              <w:spacing w:after="40" w:before="40"/>
            </w:pPr>
            <w:r/>
            <w:r>
              <w:rPr>
                <w:rFonts w:ascii="Cambria" w:hAnsi="Cambria"/>
                <w:b w:val="0"/>
                <w:i w:val="0"/>
                <w:sz w:val="22"/>
              </w:rPr>
              <w:t>Participation in accreditation, events, or student services</w:t>
            </w:r>
          </w:p>
        </w:tc>
      </w:tr>
    </w:tbl>
    <w:p>
      <w:pPr>
        <w:spacing w:after="40"/>
      </w:pPr>
    </w:p>
    <w:p>
      <w:pPr>
        <w:keepNext/>
        <w:spacing w:before="200" w:after="120"/>
      </w:pPr>
      <w:r>
        <w:rPr>
          <w:rFonts w:ascii="Cambria" w:hAnsi="Cambria"/>
          <w:b/>
          <w:color w:val="1F3A5F"/>
          <w:sz w:val="24"/>
        </w:rPr>
        <w:t>IV. Performance Scoring System</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Performance Category</w:t>
            </w:r>
          </w:p>
        </w:tc>
        <w:tc>
          <w:tcPr>
            <w:tcW w:type="dxa" w:w="1474"/>
            <w:shd w:val="clear" w:color="auto" w:fill="1F3A5F"/>
          </w:tcPr>
          <w:p>
            <w:pPr>
              <w:spacing w:after="40" w:before="40"/>
            </w:pPr>
            <w:r/>
            <w:r>
              <w:rPr>
                <w:rFonts w:ascii="Cambria" w:hAnsi="Cambria"/>
                <w:b/>
                <w:i w:val="0"/>
                <w:color w:val="FFFFFF"/>
                <w:sz w:val="22"/>
              </w:rPr>
              <w:t>Score Range</w:t>
            </w:r>
          </w:p>
        </w:tc>
        <w:tc>
          <w:tcPr>
            <w:tcW w:type="dxa" w:w="6010"/>
            <w:shd w:val="clear" w:color="auto" w:fill="1F3A5F"/>
          </w:tcPr>
          <w:p>
            <w:pPr>
              <w:spacing w:after="40" w:before="40"/>
            </w:pPr>
            <w:r/>
            <w:r>
              <w:rPr>
                <w:rFonts w:ascii="Cambria" w:hAnsi="Cambria"/>
                <w:b/>
                <w:i w:val="0"/>
                <w:color w:val="FFFFFF"/>
                <w:sz w:val="22"/>
              </w:rPr>
              <w:t>Incentive Eligibility</w:t>
            </w:r>
          </w:p>
        </w:tc>
      </w:tr>
      <w:tr>
        <w:tc>
          <w:tcPr>
            <w:tcW w:type="dxa" w:w="1927"/>
          </w:tcPr>
          <w:p>
            <w:pPr>
              <w:spacing w:after="40" w:before="40"/>
            </w:pPr>
            <w:r/>
            <w:r>
              <w:rPr>
                <w:rFonts w:ascii="Cambria" w:hAnsi="Cambria"/>
                <w:b w:val="0"/>
                <w:i w:val="0"/>
                <w:sz w:val="22"/>
              </w:rPr>
              <w:t>Outstanding</w:t>
            </w:r>
          </w:p>
        </w:tc>
        <w:tc>
          <w:tcPr>
            <w:tcW w:type="dxa" w:w="1474"/>
          </w:tcPr>
          <w:p>
            <w:pPr>
              <w:spacing w:after="40" w:before="40"/>
            </w:pPr>
            <w:r/>
            <w:r>
              <w:rPr>
                <w:rFonts w:ascii="Cambria" w:hAnsi="Cambria"/>
                <w:b w:val="0"/>
                <w:i w:val="0"/>
                <w:sz w:val="22"/>
              </w:rPr>
              <w:t>90% – 100%</w:t>
            </w:r>
          </w:p>
        </w:tc>
        <w:tc>
          <w:tcPr>
            <w:tcW w:type="dxa" w:w="6010"/>
          </w:tcPr>
          <w:p>
            <w:pPr>
              <w:spacing w:after="40" w:before="40"/>
            </w:pPr>
            <w:r/>
            <w:r>
              <w:rPr>
                <w:rFonts w:ascii="Cambria" w:hAnsi="Cambria"/>
                <w:b w:val="0"/>
                <w:i w:val="0"/>
                <w:sz w:val="22"/>
              </w:rPr>
              <w:t>10% of annual basic pay or ₹30,000 (whichever is lower)</w:t>
            </w:r>
          </w:p>
        </w:tc>
      </w:tr>
      <w:tr>
        <w:tc>
          <w:tcPr>
            <w:tcW w:type="dxa" w:w="1927"/>
            <w:shd w:val="clear" w:color="auto" w:fill="F0F2F5"/>
          </w:tcPr>
          <w:p>
            <w:pPr>
              <w:spacing w:after="40" w:before="40"/>
            </w:pPr>
            <w:r/>
            <w:r>
              <w:rPr>
                <w:rFonts w:ascii="Cambria" w:hAnsi="Cambria"/>
                <w:b w:val="0"/>
                <w:i w:val="0"/>
                <w:sz w:val="22"/>
              </w:rPr>
              <w:t>Excellent</w:t>
            </w:r>
          </w:p>
        </w:tc>
        <w:tc>
          <w:tcPr>
            <w:tcW w:type="dxa" w:w="1474"/>
            <w:shd w:val="clear" w:color="auto" w:fill="F0F2F5"/>
          </w:tcPr>
          <w:p>
            <w:pPr>
              <w:spacing w:after="40" w:before="40"/>
            </w:pPr>
            <w:r/>
            <w:r>
              <w:rPr>
                <w:rFonts w:ascii="Cambria" w:hAnsi="Cambria"/>
                <w:b w:val="0"/>
                <w:i w:val="0"/>
                <w:sz w:val="22"/>
              </w:rPr>
              <w:t>80% – 89%</w:t>
            </w:r>
          </w:p>
        </w:tc>
        <w:tc>
          <w:tcPr>
            <w:tcW w:type="dxa" w:w="6010"/>
            <w:shd w:val="clear" w:color="auto" w:fill="F0F2F5"/>
          </w:tcPr>
          <w:p>
            <w:pPr>
              <w:spacing w:after="40" w:before="40"/>
            </w:pPr>
            <w:r/>
            <w:r>
              <w:rPr>
                <w:rFonts w:ascii="Cambria" w:hAnsi="Cambria"/>
                <w:b w:val="0"/>
                <w:i w:val="0"/>
                <w:sz w:val="22"/>
              </w:rPr>
              <w:t>7% of annual basic pay or ₹20,000</w:t>
            </w:r>
          </w:p>
        </w:tc>
      </w:tr>
      <w:tr>
        <w:tc>
          <w:tcPr>
            <w:tcW w:type="dxa" w:w="1927"/>
          </w:tcPr>
          <w:p>
            <w:pPr>
              <w:spacing w:after="40" w:before="40"/>
            </w:pPr>
            <w:r/>
            <w:r>
              <w:rPr>
                <w:rFonts w:ascii="Cambria" w:hAnsi="Cambria"/>
                <w:b w:val="0"/>
                <w:i w:val="0"/>
                <w:sz w:val="22"/>
              </w:rPr>
              <w:t>Very Good</w:t>
            </w:r>
          </w:p>
        </w:tc>
        <w:tc>
          <w:tcPr>
            <w:tcW w:type="dxa" w:w="1474"/>
          </w:tcPr>
          <w:p>
            <w:pPr>
              <w:spacing w:after="40" w:before="40"/>
            </w:pPr>
            <w:r/>
            <w:r>
              <w:rPr>
                <w:rFonts w:ascii="Cambria" w:hAnsi="Cambria"/>
                <w:b w:val="0"/>
                <w:i w:val="0"/>
                <w:sz w:val="22"/>
              </w:rPr>
              <w:t>70% – 79%</w:t>
            </w:r>
          </w:p>
        </w:tc>
        <w:tc>
          <w:tcPr>
            <w:tcW w:type="dxa" w:w="6010"/>
          </w:tcPr>
          <w:p>
            <w:pPr>
              <w:spacing w:after="40" w:before="40"/>
            </w:pPr>
            <w:r/>
            <w:r>
              <w:rPr>
                <w:rFonts w:ascii="Cambria" w:hAnsi="Cambria"/>
                <w:b w:val="0"/>
                <w:i w:val="0"/>
                <w:sz w:val="22"/>
              </w:rPr>
              <w:t>5% of annual basic pay or ₹10,000</w:t>
            </w:r>
          </w:p>
        </w:tc>
      </w:tr>
      <w:tr>
        <w:tc>
          <w:tcPr>
            <w:tcW w:type="dxa" w:w="1927"/>
            <w:shd w:val="clear" w:color="auto" w:fill="F0F2F5"/>
          </w:tcPr>
          <w:p>
            <w:pPr>
              <w:spacing w:after="40" w:before="40"/>
            </w:pPr>
            <w:r/>
            <w:r>
              <w:rPr>
                <w:rFonts w:ascii="Cambria" w:hAnsi="Cambria"/>
                <w:b w:val="0"/>
                <w:i w:val="0"/>
                <w:sz w:val="22"/>
              </w:rPr>
              <w:t>Good</w:t>
            </w:r>
          </w:p>
        </w:tc>
        <w:tc>
          <w:tcPr>
            <w:tcW w:type="dxa" w:w="1474"/>
            <w:shd w:val="clear" w:color="auto" w:fill="F0F2F5"/>
          </w:tcPr>
          <w:p>
            <w:pPr>
              <w:spacing w:after="40" w:before="40"/>
            </w:pPr>
            <w:r/>
            <w:r>
              <w:rPr>
                <w:rFonts w:ascii="Cambria" w:hAnsi="Cambria"/>
                <w:b w:val="0"/>
                <w:i w:val="0"/>
                <w:sz w:val="22"/>
              </w:rPr>
              <w:t>60% – 69%</w:t>
            </w:r>
          </w:p>
        </w:tc>
        <w:tc>
          <w:tcPr>
            <w:tcW w:type="dxa" w:w="6010"/>
            <w:shd w:val="clear" w:color="auto" w:fill="F0F2F5"/>
          </w:tcPr>
          <w:p>
            <w:pPr>
              <w:spacing w:after="40" w:before="40"/>
            </w:pPr>
            <w:r/>
            <w:r>
              <w:rPr>
                <w:rFonts w:ascii="Cambria" w:hAnsi="Cambria"/>
                <w:b w:val="0"/>
                <w:i w:val="0"/>
                <w:sz w:val="22"/>
              </w:rPr>
              <w:t>Certificate of Appreciation</w:t>
            </w:r>
          </w:p>
        </w:tc>
      </w:tr>
      <w:tr>
        <w:tc>
          <w:tcPr>
            <w:tcW w:type="dxa" w:w="1927"/>
          </w:tcPr>
          <w:p>
            <w:pPr>
              <w:spacing w:after="40" w:before="40"/>
            </w:pPr>
            <w:r/>
            <w:r>
              <w:rPr>
                <w:rFonts w:ascii="Cambria" w:hAnsi="Cambria"/>
                <w:b w:val="0"/>
                <w:i w:val="0"/>
                <w:sz w:val="22"/>
              </w:rPr>
              <w:t>Average / Below</w:t>
            </w:r>
          </w:p>
        </w:tc>
        <w:tc>
          <w:tcPr>
            <w:tcW w:type="dxa" w:w="1474"/>
          </w:tcPr>
          <w:p>
            <w:pPr>
              <w:spacing w:after="40" w:before="40"/>
            </w:pPr>
            <w:r/>
            <w:r>
              <w:rPr>
                <w:rFonts w:ascii="Cambria" w:hAnsi="Cambria"/>
                <w:b w:val="0"/>
                <w:i w:val="0"/>
                <w:sz w:val="22"/>
              </w:rPr>
              <w:t>Below 60%</w:t>
            </w:r>
          </w:p>
        </w:tc>
        <w:tc>
          <w:tcPr>
            <w:tcW w:type="dxa" w:w="6010"/>
          </w:tcPr>
          <w:p>
            <w:pPr>
              <w:spacing w:after="40" w:before="40"/>
            </w:pPr>
            <w:r/>
            <w:r>
              <w:rPr>
                <w:rFonts w:ascii="Cambria" w:hAnsi="Cambria"/>
                <w:b w:val="0"/>
                <w:i w:val="0"/>
                <w:sz w:val="22"/>
              </w:rPr>
              <w:t>Not eligible for incentive; mentoring recommended</w:t>
            </w:r>
          </w:p>
        </w:tc>
      </w:tr>
    </w:tbl>
    <w:p>
      <w:pPr>
        <w:spacing w:after="40"/>
      </w:pPr>
    </w:p>
    <w:p>
      <w:pPr>
        <w:keepNext/>
        <w:spacing w:before="200" w:after="120"/>
      </w:pPr>
      <w:r>
        <w:rPr>
          <w:rFonts w:ascii="Cambria" w:hAnsi="Cambria"/>
          <w:b/>
          <w:color w:val="1F3A5F"/>
          <w:sz w:val="24"/>
        </w:rPr>
        <w:t>V. Types of Incentives and Recognition</w:t>
      </w:r>
    </w:p>
    <w:p>
      <w:pPr>
        <w:keepNext/>
        <w:spacing w:before="200" w:after="120"/>
      </w:pPr>
      <w:r>
        <w:rPr>
          <w:rFonts w:ascii="Cambria" w:hAnsi="Cambria"/>
          <w:b/>
          <w:color w:val="1F3A5F"/>
          <w:sz w:val="24"/>
        </w:rPr>
        <w:t>1. Monetary Incentives</w:t>
      </w:r>
    </w:p>
    <w:p>
      <w:pPr>
        <w:pStyle w:val="ListBullet"/>
        <w:spacing w:line="276" w:lineRule="auto"/>
        <w:ind w:left="510"/>
      </w:pPr>
      <w:r>
        <w:rPr>
          <w:rFonts w:ascii="Cambria" w:hAnsi="Cambria"/>
          <w:b w:val="0"/>
          <w:i w:val="0"/>
          <w:sz w:val="22"/>
        </w:rPr>
        <w:t>Annual Performance Incentive (API): Based on performance category as per evaluation.</w:t>
      </w:r>
    </w:p>
    <w:p>
      <w:pPr>
        <w:pStyle w:val="ListBullet"/>
        <w:spacing w:line="276" w:lineRule="auto"/>
        <w:ind w:left="510"/>
      </w:pPr>
      <w:r>
        <w:rPr>
          <w:rFonts w:ascii="Cambria" w:hAnsi="Cambria"/>
          <w:b w:val="0"/>
          <w:i w:val="0"/>
          <w:sz w:val="22"/>
        </w:rPr>
        <w:t>Research Incentive:</w:t>
      </w:r>
    </w:p>
    <w:p>
      <w:pPr>
        <w:pStyle w:val="ListBullet2"/>
        <w:spacing w:line="276" w:lineRule="auto"/>
        <w:ind w:left="1020"/>
      </w:pPr>
      <w:r>
        <w:rPr>
          <w:rFonts w:ascii="Cambria" w:hAnsi="Cambria"/>
          <w:b w:val="0"/>
          <w:i w:val="0"/>
          <w:sz w:val="22"/>
        </w:rPr>
        <w:t>₹10,000 per Scopus/SCI paper (solo/lead author).</w:t>
      </w:r>
    </w:p>
    <w:p>
      <w:pPr>
        <w:pStyle w:val="ListBullet2"/>
        <w:spacing w:line="276" w:lineRule="auto"/>
        <w:ind w:left="1020"/>
      </w:pPr>
      <w:r>
        <w:rPr>
          <w:rFonts w:ascii="Cambria" w:hAnsi="Cambria"/>
          <w:b w:val="0"/>
          <w:i w:val="0"/>
          <w:sz w:val="22"/>
        </w:rPr>
        <w:t>₹15,000 per granted patent.</w:t>
      </w:r>
    </w:p>
    <w:p>
      <w:pPr>
        <w:pStyle w:val="ListBullet2"/>
        <w:spacing w:line="276" w:lineRule="auto"/>
        <w:ind w:left="1020"/>
      </w:pPr>
      <w:r>
        <w:rPr>
          <w:rFonts w:ascii="Cambria" w:hAnsi="Cambria"/>
          <w:b w:val="0"/>
          <w:i w:val="0"/>
          <w:sz w:val="22"/>
        </w:rPr>
        <w:t>₹25,000 for externally funded projects above ₹5 lakh.</w:t>
      </w:r>
    </w:p>
    <w:p>
      <w:pPr>
        <w:pStyle w:val="ListBullet"/>
        <w:spacing w:line="276" w:lineRule="auto"/>
        <w:ind w:left="510"/>
      </w:pPr>
      <w:r>
        <w:rPr>
          <w:rFonts w:ascii="Cambria" w:hAnsi="Cambria"/>
          <w:b w:val="0"/>
          <w:i w:val="0"/>
          <w:sz w:val="22"/>
        </w:rPr>
        <w:t>Consultancy Revenue Share: 60% to PI, 20% to Department, 20% to University.</w:t>
      </w:r>
    </w:p>
    <w:p>
      <w:pPr>
        <w:pStyle w:val="ListBullet"/>
        <w:spacing w:line="276" w:lineRule="auto"/>
        <w:ind w:left="510"/>
      </w:pPr>
      <w:r>
        <w:rPr>
          <w:rFonts w:ascii="Cambria" w:hAnsi="Cambria"/>
          <w:b w:val="0"/>
          <w:i w:val="0"/>
          <w:sz w:val="22"/>
        </w:rPr>
        <w:t>Innovation Award Grant: Up to ₹25,000 for prototypes, innovations, or social impact models.</w:t>
      </w:r>
    </w:p>
    <w:p>
      <w:pPr>
        <w:keepNext/>
        <w:spacing w:before="200" w:after="120"/>
      </w:pPr>
      <w:r>
        <w:rPr>
          <w:rFonts w:ascii="Cambria" w:hAnsi="Cambria"/>
          <w:b/>
          <w:color w:val="1F3A5F"/>
          <w:sz w:val="24"/>
        </w:rPr>
        <w:t>2. Non-Monetary Recognition</w:t>
      </w:r>
    </w:p>
    <w:p>
      <w:pPr>
        <w:pStyle w:val="ListBullet"/>
        <w:spacing w:line="276" w:lineRule="auto"/>
        <w:ind w:left="510"/>
      </w:pPr>
      <w:r>
        <w:rPr>
          <w:rFonts w:ascii="Cambria" w:hAnsi="Cambria"/>
          <w:b w:val="0"/>
          <w:i w:val="0"/>
          <w:sz w:val="22"/>
        </w:rPr>
        <w:t>Annual Awards:</w:t>
      </w:r>
    </w:p>
    <w:p>
      <w:pPr>
        <w:pStyle w:val="ListBullet2"/>
        <w:spacing w:line="276" w:lineRule="auto"/>
        <w:ind w:left="1020"/>
      </w:pPr>
      <w:r>
        <w:rPr>
          <w:rFonts w:ascii="Cambria" w:hAnsi="Cambria"/>
          <w:b w:val="0"/>
          <w:i w:val="0"/>
          <w:sz w:val="22"/>
        </w:rPr>
        <w:t>Best Teacher Award (Academic Excellence).</w:t>
      </w:r>
    </w:p>
    <w:p>
      <w:pPr>
        <w:pStyle w:val="ListBullet2"/>
        <w:spacing w:line="276" w:lineRule="auto"/>
        <w:ind w:left="1020"/>
      </w:pPr>
      <w:r>
        <w:rPr>
          <w:rFonts w:ascii="Cambria" w:hAnsi="Cambria"/>
          <w:b w:val="0"/>
          <w:i w:val="0"/>
          <w:sz w:val="22"/>
        </w:rPr>
        <w:t>Best Researcher Award (Publication &amp; Innovation).</w:t>
      </w:r>
    </w:p>
    <w:p>
      <w:pPr>
        <w:pStyle w:val="ListBullet2"/>
        <w:spacing w:line="276" w:lineRule="auto"/>
        <w:ind w:left="1020"/>
      </w:pPr>
      <w:r>
        <w:rPr>
          <w:rFonts w:ascii="Cambria" w:hAnsi="Cambria"/>
          <w:b w:val="0"/>
          <w:i w:val="0"/>
          <w:sz w:val="22"/>
        </w:rPr>
        <w:t>Best Innovator Award (Product or IP generation).</w:t>
      </w:r>
    </w:p>
    <w:p>
      <w:pPr>
        <w:pStyle w:val="ListBullet2"/>
        <w:spacing w:line="276" w:lineRule="auto"/>
        <w:ind w:left="1020"/>
      </w:pPr>
      <w:r>
        <w:rPr>
          <w:rFonts w:ascii="Cambria" w:hAnsi="Cambria"/>
          <w:b w:val="0"/>
          <w:i w:val="0"/>
          <w:sz w:val="22"/>
        </w:rPr>
        <w:t>Best Mentor Award (Student development).</w:t>
      </w:r>
    </w:p>
    <w:p>
      <w:pPr>
        <w:pStyle w:val="ListBullet2"/>
        <w:spacing w:line="276" w:lineRule="auto"/>
        <w:ind w:left="1020"/>
      </w:pPr>
      <w:r>
        <w:rPr>
          <w:rFonts w:ascii="Cambria" w:hAnsi="Cambria"/>
          <w:b w:val="0"/>
          <w:i w:val="0"/>
          <w:sz w:val="22"/>
        </w:rPr>
        <w:t>Best Administrator / Non-Teaching Staff Award.</w:t>
      </w:r>
    </w:p>
    <w:p>
      <w:pPr>
        <w:pStyle w:val="ListBullet"/>
        <w:spacing w:line="276" w:lineRule="auto"/>
        <w:ind w:left="510"/>
      </w:pPr>
      <w:r>
        <w:rPr>
          <w:rFonts w:ascii="Cambria" w:hAnsi="Cambria"/>
          <w:b w:val="0"/>
          <w:i w:val="0"/>
          <w:sz w:val="22"/>
        </w:rPr>
        <w:t>Certificates and Citations: Presented during Annual Foundation or Teacher's Day ceremony.</w:t>
      </w:r>
    </w:p>
    <w:p>
      <w:pPr>
        <w:pStyle w:val="ListBullet"/>
        <w:spacing w:line="276" w:lineRule="auto"/>
        <w:ind w:left="510"/>
      </w:pPr>
      <w:r>
        <w:rPr>
          <w:rFonts w:ascii="Cambria" w:hAnsi="Cambria"/>
          <w:b w:val="0"/>
          <w:i w:val="0"/>
          <w:sz w:val="22"/>
        </w:rPr>
        <w:t>Professional Development Priority: Top performers receive priority nominations for FDPs, conferences, and international exchange programs.</w:t>
      </w:r>
    </w:p>
    <w:p>
      <w:pPr>
        <w:pStyle w:val="ListBullet"/>
        <w:spacing w:line="276" w:lineRule="auto"/>
        <w:ind w:left="510"/>
      </w:pPr>
      <w:r>
        <w:rPr>
          <w:rFonts w:ascii="Cambria" w:hAnsi="Cambria"/>
          <w:b w:val="0"/>
          <w:i w:val="0"/>
          <w:sz w:val="22"/>
        </w:rPr>
        <w:t>Recognition in University Reports: Featured in IQAC annual report, website, and newsletters.</w:t>
      </w:r>
    </w:p>
    <w:p>
      <w:pPr>
        <w:keepNext/>
        <w:spacing w:before="200" w:after="120"/>
      </w:pPr>
      <w:r>
        <w:rPr>
          <w:rFonts w:ascii="Cambria" w:hAnsi="Cambria"/>
          <w:b/>
          <w:color w:val="1F3A5F"/>
          <w:sz w:val="24"/>
        </w:rPr>
        <w:t>VI. Appraisal and Review Process</w:t>
      </w:r>
    </w:p>
    <w:p>
      <w:pPr>
        <w:keepNext/>
        <w:spacing w:before="200" w:after="120"/>
      </w:pPr>
      <w:r>
        <w:rPr>
          <w:rFonts w:ascii="Cambria" w:hAnsi="Cambria"/>
          <w:b/>
          <w:color w:val="1F3A5F"/>
          <w:sz w:val="24"/>
        </w:rPr>
        <w:t>1. Annual Appraisal Steps</w:t>
      </w:r>
    </w:p>
    <w:p>
      <w:pPr>
        <w:spacing w:line="276" w:lineRule="auto"/>
        <w:ind w:left="357" w:hanging="357"/>
      </w:pPr>
      <w:r>
        <w:rPr>
          <w:rFonts w:ascii="Cambria" w:hAnsi="Cambria"/>
          <w:b w:val="0"/>
          <w:i w:val="0"/>
          <w:sz w:val="22"/>
        </w:rPr>
        <w:t xml:space="preserve">1. </w:t>
      </w:r>
      <w:r>
        <w:rPr>
          <w:rFonts w:ascii="Cambria" w:hAnsi="Cambria"/>
          <w:b w:val="0"/>
          <w:i w:val="0"/>
          <w:sz w:val="22"/>
        </w:rPr>
        <w:t>Self-Assessment Form (SAF): Submitted by each employee through HR portal.</w:t>
      </w:r>
    </w:p>
    <w:p>
      <w:pPr>
        <w:spacing w:line="276" w:lineRule="auto"/>
        <w:ind w:left="357" w:hanging="357"/>
      </w:pPr>
      <w:r>
        <w:rPr>
          <w:rFonts w:ascii="Cambria" w:hAnsi="Cambria"/>
          <w:b w:val="0"/>
          <w:i w:val="0"/>
          <w:sz w:val="22"/>
        </w:rPr>
        <w:t xml:space="preserve">2. </w:t>
      </w:r>
      <w:r>
        <w:rPr>
          <w:rFonts w:ascii="Cambria" w:hAnsi="Cambria"/>
          <w:b w:val="0"/>
          <w:i w:val="0"/>
          <w:sz w:val="22"/>
        </w:rPr>
        <w:t>HoD Review: Validation of records, student feedback, and evidence.</w:t>
      </w:r>
    </w:p>
    <w:p>
      <w:pPr>
        <w:spacing w:line="276" w:lineRule="auto"/>
        <w:ind w:left="357" w:hanging="357"/>
      </w:pPr>
      <w:r>
        <w:rPr>
          <w:rFonts w:ascii="Cambria" w:hAnsi="Cambria"/>
          <w:b w:val="0"/>
          <w:i w:val="0"/>
          <w:sz w:val="22"/>
        </w:rPr>
        <w:t xml:space="preserve">3. </w:t>
      </w:r>
      <w:r>
        <w:rPr>
          <w:rFonts w:ascii="Cambria" w:hAnsi="Cambria"/>
          <w:b w:val="0"/>
          <w:i w:val="0"/>
          <w:sz w:val="22"/>
        </w:rPr>
        <w:t>Dean / Registrar Evaluation: Consolidation of department reports.</w:t>
      </w:r>
    </w:p>
    <w:p>
      <w:pPr>
        <w:spacing w:line="276" w:lineRule="auto"/>
        <w:ind w:left="357" w:hanging="357"/>
      </w:pPr>
      <w:r>
        <w:rPr>
          <w:rFonts w:ascii="Cambria" w:hAnsi="Cambria"/>
          <w:b w:val="0"/>
          <w:i w:val="0"/>
          <w:sz w:val="22"/>
        </w:rPr>
        <w:t xml:space="preserve">4. </w:t>
      </w:r>
      <w:r>
        <w:rPr>
          <w:rFonts w:ascii="Cambria" w:hAnsi="Cambria"/>
          <w:b w:val="0"/>
          <w:i w:val="0"/>
          <w:sz w:val="22"/>
        </w:rPr>
        <w:t>Performance Review Committee (PRC): Final evaluation, score normalization, and recommendations.</w:t>
      </w:r>
    </w:p>
    <w:p>
      <w:pPr>
        <w:spacing w:line="276" w:lineRule="auto"/>
        <w:ind w:left="357" w:hanging="357"/>
      </w:pPr>
      <w:r>
        <w:rPr>
          <w:rFonts w:ascii="Cambria" w:hAnsi="Cambria"/>
          <w:b w:val="0"/>
          <w:i w:val="0"/>
          <w:sz w:val="22"/>
        </w:rPr>
        <w:t xml:space="preserve">5. </w:t>
      </w:r>
      <w:r>
        <w:rPr>
          <w:rFonts w:ascii="Cambria" w:hAnsi="Cambria"/>
          <w:b w:val="0"/>
          <w:i w:val="0"/>
          <w:sz w:val="22"/>
        </w:rPr>
        <w:t>Vice-Chancellor / BoM Approval: Ratification of performance list and incentive allocation.</w:t>
      </w:r>
    </w:p>
    <w:p>
      <w:pPr>
        <w:keepNext/>
        <w:spacing w:before="200" w:after="120"/>
      </w:pPr>
      <w:r>
        <w:rPr>
          <w:rFonts w:ascii="Cambria" w:hAnsi="Cambria"/>
          <w:b/>
          <w:color w:val="1F3A5F"/>
          <w:sz w:val="24"/>
        </w:rPr>
        <w:t>2. Performance Review Committee (PRC) Composition</w:t>
      </w:r>
    </w:p>
    <w:tbl>
      <w:tblPr>
        <w:tblStyle w:val="TableGrid"/>
        <w:tblW w:type="auto" w:w="0"/>
        <w:jc w:val="center"/>
        <w:tblLook w:firstColumn="1" w:firstRow="1" w:lastColumn="0" w:lastRow="0" w:noHBand="0" w:noVBand="1" w:val="04A0"/>
        <w:tblLayout w:type="fixed"/>
      </w:tblPr>
      <w:tblGrid>
        <w:gridCol w:w="4706"/>
        <w:gridCol w:w="4706"/>
      </w:tblGrid>
      <w:tr>
        <w:tc>
          <w:tcPr>
            <w:tcW w:type="dxa" w:w="4649"/>
            <w:shd w:val="clear" w:color="auto" w:fill="1F3A5F"/>
          </w:tcPr>
          <w:p>
            <w:pPr>
              <w:spacing w:after="40" w:before="40"/>
            </w:pPr>
            <w:r/>
            <w:r>
              <w:rPr>
                <w:rFonts w:ascii="Cambria" w:hAnsi="Cambria"/>
                <w:b/>
                <w:i w:val="0"/>
                <w:color w:val="FFFFFF"/>
                <w:sz w:val="22"/>
              </w:rPr>
              <w:t>Member</w:t>
            </w:r>
          </w:p>
        </w:tc>
        <w:tc>
          <w:tcPr>
            <w:tcW w:type="dxa" w:w="4762"/>
            <w:shd w:val="clear" w:color="auto" w:fill="1F3A5F"/>
          </w:tcPr>
          <w:p>
            <w:pPr>
              <w:spacing w:after="40" w:before="40"/>
            </w:pPr>
            <w:r/>
            <w:r>
              <w:rPr>
                <w:rFonts w:ascii="Cambria" w:hAnsi="Cambria"/>
                <w:b/>
                <w:i w:val="0"/>
                <w:color w:val="FFFFFF"/>
                <w:sz w:val="22"/>
              </w:rPr>
              <w:t>Role</w:t>
            </w:r>
          </w:p>
        </w:tc>
      </w:tr>
      <w:tr>
        <w:tc>
          <w:tcPr>
            <w:tcW w:type="dxa" w:w="4649"/>
          </w:tcPr>
          <w:p>
            <w:pPr>
              <w:spacing w:after="40" w:before="40"/>
            </w:pPr>
            <w:r/>
            <w:r>
              <w:rPr>
                <w:rFonts w:ascii="Cambria" w:hAnsi="Cambria"/>
                <w:b w:val="0"/>
                <w:i w:val="0"/>
                <w:sz w:val="22"/>
              </w:rPr>
              <w:t>Vice-Chancellor</w:t>
            </w:r>
          </w:p>
        </w:tc>
        <w:tc>
          <w:tcPr>
            <w:tcW w:type="dxa" w:w="4762"/>
          </w:tcPr>
          <w:p>
            <w:pPr>
              <w:spacing w:after="40" w:before="40"/>
            </w:pPr>
            <w:r/>
            <w:r>
              <w:rPr>
                <w:rFonts w:ascii="Cambria" w:hAnsi="Cambria"/>
                <w:b w:val="0"/>
                <w:i w:val="0"/>
                <w:sz w:val="22"/>
              </w:rPr>
              <w:t>Chairperson</w:t>
            </w:r>
          </w:p>
        </w:tc>
      </w:tr>
      <w:tr>
        <w:tc>
          <w:tcPr>
            <w:tcW w:type="dxa" w:w="4649"/>
            <w:shd w:val="clear" w:color="auto" w:fill="F0F2F5"/>
          </w:tcPr>
          <w:p>
            <w:pPr>
              <w:spacing w:after="40" w:before="40"/>
            </w:pPr>
            <w:r/>
            <w:r>
              <w:rPr>
                <w:rFonts w:ascii="Cambria" w:hAnsi="Cambria"/>
                <w:b w:val="0"/>
                <w:i w:val="0"/>
                <w:sz w:val="22"/>
              </w:rPr>
              <w:t>Registrar</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Dean (Academics / Research)</w:t>
            </w:r>
          </w:p>
        </w:tc>
        <w:tc>
          <w:tcPr>
            <w:tcW w:type="dxa" w:w="4762"/>
          </w:tcPr>
          <w:p>
            <w:pPr>
              <w:spacing w:after="40" w:before="40"/>
            </w:pPr>
            <w:r/>
            <w:r>
              <w:rPr>
                <w:rFonts w:ascii="Cambria" w:hAnsi="Cambria"/>
                <w:b w:val="0"/>
                <w:i w:val="0"/>
                <w:sz w:val="22"/>
              </w:rPr>
              <w:t>Member</w:t>
            </w:r>
          </w:p>
        </w:tc>
      </w:tr>
      <w:tr>
        <w:tc>
          <w:tcPr>
            <w:tcW w:type="dxa" w:w="4649"/>
            <w:shd w:val="clear" w:color="auto" w:fill="F0F2F5"/>
          </w:tcPr>
          <w:p>
            <w:pPr>
              <w:spacing w:after="40" w:before="40"/>
            </w:pPr>
            <w:r/>
            <w:r>
              <w:rPr>
                <w:rFonts w:ascii="Cambria" w:hAnsi="Cambria"/>
                <w:b w:val="0"/>
                <w:i w:val="0"/>
                <w:sz w:val="22"/>
              </w:rPr>
              <w:t>Director (IQAC)</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HoD Representative</w:t>
            </w:r>
          </w:p>
        </w:tc>
        <w:tc>
          <w:tcPr>
            <w:tcW w:type="dxa" w:w="4762"/>
          </w:tcPr>
          <w:p>
            <w:pPr>
              <w:spacing w:after="40" w:before="40"/>
            </w:pPr>
            <w:r/>
            <w:r>
              <w:rPr>
                <w:rFonts w:ascii="Cambria" w:hAnsi="Cambria"/>
                <w:b w:val="0"/>
                <w:i w:val="0"/>
                <w:sz w:val="22"/>
              </w:rPr>
              <w:t>Member</w:t>
            </w:r>
          </w:p>
        </w:tc>
      </w:tr>
      <w:tr>
        <w:tc>
          <w:tcPr>
            <w:tcW w:type="dxa" w:w="4649"/>
            <w:shd w:val="clear" w:color="auto" w:fill="F0F2F5"/>
          </w:tcPr>
          <w:p>
            <w:pPr>
              <w:spacing w:after="40" w:before="40"/>
            </w:pPr>
            <w:r/>
            <w:r>
              <w:rPr>
                <w:rFonts w:ascii="Cambria" w:hAnsi="Cambria"/>
                <w:b w:val="0"/>
                <w:i w:val="0"/>
                <w:sz w:val="22"/>
              </w:rPr>
              <w:t>HR Manager</w:t>
            </w:r>
          </w:p>
        </w:tc>
        <w:tc>
          <w:tcPr>
            <w:tcW w:type="dxa" w:w="4762"/>
            <w:shd w:val="clear" w:color="auto" w:fill="F0F2F5"/>
          </w:tcPr>
          <w:p>
            <w:pPr>
              <w:spacing w:after="40" w:before="40"/>
            </w:pPr>
            <w:r/>
            <w:r>
              <w:rPr>
                <w:rFonts w:ascii="Cambria" w:hAnsi="Cambria"/>
                <w:b w:val="0"/>
                <w:i w:val="0"/>
                <w:sz w:val="22"/>
              </w:rPr>
              <w:t>Member Secretary</w:t>
            </w:r>
          </w:p>
        </w:tc>
      </w:tr>
    </w:tbl>
    <w:p>
      <w:pPr>
        <w:spacing w:after="40"/>
      </w:pPr>
    </w:p>
    <w:p>
      <w:pPr>
        <w:keepNext/>
        <w:spacing w:before="200" w:after="120"/>
      </w:pPr>
      <w:r>
        <w:rPr>
          <w:rFonts w:ascii="Cambria" w:hAnsi="Cambria"/>
          <w:b/>
          <w:color w:val="1F3A5F"/>
          <w:sz w:val="24"/>
        </w:rPr>
        <w:t>VII. Linkage with Career Advancement</w:t>
      </w:r>
    </w:p>
    <w:p>
      <w:pPr>
        <w:pStyle w:val="ListBullet"/>
        <w:spacing w:line="276" w:lineRule="auto"/>
        <w:ind w:left="510"/>
      </w:pPr>
      <w:r>
        <w:rPr>
          <w:rFonts w:ascii="Cambria" w:hAnsi="Cambria"/>
          <w:b w:val="0"/>
          <w:i w:val="0"/>
          <w:sz w:val="22"/>
        </w:rPr>
        <w:t>Performance outcomes shall directly support:</w:t>
      </w:r>
    </w:p>
    <w:p>
      <w:pPr>
        <w:pStyle w:val="ListBullet2"/>
        <w:spacing w:line="276" w:lineRule="auto"/>
        <w:ind w:left="1020"/>
      </w:pPr>
      <w:r>
        <w:rPr>
          <w:rFonts w:ascii="Cambria" w:hAnsi="Cambria"/>
          <w:b w:val="0"/>
          <w:i w:val="0"/>
          <w:sz w:val="22"/>
        </w:rPr>
        <w:t>Annual Increment recommendations.</w:t>
      </w:r>
    </w:p>
    <w:p>
      <w:pPr>
        <w:pStyle w:val="ListBullet2"/>
        <w:spacing w:line="276" w:lineRule="auto"/>
        <w:ind w:left="1020"/>
      </w:pPr>
      <w:r>
        <w:rPr>
          <w:rFonts w:ascii="Cambria" w:hAnsi="Cambria"/>
          <w:b w:val="0"/>
          <w:i w:val="0"/>
          <w:sz w:val="22"/>
        </w:rPr>
        <w:t>Career Advancement Scheme (CAS) eligibility.</w:t>
      </w:r>
    </w:p>
    <w:p>
      <w:pPr>
        <w:pStyle w:val="ListBullet2"/>
        <w:spacing w:line="276" w:lineRule="auto"/>
        <w:ind w:left="1020"/>
      </w:pPr>
      <w:r>
        <w:rPr>
          <w:rFonts w:ascii="Cambria" w:hAnsi="Cambria"/>
          <w:b w:val="0"/>
          <w:i w:val="0"/>
          <w:sz w:val="22"/>
        </w:rPr>
        <w:t>Research Grants and Sabbatical approvals.</w:t>
      </w:r>
    </w:p>
    <w:p>
      <w:pPr>
        <w:pStyle w:val="ListBullet"/>
        <w:spacing w:line="276" w:lineRule="auto"/>
        <w:ind w:left="510"/>
      </w:pPr>
      <w:r>
        <w:rPr>
          <w:rFonts w:ascii="Cambria" w:hAnsi="Cambria"/>
          <w:b w:val="0"/>
          <w:i w:val="0"/>
          <w:sz w:val="22"/>
        </w:rPr>
        <w:t>Faculty consistently scoring above 80% for 3 consecutive years shall be considered for Leadership or Academic Coordinator roles.</w:t>
      </w:r>
    </w:p>
    <w:p>
      <w:pPr>
        <w:keepNext/>
        <w:spacing w:before="200" w:after="120"/>
      </w:pPr>
      <w:r>
        <w:rPr>
          <w:rFonts w:ascii="Cambria" w:hAnsi="Cambria"/>
          <w:b/>
          <w:color w:val="1F3A5F"/>
          <w:sz w:val="24"/>
        </w:rPr>
        <w:t>VIII. Documentation and Evidence Management</w:t>
      </w:r>
    </w:p>
    <w:p>
      <w:pPr>
        <w:pStyle w:val="ListBullet"/>
        <w:spacing w:line="276" w:lineRule="auto"/>
        <w:ind w:left="510"/>
      </w:pPr>
      <w:r>
        <w:rPr>
          <w:rFonts w:ascii="Cambria" w:hAnsi="Cambria"/>
          <w:b w:val="0"/>
          <w:i w:val="0"/>
          <w:sz w:val="22"/>
        </w:rPr>
        <w:t>All performance data shall be maintained in digital HRMS-based Faculty Performance Repository.</w:t>
      </w:r>
    </w:p>
    <w:p>
      <w:pPr>
        <w:pStyle w:val="ListBullet"/>
        <w:spacing w:line="276" w:lineRule="auto"/>
        <w:ind w:left="510"/>
      </w:pPr>
      <w:r>
        <w:rPr>
          <w:rFonts w:ascii="Cambria" w:hAnsi="Cambria"/>
          <w:b w:val="0"/>
          <w:i w:val="0"/>
          <w:sz w:val="22"/>
        </w:rPr>
        <w:t>Verified documents required:</w:t>
      </w:r>
    </w:p>
    <w:p>
      <w:pPr>
        <w:pStyle w:val="ListBullet2"/>
        <w:spacing w:line="276" w:lineRule="auto"/>
        <w:ind w:left="1020"/>
      </w:pPr>
      <w:r>
        <w:rPr>
          <w:rFonts w:ascii="Cambria" w:hAnsi="Cambria"/>
          <w:b w:val="0"/>
          <w:i w:val="0"/>
          <w:sz w:val="22"/>
        </w:rPr>
        <w:t>Course delivery records, attendance sheets, and feedback reports.</w:t>
      </w:r>
    </w:p>
    <w:p>
      <w:pPr>
        <w:pStyle w:val="ListBullet2"/>
        <w:spacing w:line="276" w:lineRule="auto"/>
        <w:ind w:left="1020"/>
      </w:pPr>
      <w:r>
        <w:rPr>
          <w:rFonts w:ascii="Cambria" w:hAnsi="Cambria"/>
          <w:b w:val="0"/>
          <w:i w:val="0"/>
          <w:sz w:val="22"/>
        </w:rPr>
        <w:t>Research publications and citation indices.</w:t>
      </w:r>
    </w:p>
    <w:p>
      <w:pPr>
        <w:pStyle w:val="ListBullet2"/>
        <w:spacing w:line="276" w:lineRule="auto"/>
        <w:ind w:left="1020"/>
      </w:pPr>
      <w:r>
        <w:rPr>
          <w:rFonts w:ascii="Cambria" w:hAnsi="Cambria"/>
          <w:b w:val="0"/>
          <w:i w:val="0"/>
          <w:sz w:val="22"/>
        </w:rPr>
        <w:t>Proof of funded projects, patents, and consultancies.</w:t>
      </w:r>
    </w:p>
    <w:p>
      <w:pPr>
        <w:pStyle w:val="ListBullet2"/>
        <w:spacing w:line="276" w:lineRule="auto"/>
        <w:ind w:left="1020"/>
      </w:pPr>
      <w:r>
        <w:rPr>
          <w:rFonts w:ascii="Cambria" w:hAnsi="Cambria"/>
          <w:b w:val="0"/>
          <w:i w:val="0"/>
          <w:sz w:val="22"/>
        </w:rPr>
        <w:t>Certificates for FDPs, workshops, and training.</w:t>
      </w:r>
    </w:p>
    <w:p>
      <w:pPr>
        <w:pStyle w:val="ListBullet"/>
        <w:spacing w:line="276" w:lineRule="auto"/>
        <w:ind w:left="510"/>
      </w:pPr>
      <w:r>
        <w:rPr>
          <w:rFonts w:ascii="Cambria" w:hAnsi="Cambria"/>
          <w:b w:val="0"/>
          <w:i w:val="0"/>
          <w:sz w:val="22"/>
        </w:rPr>
        <w:t>HRD Cell and IQAC shall prepare the Annual Faculty and Staff Performance Report for submission to BoM.</w:t>
      </w:r>
    </w:p>
    <w:p>
      <w:pPr>
        <w:keepNext/>
        <w:spacing w:before="200" w:after="120"/>
      </w:pPr>
      <w:r>
        <w:rPr>
          <w:rFonts w:ascii="Cambria" w:hAnsi="Cambria"/>
          <w:b/>
          <w:color w:val="1F3A5F"/>
          <w:sz w:val="24"/>
        </w:rPr>
        <w:t>IX. Monitoring, Audit, and Quality Assurance</w:t>
      </w:r>
    </w:p>
    <w:p>
      <w:pPr>
        <w:pStyle w:val="ListBullet"/>
        <w:spacing w:line="276" w:lineRule="auto"/>
        <w:ind w:left="510"/>
      </w:pPr>
      <w:r>
        <w:rPr>
          <w:rFonts w:ascii="Cambria" w:hAnsi="Cambria"/>
          <w:b w:val="0"/>
          <w:i w:val="0"/>
          <w:sz w:val="22"/>
        </w:rPr>
        <w:t>IQAC shall monitor consistency and fairness of appraisal processes.</w:t>
      </w:r>
    </w:p>
    <w:p>
      <w:pPr>
        <w:pStyle w:val="ListBullet"/>
        <w:spacing w:line="276" w:lineRule="auto"/>
        <w:ind w:left="510"/>
      </w:pPr>
      <w:r>
        <w:rPr>
          <w:rFonts w:ascii="Cambria" w:hAnsi="Cambria"/>
          <w:b w:val="0"/>
          <w:i w:val="0"/>
          <w:sz w:val="22"/>
        </w:rPr>
        <w:t>Internal Audit Cell shall verify incentive disbursements annually.</w:t>
      </w:r>
    </w:p>
    <w:p>
      <w:pPr>
        <w:pStyle w:val="ListBullet"/>
        <w:spacing w:line="276" w:lineRule="auto"/>
        <w:ind w:left="510"/>
      </w:pPr>
      <w:r>
        <w:rPr>
          <w:rFonts w:ascii="Cambria" w:hAnsi="Cambria"/>
          <w:b w:val="0"/>
          <w:i w:val="0"/>
          <w:sz w:val="22"/>
        </w:rPr>
        <w:t>Peer Review and Feedback mechanisms will be introduced to ensure transparency.</w:t>
      </w:r>
    </w:p>
    <w:p>
      <w:pPr>
        <w:pStyle w:val="ListBullet"/>
        <w:spacing w:line="276" w:lineRule="auto"/>
        <w:ind w:left="510"/>
      </w:pPr>
      <w:r>
        <w:rPr>
          <w:rFonts w:ascii="Cambria" w:hAnsi="Cambria"/>
          <w:b w:val="0"/>
          <w:i w:val="0"/>
          <w:sz w:val="22"/>
        </w:rPr>
        <w:t>Policy outcomes linked to:</w:t>
      </w:r>
    </w:p>
    <w:p>
      <w:pPr>
        <w:pStyle w:val="ListBullet2"/>
        <w:spacing w:line="276" w:lineRule="auto"/>
        <w:ind w:left="1020"/>
      </w:pPr>
      <w:r>
        <w:rPr>
          <w:rFonts w:ascii="Cambria" w:hAnsi="Cambria"/>
          <w:b w:val="0"/>
          <w:i w:val="0"/>
          <w:sz w:val="22"/>
        </w:rPr>
        <w:t>NAAC Criterion 6.3.5 (Performance Appraisal System).</w:t>
      </w:r>
    </w:p>
    <w:p>
      <w:pPr>
        <w:pStyle w:val="ListBullet2"/>
        <w:spacing w:line="276" w:lineRule="auto"/>
        <w:ind w:left="1020"/>
      </w:pPr>
      <w:r>
        <w:rPr>
          <w:rFonts w:ascii="Cambria" w:hAnsi="Cambria"/>
          <w:b w:val="0"/>
          <w:i w:val="0"/>
          <w:sz w:val="22"/>
        </w:rPr>
        <w:t>NBA Criterion 9 (Faculty Performance Evaluation).</w:t>
      </w:r>
    </w:p>
    <w:p>
      <w:pPr>
        <w:pStyle w:val="ListBullet2"/>
        <w:spacing w:line="276" w:lineRule="auto"/>
        <w:ind w:left="1020"/>
      </w:pPr>
      <w:r>
        <w:rPr>
          <w:rFonts w:ascii="Cambria" w:hAnsi="Cambria"/>
          <w:b w:val="0"/>
          <w:i w:val="0"/>
          <w:sz w:val="22"/>
        </w:rPr>
        <w:t>NIRF Teaching &amp; Learning Metrics.</w:t>
      </w:r>
    </w:p>
    <w:p>
      <w:pPr>
        <w:keepNext/>
        <w:spacing w:before="200" w:after="120"/>
      </w:pPr>
      <w:r>
        <w:rPr>
          <w:rFonts w:ascii="Cambria" w:hAnsi="Cambria"/>
          <w:b/>
          <w:color w:val="1F3A5F"/>
          <w:sz w:val="24"/>
        </w:rPr>
        <w:t>X. Funding and Budgetary Allocation</w:t>
      </w:r>
    </w:p>
    <w:p>
      <w:pPr>
        <w:pStyle w:val="ListBullet"/>
        <w:spacing w:line="276" w:lineRule="auto"/>
        <w:ind w:left="510"/>
      </w:pPr>
      <w:r>
        <w:rPr>
          <w:rFonts w:ascii="Cambria" w:hAnsi="Cambria"/>
          <w:b w:val="0"/>
          <w:i w:val="0"/>
          <w:sz w:val="22"/>
        </w:rPr>
        <w:t>Annual allocation of 1% of the total salary budget for performance incentives.</w:t>
      </w:r>
    </w:p>
    <w:p>
      <w:pPr>
        <w:pStyle w:val="ListBullet"/>
        <w:spacing w:line="276" w:lineRule="auto"/>
        <w:ind w:left="510"/>
      </w:pPr>
      <w:r>
        <w:rPr>
          <w:rFonts w:ascii="Cambria" w:hAnsi="Cambria"/>
          <w:b w:val="0"/>
          <w:i w:val="0"/>
          <w:sz w:val="22"/>
        </w:rPr>
        <w:t>Research and innovation incentives to be drawn from R&amp;D and Consultancy funds.</w:t>
      </w:r>
    </w:p>
    <w:p>
      <w:pPr>
        <w:pStyle w:val="ListBullet"/>
        <w:spacing w:line="276" w:lineRule="auto"/>
        <w:ind w:left="510"/>
      </w:pPr>
      <w:r>
        <w:rPr>
          <w:rFonts w:ascii="Cambria" w:hAnsi="Cambria"/>
          <w:b w:val="0"/>
          <w:i w:val="0"/>
          <w:sz w:val="22"/>
        </w:rPr>
        <w:t>Additional support from CSR, alumni contributions, and endowment funds.</w:t>
      </w:r>
    </w:p>
    <w:p>
      <w:pPr>
        <w:keepNext/>
        <w:spacing w:before="200" w:after="120"/>
      </w:pPr>
      <w:r>
        <w:rPr>
          <w:rFonts w:ascii="Cambria" w:hAnsi="Cambria"/>
          <w:b/>
          <w:color w:val="1F3A5F"/>
          <w:sz w:val="24"/>
        </w:rPr>
        <w:t>XI. Policy Review and Updation</w:t>
      </w:r>
    </w:p>
    <w:p>
      <w:pPr>
        <w:pStyle w:val="ListBullet"/>
        <w:spacing w:line="276" w:lineRule="auto"/>
        <w:ind w:left="510"/>
      </w:pPr>
      <w:r>
        <w:rPr>
          <w:rFonts w:ascii="Cambria" w:hAnsi="Cambria"/>
          <w:b w:val="0"/>
          <w:i w:val="0"/>
          <w:sz w:val="22"/>
        </w:rPr>
        <w:t>The policy shall be reviewed every three years by the Performance Review Committee (PRC) and Board of Management (BoM).</w:t>
      </w:r>
    </w:p>
    <w:p>
      <w:pPr>
        <w:pStyle w:val="ListBullet"/>
        <w:spacing w:line="276" w:lineRule="auto"/>
        <w:ind w:left="510"/>
      </w:pPr>
      <w:r>
        <w:rPr>
          <w:rFonts w:ascii="Cambria" w:hAnsi="Cambria"/>
          <w:b w:val="0"/>
          <w:i w:val="0"/>
          <w:sz w:val="22"/>
        </w:rPr>
        <w:t>Updates will align with:</w:t>
      </w:r>
    </w:p>
    <w:p>
      <w:pPr>
        <w:pStyle w:val="ListBullet2"/>
        <w:spacing w:line="276" w:lineRule="auto"/>
        <w:ind w:left="1020"/>
      </w:pPr>
      <w:r>
        <w:rPr>
          <w:rFonts w:ascii="Cambria" w:hAnsi="Cambria"/>
          <w:b w:val="0"/>
          <w:i w:val="0"/>
          <w:sz w:val="22"/>
        </w:rPr>
        <w:t>UGC Performance-Based Appraisal System (PBAS) Guidelines.</w:t>
      </w:r>
    </w:p>
    <w:p>
      <w:pPr>
        <w:pStyle w:val="ListBullet2"/>
        <w:spacing w:line="276" w:lineRule="auto"/>
        <w:ind w:left="1020"/>
      </w:pPr>
      <w:r>
        <w:rPr>
          <w:rFonts w:ascii="Cambria" w:hAnsi="Cambria"/>
          <w:b w:val="0"/>
          <w:i w:val="0"/>
          <w:sz w:val="22"/>
        </w:rPr>
        <w:t>AICTE Faculty Appraisal and Development System (FADS).</w:t>
      </w:r>
    </w:p>
    <w:p>
      <w:pPr>
        <w:pStyle w:val="ListBullet2"/>
        <w:spacing w:line="276" w:lineRule="auto"/>
        <w:ind w:left="1020"/>
      </w:pPr>
      <w:r>
        <w:rPr>
          <w:rFonts w:ascii="Cambria" w:hAnsi="Cambria"/>
          <w:b w:val="0"/>
          <w:i w:val="0"/>
          <w:sz w:val="22"/>
        </w:rPr>
        <w:t>NAAC &amp; NEP 2020 quality benchmarks.</w:t>
      </w:r>
    </w:p>
    <w:p>
      <w:pPr>
        <w:keepNext/>
        <w:spacing w:before="200" w:after="120"/>
      </w:pPr>
      <w:r>
        <w:rPr>
          <w:rFonts w:ascii="Cambria" w:hAnsi="Cambria"/>
          <w:b/>
          <w:color w:val="1F3A5F"/>
          <w:sz w:val="24"/>
        </w:rPr>
        <w:t>XII.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989"/>
            <w:shd w:val="clear" w:color="auto" w:fill="1F3A5F"/>
          </w:tcPr>
          <w:p>
            <w:pPr>
              <w:spacing w:after="40" w:before="40"/>
            </w:pPr>
            <w:r/>
            <w:r>
              <w:rPr>
                <w:rFonts w:ascii="Cambria" w:hAnsi="Cambria"/>
                <w:b/>
                <w:i w:val="0"/>
                <w:color w:val="FFFFFF"/>
                <w:sz w:val="22"/>
              </w:rPr>
              <w:t>Provision</w:t>
            </w:r>
          </w:p>
        </w:tc>
        <w:tc>
          <w:tcPr>
            <w:tcW w:type="dxa" w:w="2494"/>
            <w:shd w:val="clear" w:color="auto" w:fill="1F3A5F"/>
          </w:tcPr>
          <w:p>
            <w:pPr>
              <w:spacing w:after="40" w:before="40"/>
            </w:pPr>
            <w:r/>
            <w:r>
              <w:rPr>
                <w:rFonts w:ascii="Cambria" w:hAnsi="Cambria"/>
                <w:b/>
                <w:i w:val="0"/>
                <w:color w:val="FFFFFF"/>
                <w:sz w:val="22"/>
              </w:rPr>
              <w:t>Responsible Unit</w:t>
            </w:r>
          </w:p>
        </w:tc>
      </w:tr>
      <w:tr>
        <w:tc>
          <w:tcPr>
            <w:tcW w:type="dxa" w:w="1927"/>
          </w:tcPr>
          <w:p>
            <w:pPr>
              <w:spacing w:after="40" w:before="40"/>
            </w:pPr>
            <w:r/>
            <w:r>
              <w:rPr>
                <w:rFonts w:ascii="Cambria" w:hAnsi="Cambria"/>
                <w:b w:val="0"/>
                <w:i w:val="0"/>
                <w:sz w:val="22"/>
              </w:rPr>
              <w:t>Eligibility</w:t>
            </w:r>
          </w:p>
        </w:tc>
        <w:tc>
          <w:tcPr>
            <w:tcW w:type="dxa" w:w="4989"/>
          </w:tcPr>
          <w:p>
            <w:pPr>
              <w:spacing w:after="40" w:before="40"/>
            </w:pPr>
            <w:r/>
            <w:r>
              <w:rPr>
                <w:rFonts w:ascii="Cambria" w:hAnsi="Cambria"/>
                <w:b w:val="0"/>
                <w:i w:val="0"/>
                <w:sz w:val="22"/>
              </w:rPr>
              <w:t>All regular teaching and non-teaching employees</w:t>
            </w:r>
          </w:p>
        </w:tc>
        <w:tc>
          <w:tcPr>
            <w:tcW w:type="dxa" w:w="2494"/>
          </w:tcPr>
          <w:p>
            <w:pPr>
              <w:spacing w:after="40" w:before="40"/>
            </w:pPr>
            <w:r/>
            <w:r>
              <w:rPr>
                <w:rFonts w:ascii="Cambria" w:hAnsi="Cambria"/>
                <w:b w:val="0"/>
                <w:i w:val="0"/>
                <w:sz w:val="22"/>
              </w:rPr>
              <w:t>HRD Cell</w:t>
            </w:r>
          </w:p>
        </w:tc>
      </w:tr>
      <w:tr>
        <w:tc>
          <w:tcPr>
            <w:tcW w:type="dxa" w:w="1927"/>
            <w:shd w:val="clear" w:color="auto" w:fill="F0F2F5"/>
          </w:tcPr>
          <w:p>
            <w:pPr>
              <w:spacing w:after="40" w:before="40"/>
            </w:pPr>
            <w:r/>
            <w:r>
              <w:rPr>
                <w:rFonts w:ascii="Cambria" w:hAnsi="Cambria"/>
                <w:b w:val="0"/>
                <w:i w:val="0"/>
                <w:sz w:val="22"/>
              </w:rPr>
              <w:t>Incentive Type</w:t>
            </w:r>
          </w:p>
        </w:tc>
        <w:tc>
          <w:tcPr>
            <w:tcW w:type="dxa" w:w="4989"/>
            <w:shd w:val="clear" w:color="auto" w:fill="F0F2F5"/>
          </w:tcPr>
          <w:p>
            <w:pPr>
              <w:spacing w:after="40" w:before="40"/>
            </w:pPr>
            <w:r/>
            <w:r>
              <w:rPr>
                <w:rFonts w:ascii="Cambria" w:hAnsi="Cambria"/>
                <w:b w:val="0"/>
                <w:i w:val="0"/>
                <w:sz w:val="22"/>
              </w:rPr>
              <w:t>Monetary (up to ₹30,000) / Non-Monetary (Awards, Recognition)</w:t>
            </w:r>
          </w:p>
        </w:tc>
        <w:tc>
          <w:tcPr>
            <w:tcW w:type="dxa" w:w="2494"/>
            <w:shd w:val="clear" w:color="auto" w:fill="F0F2F5"/>
          </w:tcPr>
          <w:p>
            <w:pPr>
              <w:spacing w:after="40" w:before="40"/>
            </w:pPr>
            <w:r/>
            <w:r>
              <w:rPr>
                <w:rFonts w:ascii="Cambria" w:hAnsi="Cambria"/>
                <w:b w:val="0"/>
                <w:i w:val="0"/>
                <w:sz w:val="22"/>
              </w:rPr>
              <w:t>Finance Section</w:t>
            </w:r>
          </w:p>
        </w:tc>
      </w:tr>
      <w:tr>
        <w:tc>
          <w:tcPr>
            <w:tcW w:type="dxa" w:w="1927"/>
          </w:tcPr>
          <w:p>
            <w:pPr>
              <w:spacing w:after="40" w:before="40"/>
            </w:pPr>
            <w:r/>
            <w:r>
              <w:rPr>
                <w:rFonts w:ascii="Cambria" w:hAnsi="Cambria"/>
                <w:b w:val="0"/>
                <w:i w:val="0"/>
                <w:sz w:val="22"/>
              </w:rPr>
              <w:t>Performance Review</w:t>
            </w:r>
          </w:p>
        </w:tc>
        <w:tc>
          <w:tcPr>
            <w:tcW w:type="dxa" w:w="4989"/>
          </w:tcPr>
          <w:p>
            <w:pPr>
              <w:spacing w:after="40" w:before="40"/>
            </w:pPr>
            <w:r/>
            <w:r>
              <w:rPr>
                <w:rFonts w:ascii="Cambria" w:hAnsi="Cambria"/>
                <w:b w:val="0"/>
                <w:i w:val="0"/>
                <w:sz w:val="22"/>
              </w:rPr>
              <w:t>Annual cycle (April–March)</w:t>
            </w:r>
          </w:p>
        </w:tc>
        <w:tc>
          <w:tcPr>
            <w:tcW w:type="dxa" w:w="2494"/>
          </w:tcPr>
          <w:p>
            <w:pPr>
              <w:spacing w:after="40" w:before="40"/>
            </w:pPr>
            <w:r/>
            <w:r>
              <w:rPr>
                <w:rFonts w:ascii="Cambria" w:hAnsi="Cambria"/>
                <w:b w:val="0"/>
                <w:i w:val="0"/>
                <w:sz w:val="22"/>
              </w:rPr>
              <w:t>PRC / Registrar</w:t>
            </w:r>
          </w:p>
        </w:tc>
      </w:tr>
      <w:tr>
        <w:tc>
          <w:tcPr>
            <w:tcW w:type="dxa" w:w="1927"/>
            <w:shd w:val="clear" w:color="auto" w:fill="F0F2F5"/>
          </w:tcPr>
          <w:p>
            <w:pPr>
              <w:spacing w:after="40" w:before="40"/>
            </w:pPr>
            <w:r/>
            <w:r>
              <w:rPr>
                <w:rFonts w:ascii="Cambria" w:hAnsi="Cambria"/>
                <w:b w:val="0"/>
                <w:i w:val="0"/>
                <w:sz w:val="22"/>
              </w:rPr>
              <w:t>Evaluation Tool</w:t>
            </w:r>
          </w:p>
        </w:tc>
        <w:tc>
          <w:tcPr>
            <w:tcW w:type="dxa" w:w="4989"/>
            <w:shd w:val="clear" w:color="auto" w:fill="F0F2F5"/>
          </w:tcPr>
          <w:p>
            <w:pPr>
              <w:spacing w:after="40" w:before="40"/>
            </w:pPr>
            <w:r/>
            <w:r>
              <w:rPr>
                <w:rFonts w:ascii="Cambria" w:hAnsi="Cambria"/>
                <w:b w:val="0"/>
                <w:i w:val="0"/>
                <w:sz w:val="22"/>
              </w:rPr>
              <w:t>Faculty / Staff Performance Appraisal Form</w:t>
            </w:r>
          </w:p>
        </w:tc>
        <w:tc>
          <w:tcPr>
            <w:tcW w:type="dxa" w:w="2494"/>
            <w:shd w:val="clear" w:color="auto" w:fill="F0F2F5"/>
          </w:tcPr>
          <w:p>
            <w:pPr>
              <w:spacing w:after="40" w:before="40"/>
            </w:pPr>
            <w:r/>
            <w:r>
              <w:rPr>
                <w:rFonts w:ascii="Cambria" w:hAnsi="Cambria"/>
                <w:b w:val="0"/>
                <w:i w:val="0"/>
                <w:sz w:val="22"/>
              </w:rPr>
              <w:t>HRMS Portal</w:t>
            </w:r>
          </w:p>
        </w:tc>
      </w:tr>
      <w:tr>
        <w:tc>
          <w:tcPr>
            <w:tcW w:type="dxa" w:w="1927"/>
          </w:tcPr>
          <w:p>
            <w:pPr>
              <w:spacing w:after="40" w:before="40"/>
            </w:pPr>
            <w:r/>
            <w:r>
              <w:rPr>
                <w:rFonts w:ascii="Cambria" w:hAnsi="Cambria"/>
                <w:b w:val="0"/>
                <w:i w:val="0"/>
                <w:sz w:val="22"/>
              </w:rPr>
              <w:t>Audit and Verification</w:t>
            </w:r>
          </w:p>
        </w:tc>
        <w:tc>
          <w:tcPr>
            <w:tcW w:type="dxa" w:w="4989"/>
          </w:tcPr>
          <w:p>
            <w:pPr>
              <w:spacing w:after="40" w:before="40"/>
            </w:pPr>
            <w:r/>
            <w:r>
              <w:rPr>
                <w:rFonts w:ascii="Cambria" w:hAnsi="Cambria"/>
                <w:b w:val="0"/>
                <w:i w:val="0"/>
                <w:sz w:val="22"/>
              </w:rPr>
              <w:t>IQAC / Internal Audit Cell</w:t>
            </w:r>
          </w:p>
        </w:tc>
        <w:tc>
          <w:tcPr>
            <w:tcW w:type="dxa" w:w="2494"/>
          </w:tcPr>
          <w:p>
            <w:pPr>
              <w:spacing w:after="40" w:before="40"/>
            </w:pPr>
            <w:r/>
            <w:r>
              <w:rPr>
                <w:rFonts w:ascii="Cambria" w:hAnsi="Cambria"/>
                <w:b w:val="0"/>
                <w:i w:val="0"/>
                <w:sz w:val="22"/>
              </w:rPr>
              <w:t>Annual</w:t>
            </w:r>
          </w:p>
        </w:tc>
      </w:tr>
      <w:tr>
        <w:tc>
          <w:tcPr>
            <w:tcW w:type="dxa" w:w="1927"/>
            <w:shd w:val="clear" w:color="auto" w:fill="F0F2F5"/>
          </w:tcPr>
          <w:p>
            <w:pPr>
              <w:spacing w:after="40" w:before="40"/>
            </w:pPr>
            <w:r/>
            <w:r>
              <w:rPr>
                <w:rFonts w:ascii="Cambria" w:hAnsi="Cambria"/>
                <w:b w:val="0"/>
                <w:i w:val="0"/>
                <w:sz w:val="22"/>
              </w:rPr>
              <w:t>Policy Review</w:t>
            </w:r>
          </w:p>
        </w:tc>
        <w:tc>
          <w:tcPr>
            <w:tcW w:type="dxa" w:w="4989"/>
            <w:shd w:val="clear" w:color="auto" w:fill="F0F2F5"/>
          </w:tcPr>
          <w:p>
            <w:pPr>
              <w:spacing w:after="40" w:before="40"/>
            </w:pPr>
            <w:r/>
            <w:r>
              <w:rPr>
                <w:rFonts w:ascii="Cambria" w:hAnsi="Cambria"/>
                <w:b w:val="0"/>
                <w:i w:val="0"/>
                <w:sz w:val="22"/>
              </w:rPr>
              <w:t>Every 3 years</w:t>
            </w:r>
          </w:p>
        </w:tc>
        <w:tc>
          <w:tcPr>
            <w:tcW w:type="dxa" w:w="2494"/>
            <w:shd w:val="clear" w:color="auto" w:fill="F0F2F5"/>
          </w:tcPr>
          <w:p>
            <w:pPr>
              <w:spacing w:after="40" w:before="40"/>
            </w:pPr>
            <w:r/>
            <w:r>
              <w:rPr>
                <w:rFonts w:ascii="Cambria" w:hAnsi="Cambria"/>
                <w:b w:val="0"/>
                <w:i w:val="0"/>
                <w:sz w:val="22"/>
              </w:rPr>
              <w:t>BoM / PRC</w:t>
            </w:r>
          </w:p>
        </w:tc>
      </w:tr>
    </w:tbl>
    <w:p>
      <w:pPr>
        <w:spacing w:after="40"/>
      </w:pPr>
    </w:p>
    <w:p>
      <w:pPr>
        <w:keepNext/>
        <w:spacing w:before="200" w:after="120"/>
      </w:pPr>
      <w:r>
        <w:rPr>
          <w:rFonts w:ascii="Cambria" w:hAnsi="Cambria"/>
          <w:b/>
          <w:color w:val="1F3A5F"/>
          <w:sz w:val="24"/>
        </w:rPr>
        <w:t>XIII. Policy Principles</w:t>
      </w:r>
    </w:p>
    <w:p>
      <w:pPr>
        <w:pStyle w:val="ListBullet"/>
        <w:spacing w:line="276" w:lineRule="auto"/>
        <w:ind w:left="510"/>
      </w:pPr>
      <w:r>
        <w:rPr>
          <w:rFonts w:ascii="Cambria" w:hAnsi="Cambria"/>
          <w:b w:val="0"/>
          <w:i w:val="0"/>
          <w:sz w:val="22"/>
        </w:rPr>
        <w:t>Recognition shall be objective, evidence-based, and transparent.</w:t>
      </w:r>
    </w:p>
    <w:p>
      <w:pPr>
        <w:pStyle w:val="ListBullet"/>
        <w:spacing w:line="276" w:lineRule="auto"/>
        <w:ind w:left="510"/>
      </w:pPr>
      <w:r>
        <w:rPr>
          <w:rFonts w:ascii="Cambria" w:hAnsi="Cambria"/>
          <w:b w:val="0"/>
          <w:i w:val="0"/>
          <w:sz w:val="22"/>
        </w:rPr>
        <w:t>Incentives shall encourage quality over quantity in academic and research contributions.</w:t>
      </w:r>
    </w:p>
    <w:p>
      <w:pPr>
        <w:pStyle w:val="ListBullet"/>
        <w:spacing w:line="276" w:lineRule="auto"/>
        <w:ind w:left="510"/>
      </w:pPr>
      <w:r>
        <w:rPr>
          <w:rFonts w:ascii="Cambria" w:hAnsi="Cambria"/>
          <w:b w:val="0"/>
          <w:i w:val="0"/>
          <w:sz w:val="22"/>
        </w:rPr>
        <w:t>Equal opportunity and non-discrimination will be ensured across all cadres.</w:t>
      </w:r>
    </w:p>
    <w:p>
      <w:pPr>
        <w:pStyle w:val="ListBullet"/>
        <w:spacing w:line="276" w:lineRule="auto"/>
        <w:ind w:left="510"/>
      </w:pPr>
      <w:r>
        <w:rPr>
          <w:rFonts w:ascii="Cambria" w:hAnsi="Cambria"/>
          <w:b w:val="0"/>
          <w:i w:val="0"/>
          <w:sz w:val="22"/>
        </w:rPr>
        <w:t>The policy shall foster a culture of excellence, ethics, and institutional loyalty.</w:t>
      </w:r>
    </w:p>
    <w:p>
      <w:pPr>
        <w:pStyle w:val="ListBullet"/>
        <w:spacing w:line="276" w:lineRule="auto"/>
        <w:ind w:left="510"/>
      </w:pPr>
      <w:r>
        <w:rPr>
          <w:rFonts w:ascii="Cambria" w:hAnsi="Cambria"/>
          <w:b w:val="0"/>
          <w:i w:val="0"/>
          <w:sz w:val="22"/>
        </w:rPr>
        <w:t>Performance recognition shall directly contribute to personal growth, institutional ranking, and stakeholder satisfaction.</w:t>
      </w:r>
    </w:p>
    <w:p>
      <w:pPr>
        <w:keepNext/>
        <w:spacing w:before="200" w:after="120"/>
      </w:pPr>
      <w:r>
        <w:rPr>
          <w:rFonts w:ascii="Cambria" w:hAnsi="Cambria"/>
          <w:b/>
          <w:color w:val="1F3A5F"/>
          <w:sz w:val="27"/>
        </w:rPr>
        <w:t>P. Employee Welfare, Health, and Well-Being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comprehensive framework for promoting the physical, mental, financial, and social well-being of all employees in the University.</w:t>
      </w:r>
    </w:p>
    <w:p>
      <w:pPr>
        <w:pStyle w:val="ListBullet"/>
        <w:spacing w:line="276" w:lineRule="auto"/>
        <w:ind w:left="510"/>
      </w:pPr>
      <w:r>
        <w:rPr>
          <w:rFonts w:ascii="Cambria" w:hAnsi="Cambria"/>
          <w:b w:val="0"/>
          <w:i w:val="0"/>
          <w:sz w:val="22"/>
        </w:rPr>
        <w:t>The policy ensures a safe, inclusive, and supportive work environment, aligning with national labour laws, UGC/AICTE norms, and Sustainable Development Goals (SDG 3: Good Health and Well-being, SDG 8: Decent Work and Economic Growth).</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Ensure the health, safety, and welfare of teaching and non-teaching employees.</w:t>
      </w:r>
    </w:p>
    <w:p>
      <w:pPr>
        <w:pStyle w:val="ListBullet"/>
        <w:spacing w:line="276" w:lineRule="auto"/>
        <w:ind w:left="510"/>
      </w:pPr>
      <w:r>
        <w:rPr>
          <w:rFonts w:ascii="Cambria" w:hAnsi="Cambria"/>
          <w:b w:val="0"/>
          <w:i w:val="0"/>
          <w:sz w:val="22"/>
        </w:rPr>
        <w:t>Foster a culture of work-life balance, empathy, and mutual respect across departments.</w:t>
      </w:r>
    </w:p>
    <w:p>
      <w:pPr>
        <w:pStyle w:val="ListBullet"/>
        <w:spacing w:line="276" w:lineRule="auto"/>
        <w:ind w:left="510"/>
      </w:pPr>
      <w:r>
        <w:rPr>
          <w:rFonts w:ascii="Cambria" w:hAnsi="Cambria"/>
          <w:b w:val="0"/>
          <w:i w:val="0"/>
          <w:sz w:val="22"/>
        </w:rPr>
        <w:t>Provide structured support for medical, recreational, psychological, and family-related needs.</w:t>
      </w:r>
    </w:p>
    <w:p>
      <w:pPr>
        <w:pStyle w:val="ListBullet"/>
        <w:spacing w:line="276" w:lineRule="auto"/>
        <w:ind w:left="510"/>
      </w:pPr>
      <w:r>
        <w:rPr>
          <w:rFonts w:ascii="Cambria" w:hAnsi="Cambria"/>
          <w:b w:val="0"/>
          <w:i w:val="0"/>
          <w:sz w:val="22"/>
        </w:rPr>
        <w:t>Encourage preventive healthcare, fitness, and stress management initiatives.</w:t>
      </w:r>
    </w:p>
    <w:p>
      <w:pPr>
        <w:pStyle w:val="ListBullet"/>
        <w:spacing w:line="276" w:lineRule="auto"/>
        <w:ind w:left="510"/>
      </w:pPr>
      <w:r>
        <w:rPr>
          <w:rFonts w:ascii="Cambria" w:hAnsi="Cambria"/>
          <w:b w:val="0"/>
          <w:i w:val="0"/>
          <w:sz w:val="22"/>
        </w:rPr>
        <w:t>Strengthen institutional compliance with statutory labour and safety regulations.</w:t>
      </w:r>
    </w:p>
    <w:p>
      <w:pPr>
        <w:keepNext/>
        <w:spacing w:before="200" w:after="120"/>
      </w:pPr>
      <w:r>
        <w:rPr>
          <w:rFonts w:ascii="Cambria" w:hAnsi="Cambria"/>
          <w:b/>
          <w:color w:val="1F3A5F"/>
          <w:sz w:val="24"/>
        </w:rPr>
        <w:t>II. Scope and Coverage</w:t>
      </w:r>
    </w:p>
    <w:p>
      <w:pPr>
        <w:pStyle w:val="ListBullet"/>
        <w:spacing w:line="276" w:lineRule="auto"/>
        <w:ind w:left="510"/>
      </w:pPr>
      <w:r>
        <w:rPr>
          <w:rFonts w:ascii="Cambria" w:hAnsi="Cambria"/>
          <w:b w:val="0"/>
          <w:i w:val="0"/>
          <w:sz w:val="22"/>
        </w:rPr>
        <w:t>Applicable to all categories of employees:</w:t>
      </w:r>
    </w:p>
    <w:p>
      <w:pPr>
        <w:pStyle w:val="ListBullet2"/>
        <w:spacing w:line="276" w:lineRule="auto"/>
        <w:ind w:left="1020"/>
      </w:pPr>
      <w:r>
        <w:rPr>
          <w:rFonts w:ascii="Cambria" w:hAnsi="Cambria"/>
          <w:b w:val="0"/>
          <w:i w:val="0"/>
          <w:sz w:val="22"/>
        </w:rPr>
        <w:t>Teaching Faculty (Permanent, Probationary, Contractual).</w:t>
      </w:r>
    </w:p>
    <w:p>
      <w:pPr>
        <w:pStyle w:val="ListBullet2"/>
        <w:spacing w:line="276" w:lineRule="auto"/>
        <w:ind w:left="1020"/>
      </w:pPr>
      <w:r>
        <w:rPr>
          <w:rFonts w:ascii="Cambria" w:hAnsi="Cambria"/>
          <w:b w:val="0"/>
          <w:i w:val="0"/>
          <w:sz w:val="22"/>
        </w:rPr>
        <w:t>Administrative, Technical, and Non-Teaching Staff.</w:t>
      </w:r>
    </w:p>
    <w:p>
      <w:pPr>
        <w:pStyle w:val="ListBullet2"/>
        <w:spacing w:line="276" w:lineRule="auto"/>
        <w:ind w:left="1020"/>
      </w:pPr>
      <w:r>
        <w:rPr>
          <w:rFonts w:ascii="Cambria" w:hAnsi="Cambria"/>
          <w:b w:val="0"/>
          <w:i w:val="0"/>
          <w:sz w:val="22"/>
        </w:rPr>
        <w:t>Support, Maintenance, and Daily Wage Employees.</w:t>
      </w:r>
    </w:p>
    <w:p>
      <w:pPr>
        <w:pStyle w:val="ListBullet"/>
        <w:spacing w:line="276" w:lineRule="auto"/>
        <w:ind w:left="510"/>
      </w:pPr>
      <w:r>
        <w:rPr>
          <w:rFonts w:ascii="Cambria" w:hAnsi="Cambria"/>
          <w:b w:val="0"/>
          <w:i w:val="0"/>
          <w:sz w:val="22"/>
        </w:rPr>
        <w:t>Covers all welfare dimensions — healthcare, safety, insurance, recreation, grievance redressal, and work-life integration.</w:t>
      </w:r>
    </w:p>
    <w:p>
      <w:pPr>
        <w:keepNext/>
        <w:spacing w:before="200" w:after="120"/>
      </w:pPr>
      <w:r>
        <w:rPr>
          <w:rFonts w:ascii="Cambria" w:hAnsi="Cambria"/>
          <w:b/>
          <w:color w:val="1F3A5F"/>
          <w:sz w:val="24"/>
        </w:rPr>
        <w:t>III. Components of Employee Welfare Program</w:t>
      </w:r>
    </w:p>
    <w:p>
      <w:pPr>
        <w:keepNext/>
        <w:spacing w:before="200" w:after="120"/>
      </w:pPr>
      <w:r>
        <w:rPr>
          <w:rFonts w:ascii="Cambria" w:hAnsi="Cambria"/>
          <w:b/>
          <w:color w:val="1F3A5F"/>
          <w:sz w:val="24"/>
        </w:rPr>
        <w:t>1. Health and Medical Benefits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835"/>
            <w:shd w:val="clear" w:color="auto" w:fill="1F3A5F"/>
          </w:tcPr>
          <w:p>
            <w:pPr>
              <w:spacing w:after="40" w:before="40"/>
            </w:pPr>
            <w:r/>
            <w:r>
              <w:rPr>
                <w:rFonts w:ascii="Cambria" w:hAnsi="Cambria"/>
                <w:b/>
                <w:i w:val="0"/>
                <w:color w:val="FFFFFF"/>
                <w:sz w:val="22"/>
              </w:rPr>
              <w:t>Provision</w:t>
            </w:r>
          </w:p>
        </w:tc>
        <w:tc>
          <w:tcPr>
            <w:tcW w:type="dxa" w:w="2721"/>
            <w:shd w:val="clear" w:color="auto" w:fill="1F3A5F"/>
          </w:tcPr>
          <w:p>
            <w:pPr>
              <w:spacing w:after="40" w:before="40"/>
            </w:pPr>
            <w:r/>
            <w:r>
              <w:rPr>
                <w:rFonts w:ascii="Cambria" w:hAnsi="Cambria"/>
                <w:b/>
                <w:i w:val="0"/>
                <w:color w:val="FFFFFF"/>
                <w:sz w:val="22"/>
              </w:rPr>
              <w:t>Eligibility / Coverage</w:t>
            </w:r>
          </w:p>
        </w:tc>
        <w:tc>
          <w:tcPr>
            <w:tcW w:type="dxa" w:w="3855"/>
            <w:shd w:val="clear" w:color="auto" w:fill="1F3A5F"/>
          </w:tcPr>
          <w:p>
            <w:pPr>
              <w:spacing w:after="40" w:before="40"/>
            </w:pPr>
            <w:r/>
            <w:r>
              <w:rPr>
                <w:rFonts w:ascii="Cambria" w:hAnsi="Cambria"/>
                <w:b/>
                <w:i w:val="0"/>
                <w:color w:val="FFFFFF"/>
                <w:sz w:val="22"/>
              </w:rPr>
              <w:t>Remarks</w:t>
            </w:r>
          </w:p>
        </w:tc>
      </w:tr>
      <w:tr>
        <w:tc>
          <w:tcPr>
            <w:tcW w:type="dxa" w:w="2835"/>
          </w:tcPr>
          <w:p>
            <w:pPr>
              <w:spacing w:after="40" w:before="40"/>
            </w:pPr>
            <w:r/>
            <w:r>
              <w:rPr>
                <w:rFonts w:ascii="Cambria" w:hAnsi="Cambria"/>
                <w:b w:val="0"/>
                <w:i w:val="0"/>
                <w:sz w:val="22"/>
              </w:rPr>
              <w:t>Group Medical Insurance Scheme</w:t>
            </w:r>
          </w:p>
        </w:tc>
        <w:tc>
          <w:tcPr>
            <w:tcW w:type="dxa" w:w="2721"/>
          </w:tcPr>
          <w:p>
            <w:pPr>
              <w:spacing w:after="40" w:before="40"/>
            </w:pPr>
            <w:r/>
            <w:r>
              <w:rPr>
                <w:rFonts w:ascii="Cambria" w:hAnsi="Cambria"/>
                <w:b w:val="0"/>
                <w:i w:val="0"/>
                <w:sz w:val="22"/>
              </w:rPr>
              <w:t>All regular employees and dependents</w:t>
            </w:r>
          </w:p>
        </w:tc>
        <w:tc>
          <w:tcPr>
            <w:tcW w:type="dxa" w:w="3855"/>
          </w:tcPr>
          <w:p>
            <w:pPr>
              <w:spacing w:after="40" w:before="40"/>
            </w:pPr>
            <w:r/>
            <w:r>
              <w:rPr>
                <w:rFonts w:ascii="Cambria" w:hAnsi="Cambria"/>
                <w:b w:val="0"/>
                <w:i w:val="0"/>
                <w:sz w:val="22"/>
              </w:rPr>
              <w:t>Premium shared 75% (University) + 25% (Employee)</w:t>
            </w:r>
          </w:p>
        </w:tc>
      </w:tr>
      <w:tr>
        <w:tc>
          <w:tcPr>
            <w:tcW w:type="dxa" w:w="2835"/>
            <w:shd w:val="clear" w:color="auto" w:fill="F0F2F5"/>
          </w:tcPr>
          <w:p>
            <w:pPr>
              <w:spacing w:after="40" w:before="40"/>
            </w:pPr>
            <w:r/>
            <w:r>
              <w:rPr>
                <w:rFonts w:ascii="Cambria" w:hAnsi="Cambria"/>
                <w:b w:val="0"/>
                <w:i w:val="0"/>
                <w:sz w:val="22"/>
              </w:rPr>
              <w:t>Personal Accident Insurance</w:t>
            </w:r>
          </w:p>
        </w:tc>
        <w:tc>
          <w:tcPr>
            <w:tcW w:type="dxa" w:w="2721"/>
            <w:shd w:val="clear" w:color="auto" w:fill="F0F2F5"/>
          </w:tcPr>
          <w:p>
            <w:pPr>
              <w:spacing w:after="40" w:before="40"/>
            </w:pPr>
            <w:r/>
            <w:r>
              <w:rPr>
                <w:rFonts w:ascii="Cambria" w:hAnsi="Cambria"/>
                <w:b w:val="0"/>
                <w:i w:val="0"/>
                <w:sz w:val="22"/>
              </w:rPr>
              <w:t>All categories</w:t>
            </w:r>
          </w:p>
        </w:tc>
        <w:tc>
          <w:tcPr>
            <w:tcW w:type="dxa" w:w="3855"/>
            <w:shd w:val="clear" w:color="auto" w:fill="F0F2F5"/>
          </w:tcPr>
          <w:p>
            <w:pPr>
              <w:spacing w:after="40" w:before="40"/>
            </w:pPr>
            <w:r/>
            <w:r>
              <w:rPr>
                <w:rFonts w:ascii="Cambria" w:hAnsi="Cambria"/>
                <w:b w:val="0"/>
                <w:i w:val="0"/>
                <w:sz w:val="22"/>
              </w:rPr>
              <w:t>100% coverage by University</w:t>
            </w:r>
          </w:p>
        </w:tc>
      </w:tr>
      <w:tr>
        <w:tc>
          <w:tcPr>
            <w:tcW w:type="dxa" w:w="2835"/>
          </w:tcPr>
          <w:p>
            <w:pPr>
              <w:spacing w:after="40" w:before="40"/>
            </w:pPr>
            <w:r/>
            <w:r>
              <w:rPr>
                <w:rFonts w:ascii="Cambria" w:hAnsi="Cambria"/>
                <w:b w:val="0"/>
                <w:i w:val="0"/>
                <w:sz w:val="22"/>
              </w:rPr>
              <w:t>Reimbursement of Medical Expenses</w:t>
            </w:r>
          </w:p>
        </w:tc>
        <w:tc>
          <w:tcPr>
            <w:tcW w:type="dxa" w:w="2721"/>
          </w:tcPr>
          <w:p>
            <w:pPr>
              <w:spacing w:after="40" w:before="40"/>
            </w:pPr>
            <w:r/>
            <w:r>
              <w:rPr>
                <w:rFonts w:ascii="Cambria" w:hAnsi="Cambria"/>
                <w:b w:val="0"/>
                <w:i w:val="0"/>
                <w:sz w:val="22"/>
              </w:rPr>
              <w:t>Up to ₹50,000 per annum per employee</w:t>
            </w:r>
          </w:p>
        </w:tc>
        <w:tc>
          <w:tcPr>
            <w:tcW w:type="dxa" w:w="3855"/>
          </w:tcPr>
          <w:p>
            <w:pPr>
              <w:spacing w:after="40" w:before="40"/>
            </w:pPr>
            <w:r/>
            <w:r>
              <w:rPr>
                <w:rFonts w:ascii="Cambria" w:hAnsi="Cambria"/>
                <w:b w:val="0"/>
                <w:i w:val="0"/>
                <w:sz w:val="22"/>
              </w:rPr>
              <w:t>On submission of valid medical bills</w:t>
            </w:r>
          </w:p>
        </w:tc>
      </w:tr>
      <w:tr>
        <w:tc>
          <w:tcPr>
            <w:tcW w:type="dxa" w:w="2835"/>
            <w:shd w:val="clear" w:color="auto" w:fill="F0F2F5"/>
          </w:tcPr>
          <w:p>
            <w:pPr>
              <w:spacing w:after="40" w:before="40"/>
            </w:pPr>
            <w:r/>
            <w:r>
              <w:rPr>
                <w:rFonts w:ascii="Cambria" w:hAnsi="Cambria"/>
                <w:b w:val="0"/>
                <w:i w:val="0"/>
                <w:sz w:val="22"/>
              </w:rPr>
              <w:t>On-Campus Health Centre / First Aid Facility</w:t>
            </w:r>
          </w:p>
        </w:tc>
        <w:tc>
          <w:tcPr>
            <w:tcW w:type="dxa" w:w="2721"/>
            <w:shd w:val="clear" w:color="auto" w:fill="F0F2F5"/>
          </w:tcPr>
          <w:p>
            <w:pPr>
              <w:spacing w:after="40" w:before="40"/>
            </w:pPr>
            <w:r/>
            <w:r>
              <w:rPr>
                <w:rFonts w:ascii="Cambria" w:hAnsi="Cambria"/>
                <w:b w:val="0"/>
                <w:i w:val="0"/>
                <w:sz w:val="22"/>
              </w:rPr>
              <w:t>All employees</w:t>
            </w:r>
          </w:p>
        </w:tc>
        <w:tc>
          <w:tcPr>
            <w:tcW w:type="dxa" w:w="3855"/>
            <w:shd w:val="clear" w:color="auto" w:fill="F0F2F5"/>
          </w:tcPr>
          <w:p>
            <w:pPr>
              <w:spacing w:after="40" w:before="40"/>
            </w:pPr>
            <w:r/>
            <w:r>
              <w:rPr>
                <w:rFonts w:ascii="Cambria" w:hAnsi="Cambria"/>
                <w:b w:val="0"/>
                <w:i w:val="0"/>
                <w:sz w:val="22"/>
              </w:rPr>
              <w:t>Staffed by qualified medical practitioner</w:t>
            </w:r>
          </w:p>
        </w:tc>
      </w:tr>
      <w:tr>
        <w:tc>
          <w:tcPr>
            <w:tcW w:type="dxa" w:w="2835"/>
          </w:tcPr>
          <w:p>
            <w:pPr>
              <w:spacing w:after="40" w:before="40"/>
            </w:pPr>
            <w:r/>
            <w:r>
              <w:rPr>
                <w:rFonts w:ascii="Cambria" w:hAnsi="Cambria"/>
                <w:b w:val="0"/>
                <w:i w:val="0"/>
                <w:sz w:val="22"/>
              </w:rPr>
              <w:t>Annual Health Check-up Camp</w:t>
            </w:r>
          </w:p>
        </w:tc>
        <w:tc>
          <w:tcPr>
            <w:tcW w:type="dxa" w:w="2721"/>
          </w:tcPr>
          <w:p>
            <w:pPr>
              <w:spacing w:after="40" w:before="40"/>
            </w:pPr>
            <w:r/>
            <w:r>
              <w:rPr>
                <w:rFonts w:ascii="Cambria" w:hAnsi="Cambria"/>
                <w:b w:val="0"/>
                <w:i w:val="0"/>
                <w:sz w:val="22"/>
              </w:rPr>
              <w:t>All employees above 35 years</w:t>
            </w:r>
          </w:p>
        </w:tc>
        <w:tc>
          <w:tcPr>
            <w:tcW w:type="dxa" w:w="3855"/>
          </w:tcPr>
          <w:p>
            <w:pPr>
              <w:spacing w:after="40" w:before="40"/>
            </w:pPr>
            <w:r/>
            <w:r>
              <w:rPr>
                <w:rFonts w:ascii="Cambria" w:hAnsi="Cambria"/>
                <w:b w:val="0"/>
                <w:i w:val="0"/>
                <w:sz w:val="22"/>
              </w:rPr>
              <w:t>Conducted by empanelled hospitals</w:t>
            </w:r>
          </w:p>
        </w:tc>
      </w:tr>
      <w:tr>
        <w:tc>
          <w:tcPr>
            <w:tcW w:type="dxa" w:w="2835"/>
            <w:shd w:val="clear" w:color="auto" w:fill="F0F2F5"/>
          </w:tcPr>
          <w:p>
            <w:pPr>
              <w:spacing w:after="40" w:before="40"/>
            </w:pPr>
            <w:r/>
            <w:r>
              <w:rPr>
                <w:rFonts w:ascii="Cambria" w:hAnsi="Cambria"/>
                <w:b w:val="0"/>
                <w:i w:val="0"/>
                <w:sz w:val="22"/>
              </w:rPr>
              <w:t>COVID / Epidemic Emergency Support</w:t>
            </w:r>
          </w:p>
        </w:tc>
        <w:tc>
          <w:tcPr>
            <w:tcW w:type="dxa" w:w="2721"/>
            <w:shd w:val="clear" w:color="auto" w:fill="F0F2F5"/>
          </w:tcPr>
          <w:p>
            <w:pPr>
              <w:spacing w:after="40" w:before="40"/>
            </w:pPr>
            <w:r/>
            <w:r>
              <w:rPr>
                <w:rFonts w:ascii="Cambria" w:hAnsi="Cambria"/>
                <w:b w:val="0"/>
                <w:i w:val="0"/>
                <w:sz w:val="22"/>
              </w:rPr>
              <w:t>All staff</w:t>
            </w:r>
          </w:p>
        </w:tc>
        <w:tc>
          <w:tcPr>
            <w:tcW w:type="dxa" w:w="3855"/>
            <w:shd w:val="clear" w:color="auto" w:fill="F0F2F5"/>
          </w:tcPr>
          <w:p>
            <w:pPr>
              <w:spacing w:after="40" w:before="40"/>
            </w:pPr>
            <w:r/>
            <w:r>
              <w:rPr>
                <w:rFonts w:ascii="Cambria" w:hAnsi="Cambria"/>
                <w:b w:val="0"/>
                <w:i w:val="0"/>
                <w:sz w:val="22"/>
              </w:rPr>
              <w:t>Paid leave + institutional support fund</w:t>
            </w:r>
          </w:p>
        </w:tc>
      </w:tr>
    </w:tbl>
    <w:p>
      <w:pPr>
        <w:spacing w:after="40"/>
      </w:pPr>
    </w:p>
    <w:p>
      <w:pPr>
        <w:keepNext/>
        <w:spacing w:before="200" w:after="120"/>
      </w:pPr>
      <w:r>
        <w:rPr>
          <w:rFonts w:ascii="Cambria" w:hAnsi="Cambria"/>
          <w:b/>
          <w:color w:val="1F3A5F"/>
          <w:sz w:val="24"/>
        </w:rPr>
        <w:t>2. Mental Health and Emotional Well-being</w:t>
      </w:r>
    </w:p>
    <w:p>
      <w:pPr>
        <w:pStyle w:val="ListBullet"/>
        <w:spacing w:line="276" w:lineRule="auto"/>
        <w:ind w:left="510"/>
      </w:pPr>
      <w:r>
        <w:rPr>
          <w:rFonts w:ascii="Cambria" w:hAnsi="Cambria"/>
          <w:b w:val="0"/>
          <w:i w:val="0"/>
          <w:sz w:val="22"/>
        </w:rPr>
        <w:t>Establishment of a Counselling and Wellness Centre under HRD Cell.</w:t>
      </w:r>
    </w:p>
    <w:p>
      <w:pPr>
        <w:pStyle w:val="ListBullet"/>
        <w:spacing w:line="276" w:lineRule="auto"/>
        <w:ind w:left="510"/>
      </w:pPr>
      <w:r>
        <w:rPr>
          <w:rFonts w:ascii="Cambria" w:hAnsi="Cambria"/>
          <w:b w:val="0"/>
          <w:i w:val="0"/>
          <w:sz w:val="22"/>
        </w:rPr>
        <w:t>Access to psychological counselling and stress management sessions.</w:t>
      </w:r>
    </w:p>
    <w:p>
      <w:pPr>
        <w:pStyle w:val="ListBullet"/>
        <w:spacing w:line="276" w:lineRule="auto"/>
        <w:ind w:left="510"/>
      </w:pPr>
      <w:r>
        <w:rPr>
          <w:rFonts w:ascii="Cambria" w:hAnsi="Cambria"/>
          <w:b w:val="0"/>
          <w:i w:val="0"/>
          <w:sz w:val="22"/>
        </w:rPr>
        <w:t>Organization of well-being workshops on mindfulness, stress relief, and resilience.</w:t>
      </w:r>
    </w:p>
    <w:p>
      <w:pPr>
        <w:pStyle w:val="ListBullet"/>
        <w:spacing w:line="276" w:lineRule="auto"/>
        <w:ind w:left="510"/>
      </w:pPr>
      <w:r>
        <w:rPr>
          <w:rFonts w:ascii="Cambria" w:hAnsi="Cambria"/>
          <w:b w:val="0"/>
          <w:i w:val="0"/>
          <w:sz w:val="22"/>
        </w:rPr>
        <w:t>Confidential access to employee assistance programs (EAPs) through trained counsellors.</w:t>
      </w:r>
    </w:p>
    <w:p>
      <w:pPr>
        <w:pStyle w:val="ListBullet"/>
        <w:spacing w:line="276" w:lineRule="auto"/>
        <w:ind w:left="510"/>
      </w:pPr>
      <w:r>
        <w:rPr>
          <w:rFonts w:ascii="Cambria" w:hAnsi="Cambria"/>
          <w:b w:val="0"/>
          <w:i w:val="0"/>
          <w:sz w:val="22"/>
        </w:rPr>
        <w:t>Awareness drives on mental health destigmatization in the workplace.</w:t>
      </w:r>
    </w:p>
    <w:p>
      <w:pPr>
        <w:keepNext/>
        <w:spacing w:before="200" w:after="120"/>
      </w:pPr>
      <w:r>
        <w:rPr>
          <w:rFonts w:ascii="Cambria" w:hAnsi="Cambria"/>
          <w:b/>
          <w:color w:val="1F3A5F"/>
          <w:sz w:val="24"/>
        </w:rPr>
        <w:t>3. Safety and Security Measures</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Aspect</w:t>
            </w:r>
          </w:p>
        </w:tc>
        <w:tc>
          <w:tcPr>
            <w:tcW w:type="dxa" w:w="6237"/>
            <w:shd w:val="clear" w:color="auto" w:fill="1F3A5F"/>
          </w:tcPr>
          <w:p>
            <w:pPr>
              <w:spacing w:after="40" w:before="40"/>
            </w:pPr>
            <w:r/>
            <w:r>
              <w:rPr>
                <w:rFonts w:ascii="Cambria" w:hAnsi="Cambria"/>
                <w:b/>
                <w:i w:val="0"/>
                <w:color w:val="FFFFFF"/>
                <w:sz w:val="22"/>
              </w:rPr>
              <w:t>Implementation Mechanism</w:t>
            </w:r>
          </w:p>
        </w:tc>
      </w:tr>
      <w:tr>
        <w:tc>
          <w:tcPr>
            <w:tcW w:type="dxa" w:w="2608"/>
          </w:tcPr>
          <w:p>
            <w:pPr>
              <w:spacing w:after="40" w:before="40"/>
            </w:pPr>
            <w:r/>
            <w:r>
              <w:rPr>
                <w:rFonts w:ascii="Cambria" w:hAnsi="Cambria"/>
                <w:b w:val="0"/>
                <w:i w:val="0"/>
                <w:sz w:val="22"/>
              </w:rPr>
              <w:t>Workplace Safety</w:t>
            </w:r>
          </w:p>
        </w:tc>
        <w:tc>
          <w:tcPr>
            <w:tcW w:type="dxa" w:w="6237"/>
          </w:tcPr>
          <w:p>
            <w:pPr>
              <w:spacing w:after="40" w:before="40"/>
            </w:pPr>
            <w:r/>
            <w:r>
              <w:rPr>
                <w:rFonts w:ascii="Cambria" w:hAnsi="Cambria"/>
                <w:b w:val="0"/>
                <w:i w:val="0"/>
                <w:sz w:val="22"/>
              </w:rPr>
              <w:t>Periodic safety audits, fire drills, and risk assessments.</w:t>
            </w:r>
          </w:p>
        </w:tc>
      </w:tr>
      <w:tr>
        <w:tc>
          <w:tcPr>
            <w:tcW w:type="dxa" w:w="2608"/>
            <w:shd w:val="clear" w:color="auto" w:fill="F0F2F5"/>
          </w:tcPr>
          <w:p>
            <w:pPr>
              <w:spacing w:after="40" w:before="40"/>
            </w:pPr>
            <w:r/>
            <w:r>
              <w:rPr>
                <w:rFonts w:ascii="Cambria" w:hAnsi="Cambria"/>
                <w:b w:val="0"/>
                <w:i w:val="0"/>
                <w:sz w:val="22"/>
              </w:rPr>
              <w:t>Ergonomic Work Environment</w:t>
            </w:r>
          </w:p>
        </w:tc>
        <w:tc>
          <w:tcPr>
            <w:tcW w:type="dxa" w:w="6237"/>
            <w:shd w:val="clear" w:color="auto" w:fill="F0F2F5"/>
          </w:tcPr>
          <w:p>
            <w:pPr>
              <w:spacing w:after="40" w:before="40"/>
            </w:pPr>
            <w:r/>
            <w:r>
              <w:rPr>
                <w:rFonts w:ascii="Cambria" w:hAnsi="Cambria"/>
                <w:b w:val="0"/>
                <w:i w:val="0"/>
                <w:sz w:val="22"/>
              </w:rPr>
              <w:t>Ergonomic furniture, lighting, and workstation layouts.</w:t>
            </w:r>
          </w:p>
        </w:tc>
      </w:tr>
      <w:tr>
        <w:tc>
          <w:tcPr>
            <w:tcW w:type="dxa" w:w="2608"/>
          </w:tcPr>
          <w:p>
            <w:pPr>
              <w:spacing w:after="40" w:before="40"/>
            </w:pPr>
            <w:r/>
            <w:r>
              <w:rPr>
                <w:rFonts w:ascii="Cambria" w:hAnsi="Cambria"/>
                <w:b w:val="0"/>
                <w:i w:val="0"/>
                <w:sz w:val="22"/>
              </w:rPr>
              <w:t>Gender Sensitization</w:t>
            </w:r>
          </w:p>
        </w:tc>
        <w:tc>
          <w:tcPr>
            <w:tcW w:type="dxa" w:w="6237"/>
          </w:tcPr>
          <w:p>
            <w:pPr>
              <w:spacing w:after="40" w:before="40"/>
            </w:pPr>
            <w:r/>
            <w:r>
              <w:rPr>
                <w:rFonts w:ascii="Cambria" w:hAnsi="Cambria"/>
                <w:b w:val="0"/>
                <w:i w:val="0"/>
                <w:sz w:val="22"/>
              </w:rPr>
              <w:t>Internal Complaints Committee (ICC) and periodic POSH training.</w:t>
            </w:r>
          </w:p>
        </w:tc>
      </w:tr>
      <w:tr>
        <w:tc>
          <w:tcPr>
            <w:tcW w:type="dxa" w:w="2608"/>
            <w:shd w:val="clear" w:color="auto" w:fill="F0F2F5"/>
          </w:tcPr>
          <w:p>
            <w:pPr>
              <w:spacing w:after="40" w:before="40"/>
            </w:pPr>
            <w:r/>
            <w:r>
              <w:rPr>
                <w:rFonts w:ascii="Cambria" w:hAnsi="Cambria"/>
                <w:b w:val="0"/>
                <w:i w:val="0"/>
                <w:sz w:val="22"/>
              </w:rPr>
              <w:t>Disaster Management Preparedness</w:t>
            </w:r>
          </w:p>
        </w:tc>
        <w:tc>
          <w:tcPr>
            <w:tcW w:type="dxa" w:w="6237"/>
            <w:shd w:val="clear" w:color="auto" w:fill="F0F2F5"/>
          </w:tcPr>
          <w:p>
            <w:pPr>
              <w:spacing w:after="40" w:before="40"/>
            </w:pPr>
            <w:r/>
            <w:r>
              <w:rPr>
                <w:rFonts w:ascii="Cambria" w:hAnsi="Cambria"/>
                <w:b w:val="0"/>
                <w:i w:val="0"/>
                <w:sz w:val="22"/>
              </w:rPr>
              <w:t>Evacuation drills, emergency response teams, and insurance cover.</w:t>
            </w:r>
          </w:p>
        </w:tc>
      </w:tr>
      <w:tr>
        <w:tc>
          <w:tcPr>
            <w:tcW w:type="dxa" w:w="2608"/>
          </w:tcPr>
          <w:p>
            <w:pPr>
              <w:spacing w:after="40" w:before="40"/>
            </w:pPr>
            <w:r/>
            <w:r>
              <w:rPr>
                <w:rFonts w:ascii="Cambria" w:hAnsi="Cambria"/>
                <w:b w:val="0"/>
                <w:i w:val="0"/>
                <w:sz w:val="22"/>
              </w:rPr>
              <w:t>Transport Safety</w:t>
            </w:r>
          </w:p>
        </w:tc>
        <w:tc>
          <w:tcPr>
            <w:tcW w:type="dxa" w:w="6237"/>
          </w:tcPr>
          <w:p>
            <w:pPr>
              <w:spacing w:after="40" w:before="40"/>
            </w:pPr>
            <w:r/>
            <w:r>
              <w:rPr>
                <w:rFonts w:ascii="Cambria" w:hAnsi="Cambria"/>
                <w:b w:val="0"/>
                <w:i w:val="0"/>
                <w:sz w:val="22"/>
              </w:rPr>
              <w:t>GPS-enabled official transport, safety briefings for staff drivers.</w:t>
            </w:r>
          </w:p>
        </w:tc>
      </w:tr>
    </w:tbl>
    <w:p>
      <w:pPr>
        <w:spacing w:after="40"/>
      </w:pPr>
    </w:p>
    <w:p>
      <w:pPr>
        <w:keepNext/>
        <w:spacing w:before="200" w:after="120"/>
      </w:pPr>
      <w:r>
        <w:rPr>
          <w:rFonts w:ascii="Cambria" w:hAnsi="Cambria"/>
          <w:b/>
          <w:color w:val="1F3A5F"/>
          <w:sz w:val="24"/>
        </w:rPr>
        <w:t>4. Financial and Social Welfare</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Program</w:t>
            </w:r>
          </w:p>
        </w:tc>
        <w:tc>
          <w:tcPr>
            <w:tcW w:type="dxa" w:w="6237"/>
            <w:shd w:val="clear" w:color="auto" w:fill="1F3A5F"/>
          </w:tcPr>
          <w:p>
            <w:pPr>
              <w:spacing w:after="40" w:before="40"/>
            </w:pPr>
            <w:r/>
            <w:r>
              <w:rPr>
                <w:rFonts w:ascii="Cambria" w:hAnsi="Cambria"/>
                <w:b/>
                <w:i w:val="0"/>
                <w:color w:val="FFFFFF"/>
                <w:sz w:val="22"/>
              </w:rPr>
              <w:t>Benefit Description</w:t>
            </w:r>
          </w:p>
        </w:tc>
      </w:tr>
      <w:tr>
        <w:tc>
          <w:tcPr>
            <w:tcW w:type="dxa" w:w="2608"/>
          </w:tcPr>
          <w:p>
            <w:pPr>
              <w:spacing w:after="40" w:before="40"/>
            </w:pPr>
            <w:r/>
            <w:r>
              <w:rPr>
                <w:rFonts w:ascii="Cambria" w:hAnsi="Cambria"/>
                <w:b w:val="0"/>
                <w:i w:val="0"/>
                <w:sz w:val="22"/>
              </w:rPr>
              <w:t>Provident Fund (PF)</w:t>
            </w:r>
          </w:p>
        </w:tc>
        <w:tc>
          <w:tcPr>
            <w:tcW w:type="dxa" w:w="6237"/>
          </w:tcPr>
          <w:p>
            <w:pPr>
              <w:spacing w:after="40" w:before="40"/>
            </w:pPr>
            <w:r/>
            <w:r>
              <w:rPr>
                <w:rFonts w:ascii="Cambria" w:hAnsi="Cambria"/>
                <w:b w:val="0"/>
                <w:i w:val="0"/>
                <w:sz w:val="22"/>
              </w:rPr>
              <w:t>As per EPF Act – Employer and Employee contribution (12% each).</w:t>
            </w:r>
          </w:p>
        </w:tc>
      </w:tr>
      <w:tr>
        <w:tc>
          <w:tcPr>
            <w:tcW w:type="dxa" w:w="2608"/>
            <w:shd w:val="clear" w:color="auto" w:fill="F0F2F5"/>
          </w:tcPr>
          <w:p>
            <w:pPr>
              <w:spacing w:after="40" w:before="40"/>
            </w:pPr>
            <w:r/>
            <w:r>
              <w:rPr>
                <w:rFonts w:ascii="Cambria" w:hAnsi="Cambria"/>
                <w:b w:val="0"/>
                <w:i w:val="0"/>
                <w:sz w:val="22"/>
              </w:rPr>
              <w:t>Gratuity</w:t>
            </w:r>
          </w:p>
        </w:tc>
        <w:tc>
          <w:tcPr>
            <w:tcW w:type="dxa" w:w="6237"/>
            <w:shd w:val="clear" w:color="auto" w:fill="F0F2F5"/>
          </w:tcPr>
          <w:p>
            <w:pPr>
              <w:spacing w:after="40" w:before="40"/>
            </w:pPr>
            <w:r/>
            <w:r>
              <w:rPr>
                <w:rFonts w:ascii="Cambria" w:hAnsi="Cambria"/>
                <w:b w:val="0"/>
                <w:i w:val="0"/>
                <w:sz w:val="22"/>
              </w:rPr>
              <w:t>As per Payment of Gratuity Act, 1972 (after 5 years of service).</w:t>
            </w:r>
          </w:p>
        </w:tc>
      </w:tr>
      <w:tr>
        <w:tc>
          <w:tcPr>
            <w:tcW w:type="dxa" w:w="2608"/>
          </w:tcPr>
          <w:p>
            <w:pPr>
              <w:spacing w:after="40" w:before="40"/>
            </w:pPr>
            <w:r/>
            <w:r>
              <w:rPr>
                <w:rFonts w:ascii="Cambria" w:hAnsi="Cambria"/>
                <w:b w:val="0"/>
                <w:i w:val="0"/>
                <w:sz w:val="22"/>
              </w:rPr>
              <w:t>Leave Encashment / LTC</w:t>
            </w:r>
          </w:p>
        </w:tc>
        <w:tc>
          <w:tcPr>
            <w:tcW w:type="dxa" w:w="6237"/>
          </w:tcPr>
          <w:p>
            <w:pPr>
              <w:spacing w:after="40" w:before="40"/>
            </w:pPr>
            <w:r/>
            <w:r>
              <w:rPr>
                <w:rFonts w:ascii="Cambria" w:hAnsi="Cambria"/>
                <w:b w:val="0"/>
                <w:i w:val="0"/>
                <w:sz w:val="22"/>
              </w:rPr>
              <w:t>Available to eligible permanent staff.</w:t>
            </w:r>
          </w:p>
        </w:tc>
      </w:tr>
      <w:tr>
        <w:tc>
          <w:tcPr>
            <w:tcW w:type="dxa" w:w="2608"/>
            <w:shd w:val="clear" w:color="auto" w:fill="F0F2F5"/>
          </w:tcPr>
          <w:p>
            <w:pPr>
              <w:spacing w:after="40" w:before="40"/>
            </w:pPr>
            <w:r/>
            <w:r>
              <w:rPr>
                <w:rFonts w:ascii="Cambria" w:hAnsi="Cambria"/>
                <w:b w:val="0"/>
                <w:i w:val="0"/>
                <w:sz w:val="22"/>
              </w:rPr>
              <w:t>Employee Benevolent Fund</w:t>
            </w:r>
          </w:p>
        </w:tc>
        <w:tc>
          <w:tcPr>
            <w:tcW w:type="dxa" w:w="6237"/>
            <w:shd w:val="clear" w:color="auto" w:fill="F0F2F5"/>
          </w:tcPr>
          <w:p>
            <w:pPr>
              <w:spacing w:after="40" w:before="40"/>
            </w:pPr>
            <w:r/>
            <w:r>
              <w:rPr>
                <w:rFonts w:ascii="Cambria" w:hAnsi="Cambria"/>
                <w:b w:val="0"/>
                <w:i w:val="0"/>
                <w:sz w:val="22"/>
              </w:rPr>
              <w:t>Financial aid during emergencies or bereavement.</w:t>
            </w:r>
          </w:p>
        </w:tc>
      </w:tr>
      <w:tr>
        <w:tc>
          <w:tcPr>
            <w:tcW w:type="dxa" w:w="2608"/>
          </w:tcPr>
          <w:p>
            <w:pPr>
              <w:spacing w:after="40" w:before="40"/>
            </w:pPr>
            <w:r/>
            <w:r>
              <w:rPr>
                <w:rFonts w:ascii="Cambria" w:hAnsi="Cambria"/>
                <w:b w:val="0"/>
                <w:i w:val="0"/>
                <w:sz w:val="22"/>
              </w:rPr>
              <w:t>Children's Education Support</w:t>
            </w:r>
          </w:p>
        </w:tc>
        <w:tc>
          <w:tcPr>
            <w:tcW w:type="dxa" w:w="6237"/>
          </w:tcPr>
          <w:p>
            <w:pPr>
              <w:spacing w:after="40" w:before="40"/>
            </w:pPr>
            <w:r/>
            <w:r>
              <w:rPr>
                <w:rFonts w:ascii="Cambria" w:hAnsi="Cambria"/>
                <w:b w:val="0"/>
                <w:i w:val="0"/>
                <w:sz w:val="22"/>
              </w:rPr>
              <w:t>Tuition reimbursement for two dependent children (as per University norms).</w:t>
            </w:r>
          </w:p>
        </w:tc>
      </w:tr>
      <w:tr>
        <w:tc>
          <w:tcPr>
            <w:tcW w:type="dxa" w:w="2608"/>
            <w:shd w:val="clear" w:color="auto" w:fill="F0F2F5"/>
          </w:tcPr>
          <w:p>
            <w:pPr>
              <w:spacing w:after="40" w:before="40"/>
            </w:pPr>
            <w:r/>
            <w:r>
              <w:rPr>
                <w:rFonts w:ascii="Cambria" w:hAnsi="Cambria"/>
                <w:b w:val="0"/>
                <w:i w:val="0"/>
                <w:sz w:val="22"/>
              </w:rPr>
              <w:t>Housing / Loan Assistance</w:t>
            </w:r>
          </w:p>
        </w:tc>
        <w:tc>
          <w:tcPr>
            <w:tcW w:type="dxa" w:w="6237"/>
            <w:shd w:val="clear" w:color="auto" w:fill="F0F2F5"/>
          </w:tcPr>
          <w:p>
            <w:pPr>
              <w:spacing w:after="40" w:before="40"/>
            </w:pPr>
            <w:r/>
            <w:r>
              <w:rPr>
                <w:rFonts w:ascii="Cambria" w:hAnsi="Cambria"/>
                <w:b w:val="0"/>
                <w:i w:val="0"/>
                <w:sz w:val="22"/>
              </w:rPr>
              <w:t>Tie-ups with banks for concessional loans to employees.</w:t>
            </w:r>
          </w:p>
        </w:tc>
      </w:tr>
      <w:tr>
        <w:tc>
          <w:tcPr>
            <w:tcW w:type="dxa" w:w="2608"/>
          </w:tcPr>
          <w:p>
            <w:pPr>
              <w:spacing w:after="40" w:before="40"/>
            </w:pPr>
            <w:r/>
            <w:r>
              <w:rPr>
                <w:rFonts w:ascii="Cambria" w:hAnsi="Cambria"/>
                <w:b w:val="0"/>
                <w:i w:val="0"/>
                <w:sz w:val="22"/>
              </w:rPr>
              <w:t>Retirement Benefits Counselling</w:t>
            </w:r>
          </w:p>
        </w:tc>
        <w:tc>
          <w:tcPr>
            <w:tcW w:type="dxa" w:w="6237"/>
          </w:tcPr>
          <w:p>
            <w:pPr>
              <w:spacing w:after="40" w:before="40"/>
            </w:pPr>
            <w:r/>
            <w:r>
              <w:rPr>
                <w:rFonts w:ascii="Cambria" w:hAnsi="Cambria"/>
                <w:b w:val="0"/>
                <w:i w:val="0"/>
                <w:sz w:val="22"/>
              </w:rPr>
              <w:t>Pre-retirement workshops and pension support advisory.</w:t>
            </w:r>
          </w:p>
        </w:tc>
      </w:tr>
    </w:tbl>
    <w:p>
      <w:pPr>
        <w:spacing w:after="40"/>
      </w:pPr>
    </w:p>
    <w:p>
      <w:pPr>
        <w:keepNext/>
        <w:spacing w:before="200" w:after="120"/>
      </w:pPr>
      <w:r>
        <w:rPr>
          <w:rFonts w:ascii="Cambria" w:hAnsi="Cambria"/>
          <w:b/>
          <w:color w:val="1F3A5F"/>
          <w:sz w:val="24"/>
        </w:rPr>
        <w:t>5. Work-Life Balance and Family Support</w:t>
      </w:r>
    </w:p>
    <w:p>
      <w:pPr>
        <w:pStyle w:val="ListBullet"/>
        <w:spacing w:line="276" w:lineRule="auto"/>
        <w:ind w:left="510"/>
      </w:pPr>
      <w:r>
        <w:rPr>
          <w:rFonts w:ascii="Cambria" w:hAnsi="Cambria"/>
          <w:b w:val="0"/>
          <w:i w:val="0"/>
          <w:sz w:val="22"/>
        </w:rPr>
        <w:t>Flexible working hours and remote work provision (where feasible).</w:t>
      </w:r>
    </w:p>
    <w:p>
      <w:pPr>
        <w:pStyle w:val="ListBullet"/>
        <w:spacing w:line="276" w:lineRule="auto"/>
        <w:ind w:left="510"/>
      </w:pPr>
      <w:r>
        <w:rPr>
          <w:rFonts w:ascii="Cambria" w:hAnsi="Cambria"/>
          <w:b w:val="0"/>
          <w:i w:val="0"/>
          <w:sz w:val="22"/>
        </w:rPr>
        <w:t>Childcare and maternity support:</w:t>
      </w:r>
    </w:p>
    <w:p>
      <w:pPr>
        <w:pStyle w:val="ListBullet2"/>
        <w:spacing w:line="276" w:lineRule="auto"/>
        <w:ind w:left="1020"/>
      </w:pPr>
      <w:r>
        <w:rPr>
          <w:rFonts w:ascii="Cambria" w:hAnsi="Cambria"/>
          <w:b w:val="0"/>
          <w:i w:val="0"/>
          <w:sz w:val="22"/>
        </w:rPr>
        <w:t>On-campus crèche facilities for working parents.</w:t>
      </w:r>
    </w:p>
    <w:p>
      <w:pPr>
        <w:pStyle w:val="ListBullet2"/>
        <w:spacing w:line="276" w:lineRule="auto"/>
        <w:ind w:left="1020"/>
      </w:pPr>
      <w:r>
        <w:rPr>
          <w:rFonts w:ascii="Cambria" w:hAnsi="Cambria"/>
          <w:b w:val="0"/>
          <w:i w:val="0"/>
          <w:sz w:val="22"/>
        </w:rPr>
        <w:t>Extended maternity (180 days) and paternity (15 days) leave.</w:t>
      </w:r>
    </w:p>
    <w:p>
      <w:pPr>
        <w:pStyle w:val="ListBullet2"/>
        <w:spacing w:line="276" w:lineRule="auto"/>
        <w:ind w:left="1020"/>
      </w:pPr>
      <w:r>
        <w:rPr>
          <w:rFonts w:ascii="Cambria" w:hAnsi="Cambria"/>
          <w:b w:val="0"/>
          <w:i w:val="0"/>
          <w:sz w:val="22"/>
        </w:rPr>
        <w:t>Support for lactating mothers through designated rest areas.</w:t>
      </w:r>
    </w:p>
    <w:p>
      <w:pPr>
        <w:pStyle w:val="ListBullet"/>
        <w:spacing w:line="276" w:lineRule="auto"/>
        <w:ind w:left="510"/>
      </w:pPr>
      <w:r>
        <w:rPr>
          <w:rFonts w:ascii="Cambria" w:hAnsi="Cambria"/>
          <w:b w:val="0"/>
          <w:i w:val="0"/>
          <w:sz w:val="22"/>
        </w:rPr>
        <w:t>Family inclusion programs: Annual staff picnics, family day events, and cultural festivals.</w:t>
      </w:r>
    </w:p>
    <w:p>
      <w:pPr>
        <w:pStyle w:val="ListBullet"/>
        <w:spacing w:line="276" w:lineRule="auto"/>
        <w:ind w:left="510"/>
      </w:pPr>
      <w:r>
        <w:rPr>
          <w:rFonts w:ascii="Cambria" w:hAnsi="Cambria"/>
          <w:b w:val="0"/>
          <w:i w:val="0"/>
          <w:sz w:val="22"/>
        </w:rPr>
        <w:t>Special Leave for Family Emergencies up to 5 days/year (non-deductible from regular leave).</w:t>
      </w:r>
    </w:p>
    <w:p>
      <w:pPr>
        <w:keepNext/>
        <w:spacing w:before="200" w:after="120"/>
      </w:pPr>
      <w:r>
        <w:rPr>
          <w:rFonts w:ascii="Cambria" w:hAnsi="Cambria"/>
          <w:b/>
          <w:color w:val="1F3A5F"/>
          <w:sz w:val="24"/>
        </w:rPr>
        <w:t>6. Recreation and Motivation Activities</w:t>
      </w:r>
    </w:p>
    <w:p>
      <w:pPr>
        <w:pStyle w:val="ListBullet"/>
        <w:spacing w:line="276" w:lineRule="auto"/>
        <w:ind w:left="510"/>
      </w:pPr>
      <w:r>
        <w:rPr>
          <w:rFonts w:ascii="Cambria" w:hAnsi="Cambria"/>
          <w:b w:val="0"/>
          <w:i w:val="0"/>
          <w:sz w:val="22"/>
        </w:rPr>
        <w:t>Establishment of an Employee Recreation Club (ERC) under HRD Cell.</w:t>
      </w:r>
    </w:p>
    <w:p>
      <w:pPr>
        <w:pStyle w:val="ListBullet"/>
        <w:spacing w:line="276" w:lineRule="auto"/>
        <w:ind w:left="510"/>
      </w:pPr>
      <w:r>
        <w:rPr>
          <w:rFonts w:ascii="Cambria" w:hAnsi="Cambria"/>
          <w:b w:val="0"/>
          <w:i w:val="0"/>
          <w:sz w:val="22"/>
        </w:rPr>
        <w:t>Organization of:</w:t>
      </w:r>
    </w:p>
    <w:p>
      <w:pPr>
        <w:pStyle w:val="ListBullet2"/>
        <w:spacing w:line="276" w:lineRule="auto"/>
        <w:ind w:left="1020"/>
      </w:pPr>
      <w:r>
        <w:rPr>
          <w:rFonts w:ascii="Cambria" w:hAnsi="Cambria"/>
          <w:b w:val="0"/>
          <w:i w:val="0"/>
          <w:sz w:val="22"/>
        </w:rPr>
        <w:t>Annual Sports and Cultural Week for employees.</w:t>
      </w:r>
    </w:p>
    <w:p>
      <w:pPr>
        <w:pStyle w:val="ListBullet2"/>
        <w:spacing w:line="276" w:lineRule="auto"/>
        <w:ind w:left="1020"/>
      </w:pPr>
      <w:r>
        <w:rPr>
          <w:rFonts w:ascii="Cambria" w:hAnsi="Cambria"/>
          <w:b w:val="0"/>
          <w:i w:val="0"/>
          <w:sz w:val="22"/>
        </w:rPr>
        <w:t>Yoga, Zumba, and Fitness Sessions during working hours.</w:t>
      </w:r>
    </w:p>
    <w:p>
      <w:pPr>
        <w:pStyle w:val="ListBullet2"/>
        <w:spacing w:line="276" w:lineRule="auto"/>
        <w:ind w:left="1020"/>
      </w:pPr>
      <w:r>
        <w:rPr>
          <w:rFonts w:ascii="Cambria" w:hAnsi="Cambria"/>
          <w:b w:val="0"/>
          <w:i w:val="0"/>
          <w:sz w:val="22"/>
        </w:rPr>
        <w:t>Talent and cultural recognition programs.</w:t>
      </w:r>
    </w:p>
    <w:p>
      <w:pPr>
        <w:pStyle w:val="ListBullet"/>
        <w:spacing w:line="276" w:lineRule="auto"/>
        <w:ind w:left="510"/>
      </w:pPr>
      <w:r>
        <w:rPr>
          <w:rFonts w:ascii="Cambria" w:hAnsi="Cambria"/>
          <w:b w:val="0"/>
          <w:i w:val="0"/>
          <w:sz w:val="22"/>
        </w:rPr>
        <w:t>Encouragement of faculty participation in inter-institutional tournaments and cultural exchanges.</w:t>
      </w:r>
    </w:p>
    <w:p>
      <w:pPr>
        <w:keepNext/>
        <w:spacing w:before="200" w:after="120"/>
      </w:pPr>
      <w:r>
        <w:rPr>
          <w:rFonts w:ascii="Cambria" w:hAnsi="Cambria"/>
          <w:b/>
          <w:color w:val="1F3A5F"/>
          <w:sz w:val="24"/>
        </w:rPr>
        <w:t>7. Recognition and Motivation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Recognition Type</w:t>
            </w:r>
          </w:p>
        </w:tc>
        <w:tc>
          <w:tcPr>
            <w:tcW w:type="dxa" w:w="5670"/>
            <w:shd w:val="clear" w:color="auto" w:fill="1F3A5F"/>
          </w:tcPr>
          <w:p>
            <w:pPr>
              <w:spacing w:after="40" w:before="40"/>
            </w:pPr>
            <w:r/>
            <w:r>
              <w:rPr>
                <w:rFonts w:ascii="Cambria" w:hAnsi="Cambria"/>
                <w:b/>
                <w:i w:val="0"/>
                <w:color w:val="FFFFFF"/>
                <w:sz w:val="22"/>
              </w:rPr>
              <w:t>Eligibility / Frequency</w:t>
            </w:r>
          </w:p>
        </w:tc>
      </w:tr>
      <w:tr>
        <w:tc>
          <w:tcPr>
            <w:tcW w:type="dxa" w:w="3175"/>
          </w:tcPr>
          <w:p>
            <w:pPr>
              <w:spacing w:after="40" w:before="40"/>
            </w:pPr>
            <w:r/>
            <w:r>
              <w:rPr>
                <w:rFonts w:ascii="Cambria" w:hAnsi="Cambria"/>
                <w:b w:val="0"/>
                <w:i w:val="0"/>
                <w:sz w:val="22"/>
              </w:rPr>
              <w:t>Long Service Award</w:t>
            </w:r>
          </w:p>
        </w:tc>
        <w:tc>
          <w:tcPr>
            <w:tcW w:type="dxa" w:w="5670"/>
          </w:tcPr>
          <w:p>
            <w:pPr>
              <w:spacing w:after="40" w:before="40"/>
            </w:pPr>
            <w:r/>
            <w:r>
              <w:rPr>
                <w:rFonts w:ascii="Cambria" w:hAnsi="Cambria"/>
                <w:b w:val="0"/>
                <w:i w:val="0"/>
                <w:sz w:val="22"/>
              </w:rPr>
              <w:t>For 10, 15, 20, and 25 years of service</w:t>
            </w:r>
          </w:p>
        </w:tc>
      </w:tr>
      <w:tr>
        <w:tc>
          <w:tcPr>
            <w:tcW w:type="dxa" w:w="3175"/>
            <w:shd w:val="clear" w:color="auto" w:fill="F0F2F5"/>
          </w:tcPr>
          <w:p>
            <w:pPr>
              <w:spacing w:after="40" w:before="40"/>
            </w:pPr>
            <w:r/>
            <w:r>
              <w:rPr>
                <w:rFonts w:ascii="Cambria" w:hAnsi="Cambria"/>
                <w:b w:val="0"/>
                <w:i w:val="0"/>
                <w:sz w:val="22"/>
              </w:rPr>
              <w:t>Best Employee Award</w:t>
            </w:r>
          </w:p>
        </w:tc>
        <w:tc>
          <w:tcPr>
            <w:tcW w:type="dxa" w:w="5670"/>
            <w:shd w:val="clear" w:color="auto" w:fill="F0F2F5"/>
          </w:tcPr>
          <w:p>
            <w:pPr>
              <w:spacing w:after="40" w:before="40"/>
            </w:pPr>
            <w:r/>
            <w:r>
              <w:rPr>
                <w:rFonts w:ascii="Cambria" w:hAnsi="Cambria"/>
                <w:b w:val="0"/>
                <w:i w:val="0"/>
                <w:sz w:val="22"/>
              </w:rPr>
              <w:t>Annual recognition for exceptional performance</w:t>
            </w:r>
          </w:p>
        </w:tc>
      </w:tr>
      <w:tr>
        <w:tc>
          <w:tcPr>
            <w:tcW w:type="dxa" w:w="3175"/>
          </w:tcPr>
          <w:p>
            <w:pPr>
              <w:spacing w:after="40" w:before="40"/>
            </w:pPr>
            <w:r/>
            <w:r>
              <w:rPr>
                <w:rFonts w:ascii="Cambria" w:hAnsi="Cambria"/>
                <w:b w:val="0"/>
                <w:i w:val="0"/>
                <w:sz w:val="22"/>
              </w:rPr>
              <w:t>Zero-Absenteeism Award</w:t>
            </w:r>
          </w:p>
        </w:tc>
        <w:tc>
          <w:tcPr>
            <w:tcW w:type="dxa" w:w="5670"/>
          </w:tcPr>
          <w:p>
            <w:pPr>
              <w:spacing w:after="40" w:before="40"/>
            </w:pPr>
            <w:r/>
            <w:r>
              <w:rPr>
                <w:rFonts w:ascii="Cambria" w:hAnsi="Cambria"/>
                <w:b w:val="0"/>
                <w:i w:val="0"/>
                <w:sz w:val="22"/>
              </w:rPr>
              <w:t>For consistent attendance record</w:t>
            </w:r>
          </w:p>
        </w:tc>
      </w:tr>
      <w:tr>
        <w:tc>
          <w:tcPr>
            <w:tcW w:type="dxa" w:w="3175"/>
            <w:shd w:val="clear" w:color="auto" w:fill="F0F2F5"/>
          </w:tcPr>
          <w:p>
            <w:pPr>
              <w:spacing w:after="40" w:before="40"/>
            </w:pPr>
            <w:r/>
            <w:r>
              <w:rPr>
                <w:rFonts w:ascii="Cambria" w:hAnsi="Cambria"/>
                <w:b w:val="0"/>
                <w:i w:val="0"/>
                <w:sz w:val="22"/>
              </w:rPr>
              <w:t>Social Service Award</w:t>
            </w:r>
          </w:p>
        </w:tc>
        <w:tc>
          <w:tcPr>
            <w:tcW w:type="dxa" w:w="5670"/>
            <w:shd w:val="clear" w:color="auto" w:fill="F0F2F5"/>
          </w:tcPr>
          <w:p>
            <w:pPr>
              <w:spacing w:after="40" w:before="40"/>
            </w:pPr>
            <w:r/>
            <w:r>
              <w:rPr>
                <w:rFonts w:ascii="Cambria" w:hAnsi="Cambria"/>
                <w:b w:val="0"/>
                <w:i w:val="0"/>
                <w:sz w:val="22"/>
              </w:rPr>
              <w:t>For contribution to community and sustainability activities</w:t>
            </w:r>
          </w:p>
        </w:tc>
      </w:tr>
      <w:tr>
        <w:tc>
          <w:tcPr>
            <w:tcW w:type="dxa" w:w="3175"/>
          </w:tcPr>
          <w:p>
            <w:pPr>
              <w:spacing w:after="40" w:before="40"/>
            </w:pPr>
            <w:r/>
            <w:r>
              <w:rPr>
                <w:rFonts w:ascii="Cambria" w:hAnsi="Cambria"/>
                <w:b w:val="0"/>
                <w:i w:val="0"/>
                <w:sz w:val="22"/>
              </w:rPr>
              <w:t>Wellness Champion Certificate</w:t>
            </w:r>
          </w:p>
        </w:tc>
        <w:tc>
          <w:tcPr>
            <w:tcW w:type="dxa" w:w="5670"/>
          </w:tcPr>
          <w:p>
            <w:pPr>
              <w:spacing w:after="40" w:before="40"/>
            </w:pPr>
            <w:r/>
            <w:r>
              <w:rPr>
                <w:rFonts w:ascii="Cambria" w:hAnsi="Cambria"/>
                <w:b w:val="0"/>
                <w:i w:val="0"/>
                <w:sz w:val="22"/>
              </w:rPr>
              <w:t>For participation in well-being programs</w:t>
            </w:r>
          </w:p>
        </w:tc>
      </w:tr>
    </w:tbl>
    <w:p>
      <w:pPr>
        <w:spacing w:after="40"/>
      </w:pPr>
    </w:p>
    <w:p>
      <w:pPr>
        <w:keepNext/>
        <w:spacing w:before="200" w:after="120"/>
      </w:pPr>
      <w:r>
        <w:rPr>
          <w:rFonts w:ascii="Cambria" w:hAnsi="Cambria"/>
          <w:b/>
          <w:color w:val="1F3A5F"/>
          <w:sz w:val="24"/>
        </w:rPr>
        <w:t>IV. Governance Structure</w:t>
      </w:r>
    </w:p>
    <w:tbl>
      <w:tblPr>
        <w:tblStyle w:val="TableGrid"/>
        <w:tblW w:type="auto" w:w="0"/>
        <w:jc w:val="center"/>
        <w:tblLook w:firstColumn="1" w:firstRow="1" w:lastColumn="0" w:lastRow="0" w:noHBand="0" w:noVBand="1" w:val="04A0"/>
        <w:tblLayout w:type="fixed"/>
      </w:tblPr>
      <w:tblGrid>
        <w:gridCol w:w="4706"/>
        <w:gridCol w:w="4706"/>
      </w:tblGrid>
      <w:tr>
        <w:tc>
          <w:tcPr>
            <w:tcW w:type="dxa" w:w="2835"/>
            <w:shd w:val="clear" w:color="auto" w:fill="1F3A5F"/>
          </w:tcPr>
          <w:p>
            <w:pPr>
              <w:spacing w:after="40" w:before="40"/>
            </w:pPr>
            <w:r/>
            <w:r>
              <w:rPr>
                <w:rFonts w:ascii="Cambria" w:hAnsi="Cambria"/>
                <w:b/>
                <w:i w:val="0"/>
                <w:color w:val="FFFFFF"/>
                <w:sz w:val="22"/>
              </w:rPr>
              <w:t>Body / Committee</w:t>
            </w:r>
          </w:p>
        </w:tc>
        <w:tc>
          <w:tcPr>
            <w:tcW w:type="dxa" w:w="6010"/>
            <w:shd w:val="clear" w:color="auto" w:fill="1F3A5F"/>
          </w:tcPr>
          <w:p>
            <w:pPr>
              <w:spacing w:after="40" w:before="40"/>
            </w:pPr>
            <w:r/>
            <w:r>
              <w:rPr>
                <w:rFonts w:ascii="Cambria" w:hAnsi="Cambria"/>
                <w:b/>
                <w:i w:val="0"/>
                <w:color w:val="FFFFFF"/>
                <w:sz w:val="22"/>
              </w:rPr>
              <w:t>Role and Responsibilities</w:t>
            </w:r>
          </w:p>
        </w:tc>
      </w:tr>
      <w:tr>
        <w:tc>
          <w:tcPr>
            <w:tcW w:type="dxa" w:w="2835"/>
          </w:tcPr>
          <w:p>
            <w:pPr>
              <w:spacing w:after="40" w:before="40"/>
            </w:pPr>
            <w:r/>
            <w:r>
              <w:rPr>
                <w:rFonts w:ascii="Cambria" w:hAnsi="Cambria"/>
                <w:b w:val="0"/>
                <w:i w:val="0"/>
                <w:sz w:val="22"/>
              </w:rPr>
              <w:t>HRD &amp; Welfare Committee (HRWC)</w:t>
            </w:r>
          </w:p>
        </w:tc>
        <w:tc>
          <w:tcPr>
            <w:tcW w:type="dxa" w:w="6010"/>
          </w:tcPr>
          <w:p>
            <w:pPr>
              <w:spacing w:after="40" w:before="40"/>
            </w:pPr>
            <w:r/>
            <w:r>
              <w:rPr>
                <w:rFonts w:ascii="Cambria" w:hAnsi="Cambria"/>
                <w:b w:val="0"/>
                <w:i w:val="0"/>
                <w:sz w:val="22"/>
              </w:rPr>
              <w:t>Overall policy implementation and review.</w:t>
            </w:r>
          </w:p>
        </w:tc>
      </w:tr>
      <w:tr>
        <w:tc>
          <w:tcPr>
            <w:tcW w:type="dxa" w:w="2835"/>
            <w:shd w:val="clear" w:color="auto" w:fill="F0F2F5"/>
          </w:tcPr>
          <w:p>
            <w:pPr>
              <w:spacing w:after="40" w:before="40"/>
            </w:pPr>
            <w:r/>
            <w:r>
              <w:rPr>
                <w:rFonts w:ascii="Cambria" w:hAnsi="Cambria"/>
                <w:b w:val="0"/>
                <w:i w:val="0"/>
                <w:sz w:val="22"/>
              </w:rPr>
              <w:t>Health &amp; Safety Subcommittee</w:t>
            </w:r>
          </w:p>
        </w:tc>
        <w:tc>
          <w:tcPr>
            <w:tcW w:type="dxa" w:w="6010"/>
            <w:shd w:val="clear" w:color="auto" w:fill="F0F2F5"/>
          </w:tcPr>
          <w:p>
            <w:pPr>
              <w:spacing w:after="40" w:before="40"/>
            </w:pPr>
            <w:r/>
            <w:r>
              <w:rPr>
                <w:rFonts w:ascii="Cambria" w:hAnsi="Cambria"/>
                <w:b w:val="0"/>
                <w:i w:val="0"/>
                <w:sz w:val="22"/>
              </w:rPr>
              <w:t>Conduct audits, organize health programs, ensure compliance.</w:t>
            </w:r>
          </w:p>
        </w:tc>
      </w:tr>
      <w:tr>
        <w:tc>
          <w:tcPr>
            <w:tcW w:type="dxa" w:w="2835"/>
          </w:tcPr>
          <w:p>
            <w:pPr>
              <w:spacing w:after="40" w:before="40"/>
            </w:pPr>
            <w:r/>
            <w:r>
              <w:rPr>
                <w:rFonts w:ascii="Cambria" w:hAnsi="Cambria"/>
                <w:b w:val="0"/>
                <w:i w:val="0"/>
                <w:sz w:val="22"/>
              </w:rPr>
              <w:t>Well-being and Counselling Unit</w:t>
            </w:r>
          </w:p>
        </w:tc>
        <w:tc>
          <w:tcPr>
            <w:tcW w:type="dxa" w:w="6010"/>
          </w:tcPr>
          <w:p>
            <w:pPr>
              <w:spacing w:after="40" w:before="40"/>
            </w:pPr>
            <w:r/>
            <w:r>
              <w:rPr>
                <w:rFonts w:ascii="Cambria" w:hAnsi="Cambria"/>
                <w:b w:val="0"/>
                <w:i w:val="0"/>
                <w:sz w:val="22"/>
              </w:rPr>
              <w:t>Offer mental health support and organize wellness sessions.</w:t>
            </w:r>
          </w:p>
        </w:tc>
      </w:tr>
      <w:tr>
        <w:tc>
          <w:tcPr>
            <w:tcW w:type="dxa" w:w="2835"/>
            <w:shd w:val="clear" w:color="auto" w:fill="F0F2F5"/>
          </w:tcPr>
          <w:p>
            <w:pPr>
              <w:spacing w:after="40" w:before="40"/>
            </w:pPr>
            <w:r/>
            <w:r>
              <w:rPr>
                <w:rFonts w:ascii="Cambria" w:hAnsi="Cambria"/>
                <w:b w:val="0"/>
                <w:i w:val="0"/>
                <w:sz w:val="22"/>
              </w:rPr>
              <w:t>Finance Section</w:t>
            </w:r>
          </w:p>
        </w:tc>
        <w:tc>
          <w:tcPr>
            <w:tcW w:type="dxa" w:w="6010"/>
            <w:shd w:val="clear" w:color="auto" w:fill="F0F2F5"/>
          </w:tcPr>
          <w:p>
            <w:pPr>
              <w:spacing w:after="40" w:before="40"/>
            </w:pPr>
            <w:r/>
            <w:r>
              <w:rPr>
                <w:rFonts w:ascii="Cambria" w:hAnsi="Cambria"/>
                <w:b w:val="0"/>
                <w:i w:val="0"/>
                <w:sz w:val="22"/>
              </w:rPr>
              <w:t>Manage insurance, reimbursements, and welfare funds.</w:t>
            </w:r>
          </w:p>
        </w:tc>
      </w:tr>
      <w:tr>
        <w:tc>
          <w:tcPr>
            <w:tcW w:type="dxa" w:w="2835"/>
          </w:tcPr>
          <w:p>
            <w:pPr>
              <w:spacing w:after="40" w:before="40"/>
            </w:pPr>
            <w:r/>
            <w:r>
              <w:rPr>
                <w:rFonts w:ascii="Cambria" w:hAnsi="Cambria"/>
                <w:b w:val="0"/>
                <w:i w:val="0"/>
                <w:sz w:val="22"/>
              </w:rPr>
              <w:t>Registrar / Director (HRD)</w:t>
            </w:r>
          </w:p>
        </w:tc>
        <w:tc>
          <w:tcPr>
            <w:tcW w:type="dxa" w:w="6010"/>
          </w:tcPr>
          <w:p>
            <w:pPr>
              <w:spacing w:after="40" w:before="40"/>
            </w:pPr>
            <w:r/>
            <w:r>
              <w:rPr>
                <w:rFonts w:ascii="Cambria" w:hAnsi="Cambria"/>
                <w:b w:val="0"/>
                <w:i w:val="0"/>
                <w:sz w:val="22"/>
              </w:rPr>
              <w:t>Oversee execution and maintain welfare records.</w:t>
            </w:r>
          </w:p>
        </w:tc>
      </w:tr>
      <w:tr>
        <w:tc>
          <w:tcPr>
            <w:tcW w:type="dxa" w:w="2835"/>
            <w:shd w:val="clear" w:color="auto" w:fill="F0F2F5"/>
          </w:tcPr>
          <w:p>
            <w:pPr>
              <w:spacing w:after="40" w:before="40"/>
            </w:pPr>
            <w:r/>
            <w:r>
              <w:rPr>
                <w:rFonts w:ascii="Cambria" w:hAnsi="Cambria"/>
                <w:b w:val="0"/>
                <w:i w:val="0"/>
                <w:sz w:val="22"/>
              </w:rPr>
              <w:t>IQAC</w:t>
            </w:r>
          </w:p>
        </w:tc>
        <w:tc>
          <w:tcPr>
            <w:tcW w:type="dxa" w:w="6010"/>
            <w:shd w:val="clear" w:color="auto" w:fill="F0F2F5"/>
          </w:tcPr>
          <w:p>
            <w:pPr>
              <w:spacing w:after="40" w:before="40"/>
            </w:pPr>
            <w:r/>
            <w:r>
              <w:rPr>
                <w:rFonts w:ascii="Cambria" w:hAnsi="Cambria"/>
                <w:b w:val="0"/>
                <w:i w:val="0"/>
                <w:sz w:val="22"/>
              </w:rPr>
              <w:t>Monitor policy effectiveness and documentation for accreditation.</w:t>
            </w:r>
          </w:p>
        </w:tc>
      </w:tr>
    </w:tbl>
    <w:p>
      <w:pPr>
        <w:spacing w:after="40"/>
      </w:pPr>
    </w:p>
    <w:p>
      <w:pPr>
        <w:keepNext/>
        <w:spacing w:before="200" w:after="120"/>
      </w:pPr>
      <w:r>
        <w:rPr>
          <w:rFonts w:ascii="Cambria" w:hAnsi="Cambria"/>
          <w:b/>
          <w:color w:val="1F3A5F"/>
          <w:sz w:val="24"/>
        </w:rPr>
        <w:t>V. Monitoring and Evaluation</w:t>
      </w:r>
    </w:p>
    <w:p>
      <w:pPr>
        <w:pStyle w:val="ListBullet"/>
        <w:spacing w:line="276" w:lineRule="auto"/>
        <w:ind w:left="510"/>
      </w:pPr>
      <w:r>
        <w:rPr>
          <w:rFonts w:ascii="Cambria" w:hAnsi="Cambria"/>
          <w:b w:val="0"/>
          <w:i w:val="0"/>
          <w:sz w:val="22"/>
        </w:rPr>
        <w:t>Annual Employee Welfare Report to be prepared by HRD Cell and submitted to IQAC and BoM.</w:t>
      </w:r>
    </w:p>
    <w:p>
      <w:pPr>
        <w:pStyle w:val="ListBullet"/>
        <w:spacing w:line="276" w:lineRule="auto"/>
        <w:ind w:left="510"/>
      </w:pPr>
      <w:r>
        <w:rPr>
          <w:rFonts w:ascii="Cambria" w:hAnsi="Cambria"/>
          <w:b w:val="0"/>
          <w:i w:val="0"/>
          <w:sz w:val="22"/>
        </w:rPr>
        <w:t>Key Performance Indicators (KPIs):</w:t>
      </w:r>
    </w:p>
    <w:p>
      <w:pPr>
        <w:pStyle w:val="ListBullet2"/>
        <w:spacing w:line="276" w:lineRule="auto"/>
        <w:ind w:left="1020"/>
      </w:pPr>
      <w:r>
        <w:rPr>
          <w:rFonts w:ascii="Cambria" w:hAnsi="Cambria"/>
          <w:b w:val="0"/>
          <w:i w:val="0"/>
          <w:sz w:val="22"/>
        </w:rPr>
        <w:t>Number of welfare programs conducted.</w:t>
      </w:r>
    </w:p>
    <w:p>
      <w:pPr>
        <w:pStyle w:val="ListBullet2"/>
        <w:spacing w:line="276" w:lineRule="auto"/>
        <w:ind w:left="1020"/>
      </w:pPr>
      <w:r>
        <w:rPr>
          <w:rFonts w:ascii="Cambria" w:hAnsi="Cambria"/>
          <w:b w:val="0"/>
          <w:i w:val="0"/>
          <w:sz w:val="22"/>
        </w:rPr>
        <w:t>Employee satisfaction index (target ≥ 80%).</w:t>
      </w:r>
    </w:p>
    <w:p>
      <w:pPr>
        <w:pStyle w:val="ListBullet2"/>
        <w:spacing w:line="276" w:lineRule="auto"/>
        <w:ind w:left="1020"/>
      </w:pPr>
      <w:r>
        <w:rPr>
          <w:rFonts w:ascii="Cambria" w:hAnsi="Cambria"/>
          <w:b w:val="0"/>
          <w:i w:val="0"/>
          <w:sz w:val="22"/>
        </w:rPr>
        <w:t>Health and safety audit compliance rate.</w:t>
      </w:r>
    </w:p>
    <w:p>
      <w:pPr>
        <w:pStyle w:val="ListBullet2"/>
        <w:spacing w:line="276" w:lineRule="auto"/>
        <w:ind w:left="1020"/>
      </w:pPr>
      <w:r>
        <w:rPr>
          <w:rFonts w:ascii="Cambria" w:hAnsi="Cambria"/>
          <w:b w:val="0"/>
          <w:i w:val="0"/>
          <w:sz w:val="22"/>
        </w:rPr>
        <w:t>Reduction in absenteeism and stress-related issues.</w:t>
      </w:r>
    </w:p>
    <w:p>
      <w:pPr>
        <w:pStyle w:val="ListBullet2"/>
        <w:spacing w:line="276" w:lineRule="auto"/>
        <w:ind w:left="1020"/>
      </w:pPr>
      <w:r>
        <w:rPr>
          <w:rFonts w:ascii="Cambria" w:hAnsi="Cambria"/>
          <w:b w:val="0"/>
          <w:i w:val="0"/>
          <w:sz w:val="22"/>
        </w:rPr>
        <w:t>Feedback from counselling and medical services.</w:t>
      </w:r>
    </w:p>
    <w:p>
      <w:pPr>
        <w:pStyle w:val="ListBullet"/>
        <w:spacing w:line="276" w:lineRule="auto"/>
        <w:ind w:left="510"/>
      </w:pPr>
      <w:r>
        <w:rPr>
          <w:rFonts w:ascii="Cambria" w:hAnsi="Cambria"/>
          <w:b w:val="0"/>
          <w:i w:val="0"/>
          <w:sz w:val="22"/>
        </w:rPr>
        <w:t>External welfare audit once every three years for independent evaluation.</w:t>
      </w:r>
    </w:p>
    <w:p>
      <w:pPr>
        <w:keepNext/>
        <w:spacing w:before="200" w:after="120"/>
      </w:pPr>
      <w:r>
        <w:rPr>
          <w:rFonts w:ascii="Cambria" w:hAnsi="Cambria"/>
          <w:b/>
          <w:color w:val="1F3A5F"/>
          <w:sz w:val="24"/>
        </w:rPr>
        <w:t>VI. Documentation and Accreditation Alignment</w:t>
      </w:r>
    </w:p>
    <w:p>
      <w:pPr>
        <w:pStyle w:val="ListBullet"/>
        <w:spacing w:line="276" w:lineRule="auto"/>
        <w:ind w:left="510"/>
      </w:pPr>
      <w:r>
        <w:rPr>
          <w:rFonts w:ascii="Cambria" w:hAnsi="Cambria"/>
          <w:b w:val="0"/>
          <w:i w:val="0"/>
          <w:sz w:val="22"/>
        </w:rPr>
        <w:t>Records maintained digitally in HRMS / Welfare Register:</w:t>
      </w:r>
    </w:p>
    <w:p>
      <w:pPr>
        <w:pStyle w:val="ListBullet2"/>
        <w:spacing w:line="276" w:lineRule="auto"/>
        <w:ind w:left="1020"/>
      </w:pPr>
      <w:r>
        <w:rPr>
          <w:rFonts w:ascii="Cambria" w:hAnsi="Cambria"/>
          <w:b w:val="0"/>
          <w:i w:val="0"/>
          <w:sz w:val="22"/>
        </w:rPr>
        <w:t>Health insurance database.</w:t>
      </w:r>
    </w:p>
    <w:p>
      <w:pPr>
        <w:pStyle w:val="ListBullet2"/>
        <w:spacing w:line="276" w:lineRule="auto"/>
        <w:ind w:left="1020"/>
      </w:pPr>
      <w:r>
        <w:rPr>
          <w:rFonts w:ascii="Cambria" w:hAnsi="Cambria"/>
          <w:b w:val="0"/>
          <w:i w:val="0"/>
          <w:sz w:val="22"/>
        </w:rPr>
        <w:t>Welfare fund disbursement records.</w:t>
      </w:r>
    </w:p>
    <w:p>
      <w:pPr>
        <w:pStyle w:val="ListBullet2"/>
        <w:spacing w:line="276" w:lineRule="auto"/>
        <w:ind w:left="1020"/>
      </w:pPr>
      <w:r>
        <w:rPr>
          <w:rFonts w:ascii="Cambria" w:hAnsi="Cambria"/>
          <w:b w:val="0"/>
          <w:i w:val="0"/>
          <w:sz w:val="22"/>
        </w:rPr>
        <w:t>Attendance and participation in wellness programs.</w:t>
      </w:r>
    </w:p>
    <w:p>
      <w:pPr>
        <w:pStyle w:val="ListBullet2"/>
        <w:spacing w:line="276" w:lineRule="auto"/>
        <w:ind w:left="1020"/>
      </w:pPr>
      <w:r>
        <w:rPr>
          <w:rFonts w:ascii="Cambria" w:hAnsi="Cambria"/>
          <w:b w:val="0"/>
          <w:i w:val="0"/>
          <w:sz w:val="22"/>
        </w:rPr>
        <w:t>Employee satisfaction survey reports.</w:t>
      </w:r>
    </w:p>
    <w:p>
      <w:pPr>
        <w:pStyle w:val="ListBullet"/>
        <w:spacing w:line="276" w:lineRule="auto"/>
        <w:ind w:left="510"/>
      </w:pPr>
      <w:r>
        <w:rPr>
          <w:rFonts w:ascii="Cambria" w:hAnsi="Cambria"/>
          <w:b w:val="0"/>
          <w:i w:val="0"/>
          <w:sz w:val="22"/>
        </w:rPr>
        <w:t>Relevant for accreditation parameters:</w:t>
      </w:r>
    </w:p>
    <w:p>
      <w:pPr>
        <w:pStyle w:val="ListBullet2"/>
        <w:spacing w:line="276" w:lineRule="auto"/>
        <w:ind w:left="1020"/>
      </w:pPr>
      <w:r>
        <w:rPr>
          <w:rFonts w:ascii="Cambria" w:hAnsi="Cambria"/>
          <w:b w:val="0"/>
          <w:i w:val="0"/>
          <w:sz w:val="22"/>
        </w:rPr>
        <w:t>NAAC Criterion 6.5.2 &amp; 7.1.4 (Employee Welfare and Safety).</w:t>
      </w:r>
    </w:p>
    <w:p>
      <w:pPr>
        <w:pStyle w:val="ListBullet2"/>
        <w:spacing w:line="276" w:lineRule="auto"/>
        <w:ind w:left="1020"/>
      </w:pPr>
      <w:r>
        <w:rPr>
          <w:rFonts w:ascii="Cambria" w:hAnsi="Cambria"/>
          <w:b w:val="0"/>
          <w:i w:val="0"/>
          <w:sz w:val="22"/>
        </w:rPr>
        <w:t>NIRF “Outreach and Inclusivity” indicators.</w:t>
      </w:r>
    </w:p>
    <w:p>
      <w:pPr>
        <w:pStyle w:val="ListBullet2"/>
        <w:spacing w:line="276" w:lineRule="auto"/>
        <w:ind w:left="1020"/>
      </w:pPr>
      <w:r>
        <w:rPr>
          <w:rFonts w:ascii="Cambria" w:hAnsi="Cambria"/>
          <w:b w:val="0"/>
          <w:i w:val="0"/>
          <w:sz w:val="22"/>
        </w:rPr>
        <w:t>ISO 45001:2018 (Occupational Health &amp; Safety).</w:t>
      </w:r>
    </w:p>
    <w:p>
      <w:pPr>
        <w:keepNext/>
        <w:spacing w:before="200" w:after="120"/>
      </w:pPr>
      <w:r>
        <w:rPr>
          <w:rFonts w:ascii="Cambria" w:hAnsi="Cambria"/>
          <w:b/>
          <w:color w:val="1F3A5F"/>
          <w:sz w:val="24"/>
        </w:rPr>
        <w:t>VII. Funding and Resource Allocation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721"/>
            <w:shd w:val="clear" w:color="auto" w:fill="1F3A5F"/>
          </w:tcPr>
          <w:p>
            <w:pPr>
              <w:spacing w:after="40" w:before="40"/>
            </w:pPr>
            <w:r/>
            <w:r>
              <w:rPr>
                <w:rFonts w:ascii="Cambria" w:hAnsi="Cambria"/>
                <w:b/>
                <w:i w:val="0"/>
                <w:color w:val="FFFFFF"/>
                <w:sz w:val="22"/>
              </w:rPr>
              <w:t>Component</w:t>
            </w:r>
          </w:p>
        </w:tc>
        <w:tc>
          <w:tcPr>
            <w:tcW w:type="dxa" w:w="3061"/>
            <w:shd w:val="clear" w:color="auto" w:fill="1F3A5F"/>
          </w:tcPr>
          <w:p>
            <w:pPr>
              <w:spacing w:after="40" w:before="40"/>
            </w:pPr>
            <w:r/>
            <w:r>
              <w:rPr>
                <w:rFonts w:ascii="Cambria" w:hAnsi="Cambria"/>
                <w:b/>
                <w:i w:val="0"/>
                <w:color w:val="FFFFFF"/>
                <w:sz w:val="22"/>
              </w:rPr>
              <w:t>Budget Allocation</w:t>
            </w:r>
          </w:p>
        </w:tc>
        <w:tc>
          <w:tcPr>
            <w:tcW w:type="dxa" w:w="3061"/>
            <w:shd w:val="clear" w:color="auto" w:fill="1F3A5F"/>
          </w:tcPr>
          <w:p>
            <w:pPr>
              <w:spacing w:after="40" w:before="40"/>
            </w:pPr>
            <w:r/>
            <w:r>
              <w:rPr>
                <w:rFonts w:ascii="Cambria" w:hAnsi="Cambria"/>
                <w:b/>
                <w:i w:val="0"/>
                <w:color w:val="FFFFFF"/>
                <w:sz w:val="22"/>
              </w:rPr>
              <w:t>Source of Funding</w:t>
            </w:r>
          </w:p>
        </w:tc>
      </w:tr>
      <w:tr>
        <w:tc>
          <w:tcPr>
            <w:tcW w:type="dxa" w:w="2721"/>
          </w:tcPr>
          <w:p>
            <w:pPr>
              <w:spacing w:after="40" w:before="40"/>
            </w:pPr>
            <w:r/>
            <w:r>
              <w:rPr>
                <w:rFonts w:ascii="Cambria" w:hAnsi="Cambria"/>
                <w:b w:val="0"/>
                <w:i w:val="0"/>
                <w:sz w:val="22"/>
              </w:rPr>
              <w:t>Health Insurance &amp; Medical Support</w:t>
            </w:r>
          </w:p>
        </w:tc>
        <w:tc>
          <w:tcPr>
            <w:tcW w:type="dxa" w:w="3061"/>
          </w:tcPr>
          <w:p>
            <w:pPr>
              <w:spacing w:after="40" w:before="40"/>
            </w:pPr>
            <w:r/>
            <w:r>
              <w:rPr>
                <w:rFonts w:ascii="Cambria" w:hAnsi="Cambria"/>
                <w:b w:val="0"/>
                <w:i w:val="0"/>
                <w:sz w:val="22"/>
              </w:rPr>
              <w:t>1.5% of annual salary budget</w:t>
            </w:r>
          </w:p>
        </w:tc>
        <w:tc>
          <w:tcPr>
            <w:tcW w:type="dxa" w:w="3061"/>
          </w:tcPr>
          <w:p>
            <w:pPr>
              <w:spacing w:after="40" w:before="40"/>
            </w:pPr>
            <w:r/>
            <w:r>
              <w:rPr>
                <w:rFonts w:ascii="Cambria" w:hAnsi="Cambria"/>
                <w:b w:val="0"/>
                <w:i w:val="0"/>
                <w:sz w:val="22"/>
              </w:rPr>
              <w:t>Institutional Budget</w:t>
            </w:r>
          </w:p>
        </w:tc>
      </w:tr>
      <w:tr>
        <w:tc>
          <w:tcPr>
            <w:tcW w:type="dxa" w:w="2721"/>
            <w:shd w:val="clear" w:color="auto" w:fill="F0F2F5"/>
          </w:tcPr>
          <w:p>
            <w:pPr>
              <w:spacing w:after="40" w:before="40"/>
            </w:pPr>
            <w:r/>
            <w:r>
              <w:rPr>
                <w:rFonts w:ascii="Cambria" w:hAnsi="Cambria"/>
                <w:b w:val="0"/>
                <w:i w:val="0"/>
                <w:sz w:val="22"/>
              </w:rPr>
              <w:t>Welfare and Recreation</w:t>
            </w:r>
          </w:p>
        </w:tc>
        <w:tc>
          <w:tcPr>
            <w:tcW w:type="dxa" w:w="3061"/>
            <w:shd w:val="clear" w:color="auto" w:fill="F0F2F5"/>
          </w:tcPr>
          <w:p>
            <w:pPr>
              <w:spacing w:after="40" w:before="40"/>
            </w:pPr>
            <w:r/>
            <w:r>
              <w:rPr>
                <w:rFonts w:ascii="Cambria" w:hAnsi="Cambria"/>
                <w:b w:val="0"/>
                <w:i w:val="0"/>
                <w:sz w:val="22"/>
              </w:rPr>
              <w:t>0.5% of total salary budget</w:t>
            </w:r>
          </w:p>
        </w:tc>
        <w:tc>
          <w:tcPr>
            <w:tcW w:type="dxa" w:w="3061"/>
            <w:shd w:val="clear" w:color="auto" w:fill="F0F2F5"/>
          </w:tcPr>
          <w:p>
            <w:pPr>
              <w:spacing w:after="40" w:before="40"/>
            </w:pPr>
            <w:r/>
            <w:r>
              <w:rPr>
                <w:rFonts w:ascii="Cambria" w:hAnsi="Cambria"/>
                <w:b w:val="0"/>
                <w:i w:val="0"/>
                <w:sz w:val="22"/>
              </w:rPr>
              <w:t>HRD / CSR / Alumni Fund</w:t>
            </w:r>
          </w:p>
        </w:tc>
      </w:tr>
      <w:tr>
        <w:tc>
          <w:tcPr>
            <w:tcW w:type="dxa" w:w="2721"/>
          </w:tcPr>
          <w:p>
            <w:pPr>
              <w:spacing w:after="40" w:before="40"/>
            </w:pPr>
            <w:r/>
            <w:r>
              <w:rPr>
                <w:rFonts w:ascii="Cambria" w:hAnsi="Cambria"/>
                <w:b w:val="0"/>
                <w:i w:val="0"/>
                <w:sz w:val="22"/>
              </w:rPr>
              <w:t>Counselling &amp; Wellness Programs</w:t>
            </w:r>
          </w:p>
        </w:tc>
        <w:tc>
          <w:tcPr>
            <w:tcW w:type="dxa" w:w="3061"/>
          </w:tcPr>
          <w:p>
            <w:pPr>
              <w:spacing w:after="40" w:before="40"/>
            </w:pPr>
            <w:r/>
            <w:r>
              <w:rPr>
                <w:rFonts w:ascii="Cambria" w:hAnsi="Cambria"/>
                <w:b w:val="0"/>
                <w:i w:val="0"/>
                <w:sz w:val="22"/>
              </w:rPr>
              <w:t>₹1,00,000 per annum</w:t>
            </w:r>
          </w:p>
        </w:tc>
        <w:tc>
          <w:tcPr>
            <w:tcW w:type="dxa" w:w="3061"/>
          </w:tcPr>
          <w:p>
            <w:pPr>
              <w:spacing w:after="40" w:before="40"/>
            </w:pPr>
            <w:r/>
            <w:r>
              <w:rPr>
                <w:rFonts w:ascii="Cambria" w:hAnsi="Cambria"/>
                <w:b w:val="0"/>
                <w:i w:val="0"/>
                <w:sz w:val="22"/>
              </w:rPr>
              <w:t>HRD / External Grants</w:t>
            </w:r>
          </w:p>
        </w:tc>
      </w:tr>
      <w:tr>
        <w:tc>
          <w:tcPr>
            <w:tcW w:type="dxa" w:w="2721"/>
            <w:shd w:val="clear" w:color="auto" w:fill="F0F2F5"/>
          </w:tcPr>
          <w:p>
            <w:pPr>
              <w:spacing w:after="40" w:before="40"/>
            </w:pPr>
            <w:r/>
            <w:r>
              <w:rPr>
                <w:rFonts w:ascii="Cambria" w:hAnsi="Cambria"/>
                <w:b w:val="0"/>
                <w:i w:val="0"/>
                <w:sz w:val="22"/>
              </w:rPr>
              <w:t>Safety Infrastructure</w:t>
            </w:r>
          </w:p>
        </w:tc>
        <w:tc>
          <w:tcPr>
            <w:tcW w:type="dxa" w:w="3061"/>
            <w:shd w:val="clear" w:color="auto" w:fill="F0F2F5"/>
          </w:tcPr>
          <w:p>
            <w:pPr>
              <w:spacing w:after="40" w:before="40"/>
            </w:pPr>
            <w:r/>
            <w:r>
              <w:rPr>
                <w:rFonts w:ascii="Cambria" w:hAnsi="Cambria"/>
                <w:b w:val="0"/>
                <w:i w:val="0"/>
                <w:sz w:val="22"/>
              </w:rPr>
              <w:t>As per need-based assessment</w:t>
            </w:r>
          </w:p>
        </w:tc>
        <w:tc>
          <w:tcPr>
            <w:tcW w:type="dxa" w:w="3061"/>
            <w:shd w:val="clear" w:color="auto" w:fill="F0F2F5"/>
          </w:tcPr>
          <w:p>
            <w:pPr>
              <w:spacing w:after="40" w:before="40"/>
            </w:pPr>
            <w:r/>
            <w:r>
              <w:rPr>
                <w:rFonts w:ascii="Cambria" w:hAnsi="Cambria"/>
                <w:b w:val="0"/>
                <w:i w:val="0"/>
                <w:sz w:val="22"/>
              </w:rPr>
              <w:t>Maintenance / Safety Fund</w:t>
            </w:r>
          </w:p>
        </w:tc>
      </w:tr>
    </w:tbl>
    <w:p>
      <w:pPr>
        <w:spacing w:after="40"/>
      </w:pPr>
    </w:p>
    <w:p>
      <w:pPr>
        <w:keepNext/>
        <w:spacing w:before="200" w:after="120"/>
      </w:pPr>
      <w:r>
        <w:rPr>
          <w:rFonts w:ascii="Cambria" w:hAnsi="Cambria"/>
          <w:b/>
          <w:color w:val="1F3A5F"/>
          <w:sz w:val="24"/>
        </w:rPr>
        <w:t>VIII. Policy Review and Updation</w:t>
      </w:r>
    </w:p>
    <w:p>
      <w:pPr>
        <w:pStyle w:val="ListBullet"/>
        <w:spacing w:line="276" w:lineRule="auto"/>
        <w:ind w:left="510"/>
      </w:pPr>
      <w:r>
        <w:rPr>
          <w:rFonts w:ascii="Cambria" w:hAnsi="Cambria"/>
          <w:b w:val="0"/>
          <w:i w:val="0"/>
          <w:sz w:val="22"/>
        </w:rPr>
        <w:t>The policy shall be reviewed every three years by the HRD &amp; Welfare Committee (HRWC) and approved by the BoM.</w:t>
      </w:r>
    </w:p>
    <w:p>
      <w:pPr>
        <w:pStyle w:val="ListBullet"/>
        <w:spacing w:line="276" w:lineRule="auto"/>
        <w:ind w:left="510"/>
      </w:pPr>
      <w:r>
        <w:rPr>
          <w:rFonts w:ascii="Cambria" w:hAnsi="Cambria"/>
          <w:b w:val="0"/>
          <w:i w:val="0"/>
          <w:sz w:val="22"/>
        </w:rPr>
        <w:t>Updated in accordance with:</w:t>
      </w:r>
    </w:p>
    <w:p>
      <w:pPr>
        <w:pStyle w:val="ListBullet2"/>
        <w:spacing w:line="276" w:lineRule="auto"/>
        <w:ind w:left="1020"/>
      </w:pPr>
      <w:r>
        <w:rPr>
          <w:rFonts w:ascii="Cambria" w:hAnsi="Cambria"/>
          <w:b w:val="0"/>
          <w:i w:val="0"/>
          <w:sz w:val="22"/>
        </w:rPr>
        <w:t>Ministry of Labour &amp; Employment Guidelines</w:t>
      </w:r>
    </w:p>
    <w:p>
      <w:pPr>
        <w:pStyle w:val="ListBullet2"/>
        <w:spacing w:line="276" w:lineRule="auto"/>
        <w:ind w:left="1020"/>
      </w:pPr>
      <w:r>
        <w:rPr>
          <w:rFonts w:ascii="Cambria" w:hAnsi="Cambria"/>
          <w:b w:val="0"/>
          <w:i w:val="0"/>
          <w:sz w:val="22"/>
        </w:rPr>
        <w:t>UGC / AICTE Employee Welfare Norms</w:t>
      </w:r>
    </w:p>
    <w:p>
      <w:pPr>
        <w:pStyle w:val="ListBullet2"/>
        <w:spacing w:line="276" w:lineRule="auto"/>
        <w:ind w:left="1020"/>
      </w:pPr>
      <w:r>
        <w:rPr>
          <w:rFonts w:ascii="Cambria" w:hAnsi="Cambria"/>
          <w:b w:val="0"/>
          <w:i w:val="0"/>
          <w:sz w:val="22"/>
        </w:rPr>
        <w:t>Occupational Safety, Health and Working Conditions Code, 2020 (India)</w:t>
      </w:r>
    </w:p>
    <w:p>
      <w:pPr>
        <w:pStyle w:val="ListBullet2"/>
        <w:spacing w:line="276" w:lineRule="auto"/>
        <w:ind w:left="1020"/>
      </w:pPr>
      <w:r>
        <w:rPr>
          <w:rFonts w:ascii="Cambria" w:hAnsi="Cambria"/>
          <w:b w:val="0"/>
          <w:i w:val="0"/>
          <w:sz w:val="22"/>
        </w:rPr>
        <w:t>NEP 2020 – Human Resource Well-being Principles</w:t>
      </w:r>
    </w:p>
    <w:p>
      <w:pPr>
        <w:keepNext/>
        <w:spacing w:before="200" w:after="120"/>
      </w:pPr>
      <w:r>
        <w:rPr>
          <w:rFonts w:ascii="Cambria" w:hAnsi="Cambria"/>
          <w:b/>
          <w:color w:val="1F3A5F"/>
          <w:sz w:val="24"/>
        </w:rPr>
        <w:t>IX.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762"/>
            <w:shd w:val="clear" w:color="auto" w:fill="1F3A5F"/>
          </w:tcPr>
          <w:p>
            <w:pPr>
              <w:spacing w:after="40" w:before="40"/>
            </w:pPr>
            <w:r/>
            <w:r>
              <w:rPr>
                <w:rFonts w:ascii="Cambria" w:hAnsi="Cambria"/>
                <w:b/>
                <w:i w:val="0"/>
                <w:color w:val="FFFFFF"/>
                <w:sz w:val="22"/>
              </w:rPr>
              <w:t>Provision</w:t>
            </w:r>
          </w:p>
        </w:tc>
        <w:tc>
          <w:tcPr>
            <w:tcW w:type="dxa" w:w="2721"/>
            <w:shd w:val="clear" w:color="auto" w:fill="1F3A5F"/>
          </w:tcPr>
          <w:p>
            <w:pPr>
              <w:spacing w:after="40" w:before="40"/>
            </w:pPr>
            <w:r/>
            <w:r>
              <w:rPr>
                <w:rFonts w:ascii="Cambria" w:hAnsi="Cambria"/>
                <w:b/>
                <w:i w:val="0"/>
                <w:color w:val="FFFFFF"/>
                <w:sz w:val="22"/>
              </w:rPr>
              <w:t>Responsible Unit</w:t>
            </w:r>
          </w:p>
        </w:tc>
      </w:tr>
      <w:tr>
        <w:tc>
          <w:tcPr>
            <w:tcW w:type="dxa" w:w="1927"/>
          </w:tcPr>
          <w:p>
            <w:pPr>
              <w:spacing w:after="40" w:before="40"/>
            </w:pPr>
            <w:r/>
            <w:r>
              <w:rPr>
                <w:rFonts w:ascii="Cambria" w:hAnsi="Cambria"/>
                <w:b w:val="0"/>
                <w:i w:val="0"/>
                <w:sz w:val="22"/>
              </w:rPr>
              <w:t>Medical Support</w:t>
            </w:r>
          </w:p>
        </w:tc>
        <w:tc>
          <w:tcPr>
            <w:tcW w:type="dxa" w:w="4762"/>
          </w:tcPr>
          <w:p>
            <w:pPr>
              <w:spacing w:after="40" w:before="40"/>
            </w:pPr>
            <w:r/>
            <w:r>
              <w:rPr>
                <w:rFonts w:ascii="Cambria" w:hAnsi="Cambria"/>
                <w:b w:val="0"/>
                <w:i w:val="0"/>
                <w:sz w:val="22"/>
              </w:rPr>
              <w:t>Insurance, reimbursement, health camps</w:t>
            </w:r>
          </w:p>
        </w:tc>
        <w:tc>
          <w:tcPr>
            <w:tcW w:type="dxa" w:w="2721"/>
          </w:tcPr>
          <w:p>
            <w:pPr>
              <w:spacing w:after="40" w:before="40"/>
            </w:pPr>
            <w:r/>
            <w:r>
              <w:rPr>
                <w:rFonts w:ascii="Cambria" w:hAnsi="Cambria"/>
                <w:b w:val="0"/>
                <w:i w:val="0"/>
                <w:sz w:val="22"/>
              </w:rPr>
              <w:t>HRD / Health Centre</w:t>
            </w:r>
          </w:p>
        </w:tc>
      </w:tr>
      <w:tr>
        <w:tc>
          <w:tcPr>
            <w:tcW w:type="dxa" w:w="1927"/>
            <w:shd w:val="clear" w:color="auto" w:fill="F0F2F5"/>
          </w:tcPr>
          <w:p>
            <w:pPr>
              <w:spacing w:after="40" w:before="40"/>
            </w:pPr>
            <w:r/>
            <w:r>
              <w:rPr>
                <w:rFonts w:ascii="Cambria" w:hAnsi="Cambria"/>
                <w:b w:val="0"/>
                <w:i w:val="0"/>
                <w:sz w:val="22"/>
              </w:rPr>
              <w:t>Mental Well-being</w:t>
            </w:r>
          </w:p>
        </w:tc>
        <w:tc>
          <w:tcPr>
            <w:tcW w:type="dxa" w:w="4762"/>
            <w:shd w:val="clear" w:color="auto" w:fill="F0F2F5"/>
          </w:tcPr>
          <w:p>
            <w:pPr>
              <w:spacing w:after="40" w:before="40"/>
            </w:pPr>
            <w:r/>
            <w:r>
              <w:rPr>
                <w:rFonts w:ascii="Cambria" w:hAnsi="Cambria"/>
                <w:b w:val="0"/>
                <w:i w:val="0"/>
                <w:sz w:val="22"/>
              </w:rPr>
              <w:t>Counselling, stress management, EAP</w:t>
            </w:r>
          </w:p>
        </w:tc>
        <w:tc>
          <w:tcPr>
            <w:tcW w:type="dxa" w:w="2721"/>
            <w:shd w:val="clear" w:color="auto" w:fill="F0F2F5"/>
          </w:tcPr>
          <w:p>
            <w:pPr>
              <w:spacing w:after="40" w:before="40"/>
            </w:pPr>
            <w:r/>
            <w:r>
              <w:rPr>
                <w:rFonts w:ascii="Cambria" w:hAnsi="Cambria"/>
                <w:b w:val="0"/>
                <w:i w:val="0"/>
                <w:sz w:val="22"/>
              </w:rPr>
              <w:t>HRWC / Wellness Unit</w:t>
            </w:r>
          </w:p>
        </w:tc>
      </w:tr>
      <w:tr>
        <w:tc>
          <w:tcPr>
            <w:tcW w:type="dxa" w:w="1927"/>
          </w:tcPr>
          <w:p>
            <w:pPr>
              <w:spacing w:after="40" w:before="40"/>
            </w:pPr>
            <w:r/>
            <w:r>
              <w:rPr>
                <w:rFonts w:ascii="Cambria" w:hAnsi="Cambria"/>
                <w:b w:val="0"/>
                <w:i w:val="0"/>
                <w:sz w:val="22"/>
              </w:rPr>
              <w:t>Safety &amp; Security</w:t>
            </w:r>
          </w:p>
        </w:tc>
        <w:tc>
          <w:tcPr>
            <w:tcW w:type="dxa" w:w="4762"/>
          </w:tcPr>
          <w:p>
            <w:pPr>
              <w:spacing w:after="40" w:before="40"/>
            </w:pPr>
            <w:r/>
            <w:r>
              <w:rPr>
                <w:rFonts w:ascii="Cambria" w:hAnsi="Cambria"/>
                <w:b w:val="0"/>
                <w:i w:val="0"/>
                <w:sz w:val="22"/>
              </w:rPr>
              <w:t>Fire drills, ergonomic audit, POSH compliance</w:t>
            </w:r>
          </w:p>
        </w:tc>
        <w:tc>
          <w:tcPr>
            <w:tcW w:type="dxa" w:w="2721"/>
          </w:tcPr>
          <w:p>
            <w:pPr>
              <w:spacing w:after="40" w:before="40"/>
            </w:pPr>
            <w:r/>
            <w:r>
              <w:rPr>
                <w:rFonts w:ascii="Cambria" w:hAnsi="Cambria"/>
                <w:b w:val="0"/>
                <w:i w:val="0"/>
                <w:sz w:val="22"/>
              </w:rPr>
              <w:t>Safety Committee</w:t>
            </w:r>
          </w:p>
        </w:tc>
      </w:tr>
      <w:tr>
        <w:tc>
          <w:tcPr>
            <w:tcW w:type="dxa" w:w="1927"/>
            <w:shd w:val="clear" w:color="auto" w:fill="F0F2F5"/>
          </w:tcPr>
          <w:p>
            <w:pPr>
              <w:spacing w:after="40" w:before="40"/>
            </w:pPr>
            <w:r/>
            <w:r>
              <w:rPr>
                <w:rFonts w:ascii="Cambria" w:hAnsi="Cambria"/>
                <w:b w:val="0"/>
                <w:i w:val="0"/>
                <w:sz w:val="22"/>
              </w:rPr>
              <w:t>Recreation</w:t>
            </w:r>
          </w:p>
        </w:tc>
        <w:tc>
          <w:tcPr>
            <w:tcW w:type="dxa" w:w="4762"/>
            <w:shd w:val="clear" w:color="auto" w:fill="F0F2F5"/>
          </w:tcPr>
          <w:p>
            <w:pPr>
              <w:spacing w:after="40" w:before="40"/>
            </w:pPr>
            <w:r/>
            <w:r>
              <w:rPr>
                <w:rFonts w:ascii="Cambria" w:hAnsi="Cambria"/>
                <w:b w:val="0"/>
                <w:i w:val="0"/>
                <w:sz w:val="22"/>
              </w:rPr>
              <w:t>Sports, cultural and wellness activities</w:t>
            </w:r>
          </w:p>
        </w:tc>
        <w:tc>
          <w:tcPr>
            <w:tcW w:type="dxa" w:w="2721"/>
            <w:shd w:val="clear" w:color="auto" w:fill="F0F2F5"/>
          </w:tcPr>
          <w:p>
            <w:pPr>
              <w:spacing w:after="40" w:before="40"/>
            </w:pPr>
            <w:r/>
            <w:r>
              <w:rPr>
                <w:rFonts w:ascii="Cambria" w:hAnsi="Cambria"/>
                <w:b w:val="0"/>
                <w:i w:val="0"/>
                <w:sz w:val="22"/>
              </w:rPr>
              <w:t>Employee Recreation Club</w:t>
            </w:r>
          </w:p>
        </w:tc>
      </w:tr>
      <w:tr>
        <w:tc>
          <w:tcPr>
            <w:tcW w:type="dxa" w:w="1927"/>
          </w:tcPr>
          <w:p>
            <w:pPr>
              <w:spacing w:after="40" w:before="40"/>
            </w:pPr>
            <w:r/>
            <w:r>
              <w:rPr>
                <w:rFonts w:ascii="Cambria" w:hAnsi="Cambria"/>
                <w:b w:val="0"/>
                <w:i w:val="0"/>
                <w:sz w:val="22"/>
              </w:rPr>
              <w:t>Financial Welfare</w:t>
            </w:r>
          </w:p>
        </w:tc>
        <w:tc>
          <w:tcPr>
            <w:tcW w:type="dxa" w:w="4762"/>
          </w:tcPr>
          <w:p>
            <w:pPr>
              <w:spacing w:after="40" w:before="40"/>
            </w:pPr>
            <w:r/>
            <w:r>
              <w:rPr>
                <w:rFonts w:ascii="Cambria" w:hAnsi="Cambria"/>
                <w:b w:val="0"/>
                <w:i w:val="0"/>
                <w:sz w:val="22"/>
              </w:rPr>
              <w:t>PF, Gratuity, Education &amp; Benevolent Funds</w:t>
            </w:r>
          </w:p>
        </w:tc>
        <w:tc>
          <w:tcPr>
            <w:tcW w:type="dxa" w:w="2721"/>
          </w:tcPr>
          <w:p>
            <w:pPr>
              <w:spacing w:after="40" w:before="40"/>
            </w:pPr>
            <w:r/>
            <w:r>
              <w:rPr>
                <w:rFonts w:ascii="Cambria" w:hAnsi="Cambria"/>
                <w:b w:val="0"/>
                <w:i w:val="0"/>
                <w:sz w:val="22"/>
              </w:rPr>
              <w:t>Finance Section</w:t>
            </w:r>
          </w:p>
        </w:tc>
      </w:tr>
      <w:tr>
        <w:tc>
          <w:tcPr>
            <w:tcW w:type="dxa" w:w="1927"/>
            <w:shd w:val="clear" w:color="auto" w:fill="F0F2F5"/>
          </w:tcPr>
          <w:p>
            <w:pPr>
              <w:spacing w:after="40" w:before="40"/>
            </w:pPr>
            <w:r/>
            <w:r>
              <w:rPr>
                <w:rFonts w:ascii="Cambria" w:hAnsi="Cambria"/>
                <w:b w:val="0"/>
                <w:i w:val="0"/>
                <w:sz w:val="22"/>
              </w:rPr>
              <w:t>Policy Review Cycle</w:t>
            </w:r>
          </w:p>
        </w:tc>
        <w:tc>
          <w:tcPr>
            <w:tcW w:type="dxa" w:w="4762"/>
            <w:shd w:val="clear" w:color="auto" w:fill="F0F2F5"/>
          </w:tcPr>
          <w:p>
            <w:pPr>
              <w:spacing w:after="40" w:before="40"/>
            </w:pPr>
            <w:r/>
            <w:r>
              <w:rPr>
                <w:rFonts w:ascii="Cambria" w:hAnsi="Cambria"/>
                <w:b w:val="0"/>
                <w:i w:val="0"/>
                <w:sz w:val="22"/>
              </w:rPr>
              <w:t>Every 3 years</w:t>
            </w:r>
          </w:p>
        </w:tc>
        <w:tc>
          <w:tcPr>
            <w:tcW w:type="dxa" w:w="2721"/>
            <w:shd w:val="clear" w:color="auto" w:fill="F0F2F5"/>
          </w:tcPr>
          <w:p>
            <w:pPr>
              <w:spacing w:after="40" w:before="40"/>
            </w:pPr>
            <w:r/>
            <w:r>
              <w:rPr>
                <w:rFonts w:ascii="Cambria" w:hAnsi="Cambria"/>
                <w:b w:val="0"/>
                <w:i w:val="0"/>
                <w:sz w:val="22"/>
              </w:rPr>
              <w:t>HRD &amp; BoM</w:t>
            </w:r>
          </w:p>
        </w:tc>
      </w:tr>
    </w:tbl>
    <w:p>
      <w:pPr>
        <w:spacing w:after="40"/>
      </w:pPr>
    </w:p>
    <w:p>
      <w:pPr>
        <w:keepNext/>
        <w:spacing w:before="200" w:after="120"/>
      </w:pPr>
      <w:r>
        <w:rPr>
          <w:rFonts w:ascii="Cambria" w:hAnsi="Cambria"/>
          <w:b/>
          <w:color w:val="1F3A5F"/>
          <w:sz w:val="24"/>
        </w:rPr>
        <w:t>X. Policy Principles</w:t>
      </w:r>
    </w:p>
    <w:p>
      <w:pPr>
        <w:pStyle w:val="ListBullet"/>
        <w:spacing w:line="276" w:lineRule="auto"/>
        <w:ind w:left="510"/>
      </w:pPr>
      <w:r>
        <w:rPr>
          <w:rFonts w:ascii="Cambria" w:hAnsi="Cambria"/>
          <w:b w:val="0"/>
          <w:i w:val="0"/>
          <w:sz w:val="22"/>
        </w:rPr>
        <w:t>Employee welfare is integral to organizational sustainability and productivity.</w:t>
      </w:r>
    </w:p>
    <w:p>
      <w:pPr>
        <w:pStyle w:val="ListBullet"/>
        <w:spacing w:line="276" w:lineRule="auto"/>
        <w:ind w:left="510"/>
      </w:pPr>
      <w:r>
        <w:rPr>
          <w:rFonts w:ascii="Cambria" w:hAnsi="Cambria"/>
          <w:b w:val="0"/>
          <w:i w:val="0"/>
          <w:sz w:val="22"/>
        </w:rPr>
        <w:t>The University shall ensure a safe, inclusive, and health-conscious environment.</w:t>
      </w:r>
    </w:p>
    <w:p>
      <w:pPr>
        <w:pStyle w:val="ListBullet"/>
        <w:spacing w:line="276" w:lineRule="auto"/>
        <w:ind w:left="510"/>
      </w:pPr>
      <w:r>
        <w:rPr>
          <w:rFonts w:ascii="Cambria" w:hAnsi="Cambria"/>
          <w:b w:val="0"/>
          <w:i w:val="0"/>
          <w:sz w:val="22"/>
        </w:rPr>
        <w:t>Mental health and emotional support are treated as equal priorities alongside physical well-being.</w:t>
      </w:r>
    </w:p>
    <w:p>
      <w:pPr>
        <w:pStyle w:val="ListBullet"/>
        <w:spacing w:line="276" w:lineRule="auto"/>
        <w:ind w:left="510"/>
      </w:pPr>
      <w:r>
        <w:rPr>
          <w:rFonts w:ascii="Cambria" w:hAnsi="Cambria"/>
          <w:b w:val="0"/>
          <w:i w:val="0"/>
          <w:sz w:val="22"/>
        </w:rPr>
        <w:t>Transparency, dignity, and non-discrimination shall guide all welfare initiatives.</w:t>
      </w:r>
    </w:p>
    <w:p>
      <w:pPr>
        <w:pStyle w:val="ListBullet"/>
        <w:spacing w:line="276" w:lineRule="auto"/>
        <w:ind w:left="510"/>
      </w:pPr>
      <w:r>
        <w:rPr>
          <w:rFonts w:ascii="Cambria" w:hAnsi="Cambria"/>
          <w:b w:val="0"/>
          <w:i w:val="0"/>
          <w:sz w:val="22"/>
        </w:rPr>
        <w:t>The institution is committed to achieving a Healthy Campus Certification under national and international frameworks.</w:t>
      </w:r>
    </w:p>
    <w:p>
      <w:pPr>
        <w:keepNext/>
        <w:spacing w:before="200" w:after="120"/>
      </w:pPr>
      <w:r>
        <w:rPr>
          <w:rFonts w:ascii="Cambria" w:hAnsi="Cambria"/>
          <w:b/>
          <w:color w:val="1F3A5F"/>
          <w:sz w:val="27"/>
        </w:rPr>
        <w:t>Q. Grievance Redressal and Disciplinary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establish a fair, transparent, and structured system for the prevention, reporting, and resolution of grievances and disciplinary issues among faculty, staff, and students.</w:t>
      </w:r>
    </w:p>
    <w:p>
      <w:pPr>
        <w:pStyle w:val="ListBullet"/>
        <w:spacing w:line="276" w:lineRule="auto"/>
        <w:ind w:left="510"/>
      </w:pPr>
      <w:r>
        <w:rPr>
          <w:rFonts w:ascii="Cambria" w:hAnsi="Cambria"/>
          <w:b w:val="0"/>
          <w:i w:val="0"/>
          <w:sz w:val="22"/>
        </w:rPr>
        <w:t>This policy ensures institutional justice, ethical conduct, and accountability, aligning with UGC (Redressal of Grievances) Regulations, 2023, and other statutory frameworks applicable to Higher Education Institutions (HEIs).</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Provide an accessible mechanism for the timely redressal of genuine grievances of employees.</w:t>
      </w:r>
    </w:p>
    <w:p>
      <w:pPr>
        <w:pStyle w:val="ListBullet"/>
        <w:spacing w:line="276" w:lineRule="auto"/>
        <w:ind w:left="510"/>
      </w:pPr>
      <w:r>
        <w:rPr>
          <w:rFonts w:ascii="Cambria" w:hAnsi="Cambria"/>
          <w:b w:val="0"/>
          <w:i w:val="0"/>
          <w:sz w:val="22"/>
        </w:rPr>
        <w:t>Maintain a harmonious work environment through open communication and fairness.</w:t>
      </w:r>
    </w:p>
    <w:p>
      <w:pPr>
        <w:pStyle w:val="ListBullet"/>
        <w:spacing w:line="276" w:lineRule="auto"/>
        <w:ind w:left="510"/>
      </w:pPr>
      <w:r>
        <w:rPr>
          <w:rFonts w:ascii="Cambria" w:hAnsi="Cambria"/>
          <w:b w:val="0"/>
          <w:i w:val="0"/>
          <w:sz w:val="22"/>
        </w:rPr>
        <w:t>Define disciplinary standards and procedures for handling misconduct, negligence, or violation of institutional policies.</w:t>
      </w:r>
    </w:p>
    <w:p>
      <w:pPr>
        <w:pStyle w:val="ListBullet"/>
        <w:spacing w:line="276" w:lineRule="auto"/>
        <w:ind w:left="510"/>
      </w:pPr>
      <w:r>
        <w:rPr>
          <w:rFonts w:ascii="Cambria" w:hAnsi="Cambria"/>
          <w:b w:val="0"/>
          <w:i w:val="0"/>
          <w:sz w:val="22"/>
        </w:rPr>
        <w:t>Safeguard the rights of employees and ensure decisions are based on natural justice and due process.</w:t>
      </w:r>
    </w:p>
    <w:p>
      <w:pPr>
        <w:pStyle w:val="ListBullet"/>
        <w:spacing w:line="276" w:lineRule="auto"/>
        <w:ind w:left="510"/>
      </w:pPr>
      <w:r>
        <w:rPr>
          <w:rFonts w:ascii="Cambria" w:hAnsi="Cambria"/>
          <w:b w:val="0"/>
          <w:i w:val="0"/>
          <w:sz w:val="22"/>
        </w:rPr>
        <w:t>Ensure compliance with NAAC, UGC, and labour law requirements on grievance handling and discipline management.</w:t>
      </w:r>
    </w:p>
    <w:p>
      <w:pPr>
        <w:keepNext/>
        <w:spacing w:before="200" w:after="120"/>
      </w:pPr>
      <w:r>
        <w:rPr>
          <w:rFonts w:ascii="Cambria" w:hAnsi="Cambria"/>
          <w:b/>
          <w:color w:val="1F3A5F"/>
          <w:sz w:val="24"/>
        </w:rPr>
        <w:t>II. Scope and Coverage</w:t>
      </w:r>
    </w:p>
    <w:p>
      <w:pPr>
        <w:pStyle w:val="ListBullet"/>
        <w:spacing w:line="276" w:lineRule="auto"/>
        <w:ind w:left="510"/>
      </w:pPr>
      <w:r>
        <w:rPr>
          <w:rFonts w:ascii="Cambria" w:hAnsi="Cambria"/>
          <w:b w:val="0"/>
          <w:i w:val="0"/>
          <w:sz w:val="22"/>
        </w:rPr>
        <w:t>Applicable to all categories of faculty, administrative, technical, and support staff (permanent, probationary, contractual, or part-time).</w:t>
      </w:r>
    </w:p>
    <w:p>
      <w:pPr>
        <w:pStyle w:val="ListBullet"/>
        <w:spacing w:line="276" w:lineRule="auto"/>
        <w:ind w:left="510"/>
      </w:pPr>
      <w:r>
        <w:rPr>
          <w:rFonts w:ascii="Cambria" w:hAnsi="Cambria"/>
          <w:b w:val="0"/>
          <w:i w:val="0"/>
          <w:sz w:val="22"/>
        </w:rPr>
        <w:t>Covers grievances related to:</w:t>
      </w:r>
    </w:p>
    <w:p>
      <w:pPr>
        <w:pStyle w:val="ListBullet2"/>
        <w:spacing w:line="276" w:lineRule="auto"/>
        <w:ind w:left="1020"/>
      </w:pPr>
      <w:r>
        <w:rPr>
          <w:rFonts w:ascii="Cambria" w:hAnsi="Cambria"/>
          <w:b w:val="0"/>
          <w:i w:val="0"/>
          <w:sz w:val="22"/>
        </w:rPr>
        <w:t>Working conditions, salary, leave, and welfare benefits.</w:t>
      </w:r>
    </w:p>
    <w:p>
      <w:pPr>
        <w:pStyle w:val="ListBullet2"/>
        <w:spacing w:line="276" w:lineRule="auto"/>
        <w:ind w:left="1020"/>
      </w:pPr>
      <w:r>
        <w:rPr>
          <w:rFonts w:ascii="Cambria" w:hAnsi="Cambria"/>
          <w:b w:val="0"/>
          <w:i w:val="0"/>
          <w:sz w:val="22"/>
        </w:rPr>
        <w:t>Service matters (promotion, appraisal, transfer, workload, etc.).</w:t>
      </w:r>
    </w:p>
    <w:p>
      <w:pPr>
        <w:pStyle w:val="ListBullet2"/>
        <w:spacing w:line="276" w:lineRule="auto"/>
        <w:ind w:left="1020"/>
      </w:pPr>
      <w:r>
        <w:rPr>
          <w:rFonts w:ascii="Cambria" w:hAnsi="Cambria"/>
          <w:b w:val="0"/>
          <w:i w:val="0"/>
          <w:sz w:val="22"/>
        </w:rPr>
        <w:t>Discrimination, harassment, or victimization.</w:t>
      </w:r>
    </w:p>
    <w:p>
      <w:pPr>
        <w:pStyle w:val="ListBullet2"/>
        <w:spacing w:line="276" w:lineRule="auto"/>
        <w:ind w:left="1020"/>
      </w:pPr>
      <w:r>
        <w:rPr>
          <w:rFonts w:ascii="Cambria" w:hAnsi="Cambria"/>
          <w:b w:val="0"/>
          <w:i w:val="0"/>
          <w:sz w:val="22"/>
        </w:rPr>
        <w:t>Misuse of authority, procedural delays, or lack of transparency.</w:t>
      </w:r>
    </w:p>
    <w:p>
      <w:pPr>
        <w:pStyle w:val="ListBullet2"/>
        <w:spacing w:line="276" w:lineRule="auto"/>
        <w:ind w:left="1020"/>
      </w:pPr>
      <w:r>
        <w:rPr>
          <w:rFonts w:ascii="Cambria" w:hAnsi="Cambria"/>
          <w:b w:val="0"/>
          <w:i w:val="0"/>
          <w:sz w:val="22"/>
        </w:rPr>
        <w:t>Workplace misconduct or policy violations.</w:t>
      </w:r>
    </w:p>
    <w:p>
      <w:pPr>
        <w:pStyle w:val="ListBullet"/>
        <w:spacing w:line="276" w:lineRule="auto"/>
        <w:ind w:left="510"/>
      </w:pPr>
      <w:r>
        <w:rPr>
          <w:rFonts w:ascii="Cambria" w:hAnsi="Cambria"/>
          <w:b w:val="0"/>
          <w:i w:val="0"/>
          <w:sz w:val="22"/>
        </w:rPr>
        <w:t>Excludes matters pending before a court or statutory authority.</w:t>
      </w:r>
    </w:p>
    <w:p>
      <w:pPr>
        <w:keepNext/>
        <w:spacing w:before="200" w:after="120"/>
      </w:pPr>
      <w:r>
        <w:rPr>
          <w:rFonts w:ascii="Cambria" w:hAnsi="Cambria"/>
          <w:b/>
          <w:color w:val="1F3A5F"/>
          <w:sz w:val="24"/>
        </w:rPr>
        <w:t>III. Types of Grievances</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Category</w:t>
            </w:r>
          </w:p>
        </w:tc>
        <w:tc>
          <w:tcPr>
            <w:tcW w:type="dxa" w:w="2948"/>
            <w:shd w:val="clear" w:color="auto" w:fill="1F3A5F"/>
          </w:tcPr>
          <w:p>
            <w:pPr>
              <w:spacing w:after="40" w:before="40"/>
            </w:pPr>
            <w:r/>
            <w:r>
              <w:rPr>
                <w:rFonts w:ascii="Cambria" w:hAnsi="Cambria"/>
                <w:b/>
                <w:i w:val="0"/>
                <w:color w:val="FFFFFF"/>
                <w:sz w:val="22"/>
              </w:rPr>
              <w:t>Nature of Grievance</w:t>
            </w:r>
          </w:p>
        </w:tc>
        <w:tc>
          <w:tcPr>
            <w:tcW w:type="dxa" w:w="4422"/>
            <w:shd w:val="clear" w:color="auto" w:fill="1F3A5F"/>
          </w:tcPr>
          <w:p>
            <w:pPr>
              <w:spacing w:after="40" w:before="40"/>
            </w:pPr>
            <w:r/>
            <w:r>
              <w:rPr>
                <w:rFonts w:ascii="Cambria" w:hAnsi="Cambria"/>
                <w:b/>
                <w:i w:val="0"/>
                <w:color w:val="FFFFFF"/>
                <w:sz w:val="22"/>
              </w:rPr>
              <w:t>Examples</w:t>
            </w:r>
          </w:p>
        </w:tc>
      </w:tr>
      <w:tr>
        <w:tc>
          <w:tcPr>
            <w:tcW w:type="dxa" w:w="2041"/>
          </w:tcPr>
          <w:p>
            <w:pPr>
              <w:spacing w:after="40" w:before="40"/>
            </w:pPr>
            <w:r/>
            <w:r>
              <w:rPr>
                <w:rFonts w:ascii="Cambria" w:hAnsi="Cambria"/>
                <w:b w:val="0"/>
                <w:i w:val="0"/>
                <w:sz w:val="22"/>
              </w:rPr>
              <w:t>Service-related</w:t>
            </w:r>
          </w:p>
        </w:tc>
        <w:tc>
          <w:tcPr>
            <w:tcW w:type="dxa" w:w="2948"/>
          </w:tcPr>
          <w:p>
            <w:pPr>
              <w:spacing w:after="40" w:before="40"/>
            </w:pPr>
            <w:r/>
            <w:r>
              <w:rPr>
                <w:rFonts w:ascii="Cambria" w:hAnsi="Cambria"/>
                <w:b w:val="0"/>
                <w:i w:val="0"/>
                <w:sz w:val="22"/>
              </w:rPr>
              <w:t>Administrative or HR issues</w:t>
            </w:r>
          </w:p>
        </w:tc>
        <w:tc>
          <w:tcPr>
            <w:tcW w:type="dxa" w:w="4422"/>
          </w:tcPr>
          <w:p>
            <w:pPr>
              <w:spacing w:after="40" w:before="40"/>
            </w:pPr>
            <w:r/>
            <w:r>
              <w:rPr>
                <w:rFonts w:ascii="Cambria" w:hAnsi="Cambria"/>
                <w:b w:val="0"/>
                <w:i w:val="0"/>
                <w:sz w:val="22"/>
              </w:rPr>
              <w:t>Pay anomalies, promotion delay, leave disputes</w:t>
            </w:r>
          </w:p>
        </w:tc>
      </w:tr>
      <w:tr>
        <w:tc>
          <w:tcPr>
            <w:tcW w:type="dxa" w:w="2041"/>
            <w:shd w:val="clear" w:color="auto" w:fill="F0F2F5"/>
          </w:tcPr>
          <w:p>
            <w:pPr>
              <w:spacing w:after="40" w:before="40"/>
            </w:pPr>
            <w:r/>
            <w:r>
              <w:rPr>
                <w:rFonts w:ascii="Cambria" w:hAnsi="Cambria"/>
                <w:b w:val="0"/>
                <w:i w:val="0"/>
                <w:sz w:val="22"/>
              </w:rPr>
              <w:t>Workplace-related</w:t>
            </w:r>
          </w:p>
        </w:tc>
        <w:tc>
          <w:tcPr>
            <w:tcW w:type="dxa" w:w="2948"/>
            <w:shd w:val="clear" w:color="auto" w:fill="F0F2F5"/>
          </w:tcPr>
          <w:p>
            <w:pPr>
              <w:spacing w:after="40" w:before="40"/>
            </w:pPr>
            <w:r/>
            <w:r>
              <w:rPr>
                <w:rFonts w:ascii="Cambria" w:hAnsi="Cambria"/>
                <w:b w:val="0"/>
                <w:i w:val="0"/>
                <w:sz w:val="22"/>
              </w:rPr>
              <w:t>Environment or safety issues</w:t>
            </w:r>
          </w:p>
        </w:tc>
        <w:tc>
          <w:tcPr>
            <w:tcW w:type="dxa" w:w="4422"/>
            <w:shd w:val="clear" w:color="auto" w:fill="F0F2F5"/>
          </w:tcPr>
          <w:p>
            <w:pPr>
              <w:spacing w:after="40" w:before="40"/>
            </w:pPr>
            <w:r/>
            <w:r>
              <w:rPr>
                <w:rFonts w:ascii="Cambria" w:hAnsi="Cambria"/>
                <w:b w:val="0"/>
                <w:i w:val="0"/>
                <w:sz w:val="22"/>
              </w:rPr>
              <w:t>Overwork, harassment, lack of resources</w:t>
            </w:r>
          </w:p>
        </w:tc>
      </w:tr>
      <w:tr>
        <w:tc>
          <w:tcPr>
            <w:tcW w:type="dxa" w:w="2041"/>
          </w:tcPr>
          <w:p>
            <w:pPr>
              <w:spacing w:after="40" w:before="40"/>
            </w:pPr>
            <w:r/>
            <w:r>
              <w:rPr>
                <w:rFonts w:ascii="Cambria" w:hAnsi="Cambria"/>
                <w:b w:val="0"/>
                <w:i w:val="0"/>
                <w:sz w:val="22"/>
              </w:rPr>
              <w:t>Academic-related</w:t>
            </w:r>
          </w:p>
        </w:tc>
        <w:tc>
          <w:tcPr>
            <w:tcW w:type="dxa" w:w="2948"/>
          </w:tcPr>
          <w:p>
            <w:pPr>
              <w:spacing w:after="40" w:before="40"/>
            </w:pPr>
            <w:r/>
            <w:r>
              <w:rPr>
                <w:rFonts w:ascii="Cambria" w:hAnsi="Cambria"/>
                <w:b w:val="0"/>
                <w:i w:val="0"/>
                <w:sz w:val="22"/>
              </w:rPr>
              <w:t>Teaching or research issues</w:t>
            </w:r>
          </w:p>
        </w:tc>
        <w:tc>
          <w:tcPr>
            <w:tcW w:type="dxa" w:w="4422"/>
          </w:tcPr>
          <w:p>
            <w:pPr>
              <w:spacing w:after="40" w:before="40"/>
            </w:pPr>
            <w:r/>
            <w:r>
              <w:rPr>
                <w:rFonts w:ascii="Cambria" w:hAnsi="Cambria"/>
                <w:b w:val="0"/>
                <w:i w:val="0"/>
                <w:sz w:val="22"/>
              </w:rPr>
              <w:t>Workload imbalance, recognition disputes</w:t>
            </w:r>
          </w:p>
        </w:tc>
      </w:tr>
      <w:tr>
        <w:tc>
          <w:tcPr>
            <w:tcW w:type="dxa" w:w="2041"/>
            <w:shd w:val="clear" w:color="auto" w:fill="F0F2F5"/>
          </w:tcPr>
          <w:p>
            <w:pPr>
              <w:spacing w:after="40" w:before="40"/>
            </w:pPr>
            <w:r/>
            <w:r>
              <w:rPr>
                <w:rFonts w:ascii="Cambria" w:hAnsi="Cambria"/>
                <w:b w:val="0"/>
                <w:i w:val="0"/>
                <w:sz w:val="22"/>
              </w:rPr>
              <w:t>Interpersonal / Behavioral</w:t>
            </w:r>
          </w:p>
        </w:tc>
        <w:tc>
          <w:tcPr>
            <w:tcW w:type="dxa" w:w="2948"/>
            <w:shd w:val="clear" w:color="auto" w:fill="F0F2F5"/>
          </w:tcPr>
          <w:p>
            <w:pPr>
              <w:spacing w:after="40" w:before="40"/>
            </w:pPr>
            <w:r/>
            <w:r>
              <w:rPr>
                <w:rFonts w:ascii="Cambria" w:hAnsi="Cambria"/>
                <w:b w:val="0"/>
                <w:i w:val="0"/>
                <w:sz w:val="22"/>
              </w:rPr>
              <w:t>Misconduct or discrimination</w:t>
            </w:r>
          </w:p>
        </w:tc>
        <w:tc>
          <w:tcPr>
            <w:tcW w:type="dxa" w:w="4422"/>
            <w:shd w:val="clear" w:color="auto" w:fill="F0F2F5"/>
          </w:tcPr>
          <w:p>
            <w:pPr>
              <w:spacing w:after="40" w:before="40"/>
            </w:pPr>
            <w:r/>
            <w:r>
              <w:rPr>
                <w:rFonts w:ascii="Cambria" w:hAnsi="Cambria"/>
                <w:b w:val="0"/>
                <w:i w:val="0"/>
                <w:sz w:val="22"/>
              </w:rPr>
              <w:t>Verbal abuse, bias, victimization</w:t>
            </w:r>
          </w:p>
        </w:tc>
      </w:tr>
      <w:tr>
        <w:tc>
          <w:tcPr>
            <w:tcW w:type="dxa" w:w="2041"/>
          </w:tcPr>
          <w:p>
            <w:pPr>
              <w:spacing w:after="40" w:before="40"/>
            </w:pPr>
            <w:r/>
            <w:r>
              <w:rPr>
                <w:rFonts w:ascii="Cambria" w:hAnsi="Cambria"/>
                <w:b w:val="0"/>
                <w:i w:val="0"/>
                <w:sz w:val="22"/>
              </w:rPr>
              <w:t>Policy-related</w:t>
            </w:r>
          </w:p>
        </w:tc>
        <w:tc>
          <w:tcPr>
            <w:tcW w:type="dxa" w:w="2948"/>
          </w:tcPr>
          <w:p>
            <w:pPr>
              <w:spacing w:after="40" w:before="40"/>
            </w:pPr>
            <w:r/>
            <w:r>
              <w:rPr>
                <w:rFonts w:ascii="Cambria" w:hAnsi="Cambria"/>
                <w:b w:val="0"/>
                <w:i w:val="0"/>
                <w:sz w:val="22"/>
              </w:rPr>
              <w:t>Violation of rules or unfair procedures</w:t>
            </w:r>
          </w:p>
        </w:tc>
        <w:tc>
          <w:tcPr>
            <w:tcW w:type="dxa" w:w="4422"/>
          </w:tcPr>
          <w:p>
            <w:pPr>
              <w:spacing w:after="40" w:before="40"/>
            </w:pPr>
            <w:r/>
            <w:r>
              <w:rPr>
                <w:rFonts w:ascii="Cambria" w:hAnsi="Cambria"/>
                <w:b w:val="0"/>
                <w:i w:val="0"/>
                <w:sz w:val="22"/>
              </w:rPr>
              <w:t>Non-compliance with institutional policy</w:t>
            </w:r>
          </w:p>
        </w:tc>
      </w:tr>
    </w:tbl>
    <w:p>
      <w:pPr>
        <w:spacing w:after="40"/>
      </w:pPr>
    </w:p>
    <w:p>
      <w:pPr>
        <w:keepNext/>
        <w:spacing w:before="200" w:after="120"/>
      </w:pPr>
      <w:r>
        <w:rPr>
          <w:rFonts w:ascii="Cambria" w:hAnsi="Cambria"/>
          <w:b/>
          <w:color w:val="1F3A5F"/>
          <w:sz w:val="24"/>
        </w:rPr>
        <w:t>IV. Grievance Redressal Mechanism</w:t>
      </w:r>
    </w:p>
    <w:p>
      <w:pPr>
        <w:keepNext/>
        <w:spacing w:before="200" w:after="120"/>
      </w:pPr>
      <w:r>
        <w:rPr>
          <w:rFonts w:ascii="Cambria" w:hAnsi="Cambria"/>
          <w:b/>
          <w:color w:val="1F3A5F"/>
          <w:sz w:val="24"/>
        </w:rPr>
        <w:t>1. Hierarchical Framework</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134"/>
            <w:shd w:val="clear" w:color="auto" w:fill="1F3A5F"/>
          </w:tcPr>
          <w:p>
            <w:pPr>
              <w:spacing w:after="40" w:before="40"/>
            </w:pPr>
            <w:r/>
            <w:r>
              <w:rPr>
                <w:rFonts w:ascii="Cambria" w:hAnsi="Cambria"/>
                <w:b/>
                <w:i w:val="0"/>
                <w:color w:val="FFFFFF"/>
                <w:sz w:val="22"/>
              </w:rPr>
              <w:t>Level</w:t>
            </w:r>
          </w:p>
        </w:tc>
        <w:tc>
          <w:tcPr>
            <w:tcW w:type="dxa" w:w="3061"/>
            <w:shd w:val="clear" w:color="auto" w:fill="1F3A5F"/>
          </w:tcPr>
          <w:p>
            <w:pPr>
              <w:spacing w:after="40" w:before="40"/>
            </w:pPr>
            <w:r/>
            <w:r>
              <w:rPr>
                <w:rFonts w:ascii="Cambria" w:hAnsi="Cambria"/>
                <w:b/>
                <w:i w:val="0"/>
                <w:color w:val="FFFFFF"/>
                <w:sz w:val="22"/>
              </w:rPr>
              <w:t>Authority / Committee</w:t>
            </w:r>
          </w:p>
        </w:tc>
        <w:tc>
          <w:tcPr>
            <w:tcW w:type="dxa" w:w="2835"/>
            <w:shd w:val="clear" w:color="auto" w:fill="1F3A5F"/>
          </w:tcPr>
          <w:p>
            <w:pPr>
              <w:spacing w:after="40" w:before="40"/>
            </w:pPr>
            <w:r/>
            <w:r>
              <w:rPr>
                <w:rFonts w:ascii="Cambria" w:hAnsi="Cambria"/>
                <w:b/>
                <w:i w:val="0"/>
                <w:color w:val="FFFFFF"/>
                <w:sz w:val="22"/>
              </w:rPr>
              <w:t>Scope</w:t>
            </w:r>
          </w:p>
        </w:tc>
        <w:tc>
          <w:tcPr>
            <w:tcW w:type="dxa" w:w="2381"/>
            <w:shd w:val="clear" w:color="auto" w:fill="1F3A5F"/>
          </w:tcPr>
          <w:p>
            <w:pPr>
              <w:spacing w:after="40" w:before="40"/>
            </w:pPr>
            <w:r/>
            <w:r>
              <w:rPr>
                <w:rFonts w:ascii="Cambria" w:hAnsi="Cambria"/>
                <w:b/>
                <w:i w:val="0"/>
                <w:color w:val="FFFFFF"/>
                <w:sz w:val="22"/>
              </w:rPr>
              <w:t>Timeline for Resolution</w:t>
            </w:r>
          </w:p>
        </w:tc>
      </w:tr>
      <w:tr>
        <w:tc>
          <w:tcPr>
            <w:tcW w:type="dxa" w:w="1134"/>
          </w:tcPr>
          <w:p>
            <w:pPr>
              <w:spacing w:after="40" w:before="40"/>
            </w:pPr>
            <w:r/>
            <w:r>
              <w:rPr>
                <w:rFonts w:ascii="Cambria" w:hAnsi="Cambria"/>
                <w:b w:val="0"/>
                <w:i w:val="0"/>
                <w:sz w:val="22"/>
              </w:rPr>
              <w:t>Level 1</w:t>
            </w:r>
          </w:p>
        </w:tc>
        <w:tc>
          <w:tcPr>
            <w:tcW w:type="dxa" w:w="3061"/>
          </w:tcPr>
          <w:p>
            <w:pPr>
              <w:spacing w:after="40" w:before="40"/>
            </w:pPr>
            <w:r/>
            <w:r>
              <w:rPr>
                <w:rFonts w:ascii="Cambria" w:hAnsi="Cambria"/>
                <w:b w:val="0"/>
                <w:i w:val="0"/>
                <w:sz w:val="22"/>
              </w:rPr>
              <w:t>Immediate Supervisor / HoD</w:t>
            </w:r>
          </w:p>
        </w:tc>
        <w:tc>
          <w:tcPr>
            <w:tcW w:type="dxa" w:w="2835"/>
          </w:tcPr>
          <w:p>
            <w:pPr>
              <w:spacing w:after="40" w:before="40"/>
            </w:pPr>
            <w:r/>
            <w:r>
              <w:rPr>
                <w:rFonts w:ascii="Cambria" w:hAnsi="Cambria"/>
                <w:b w:val="0"/>
                <w:i w:val="0"/>
                <w:sz w:val="22"/>
              </w:rPr>
              <w:t>Informal grievance resolution</w:t>
            </w:r>
          </w:p>
        </w:tc>
        <w:tc>
          <w:tcPr>
            <w:tcW w:type="dxa" w:w="2381"/>
          </w:tcPr>
          <w:p>
            <w:pPr>
              <w:spacing w:after="40" w:before="40"/>
            </w:pPr>
            <w:r/>
            <w:r>
              <w:rPr>
                <w:rFonts w:ascii="Cambria" w:hAnsi="Cambria"/>
                <w:b w:val="0"/>
                <w:i w:val="0"/>
                <w:sz w:val="22"/>
              </w:rPr>
              <w:t>Within 7 working days</w:t>
            </w:r>
          </w:p>
        </w:tc>
      </w:tr>
      <w:tr>
        <w:tc>
          <w:tcPr>
            <w:tcW w:type="dxa" w:w="1134"/>
            <w:shd w:val="clear" w:color="auto" w:fill="F0F2F5"/>
          </w:tcPr>
          <w:p>
            <w:pPr>
              <w:spacing w:after="40" w:before="40"/>
            </w:pPr>
            <w:r/>
            <w:r>
              <w:rPr>
                <w:rFonts w:ascii="Cambria" w:hAnsi="Cambria"/>
                <w:b w:val="0"/>
                <w:i w:val="0"/>
                <w:sz w:val="22"/>
              </w:rPr>
              <w:t>Level 2</w:t>
            </w:r>
          </w:p>
        </w:tc>
        <w:tc>
          <w:tcPr>
            <w:tcW w:type="dxa" w:w="3061"/>
            <w:shd w:val="clear" w:color="auto" w:fill="F0F2F5"/>
          </w:tcPr>
          <w:p>
            <w:pPr>
              <w:spacing w:after="40" w:before="40"/>
            </w:pPr>
            <w:r/>
            <w:r>
              <w:rPr>
                <w:rFonts w:ascii="Cambria" w:hAnsi="Cambria"/>
                <w:b w:val="0"/>
                <w:i w:val="0"/>
                <w:sz w:val="22"/>
              </w:rPr>
              <w:t>Institutional Grievance Redressal Committee (IGRC)</w:t>
            </w:r>
          </w:p>
        </w:tc>
        <w:tc>
          <w:tcPr>
            <w:tcW w:type="dxa" w:w="2835"/>
            <w:shd w:val="clear" w:color="auto" w:fill="F0F2F5"/>
          </w:tcPr>
          <w:p>
            <w:pPr>
              <w:spacing w:after="40" w:before="40"/>
            </w:pPr>
            <w:r/>
            <w:r>
              <w:rPr>
                <w:rFonts w:ascii="Cambria" w:hAnsi="Cambria"/>
                <w:b w:val="0"/>
                <w:i w:val="0"/>
                <w:sz w:val="22"/>
              </w:rPr>
              <w:t>Formal grievance submission and hearing</w:t>
            </w:r>
          </w:p>
        </w:tc>
        <w:tc>
          <w:tcPr>
            <w:tcW w:type="dxa" w:w="2381"/>
            <w:shd w:val="clear" w:color="auto" w:fill="F0F2F5"/>
          </w:tcPr>
          <w:p>
            <w:pPr>
              <w:spacing w:after="40" w:before="40"/>
            </w:pPr>
            <w:r/>
            <w:r>
              <w:rPr>
                <w:rFonts w:ascii="Cambria" w:hAnsi="Cambria"/>
                <w:b w:val="0"/>
                <w:i w:val="0"/>
                <w:sz w:val="22"/>
              </w:rPr>
              <w:t>Within 30 working days</w:t>
            </w:r>
          </w:p>
        </w:tc>
      </w:tr>
      <w:tr>
        <w:tc>
          <w:tcPr>
            <w:tcW w:type="dxa" w:w="1134"/>
          </w:tcPr>
          <w:p>
            <w:pPr>
              <w:spacing w:after="40" w:before="40"/>
            </w:pPr>
            <w:r/>
            <w:r>
              <w:rPr>
                <w:rFonts w:ascii="Cambria" w:hAnsi="Cambria"/>
                <w:b w:val="0"/>
                <w:i w:val="0"/>
                <w:sz w:val="22"/>
              </w:rPr>
              <w:t>Level 3</w:t>
            </w:r>
          </w:p>
        </w:tc>
        <w:tc>
          <w:tcPr>
            <w:tcW w:type="dxa" w:w="3061"/>
          </w:tcPr>
          <w:p>
            <w:pPr>
              <w:spacing w:after="40" w:before="40"/>
            </w:pPr>
            <w:r/>
            <w:r>
              <w:rPr>
                <w:rFonts w:ascii="Cambria" w:hAnsi="Cambria"/>
                <w:b w:val="0"/>
                <w:i w:val="0"/>
                <w:sz w:val="22"/>
              </w:rPr>
              <w:t>University Grievance Redressal Committee (UGRC)</w:t>
            </w:r>
          </w:p>
        </w:tc>
        <w:tc>
          <w:tcPr>
            <w:tcW w:type="dxa" w:w="2835"/>
          </w:tcPr>
          <w:p>
            <w:pPr>
              <w:spacing w:after="40" w:before="40"/>
            </w:pPr>
            <w:r/>
            <w:r>
              <w:rPr>
                <w:rFonts w:ascii="Cambria" w:hAnsi="Cambria"/>
                <w:b w:val="0"/>
                <w:i w:val="0"/>
                <w:sz w:val="22"/>
              </w:rPr>
              <w:t>Appeal or unresolved cases</w:t>
            </w:r>
          </w:p>
        </w:tc>
        <w:tc>
          <w:tcPr>
            <w:tcW w:type="dxa" w:w="2381"/>
          </w:tcPr>
          <w:p>
            <w:pPr>
              <w:spacing w:after="40" w:before="40"/>
            </w:pPr>
            <w:r/>
            <w:r>
              <w:rPr>
                <w:rFonts w:ascii="Cambria" w:hAnsi="Cambria"/>
                <w:b w:val="0"/>
                <w:i w:val="0"/>
                <w:sz w:val="22"/>
              </w:rPr>
              <w:t>Within 45 working days</w:t>
            </w:r>
          </w:p>
        </w:tc>
      </w:tr>
      <w:tr>
        <w:tc>
          <w:tcPr>
            <w:tcW w:type="dxa" w:w="1134"/>
            <w:shd w:val="clear" w:color="auto" w:fill="F0F2F5"/>
          </w:tcPr>
          <w:p>
            <w:pPr>
              <w:spacing w:after="40" w:before="40"/>
            </w:pPr>
            <w:r/>
            <w:r>
              <w:rPr>
                <w:rFonts w:ascii="Cambria" w:hAnsi="Cambria"/>
                <w:b w:val="0"/>
                <w:i w:val="0"/>
                <w:sz w:val="22"/>
              </w:rPr>
              <w:t>Level 4</w:t>
            </w:r>
          </w:p>
        </w:tc>
        <w:tc>
          <w:tcPr>
            <w:tcW w:type="dxa" w:w="3061"/>
            <w:shd w:val="clear" w:color="auto" w:fill="F0F2F5"/>
          </w:tcPr>
          <w:p>
            <w:pPr>
              <w:spacing w:after="40" w:before="40"/>
            </w:pPr>
            <w:r/>
            <w:r>
              <w:rPr>
                <w:rFonts w:ascii="Cambria" w:hAnsi="Cambria"/>
                <w:b w:val="0"/>
                <w:i w:val="0"/>
                <w:sz w:val="22"/>
              </w:rPr>
              <w:t>Board of Management (BoM)</w:t>
            </w:r>
          </w:p>
        </w:tc>
        <w:tc>
          <w:tcPr>
            <w:tcW w:type="dxa" w:w="2835"/>
            <w:shd w:val="clear" w:color="auto" w:fill="F0F2F5"/>
          </w:tcPr>
          <w:p>
            <w:pPr>
              <w:spacing w:after="40" w:before="40"/>
            </w:pPr>
            <w:r/>
            <w:r>
              <w:rPr>
                <w:rFonts w:ascii="Cambria" w:hAnsi="Cambria"/>
                <w:b w:val="0"/>
                <w:i w:val="0"/>
                <w:sz w:val="22"/>
              </w:rPr>
              <w:t>Final review and decision</w:t>
            </w:r>
          </w:p>
        </w:tc>
        <w:tc>
          <w:tcPr>
            <w:tcW w:type="dxa" w:w="2381"/>
            <w:shd w:val="clear" w:color="auto" w:fill="F0F2F5"/>
          </w:tcPr>
          <w:p>
            <w:pPr>
              <w:spacing w:after="40" w:before="40"/>
            </w:pPr>
            <w:r/>
            <w:r>
              <w:rPr>
                <w:rFonts w:ascii="Cambria" w:hAnsi="Cambria"/>
                <w:b w:val="0"/>
                <w:i w:val="0"/>
                <w:sz w:val="22"/>
              </w:rPr>
              <w:t>Within 60 working days</w:t>
            </w:r>
          </w:p>
        </w:tc>
      </w:tr>
    </w:tbl>
    <w:p>
      <w:pPr>
        <w:spacing w:after="40"/>
      </w:pPr>
    </w:p>
    <w:p>
      <w:pPr>
        <w:keepNext/>
        <w:spacing w:before="200" w:after="120"/>
      </w:pPr>
      <w:r>
        <w:rPr>
          <w:rFonts w:ascii="Cambria" w:hAnsi="Cambria"/>
          <w:b/>
          <w:color w:val="1F3A5F"/>
          <w:sz w:val="24"/>
        </w:rPr>
        <w:t>2. Composition of Institutional Grievance Redressal Committee (IGRC)</w:t>
      </w:r>
    </w:p>
    <w:tbl>
      <w:tblPr>
        <w:tblStyle w:val="TableGrid"/>
        <w:tblW w:type="auto" w:w="0"/>
        <w:jc w:val="center"/>
        <w:tblLook w:firstColumn="1" w:firstRow="1" w:lastColumn="0" w:lastRow="0" w:noHBand="0" w:noVBand="1" w:val="04A0"/>
        <w:tblLayout w:type="fixed"/>
      </w:tblPr>
      <w:tblGrid>
        <w:gridCol w:w="4706"/>
        <w:gridCol w:w="4706"/>
      </w:tblGrid>
      <w:tr>
        <w:tc>
          <w:tcPr>
            <w:tcW w:type="dxa" w:w="4649"/>
            <w:shd w:val="clear" w:color="auto" w:fill="1F3A5F"/>
          </w:tcPr>
          <w:p>
            <w:pPr>
              <w:spacing w:after="40" w:before="40"/>
            </w:pPr>
            <w:r/>
            <w:r>
              <w:rPr>
                <w:rFonts w:ascii="Cambria" w:hAnsi="Cambria"/>
                <w:b/>
                <w:i w:val="0"/>
                <w:color w:val="FFFFFF"/>
                <w:sz w:val="22"/>
              </w:rPr>
              <w:t>Member</w:t>
            </w:r>
          </w:p>
        </w:tc>
        <w:tc>
          <w:tcPr>
            <w:tcW w:type="dxa" w:w="4762"/>
            <w:shd w:val="clear" w:color="auto" w:fill="1F3A5F"/>
          </w:tcPr>
          <w:p>
            <w:pPr>
              <w:spacing w:after="40" w:before="40"/>
            </w:pPr>
            <w:r/>
            <w:r>
              <w:rPr>
                <w:rFonts w:ascii="Cambria" w:hAnsi="Cambria"/>
                <w:b/>
                <w:i w:val="0"/>
                <w:color w:val="FFFFFF"/>
                <w:sz w:val="22"/>
              </w:rPr>
              <w:t>Designation</w:t>
            </w:r>
          </w:p>
        </w:tc>
      </w:tr>
      <w:tr>
        <w:tc>
          <w:tcPr>
            <w:tcW w:type="dxa" w:w="4649"/>
          </w:tcPr>
          <w:p>
            <w:pPr>
              <w:spacing w:after="40" w:before="40"/>
            </w:pPr>
            <w:r/>
            <w:r>
              <w:rPr>
                <w:rFonts w:ascii="Cambria" w:hAnsi="Cambria"/>
                <w:b w:val="0"/>
                <w:i w:val="0"/>
                <w:sz w:val="22"/>
              </w:rPr>
              <w:t>Dean (Administration)</w:t>
            </w:r>
          </w:p>
        </w:tc>
        <w:tc>
          <w:tcPr>
            <w:tcW w:type="dxa" w:w="4762"/>
          </w:tcPr>
          <w:p>
            <w:pPr>
              <w:spacing w:after="40" w:before="40"/>
            </w:pPr>
            <w:r/>
            <w:r>
              <w:rPr>
                <w:rFonts w:ascii="Cambria" w:hAnsi="Cambria"/>
                <w:b w:val="0"/>
                <w:i w:val="0"/>
                <w:sz w:val="22"/>
              </w:rPr>
              <w:t>Chairperson</w:t>
            </w:r>
          </w:p>
        </w:tc>
      </w:tr>
      <w:tr>
        <w:tc>
          <w:tcPr>
            <w:tcW w:type="dxa" w:w="4649"/>
            <w:shd w:val="clear" w:color="auto" w:fill="F0F2F5"/>
          </w:tcPr>
          <w:p>
            <w:pPr>
              <w:spacing w:after="40" w:before="40"/>
            </w:pPr>
            <w:r/>
            <w:r>
              <w:rPr>
                <w:rFonts w:ascii="Cambria" w:hAnsi="Cambria"/>
                <w:b w:val="0"/>
                <w:i w:val="0"/>
                <w:sz w:val="22"/>
              </w:rPr>
              <w:t>Registrar / HR Manager</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One Senior Faculty (Nominee of VC)</w:t>
            </w:r>
          </w:p>
        </w:tc>
        <w:tc>
          <w:tcPr>
            <w:tcW w:type="dxa" w:w="4762"/>
          </w:tcPr>
          <w:p>
            <w:pPr>
              <w:spacing w:after="40" w:before="40"/>
            </w:pPr>
            <w:r/>
            <w:r>
              <w:rPr>
                <w:rFonts w:ascii="Cambria" w:hAnsi="Cambria"/>
                <w:b w:val="0"/>
                <w:i w:val="0"/>
                <w:sz w:val="22"/>
              </w:rPr>
              <w:t>Member</w:t>
            </w:r>
          </w:p>
        </w:tc>
      </w:tr>
      <w:tr>
        <w:tc>
          <w:tcPr>
            <w:tcW w:type="dxa" w:w="4649"/>
            <w:shd w:val="clear" w:color="auto" w:fill="F0F2F5"/>
          </w:tcPr>
          <w:p>
            <w:pPr>
              <w:spacing w:after="40" w:before="40"/>
            </w:pPr>
            <w:r/>
            <w:r>
              <w:rPr>
                <w:rFonts w:ascii="Cambria" w:hAnsi="Cambria"/>
                <w:b w:val="0"/>
                <w:i w:val="0"/>
                <w:sz w:val="22"/>
              </w:rPr>
              <w:t>One Non-teaching Representative</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Legal Officer / External Expert</w:t>
            </w:r>
          </w:p>
        </w:tc>
        <w:tc>
          <w:tcPr>
            <w:tcW w:type="dxa" w:w="4762"/>
          </w:tcPr>
          <w:p>
            <w:pPr>
              <w:spacing w:after="40" w:before="40"/>
            </w:pPr>
            <w:r/>
            <w:r>
              <w:rPr>
                <w:rFonts w:ascii="Cambria" w:hAnsi="Cambria"/>
                <w:b w:val="0"/>
                <w:i w:val="0"/>
                <w:sz w:val="22"/>
              </w:rPr>
              <w:t>Co-opted Member</w:t>
            </w:r>
          </w:p>
        </w:tc>
      </w:tr>
      <w:tr>
        <w:tc>
          <w:tcPr>
            <w:tcW w:type="dxa" w:w="4649"/>
            <w:shd w:val="clear" w:color="auto" w:fill="F0F2F5"/>
          </w:tcPr>
          <w:p>
            <w:pPr>
              <w:spacing w:after="40" w:before="40"/>
            </w:pPr>
            <w:r/>
            <w:r>
              <w:rPr>
                <w:rFonts w:ascii="Cambria" w:hAnsi="Cambria"/>
                <w:b w:val="0"/>
                <w:i w:val="0"/>
                <w:sz w:val="22"/>
              </w:rPr>
              <w:t>HR Officer</w:t>
            </w:r>
          </w:p>
        </w:tc>
        <w:tc>
          <w:tcPr>
            <w:tcW w:type="dxa" w:w="4762"/>
            <w:shd w:val="clear" w:color="auto" w:fill="F0F2F5"/>
          </w:tcPr>
          <w:p>
            <w:pPr>
              <w:spacing w:after="40" w:before="40"/>
            </w:pPr>
            <w:r/>
            <w:r>
              <w:rPr>
                <w:rFonts w:ascii="Cambria" w:hAnsi="Cambria"/>
                <w:b w:val="0"/>
                <w:i w:val="0"/>
                <w:sz w:val="22"/>
              </w:rPr>
              <w:t>Member Secretary</w:t>
            </w:r>
          </w:p>
        </w:tc>
      </w:tr>
    </w:tbl>
    <w:p>
      <w:pPr>
        <w:spacing w:after="40"/>
      </w:pPr>
    </w:p>
    <w:p>
      <w:pPr>
        <w:pStyle w:val="ListBullet"/>
        <w:spacing w:line="276" w:lineRule="auto"/>
        <w:ind w:left="510"/>
      </w:pPr>
      <w:r>
        <w:rPr>
          <w:rFonts w:ascii="Cambria" w:hAnsi="Cambria"/>
          <w:b w:val="0"/>
          <w:i w:val="0"/>
          <w:sz w:val="22"/>
        </w:rPr>
        <w:t>The IGRC shall ensure confidentiality, impartiality, and documentation in all proceedings.</w:t>
      </w:r>
    </w:p>
    <w:p>
      <w:pPr>
        <w:keepNext/>
        <w:spacing w:before="200" w:after="120"/>
      </w:pPr>
      <w:r>
        <w:rPr>
          <w:rFonts w:ascii="Cambria" w:hAnsi="Cambria"/>
          <w:b/>
          <w:color w:val="1F3A5F"/>
          <w:sz w:val="24"/>
        </w:rPr>
        <w:t>3. Procedure for Filing Grievance</w:t>
      </w:r>
    </w:p>
    <w:p>
      <w:pPr>
        <w:spacing w:line="276" w:lineRule="auto"/>
        <w:ind w:left="357" w:hanging="357"/>
      </w:pPr>
      <w:r>
        <w:rPr>
          <w:rFonts w:ascii="Cambria" w:hAnsi="Cambria"/>
          <w:b w:val="0"/>
          <w:i w:val="0"/>
          <w:sz w:val="22"/>
        </w:rPr>
        <w:t xml:space="preserve">1. </w:t>
      </w:r>
      <w:r>
        <w:rPr>
          <w:rFonts w:ascii="Cambria" w:hAnsi="Cambria"/>
          <w:b w:val="0"/>
          <w:i w:val="0"/>
          <w:sz w:val="22"/>
        </w:rPr>
        <w:t>Submission:</w:t>
      </w:r>
    </w:p>
    <w:p>
      <w:pPr>
        <w:pStyle w:val="ListBullet2"/>
        <w:spacing w:line="276" w:lineRule="auto"/>
        <w:ind w:left="1020"/>
      </w:pPr>
      <w:r>
        <w:rPr>
          <w:rFonts w:ascii="Cambria" w:hAnsi="Cambria"/>
          <w:b w:val="0"/>
          <w:i w:val="0"/>
          <w:sz w:val="22"/>
        </w:rPr>
        <w:t>Grievance must be submitted in writing through email or prescribed Grievance Form (Form–GR–01).</w:t>
      </w:r>
    </w:p>
    <w:p>
      <w:pPr>
        <w:pStyle w:val="ListBullet2"/>
        <w:spacing w:line="276" w:lineRule="auto"/>
        <w:ind w:left="1020"/>
      </w:pPr>
      <w:r>
        <w:rPr>
          <w:rFonts w:ascii="Cambria" w:hAnsi="Cambria"/>
          <w:b w:val="0"/>
          <w:i w:val="0"/>
          <w:sz w:val="22"/>
        </w:rPr>
        <w:t>It must include clear details of the complaint, evidence, and relief sought.</w:t>
      </w:r>
    </w:p>
    <w:p>
      <w:pPr>
        <w:spacing w:line="276" w:lineRule="auto"/>
        <w:ind w:left="357" w:hanging="357"/>
      </w:pPr>
      <w:r>
        <w:rPr>
          <w:rFonts w:ascii="Cambria" w:hAnsi="Cambria"/>
          <w:b w:val="0"/>
          <w:i w:val="0"/>
          <w:sz w:val="22"/>
        </w:rPr>
        <w:t xml:space="preserve">2. </w:t>
      </w:r>
      <w:r>
        <w:rPr>
          <w:rFonts w:ascii="Cambria" w:hAnsi="Cambria"/>
          <w:b w:val="0"/>
          <w:i w:val="0"/>
          <w:sz w:val="22"/>
        </w:rPr>
        <w:t>Acknowledgment:</w:t>
      </w:r>
    </w:p>
    <w:p>
      <w:pPr>
        <w:pStyle w:val="ListBullet2"/>
        <w:spacing w:line="276" w:lineRule="auto"/>
        <w:ind w:left="1020"/>
      </w:pPr>
      <w:r>
        <w:rPr>
          <w:rFonts w:ascii="Cambria" w:hAnsi="Cambria"/>
          <w:b w:val="0"/>
          <w:i w:val="0"/>
          <w:sz w:val="22"/>
        </w:rPr>
        <w:t>HR Cell acknowledges receipt within 3 working days.</w:t>
      </w:r>
    </w:p>
    <w:p>
      <w:pPr>
        <w:spacing w:line="276" w:lineRule="auto"/>
        <w:ind w:left="357" w:hanging="357"/>
      </w:pPr>
      <w:r>
        <w:rPr>
          <w:rFonts w:ascii="Cambria" w:hAnsi="Cambria"/>
          <w:b w:val="0"/>
          <w:i w:val="0"/>
          <w:sz w:val="22"/>
        </w:rPr>
        <w:t xml:space="preserve">3. </w:t>
      </w:r>
      <w:r>
        <w:rPr>
          <w:rFonts w:ascii="Cambria" w:hAnsi="Cambria"/>
          <w:b w:val="0"/>
          <w:i w:val="0"/>
          <w:sz w:val="22"/>
        </w:rPr>
        <w:t>Investigation:</w:t>
      </w:r>
    </w:p>
    <w:p>
      <w:pPr>
        <w:pStyle w:val="ListBullet2"/>
        <w:spacing w:line="276" w:lineRule="auto"/>
        <w:ind w:left="1020"/>
      </w:pPr>
      <w:r>
        <w:rPr>
          <w:rFonts w:ascii="Cambria" w:hAnsi="Cambria"/>
          <w:b w:val="0"/>
          <w:i w:val="0"/>
          <w:sz w:val="22"/>
        </w:rPr>
        <w:t>Committee conducts fact-finding, interviews, and document review.</w:t>
      </w:r>
    </w:p>
    <w:p>
      <w:pPr>
        <w:spacing w:line="276" w:lineRule="auto"/>
        <w:ind w:left="357" w:hanging="357"/>
      </w:pPr>
      <w:r>
        <w:rPr>
          <w:rFonts w:ascii="Cambria" w:hAnsi="Cambria"/>
          <w:b w:val="0"/>
          <w:i w:val="0"/>
          <w:sz w:val="22"/>
        </w:rPr>
        <w:t xml:space="preserve">4. </w:t>
      </w:r>
      <w:r>
        <w:rPr>
          <w:rFonts w:ascii="Cambria" w:hAnsi="Cambria"/>
          <w:b w:val="0"/>
          <w:i w:val="0"/>
          <w:sz w:val="22"/>
        </w:rPr>
        <w:t>Resolution &amp; Communication:</w:t>
      </w:r>
    </w:p>
    <w:p>
      <w:pPr>
        <w:pStyle w:val="ListBullet2"/>
        <w:spacing w:line="276" w:lineRule="auto"/>
        <w:ind w:left="1020"/>
      </w:pPr>
      <w:r>
        <w:rPr>
          <w:rFonts w:ascii="Cambria" w:hAnsi="Cambria"/>
          <w:b w:val="0"/>
          <w:i w:val="0"/>
          <w:sz w:val="22"/>
        </w:rPr>
        <w:t>Decision communicated to the complainant within the prescribed time frame.</w:t>
      </w:r>
    </w:p>
    <w:p>
      <w:pPr>
        <w:spacing w:line="276" w:lineRule="auto"/>
        <w:ind w:left="357" w:hanging="357"/>
      </w:pPr>
      <w:r>
        <w:rPr>
          <w:rFonts w:ascii="Cambria" w:hAnsi="Cambria"/>
          <w:b w:val="0"/>
          <w:i w:val="0"/>
          <w:sz w:val="22"/>
        </w:rPr>
        <w:t xml:space="preserve">5. </w:t>
      </w:r>
      <w:r>
        <w:rPr>
          <w:rFonts w:ascii="Cambria" w:hAnsi="Cambria"/>
          <w:b w:val="0"/>
          <w:i w:val="0"/>
          <w:sz w:val="22"/>
        </w:rPr>
        <w:t>Appeal:</w:t>
      </w:r>
    </w:p>
    <w:p>
      <w:pPr>
        <w:pStyle w:val="ListBullet2"/>
        <w:spacing w:line="276" w:lineRule="auto"/>
        <w:ind w:left="1020"/>
      </w:pPr>
      <w:r>
        <w:rPr>
          <w:rFonts w:ascii="Cambria" w:hAnsi="Cambria"/>
          <w:b w:val="0"/>
          <w:i w:val="0"/>
          <w:sz w:val="22"/>
        </w:rPr>
        <w:t>Dissatisfied complainants may appeal to the next higher authority within 15 working days of receiving the decision.</w:t>
      </w:r>
    </w:p>
    <w:p>
      <w:pPr>
        <w:keepNext/>
        <w:spacing w:before="200" w:after="120"/>
      </w:pPr>
      <w:r>
        <w:rPr>
          <w:rFonts w:ascii="Cambria" w:hAnsi="Cambria"/>
          <w:b/>
          <w:color w:val="1F3A5F"/>
          <w:sz w:val="24"/>
        </w:rPr>
        <w:t>V. Disciplinary Policy Framework</w:t>
      </w:r>
    </w:p>
    <w:p>
      <w:pPr>
        <w:keepNext/>
        <w:spacing w:before="200" w:after="120"/>
      </w:pPr>
      <w:r>
        <w:rPr>
          <w:rFonts w:ascii="Cambria" w:hAnsi="Cambria"/>
          <w:b/>
          <w:color w:val="1F3A5F"/>
          <w:sz w:val="24"/>
        </w:rPr>
        <w:t>1. Definition of Misconduct</w:t>
      </w:r>
    </w:p>
    <w:p>
      <w:pPr>
        <w:jc w:val="both"/>
      </w:pPr>
      <w:r>
        <w:rPr>
          <w:rFonts w:ascii="Cambria" w:hAnsi="Cambria"/>
          <w:i w:val="0"/>
          <w:sz w:val="22"/>
        </w:rPr>
        <w:t>Includes but not limited to:</w:t>
      </w:r>
    </w:p>
    <w:p>
      <w:pPr>
        <w:pStyle w:val="ListBullet"/>
        <w:spacing w:line="276" w:lineRule="auto"/>
        <w:ind w:left="510"/>
      </w:pPr>
      <w:r>
        <w:rPr>
          <w:rFonts w:ascii="Cambria" w:hAnsi="Cambria"/>
          <w:b w:val="0"/>
          <w:i w:val="0"/>
          <w:sz w:val="22"/>
        </w:rPr>
        <w:t>Willful insubordination or disobedience.</w:t>
      </w:r>
    </w:p>
    <w:p>
      <w:pPr>
        <w:pStyle w:val="ListBullet"/>
        <w:spacing w:line="276" w:lineRule="auto"/>
        <w:ind w:left="510"/>
      </w:pPr>
      <w:r>
        <w:rPr>
          <w:rFonts w:ascii="Cambria" w:hAnsi="Cambria"/>
          <w:b w:val="0"/>
          <w:i w:val="0"/>
          <w:sz w:val="22"/>
        </w:rPr>
        <w:t>Negligence of duty, habitual late attendance, or absenteeism.</w:t>
      </w:r>
    </w:p>
    <w:p>
      <w:pPr>
        <w:pStyle w:val="ListBullet"/>
        <w:spacing w:line="276" w:lineRule="auto"/>
        <w:ind w:left="510"/>
      </w:pPr>
      <w:r>
        <w:rPr>
          <w:rFonts w:ascii="Cambria" w:hAnsi="Cambria"/>
          <w:b w:val="0"/>
          <w:i w:val="0"/>
          <w:sz w:val="22"/>
        </w:rPr>
        <w:t>Theft, fraud, or dishonesty in connection with institutional property.</w:t>
      </w:r>
    </w:p>
    <w:p>
      <w:pPr>
        <w:pStyle w:val="ListBullet"/>
        <w:spacing w:line="276" w:lineRule="auto"/>
        <w:ind w:left="510"/>
      </w:pPr>
      <w:r>
        <w:rPr>
          <w:rFonts w:ascii="Cambria" w:hAnsi="Cambria"/>
          <w:b w:val="0"/>
          <w:i w:val="0"/>
          <w:sz w:val="22"/>
        </w:rPr>
        <w:t>Bribery, corruption, or misuse of authority.</w:t>
      </w:r>
    </w:p>
    <w:p>
      <w:pPr>
        <w:pStyle w:val="ListBullet"/>
        <w:spacing w:line="276" w:lineRule="auto"/>
        <w:ind w:left="510"/>
      </w:pPr>
      <w:r>
        <w:rPr>
          <w:rFonts w:ascii="Cambria" w:hAnsi="Cambria"/>
          <w:b w:val="0"/>
          <w:i w:val="0"/>
          <w:sz w:val="22"/>
        </w:rPr>
        <w:t>Violation of confidentiality or data protection norms.</w:t>
      </w:r>
    </w:p>
    <w:p>
      <w:pPr>
        <w:pStyle w:val="ListBullet"/>
        <w:spacing w:line="276" w:lineRule="auto"/>
        <w:ind w:left="510"/>
      </w:pPr>
      <w:r>
        <w:rPr>
          <w:rFonts w:ascii="Cambria" w:hAnsi="Cambria"/>
          <w:b w:val="0"/>
          <w:i w:val="0"/>
          <w:sz w:val="22"/>
        </w:rPr>
        <w:t>Harassment, discrimination, or abusive conduct.</w:t>
      </w:r>
    </w:p>
    <w:p>
      <w:pPr>
        <w:pStyle w:val="ListBullet"/>
        <w:spacing w:line="276" w:lineRule="auto"/>
        <w:ind w:left="510"/>
      </w:pPr>
      <w:r>
        <w:rPr>
          <w:rFonts w:ascii="Cambria" w:hAnsi="Cambria"/>
          <w:b w:val="0"/>
          <w:i w:val="0"/>
          <w:sz w:val="22"/>
        </w:rPr>
        <w:t>Unauthorized communication of official information.</w:t>
      </w:r>
    </w:p>
    <w:p>
      <w:pPr>
        <w:pStyle w:val="ListBullet"/>
        <w:spacing w:line="276" w:lineRule="auto"/>
        <w:ind w:left="510"/>
      </w:pPr>
      <w:r>
        <w:rPr>
          <w:rFonts w:ascii="Cambria" w:hAnsi="Cambria"/>
          <w:b w:val="0"/>
          <w:i w:val="0"/>
          <w:sz w:val="22"/>
        </w:rPr>
        <w:t>Violation of University Code of Conduct or policies.</w:t>
      </w:r>
    </w:p>
    <w:p>
      <w:pPr>
        <w:keepNext/>
        <w:spacing w:before="200" w:after="120"/>
      </w:pPr>
      <w:r>
        <w:rPr>
          <w:rFonts w:ascii="Cambria" w:hAnsi="Cambria"/>
          <w:b/>
          <w:color w:val="1F3A5F"/>
          <w:sz w:val="24"/>
        </w:rPr>
        <w:t>2. Classification of Misconduct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Category</w:t>
            </w:r>
          </w:p>
        </w:tc>
        <w:tc>
          <w:tcPr>
            <w:tcW w:type="dxa" w:w="4082"/>
            <w:shd w:val="clear" w:color="auto" w:fill="1F3A5F"/>
          </w:tcPr>
          <w:p>
            <w:pPr>
              <w:spacing w:after="40" w:before="40"/>
            </w:pPr>
            <w:r/>
            <w:r>
              <w:rPr>
                <w:rFonts w:ascii="Cambria" w:hAnsi="Cambria"/>
                <w:b/>
                <w:i w:val="0"/>
                <w:color w:val="FFFFFF"/>
                <w:sz w:val="22"/>
              </w:rPr>
              <w:t>Examples</w:t>
            </w:r>
          </w:p>
        </w:tc>
        <w:tc>
          <w:tcPr>
            <w:tcW w:type="dxa" w:w="3402"/>
            <w:shd w:val="clear" w:color="auto" w:fill="1F3A5F"/>
          </w:tcPr>
          <w:p>
            <w:pPr>
              <w:spacing w:after="40" w:before="40"/>
            </w:pPr>
            <w:r/>
            <w:r>
              <w:rPr>
                <w:rFonts w:ascii="Cambria" w:hAnsi="Cambria"/>
                <w:b/>
                <w:i w:val="0"/>
                <w:color w:val="FFFFFF"/>
                <w:sz w:val="22"/>
              </w:rPr>
              <w:t>Nature of Penalty</w:t>
            </w:r>
          </w:p>
        </w:tc>
      </w:tr>
      <w:tr>
        <w:tc>
          <w:tcPr>
            <w:tcW w:type="dxa" w:w="1927"/>
          </w:tcPr>
          <w:p>
            <w:pPr>
              <w:spacing w:after="40" w:before="40"/>
            </w:pPr>
            <w:r/>
            <w:r>
              <w:rPr>
                <w:rFonts w:ascii="Cambria" w:hAnsi="Cambria"/>
                <w:b w:val="0"/>
                <w:i w:val="0"/>
                <w:sz w:val="22"/>
              </w:rPr>
              <w:t>Minor Misconduct</w:t>
            </w:r>
          </w:p>
        </w:tc>
        <w:tc>
          <w:tcPr>
            <w:tcW w:type="dxa" w:w="4082"/>
          </w:tcPr>
          <w:p>
            <w:pPr>
              <w:spacing w:after="40" w:before="40"/>
            </w:pPr>
            <w:r/>
            <w:r>
              <w:rPr>
                <w:rFonts w:ascii="Cambria" w:hAnsi="Cambria"/>
                <w:b w:val="0"/>
                <w:i w:val="0"/>
                <w:sz w:val="22"/>
              </w:rPr>
              <w:t>Habitual lateness, negligence, misbehavior</w:t>
            </w:r>
          </w:p>
        </w:tc>
        <w:tc>
          <w:tcPr>
            <w:tcW w:type="dxa" w:w="3402"/>
          </w:tcPr>
          <w:p>
            <w:pPr>
              <w:spacing w:after="40" w:before="40"/>
            </w:pPr>
            <w:r/>
            <w:r>
              <w:rPr>
                <w:rFonts w:ascii="Cambria" w:hAnsi="Cambria"/>
                <w:b w:val="0"/>
                <w:i w:val="0"/>
                <w:sz w:val="22"/>
              </w:rPr>
              <w:t>Warning, deduction of leave, reprimand</w:t>
            </w:r>
          </w:p>
        </w:tc>
      </w:tr>
      <w:tr>
        <w:tc>
          <w:tcPr>
            <w:tcW w:type="dxa" w:w="1927"/>
            <w:shd w:val="clear" w:color="auto" w:fill="F0F2F5"/>
          </w:tcPr>
          <w:p>
            <w:pPr>
              <w:spacing w:after="40" w:before="40"/>
            </w:pPr>
            <w:r/>
            <w:r>
              <w:rPr>
                <w:rFonts w:ascii="Cambria" w:hAnsi="Cambria"/>
                <w:b w:val="0"/>
                <w:i w:val="0"/>
                <w:sz w:val="22"/>
              </w:rPr>
              <w:t>Major Misconduct</w:t>
            </w:r>
          </w:p>
        </w:tc>
        <w:tc>
          <w:tcPr>
            <w:tcW w:type="dxa" w:w="4082"/>
            <w:shd w:val="clear" w:color="auto" w:fill="F0F2F5"/>
          </w:tcPr>
          <w:p>
            <w:pPr>
              <w:spacing w:after="40" w:before="40"/>
            </w:pPr>
            <w:r/>
            <w:r>
              <w:rPr>
                <w:rFonts w:ascii="Cambria" w:hAnsi="Cambria"/>
                <w:b w:val="0"/>
                <w:i w:val="0"/>
                <w:sz w:val="22"/>
              </w:rPr>
              <w:t>Fraud, harassment, breach of trust, moral misconduct</w:t>
            </w:r>
          </w:p>
        </w:tc>
        <w:tc>
          <w:tcPr>
            <w:tcW w:type="dxa" w:w="3402"/>
            <w:shd w:val="clear" w:color="auto" w:fill="F0F2F5"/>
          </w:tcPr>
          <w:p>
            <w:pPr>
              <w:spacing w:after="40" w:before="40"/>
            </w:pPr>
            <w:r/>
            <w:r>
              <w:rPr>
                <w:rFonts w:ascii="Cambria" w:hAnsi="Cambria"/>
                <w:b w:val="0"/>
                <w:i w:val="0"/>
                <w:sz w:val="22"/>
              </w:rPr>
              <w:t>Suspension, demotion, termination, legal action</w:t>
            </w:r>
          </w:p>
        </w:tc>
      </w:tr>
    </w:tbl>
    <w:p>
      <w:pPr>
        <w:spacing w:after="40"/>
      </w:pPr>
    </w:p>
    <w:p>
      <w:pPr>
        <w:keepNext/>
        <w:spacing w:before="200" w:after="120"/>
      </w:pPr>
      <w:r>
        <w:rPr>
          <w:rFonts w:ascii="Cambria" w:hAnsi="Cambria"/>
          <w:b/>
          <w:color w:val="1F3A5F"/>
          <w:sz w:val="24"/>
        </w:rPr>
        <w:t>3. Disciplinary Procedure</w:t>
      </w:r>
    </w:p>
    <w:p>
      <w:pPr>
        <w:spacing w:line="276" w:lineRule="auto"/>
        <w:ind w:left="357" w:hanging="357"/>
      </w:pPr>
      <w:r>
        <w:rPr>
          <w:rFonts w:ascii="Cambria" w:hAnsi="Cambria"/>
          <w:b w:val="0"/>
          <w:i w:val="0"/>
          <w:sz w:val="22"/>
        </w:rPr>
        <w:t xml:space="preserve">1. </w:t>
      </w:r>
      <w:r>
        <w:rPr>
          <w:rFonts w:ascii="Cambria" w:hAnsi="Cambria"/>
          <w:b w:val="0"/>
          <w:i w:val="0"/>
          <w:sz w:val="22"/>
        </w:rPr>
        <w:t>Complaint / Report: Misconduct reported by any supervisor or employee.</w:t>
      </w:r>
    </w:p>
    <w:p>
      <w:pPr>
        <w:spacing w:line="276" w:lineRule="auto"/>
        <w:ind w:left="357" w:hanging="357"/>
      </w:pPr>
      <w:r>
        <w:rPr>
          <w:rFonts w:ascii="Cambria" w:hAnsi="Cambria"/>
          <w:b w:val="0"/>
          <w:i w:val="0"/>
          <w:sz w:val="22"/>
        </w:rPr>
        <w:t xml:space="preserve">2. </w:t>
      </w:r>
      <w:r>
        <w:rPr>
          <w:rFonts w:ascii="Cambria" w:hAnsi="Cambria"/>
          <w:b w:val="0"/>
          <w:i w:val="0"/>
          <w:sz w:val="22"/>
        </w:rPr>
        <w:t>Preliminary Inquiry: Conducted by HR or appointed officer to assess prima facie evidence.</w:t>
      </w:r>
    </w:p>
    <w:p>
      <w:pPr>
        <w:spacing w:line="276" w:lineRule="auto"/>
        <w:ind w:left="357" w:hanging="357"/>
      </w:pPr>
      <w:r>
        <w:rPr>
          <w:rFonts w:ascii="Cambria" w:hAnsi="Cambria"/>
          <w:b w:val="0"/>
          <w:i w:val="0"/>
          <w:sz w:val="22"/>
        </w:rPr>
        <w:t xml:space="preserve">3. </w:t>
      </w:r>
      <w:r>
        <w:rPr>
          <w:rFonts w:ascii="Cambria" w:hAnsi="Cambria"/>
          <w:b w:val="0"/>
          <w:i w:val="0"/>
          <w:sz w:val="22"/>
        </w:rPr>
        <w:t>Charge Sheet: Formal written notice of allegations to the employee.</w:t>
      </w:r>
    </w:p>
    <w:p>
      <w:pPr>
        <w:spacing w:line="276" w:lineRule="auto"/>
        <w:ind w:left="357" w:hanging="357"/>
      </w:pPr>
      <w:r>
        <w:rPr>
          <w:rFonts w:ascii="Cambria" w:hAnsi="Cambria"/>
          <w:b w:val="0"/>
          <w:i w:val="0"/>
          <w:sz w:val="22"/>
        </w:rPr>
        <w:t xml:space="preserve">4. </w:t>
      </w:r>
      <w:r>
        <w:rPr>
          <w:rFonts w:ascii="Cambria" w:hAnsi="Cambria"/>
          <w:b w:val="0"/>
          <w:i w:val="0"/>
          <w:sz w:val="22"/>
        </w:rPr>
        <w:t>Explanation / Defence: Employee must submit written explanation within 10 working days.</w:t>
      </w:r>
    </w:p>
    <w:p>
      <w:pPr>
        <w:spacing w:line="276" w:lineRule="auto"/>
        <w:ind w:left="357" w:hanging="357"/>
      </w:pPr>
      <w:r>
        <w:rPr>
          <w:rFonts w:ascii="Cambria" w:hAnsi="Cambria"/>
          <w:b w:val="0"/>
          <w:i w:val="0"/>
          <w:sz w:val="22"/>
        </w:rPr>
        <w:t xml:space="preserve">5. </w:t>
      </w:r>
      <w:r>
        <w:rPr>
          <w:rFonts w:ascii="Cambria" w:hAnsi="Cambria"/>
          <w:b w:val="0"/>
          <w:i w:val="0"/>
          <w:sz w:val="22"/>
        </w:rPr>
        <w:t>Formal Inquiry: Inquiry Committee constituted (includes neutral members).</w:t>
      </w:r>
    </w:p>
    <w:p>
      <w:pPr>
        <w:spacing w:line="276" w:lineRule="auto"/>
        <w:ind w:left="357" w:hanging="357"/>
      </w:pPr>
      <w:r>
        <w:rPr>
          <w:rFonts w:ascii="Cambria" w:hAnsi="Cambria"/>
          <w:b w:val="0"/>
          <w:i w:val="0"/>
          <w:sz w:val="22"/>
        </w:rPr>
        <w:t xml:space="preserve">6. </w:t>
      </w:r>
      <w:r>
        <w:rPr>
          <w:rFonts w:ascii="Cambria" w:hAnsi="Cambria"/>
          <w:b w:val="0"/>
          <w:i w:val="0"/>
          <w:sz w:val="22"/>
        </w:rPr>
        <w:t>Report Submission: Findings submitted to Registrar / VC within 30 days.</w:t>
      </w:r>
    </w:p>
    <w:p>
      <w:pPr>
        <w:spacing w:line="276" w:lineRule="auto"/>
        <w:ind w:left="357" w:hanging="357"/>
      </w:pPr>
      <w:r>
        <w:rPr>
          <w:rFonts w:ascii="Cambria" w:hAnsi="Cambria"/>
          <w:b w:val="0"/>
          <w:i w:val="0"/>
          <w:sz w:val="22"/>
        </w:rPr>
        <w:t xml:space="preserve">7. </w:t>
      </w:r>
      <w:r>
        <w:rPr>
          <w:rFonts w:ascii="Cambria" w:hAnsi="Cambria"/>
          <w:b w:val="0"/>
          <w:i w:val="0"/>
          <w:sz w:val="22"/>
        </w:rPr>
        <w:t>Decision: Disciplinary action approved by Competent Authority (Registrar / VC / BoM).</w:t>
      </w:r>
    </w:p>
    <w:p>
      <w:pPr>
        <w:spacing w:line="276" w:lineRule="auto"/>
        <w:ind w:left="357" w:hanging="357"/>
      </w:pPr>
      <w:r>
        <w:rPr>
          <w:rFonts w:ascii="Cambria" w:hAnsi="Cambria"/>
          <w:b w:val="0"/>
          <w:i w:val="0"/>
          <w:sz w:val="22"/>
        </w:rPr>
        <w:t xml:space="preserve">8. </w:t>
      </w:r>
      <w:r>
        <w:rPr>
          <w:rFonts w:ascii="Cambria" w:hAnsi="Cambria"/>
          <w:b w:val="0"/>
          <w:i w:val="0"/>
          <w:sz w:val="22"/>
        </w:rPr>
        <w:t>Right to Appeal: Employee may appeal within 15 working days to the BoM.</w:t>
      </w:r>
    </w:p>
    <w:p>
      <w:pPr>
        <w:keepNext/>
        <w:spacing w:before="200" w:after="120"/>
      </w:pPr>
      <w:r>
        <w:rPr>
          <w:rFonts w:ascii="Cambria" w:hAnsi="Cambria"/>
          <w:b/>
          <w:color w:val="1F3A5F"/>
          <w:sz w:val="24"/>
        </w:rPr>
        <w:t>4. Composition of Inquiry Committee</w:t>
      </w:r>
    </w:p>
    <w:tbl>
      <w:tblPr>
        <w:tblStyle w:val="TableGrid"/>
        <w:tblW w:type="auto" w:w="0"/>
        <w:jc w:val="center"/>
        <w:tblLook w:firstColumn="1" w:firstRow="1" w:lastColumn="0" w:lastRow="0" w:noHBand="0" w:noVBand="1" w:val="04A0"/>
        <w:tblLayout w:type="fixed"/>
      </w:tblPr>
      <w:tblGrid>
        <w:gridCol w:w="4706"/>
        <w:gridCol w:w="4706"/>
      </w:tblGrid>
      <w:tr>
        <w:tc>
          <w:tcPr>
            <w:tcW w:type="dxa" w:w="4649"/>
            <w:shd w:val="clear" w:color="auto" w:fill="1F3A5F"/>
          </w:tcPr>
          <w:p>
            <w:pPr>
              <w:spacing w:after="40" w:before="40"/>
            </w:pPr>
            <w:r/>
            <w:r>
              <w:rPr>
                <w:rFonts w:ascii="Cambria" w:hAnsi="Cambria"/>
                <w:b/>
                <w:i w:val="0"/>
                <w:color w:val="FFFFFF"/>
                <w:sz w:val="22"/>
              </w:rPr>
              <w:t>Member</w:t>
            </w:r>
          </w:p>
        </w:tc>
        <w:tc>
          <w:tcPr>
            <w:tcW w:type="dxa" w:w="4762"/>
            <w:shd w:val="clear" w:color="auto" w:fill="1F3A5F"/>
          </w:tcPr>
          <w:p>
            <w:pPr>
              <w:spacing w:after="40" w:before="40"/>
            </w:pPr>
            <w:r/>
            <w:r>
              <w:rPr>
                <w:rFonts w:ascii="Cambria" w:hAnsi="Cambria"/>
                <w:b/>
                <w:i w:val="0"/>
                <w:color w:val="FFFFFF"/>
                <w:sz w:val="22"/>
              </w:rPr>
              <w:t>Role</w:t>
            </w:r>
          </w:p>
        </w:tc>
      </w:tr>
      <w:tr>
        <w:tc>
          <w:tcPr>
            <w:tcW w:type="dxa" w:w="4649"/>
          </w:tcPr>
          <w:p>
            <w:pPr>
              <w:spacing w:after="40" w:before="40"/>
            </w:pPr>
            <w:r/>
            <w:r>
              <w:rPr>
                <w:rFonts w:ascii="Cambria" w:hAnsi="Cambria"/>
                <w:b w:val="0"/>
                <w:i w:val="0"/>
                <w:sz w:val="22"/>
              </w:rPr>
              <w:t>Senior Faculty (Nominee of VC)</w:t>
            </w:r>
          </w:p>
        </w:tc>
        <w:tc>
          <w:tcPr>
            <w:tcW w:type="dxa" w:w="4762"/>
          </w:tcPr>
          <w:p>
            <w:pPr>
              <w:spacing w:after="40" w:before="40"/>
            </w:pPr>
            <w:r/>
            <w:r>
              <w:rPr>
                <w:rFonts w:ascii="Cambria" w:hAnsi="Cambria"/>
                <w:b w:val="0"/>
                <w:i w:val="0"/>
                <w:sz w:val="22"/>
              </w:rPr>
              <w:t>Chairperson</w:t>
            </w:r>
          </w:p>
        </w:tc>
      </w:tr>
      <w:tr>
        <w:tc>
          <w:tcPr>
            <w:tcW w:type="dxa" w:w="4649"/>
            <w:shd w:val="clear" w:color="auto" w:fill="F0F2F5"/>
          </w:tcPr>
          <w:p>
            <w:pPr>
              <w:spacing w:after="40" w:before="40"/>
            </w:pPr>
            <w:r/>
            <w:r>
              <w:rPr>
                <w:rFonts w:ascii="Cambria" w:hAnsi="Cambria"/>
                <w:b w:val="0"/>
                <w:i w:val="0"/>
                <w:sz w:val="22"/>
              </w:rPr>
              <w:t>HR Manager</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Legal Officer / External Expert</w:t>
            </w:r>
          </w:p>
        </w:tc>
        <w:tc>
          <w:tcPr>
            <w:tcW w:type="dxa" w:w="4762"/>
          </w:tcPr>
          <w:p>
            <w:pPr>
              <w:spacing w:after="40" w:before="40"/>
            </w:pPr>
            <w:r/>
            <w:r>
              <w:rPr>
                <w:rFonts w:ascii="Cambria" w:hAnsi="Cambria"/>
                <w:b w:val="0"/>
                <w:i w:val="0"/>
                <w:sz w:val="22"/>
              </w:rPr>
              <w:t>Member</w:t>
            </w:r>
          </w:p>
        </w:tc>
      </w:tr>
      <w:tr>
        <w:tc>
          <w:tcPr>
            <w:tcW w:type="dxa" w:w="4649"/>
            <w:shd w:val="clear" w:color="auto" w:fill="F0F2F5"/>
          </w:tcPr>
          <w:p>
            <w:pPr>
              <w:spacing w:after="40" w:before="40"/>
            </w:pPr>
            <w:r/>
            <w:r>
              <w:rPr>
                <w:rFonts w:ascii="Cambria" w:hAnsi="Cambria"/>
                <w:b w:val="0"/>
                <w:i w:val="0"/>
                <w:sz w:val="22"/>
              </w:rPr>
              <w:t>Representative of Staff Council</w:t>
            </w:r>
          </w:p>
        </w:tc>
        <w:tc>
          <w:tcPr>
            <w:tcW w:type="dxa" w:w="4762"/>
            <w:shd w:val="clear" w:color="auto" w:fill="F0F2F5"/>
          </w:tcPr>
          <w:p>
            <w:pPr>
              <w:spacing w:after="40" w:before="40"/>
            </w:pPr>
            <w:r/>
            <w:r>
              <w:rPr>
                <w:rFonts w:ascii="Cambria" w:hAnsi="Cambria"/>
                <w:b w:val="0"/>
                <w:i w:val="0"/>
                <w:sz w:val="22"/>
              </w:rPr>
              <w:t>Member</w:t>
            </w:r>
          </w:p>
        </w:tc>
      </w:tr>
      <w:tr>
        <w:tc>
          <w:tcPr>
            <w:tcW w:type="dxa" w:w="4649"/>
          </w:tcPr>
          <w:p>
            <w:pPr>
              <w:spacing w:after="40" w:before="40"/>
            </w:pPr>
            <w:r/>
            <w:r>
              <w:rPr>
                <w:rFonts w:ascii="Cambria" w:hAnsi="Cambria"/>
                <w:b w:val="0"/>
                <w:i w:val="0"/>
                <w:sz w:val="22"/>
              </w:rPr>
              <w:t>Administrative Officer</w:t>
            </w:r>
          </w:p>
        </w:tc>
        <w:tc>
          <w:tcPr>
            <w:tcW w:type="dxa" w:w="4762"/>
          </w:tcPr>
          <w:p>
            <w:pPr>
              <w:spacing w:after="40" w:before="40"/>
            </w:pPr>
            <w:r/>
            <w:r>
              <w:rPr>
                <w:rFonts w:ascii="Cambria" w:hAnsi="Cambria"/>
                <w:b w:val="0"/>
                <w:i w:val="0"/>
                <w:sz w:val="22"/>
              </w:rPr>
              <w:t>Member Secretary</w:t>
            </w:r>
          </w:p>
        </w:tc>
      </w:tr>
    </w:tbl>
    <w:p>
      <w:pPr>
        <w:spacing w:after="40"/>
      </w:pPr>
    </w:p>
    <w:p>
      <w:pPr>
        <w:keepNext/>
        <w:spacing w:before="200" w:after="120"/>
      </w:pPr>
      <w:r>
        <w:rPr>
          <w:rFonts w:ascii="Cambria" w:hAnsi="Cambria"/>
          <w:b/>
          <w:color w:val="1F3A5F"/>
          <w:sz w:val="24"/>
        </w:rPr>
        <w:t>VI. Types of Disciplinary Action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402"/>
            <w:shd w:val="clear" w:color="auto" w:fill="1F3A5F"/>
          </w:tcPr>
          <w:p>
            <w:pPr>
              <w:spacing w:after="40" w:before="40"/>
            </w:pPr>
            <w:r/>
            <w:r>
              <w:rPr>
                <w:rFonts w:ascii="Cambria" w:hAnsi="Cambria"/>
                <w:b/>
                <w:i w:val="0"/>
                <w:color w:val="FFFFFF"/>
                <w:sz w:val="22"/>
              </w:rPr>
              <w:t>Type of Action</w:t>
            </w:r>
          </w:p>
        </w:tc>
        <w:tc>
          <w:tcPr>
            <w:tcW w:type="dxa" w:w="6010"/>
            <w:shd w:val="clear" w:color="auto" w:fill="1F3A5F"/>
          </w:tcPr>
          <w:p>
            <w:pPr>
              <w:spacing w:after="40" w:before="40"/>
            </w:pPr>
            <w:r/>
            <w:r>
              <w:rPr>
                <w:rFonts w:ascii="Cambria" w:hAnsi="Cambria"/>
                <w:b/>
                <w:i w:val="0"/>
                <w:color w:val="FFFFFF"/>
                <w:sz w:val="22"/>
              </w:rPr>
              <w:t>Applicability / Condition</w:t>
            </w:r>
          </w:p>
        </w:tc>
      </w:tr>
      <w:tr>
        <w:tc>
          <w:tcPr>
            <w:tcW w:type="dxa" w:w="3402"/>
          </w:tcPr>
          <w:p>
            <w:pPr>
              <w:spacing w:after="40" w:before="40"/>
            </w:pPr>
            <w:r/>
            <w:r>
              <w:rPr>
                <w:rFonts w:ascii="Cambria" w:hAnsi="Cambria"/>
                <w:b w:val="0"/>
                <w:i w:val="0"/>
                <w:sz w:val="22"/>
              </w:rPr>
              <w:t>Verbal Warning / Counseling</w:t>
            </w:r>
          </w:p>
        </w:tc>
        <w:tc>
          <w:tcPr>
            <w:tcW w:type="dxa" w:w="6010"/>
          </w:tcPr>
          <w:p>
            <w:pPr>
              <w:spacing w:after="40" w:before="40"/>
            </w:pPr>
            <w:r/>
            <w:r>
              <w:rPr>
                <w:rFonts w:ascii="Cambria" w:hAnsi="Cambria"/>
                <w:b w:val="0"/>
                <w:i w:val="0"/>
                <w:sz w:val="22"/>
              </w:rPr>
              <w:t>Minor first-time offenses</w:t>
            </w:r>
          </w:p>
        </w:tc>
      </w:tr>
      <w:tr>
        <w:tc>
          <w:tcPr>
            <w:tcW w:type="dxa" w:w="3402"/>
            <w:shd w:val="clear" w:color="auto" w:fill="F0F2F5"/>
          </w:tcPr>
          <w:p>
            <w:pPr>
              <w:spacing w:after="40" w:before="40"/>
            </w:pPr>
            <w:r/>
            <w:r>
              <w:rPr>
                <w:rFonts w:ascii="Cambria" w:hAnsi="Cambria"/>
                <w:b w:val="0"/>
                <w:i w:val="0"/>
                <w:sz w:val="22"/>
              </w:rPr>
              <w:t>Written Warning / Reprimand</w:t>
            </w:r>
          </w:p>
        </w:tc>
        <w:tc>
          <w:tcPr>
            <w:tcW w:type="dxa" w:w="6010"/>
            <w:shd w:val="clear" w:color="auto" w:fill="F0F2F5"/>
          </w:tcPr>
          <w:p>
            <w:pPr>
              <w:spacing w:after="40" w:before="40"/>
            </w:pPr>
            <w:r/>
            <w:r>
              <w:rPr>
                <w:rFonts w:ascii="Cambria" w:hAnsi="Cambria"/>
                <w:b w:val="0"/>
                <w:i w:val="0"/>
                <w:sz w:val="22"/>
              </w:rPr>
              <w:t>Repeated or moderate offenses</w:t>
            </w:r>
          </w:p>
        </w:tc>
      </w:tr>
      <w:tr>
        <w:tc>
          <w:tcPr>
            <w:tcW w:type="dxa" w:w="3402"/>
          </w:tcPr>
          <w:p>
            <w:pPr>
              <w:spacing w:after="40" w:before="40"/>
            </w:pPr>
            <w:r/>
            <w:r>
              <w:rPr>
                <w:rFonts w:ascii="Cambria" w:hAnsi="Cambria"/>
                <w:b w:val="0"/>
                <w:i w:val="0"/>
                <w:sz w:val="22"/>
              </w:rPr>
              <w:t>Withholding Increment / Promotion</w:t>
            </w:r>
          </w:p>
        </w:tc>
        <w:tc>
          <w:tcPr>
            <w:tcW w:type="dxa" w:w="6010"/>
          </w:tcPr>
          <w:p>
            <w:pPr>
              <w:spacing w:after="40" w:before="40"/>
            </w:pPr>
            <w:r/>
            <w:r>
              <w:rPr>
                <w:rFonts w:ascii="Cambria" w:hAnsi="Cambria"/>
                <w:b w:val="0"/>
                <w:i w:val="0"/>
                <w:sz w:val="22"/>
              </w:rPr>
              <w:t>Performance-related negligence</w:t>
            </w:r>
          </w:p>
        </w:tc>
      </w:tr>
      <w:tr>
        <w:tc>
          <w:tcPr>
            <w:tcW w:type="dxa" w:w="3402"/>
            <w:shd w:val="clear" w:color="auto" w:fill="F0F2F5"/>
          </w:tcPr>
          <w:p>
            <w:pPr>
              <w:spacing w:after="40" w:before="40"/>
            </w:pPr>
            <w:r/>
            <w:r>
              <w:rPr>
                <w:rFonts w:ascii="Cambria" w:hAnsi="Cambria"/>
                <w:b w:val="0"/>
                <w:i w:val="0"/>
                <w:sz w:val="22"/>
              </w:rPr>
              <w:t>Suspension Pending Inquiry</w:t>
            </w:r>
          </w:p>
        </w:tc>
        <w:tc>
          <w:tcPr>
            <w:tcW w:type="dxa" w:w="6010"/>
            <w:shd w:val="clear" w:color="auto" w:fill="F0F2F5"/>
          </w:tcPr>
          <w:p>
            <w:pPr>
              <w:spacing w:after="40" w:before="40"/>
            </w:pPr>
            <w:r/>
            <w:r>
              <w:rPr>
                <w:rFonts w:ascii="Cambria" w:hAnsi="Cambria"/>
                <w:b w:val="0"/>
                <w:i w:val="0"/>
                <w:sz w:val="22"/>
              </w:rPr>
              <w:t>Serious misconduct requiring investigation</w:t>
            </w:r>
          </w:p>
        </w:tc>
      </w:tr>
      <w:tr>
        <w:tc>
          <w:tcPr>
            <w:tcW w:type="dxa" w:w="3402"/>
          </w:tcPr>
          <w:p>
            <w:pPr>
              <w:spacing w:after="40" w:before="40"/>
            </w:pPr>
            <w:r/>
            <w:r>
              <w:rPr>
                <w:rFonts w:ascii="Cambria" w:hAnsi="Cambria"/>
                <w:b w:val="0"/>
                <w:i w:val="0"/>
                <w:sz w:val="22"/>
              </w:rPr>
              <w:t>Demotion / Pay Reduction</w:t>
            </w:r>
          </w:p>
        </w:tc>
        <w:tc>
          <w:tcPr>
            <w:tcW w:type="dxa" w:w="6010"/>
          </w:tcPr>
          <w:p>
            <w:pPr>
              <w:spacing w:after="40" w:before="40"/>
            </w:pPr>
            <w:r/>
            <w:r>
              <w:rPr>
                <w:rFonts w:ascii="Cambria" w:hAnsi="Cambria"/>
                <w:b w:val="0"/>
                <w:i w:val="0"/>
                <w:sz w:val="22"/>
              </w:rPr>
              <w:t>Proven misconduct impacting institutional reputation</w:t>
            </w:r>
          </w:p>
        </w:tc>
      </w:tr>
      <w:tr>
        <w:tc>
          <w:tcPr>
            <w:tcW w:type="dxa" w:w="3402"/>
            <w:shd w:val="clear" w:color="auto" w:fill="F0F2F5"/>
          </w:tcPr>
          <w:p>
            <w:pPr>
              <w:spacing w:after="40" w:before="40"/>
            </w:pPr>
            <w:r/>
            <w:r>
              <w:rPr>
                <w:rFonts w:ascii="Cambria" w:hAnsi="Cambria"/>
                <w:b w:val="0"/>
                <w:i w:val="0"/>
                <w:sz w:val="22"/>
              </w:rPr>
              <w:t>Termination / Dismissal</w:t>
            </w:r>
          </w:p>
        </w:tc>
        <w:tc>
          <w:tcPr>
            <w:tcW w:type="dxa" w:w="6010"/>
            <w:shd w:val="clear" w:color="auto" w:fill="F0F2F5"/>
          </w:tcPr>
          <w:p>
            <w:pPr>
              <w:spacing w:after="40" w:before="40"/>
            </w:pPr>
            <w:r/>
            <w:r>
              <w:rPr>
                <w:rFonts w:ascii="Cambria" w:hAnsi="Cambria"/>
                <w:b w:val="0"/>
                <w:i w:val="0"/>
                <w:sz w:val="22"/>
              </w:rPr>
              <w:t>Grave offenses or repeated violations</w:t>
            </w:r>
          </w:p>
        </w:tc>
      </w:tr>
      <w:tr>
        <w:tc>
          <w:tcPr>
            <w:tcW w:type="dxa" w:w="3402"/>
          </w:tcPr>
          <w:p>
            <w:pPr>
              <w:spacing w:after="40" w:before="40"/>
            </w:pPr>
            <w:r/>
            <w:r>
              <w:rPr>
                <w:rFonts w:ascii="Cambria" w:hAnsi="Cambria"/>
                <w:b w:val="0"/>
                <w:i w:val="0"/>
                <w:sz w:val="22"/>
              </w:rPr>
              <w:t>Legal Proceedings</w:t>
            </w:r>
          </w:p>
        </w:tc>
        <w:tc>
          <w:tcPr>
            <w:tcW w:type="dxa" w:w="6010"/>
          </w:tcPr>
          <w:p>
            <w:pPr>
              <w:spacing w:after="40" w:before="40"/>
            </w:pPr>
            <w:r/>
            <w:r>
              <w:rPr>
                <w:rFonts w:ascii="Cambria" w:hAnsi="Cambria"/>
                <w:b w:val="0"/>
                <w:i w:val="0"/>
                <w:sz w:val="22"/>
              </w:rPr>
              <w:t>Offenses involving fraud, assault, or criminal behavior</w:t>
            </w:r>
          </w:p>
        </w:tc>
      </w:tr>
    </w:tbl>
    <w:p>
      <w:pPr>
        <w:spacing w:after="40"/>
      </w:pPr>
    </w:p>
    <w:p>
      <w:pPr>
        <w:keepNext/>
        <w:spacing w:before="200" w:after="120"/>
      </w:pPr>
      <w:r>
        <w:rPr>
          <w:rFonts w:ascii="Cambria" w:hAnsi="Cambria"/>
          <w:b/>
          <w:color w:val="1F3A5F"/>
          <w:sz w:val="24"/>
        </w:rPr>
        <w:t>VII. Confidentiality and Fairness Principles</w:t>
      </w:r>
    </w:p>
    <w:p>
      <w:pPr>
        <w:pStyle w:val="ListBullet"/>
        <w:spacing w:line="276" w:lineRule="auto"/>
        <w:ind w:left="510"/>
      </w:pPr>
      <w:r>
        <w:rPr>
          <w:rFonts w:ascii="Cambria" w:hAnsi="Cambria"/>
          <w:b w:val="0"/>
          <w:i w:val="0"/>
          <w:sz w:val="22"/>
        </w:rPr>
        <w:t>All grievances and disciplinary cases shall be handled with utmost confidentiality and impartiality.</w:t>
      </w:r>
    </w:p>
    <w:p>
      <w:pPr>
        <w:pStyle w:val="ListBullet"/>
        <w:spacing w:line="276" w:lineRule="auto"/>
        <w:ind w:left="510"/>
      </w:pPr>
      <w:r>
        <w:rPr>
          <w:rFonts w:ascii="Cambria" w:hAnsi="Cambria"/>
          <w:b w:val="0"/>
          <w:i w:val="0"/>
          <w:sz w:val="22"/>
        </w:rPr>
        <w:t>No employee shall face retaliation or discrimination for filing a genuine complaint.</w:t>
      </w:r>
    </w:p>
    <w:p>
      <w:pPr>
        <w:pStyle w:val="ListBullet"/>
        <w:spacing w:line="276" w:lineRule="auto"/>
        <w:ind w:left="510"/>
      </w:pPr>
      <w:r>
        <w:rPr>
          <w:rFonts w:ascii="Cambria" w:hAnsi="Cambria"/>
          <w:b w:val="0"/>
          <w:i w:val="0"/>
          <w:sz w:val="22"/>
        </w:rPr>
        <w:t>Every accused individual shall be given adequate opportunity to present their defense.</w:t>
      </w:r>
    </w:p>
    <w:p>
      <w:pPr>
        <w:pStyle w:val="ListBullet"/>
        <w:spacing w:line="276" w:lineRule="auto"/>
        <w:ind w:left="510"/>
      </w:pPr>
      <w:r>
        <w:rPr>
          <w:rFonts w:ascii="Cambria" w:hAnsi="Cambria"/>
          <w:b w:val="0"/>
          <w:i w:val="0"/>
          <w:sz w:val="22"/>
        </w:rPr>
        <w:t>All proceedings shall adhere to principles of natural justice —</w:t>
      </w:r>
    </w:p>
    <w:p>
      <w:pPr>
        <w:pStyle w:val="ListBullet2"/>
        <w:spacing w:line="276" w:lineRule="auto"/>
        <w:ind w:left="1020"/>
      </w:pPr>
      <w:r>
        <w:rPr>
          <w:rFonts w:ascii="Cambria" w:hAnsi="Cambria"/>
          <w:b w:val="0"/>
          <w:i w:val="0"/>
          <w:sz w:val="22"/>
        </w:rPr>
        <w:t>Audi alteram partem (hear the other side), and</w:t>
      </w:r>
    </w:p>
    <w:p>
      <w:pPr>
        <w:pStyle w:val="ListBullet2"/>
        <w:spacing w:line="276" w:lineRule="auto"/>
        <w:ind w:left="1020"/>
      </w:pPr>
      <w:r>
        <w:rPr>
          <w:rFonts w:ascii="Cambria" w:hAnsi="Cambria"/>
          <w:b w:val="0"/>
          <w:i w:val="0"/>
          <w:sz w:val="22"/>
        </w:rPr>
        <w:t>Nemo judex in causa sua (no one should be a judge in their own case).</w:t>
      </w:r>
    </w:p>
    <w:p>
      <w:pPr>
        <w:keepNext/>
        <w:spacing w:before="200" w:after="120"/>
      </w:pPr>
      <w:r>
        <w:rPr>
          <w:rFonts w:ascii="Cambria" w:hAnsi="Cambria"/>
          <w:b/>
          <w:color w:val="1F3A5F"/>
          <w:sz w:val="24"/>
        </w:rPr>
        <w:t>VIII. Special Provisions</w:t>
      </w:r>
    </w:p>
    <w:p>
      <w:pPr>
        <w:pStyle w:val="ListBullet"/>
        <w:spacing w:line="276" w:lineRule="auto"/>
        <w:ind w:left="510"/>
      </w:pPr>
      <w:r>
        <w:rPr>
          <w:rFonts w:ascii="Cambria" w:hAnsi="Cambria"/>
          <w:b w:val="0"/>
          <w:i w:val="0"/>
          <w:sz w:val="22"/>
        </w:rPr>
        <w:t>Cases related to sexual harassment shall be referred to the Internal Complaints Committee (ICC) under the POSH Act, 2013.</w:t>
      </w:r>
    </w:p>
    <w:p>
      <w:pPr>
        <w:pStyle w:val="ListBullet"/>
        <w:spacing w:line="276" w:lineRule="auto"/>
        <w:ind w:left="510"/>
      </w:pPr>
      <w:r>
        <w:rPr>
          <w:rFonts w:ascii="Cambria" w:hAnsi="Cambria"/>
          <w:b w:val="0"/>
          <w:i w:val="0"/>
          <w:sz w:val="22"/>
        </w:rPr>
        <w:t>Cases involving students shall be handled under the Student Grievance Policy.</w:t>
      </w:r>
    </w:p>
    <w:p>
      <w:pPr>
        <w:pStyle w:val="ListBullet"/>
        <w:spacing w:line="276" w:lineRule="auto"/>
        <w:ind w:left="510"/>
      </w:pPr>
      <w:r>
        <w:rPr>
          <w:rFonts w:ascii="Cambria" w:hAnsi="Cambria"/>
          <w:b w:val="0"/>
          <w:i w:val="0"/>
          <w:sz w:val="22"/>
        </w:rPr>
        <w:t>For research misconduct (plagiarism or falsification) — refer to Research Ethics &amp; Integrity Policy.</w:t>
      </w:r>
    </w:p>
    <w:p>
      <w:pPr>
        <w:pStyle w:val="ListBullet"/>
        <w:spacing w:line="276" w:lineRule="auto"/>
        <w:ind w:left="510"/>
      </w:pPr>
      <w:r>
        <w:rPr>
          <w:rFonts w:ascii="Cambria" w:hAnsi="Cambria"/>
          <w:b w:val="0"/>
          <w:i w:val="0"/>
          <w:sz w:val="22"/>
        </w:rPr>
        <w:t>Anonymous complaints shall be investigated only if sufficient evidence or credibility exists.</w:t>
      </w:r>
    </w:p>
    <w:p>
      <w:pPr>
        <w:keepNext/>
        <w:spacing w:before="200" w:after="120"/>
      </w:pPr>
      <w:r>
        <w:rPr>
          <w:rFonts w:ascii="Cambria" w:hAnsi="Cambria"/>
          <w:b/>
          <w:color w:val="1F3A5F"/>
          <w:sz w:val="24"/>
        </w:rPr>
        <w:t>IX. Documentation and Record Management</w:t>
      </w:r>
    </w:p>
    <w:p>
      <w:pPr>
        <w:pStyle w:val="ListBullet"/>
        <w:spacing w:line="276" w:lineRule="auto"/>
        <w:ind w:left="510"/>
      </w:pPr>
      <w:r>
        <w:rPr>
          <w:rFonts w:ascii="Cambria" w:hAnsi="Cambria"/>
          <w:b w:val="0"/>
          <w:i w:val="0"/>
          <w:sz w:val="22"/>
        </w:rPr>
        <w:t>HR Department shall maintain:</w:t>
      </w:r>
    </w:p>
    <w:p>
      <w:pPr>
        <w:pStyle w:val="ListBullet2"/>
        <w:spacing w:line="276" w:lineRule="auto"/>
        <w:ind w:left="1020"/>
      </w:pPr>
      <w:r>
        <w:rPr>
          <w:rFonts w:ascii="Cambria" w:hAnsi="Cambria"/>
          <w:b w:val="0"/>
          <w:i w:val="0"/>
          <w:sz w:val="22"/>
        </w:rPr>
        <w:t>Grievance Register (digital and physical).</w:t>
      </w:r>
    </w:p>
    <w:p>
      <w:pPr>
        <w:pStyle w:val="ListBullet2"/>
        <w:spacing w:line="276" w:lineRule="auto"/>
        <w:ind w:left="1020"/>
      </w:pPr>
      <w:r>
        <w:rPr>
          <w:rFonts w:ascii="Cambria" w:hAnsi="Cambria"/>
          <w:b w:val="0"/>
          <w:i w:val="0"/>
          <w:sz w:val="22"/>
        </w:rPr>
        <w:t>Inquiry reports, resolutions, and appeal records.</w:t>
      </w:r>
    </w:p>
    <w:p>
      <w:pPr>
        <w:pStyle w:val="ListBullet2"/>
        <w:spacing w:line="276" w:lineRule="auto"/>
        <w:ind w:left="1020"/>
      </w:pPr>
      <w:r>
        <w:rPr>
          <w:rFonts w:ascii="Cambria" w:hAnsi="Cambria"/>
          <w:b w:val="0"/>
          <w:i w:val="0"/>
          <w:sz w:val="22"/>
        </w:rPr>
        <w:t>Annual Grievance Statistics Report for IQAC and BoM.</w:t>
      </w:r>
    </w:p>
    <w:p>
      <w:pPr>
        <w:pStyle w:val="ListBullet"/>
        <w:spacing w:line="276" w:lineRule="auto"/>
        <w:ind w:left="510"/>
      </w:pPr>
      <w:r>
        <w:rPr>
          <w:rFonts w:ascii="Cambria" w:hAnsi="Cambria"/>
          <w:b w:val="0"/>
          <w:i w:val="0"/>
          <w:sz w:val="22"/>
        </w:rPr>
        <w:t>Confidential files to be preserved for minimum 5 years after case closure.</w:t>
      </w:r>
    </w:p>
    <w:p>
      <w:pPr>
        <w:pStyle w:val="ListBullet"/>
        <w:spacing w:line="276" w:lineRule="auto"/>
        <w:ind w:left="510"/>
      </w:pPr>
      <w:r>
        <w:rPr>
          <w:rFonts w:ascii="Cambria" w:hAnsi="Cambria"/>
          <w:b w:val="0"/>
          <w:i w:val="0"/>
          <w:sz w:val="22"/>
        </w:rPr>
        <w:t>Data used for NAAC Criterion 6.5.3 (Grievance Redressal Mechanism) and ISO 9001:2015 audits.</w:t>
      </w:r>
    </w:p>
    <w:p>
      <w:pPr>
        <w:keepNext/>
        <w:spacing w:before="200" w:after="120"/>
      </w:pPr>
      <w:r>
        <w:rPr>
          <w:rFonts w:ascii="Cambria" w:hAnsi="Cambria"/>
          <w:b/>
          <w:color w:val="1F3A5F"/>
          <w:sz w:val="24"/>
        </w:rPr>
        <w:t>X. Monitoring and Review</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608"/>
            <w:shd w:val="clear" w:color="auto" w:fill="1F3A5F"/>
          </w:tcPr>
          <w:p>
            <w:pPr>
              <w:spacing w:after="40" w:before="40"/>
            </w:pPr>
            <w:r/>
            <w:r>
              <w:rPr>
                <w:rFonts w:ascii="Cambria" w:hAnsi="Cambria"/>
                <w:b/>
                <w:i w:val="0"/>
                <w:color w:val="FFFFFF"/>
                <w:sz w:val="22"/>
              </w:rPr>
              <w:t>Level</w:t>
            </w:r>
          </w:p>
        </w:tc>
        <w:tc>
          <w:tcPr>
            <w:tcW w:type="dxa" w:w="3175"/>
            <w:shd w:val="clear" w:color="auto" w:fill="1F3A5F"/>
          </w:tcPr>
          <w:p>
            <w:pPr>
              <w:spacing w:after="40" w:before="40"/>
            </w:pPr>
            <w:r/>
            <w:r>
              <w:rPr>
                <w:rFonts w:ascii="Cambria" w:hAnsi="Cambria"/>
                <w:b/>
                <w:i w:val="0"/>
                <w:color w:val="FFFFFF"/>
                <w:sz w:val="22"/>
              </w:rPr>
              <w:t>Monitoring Body</w:t>
            </w:r>
          </w:p>
        </w:tc>
        <w:tc>
          <w:tcPr>
            <w:tcW w:type="dxa" w:w="3628"/>
            <w:shd w:val="clear" w:color="auto" w:fill="1F3A5F"/>
          </w:tcPr>
          <w:p>
            <w:pPr>
              <w:spacing w:after="40" w:before="40"/>
            </w:pPr>
            <w:r/>
            <w:r>
              <w:rPr>
                <w:rFonts w:ascii="Cambria" w:hAnsi="Cambria"/>
                <w:b/>
                <w:i w:val="0"/>
                <w:color w:val="FFFFFF"/>
                <w:sz w:val="22"/>
              </w:rPr>
              <w:t>Frequency</w:t>
            </w:r>
          </w:p>
        </w:tc>
      </w:tr>
      <w:tr>
        <w:tc>
          <w:tcPr>
            <w:tcW w:type="dxa" w:w="2608"/>
          </w:tcPr>
          <w:p>
            <w:pPr>
              <w:spacing w:after="40" w:before="40"/>
            </w:pPr>
            <w:r/>
            <w:r>
              <w:rPr>
                <w:rFonts w:ascii="Cambria" w:hAnsi="Cambria"/>
                <w:b w:val="0"/>
                <w:i w:val="0"/>
                <w:sz w:val="22"/>
              </w:rPr>
              <w:t>Department Level</w:t>
            </w:r>
          </w:p>
        </w:tc>
        <w:tc>
          <w:tcPr>
            <w:tcW w:type="dxa" w:w="3175"/>
          </w:tcPr>
          <w:p>
            <w:pPr>
              <w:spacing w:after="40" w:before="40"/>
            </w:pPr>
            <w:r/>
            <w:r>
              <w:rPr>
                <w:rFonts w:ascii="Cambria" w:hAnsi="Cambria"/>
                <w:b w:val="0"/>
                <w:i w:val="0"/>
                <w:sz w:val="22"/>
              </w:rPr>
              <w:t>HoD / HR Officer</w:t>
            </w:r>
          </w:p>
        </w:tc>
        <w:tc>
          <w:tcPr>
            <w:tcW w:type="dxa" w:w="3628"/>
          </w:tcPr>
          <w:p>
            <w:pPr>
              <w:spacing w:after="40" w:before="40"/>
            </w:pPr>
            <w:r/>
            <w:r>
              <w:rPr>
                <w:rFonts w:ascii="Cambria" w:hAnsi="Cambria"/>
                <w:b w:val="0"/>
                <w:i w:val="0"/>
                <w:sz w:val="22"/>
              </w:rPr>
              <w:t>Monthly review</w:t>
            </w:r>
          </w:p>
        </w:tc>
      </w:tr>
      <w:tr>
        <w:tc>
          <w:tcPr>
            <w:tcW w:type="dxa" w:w="2608"/>
            <w:shd w:val="clear" w:color="auto" w:fill="F0F2F5"/>
          </w:tcPr>
          <w:p>
            <w:pPr>
              <w:spacing w:after="40" w:before="40"/>
            </w:pPr>
            <w:r/>
            <w:r>
              <w:rPr>
                <w:rFonts w:ascii="Cambria" w:hAnsi="Cambria"/>
                <w:b w:val="0"/>
                <w:i w:val="0"/>
                <w:sz w:val="22"/>
              </w:rPr>
              <w:t>Institutional Level</w:t>
            </w:r>
          </w:p>
        </w:tc>
        <w:tc>
          <w:tcPr>
            <w:tcW w:type="dxa" w:w="3175"/>
            <w:shd w:val="clear" w:color="auto" w:fill="F0F2F5"/>
          </w:tcPr>
          <w:p>
            <w:pPr>
              <w:spacing w:after="40" w:before="40"/>
            </w:pPr>
            <w:r/>
            <w:r>
              <w:rPr>
                <w:rFonts w:ascii="Cambria" w:hAnsi="Cambria"/>
                <w:b w:val="0"/>
                <w:i w:val="0"/>
                <w:sz w:val="22"/>
              </w:rPr>
              <w:t>IGRC</w:t>
            </w:r>
          </w:p>
        </w:tc>
        <w:tc>
          <w:tcPr>
            <w:tcW w:type="dxa" w:w="3628"/>
            <w:shd w:val="clear" w:color="auto" w:fill="F0F2F5"/>
          </w:tcPr>
          <w:p>
            <w:pPr>
              <w:spacing w:after="40" w:before="40"/>
            </w:pPr>
            <w:r/>
            <w:r>
              <w:rPr>
                <w:rFonts w:ascii="Cambria" w:hAnsi="Cambria"/>
                <w:b w:val="0"/>
                <w:i w:val="0"/>
                <w:sz w:val="22"/>
              </w:rPr>
              <w:t>Quarterly review</w:t>
            </w:r>
          </w:p>
        </w:tc>
      </w:tr>
      <w:tr>
        <w:tc>
          <w:tcPr>
            <w:tcW w:type="dxa" w:w="2608"/>
          </w:tcPr>
          <w:p>
            <w:pPr>
              <w:spacing w:after="40" w:before="40"/>
            </w:pPr>
            <w:r/>
            <w:r>
              <w:rPr>
                <w:rFonts w:ascii="Cambria" w:hAnsi="Cambria"/>
                <w:b w:val="0"/>
                <w:i w:val="0"/>
                <w:sz w:val="22"/>
              </w:rPr>
              <w:t>University Level</w:t>
            </w:r>
          </w:p>
        </w:tc>
        <w:tc>
          <w:tcPr>
            <w:tcW w:type="dxa" w:w="3175"/>
          </w:tcPr>
          <w:p>
            <w:pPr>
              <w:spacing w:after="40" w:before="40"/>
            </w:pPr>
            <w:r/>
            <w:r>
              <w:rPr>
                <w:rFonts w:ascii="Cambria" w:hAnsi="Cambria"/>
                <w:b w:val="0"/>
                <w:i w:val="0"/>
                <w:sz w:val="22"/>
              </w:rPr>
              <w:t>BoM / IQAC</w:t>
            </w:r>
          </w:p>
        </w:tc>
        <w:tc>
          <w:tcPr>
            <w:tcW w:type="dxa" w:w="3628"/>
          </w:tcPr>
          <w:p>
            <w:pPr>
              <w:spacing w:after="40" w:before="40"/>
            </w:pPr>
            <w:r/>
            <w:r>
              <w:rPr>
                <w:rFonts w:ascii="Cambria" w:hAnsi="Cambria"/>
                <w:b w:val="0"/>
                <w:i w:val="0"/>
                <w:sz w:val="22"/>
              </w:rPr>
              <w:t>Annual audit</w:t>
            </w:r>
          </w:p>
        </w:tc>
      </w:tr>
    </w:tbl>
    <w:p>
      <w:pPr>
        <w:spacing w:after="40"/>
      </w:pPr>
    </w:p>
    <w:p>
      <w:pPr>
        <w:pStyle w:val="ListBullet"/>
        <w:spacing w:line="276" w:lineRule="auto"/>
        <w:ind w:left="510"/>
      </w:pPr>
      <w:r>
        <w:rPr>
          <w:rFonts w:ascii="Cambria" w:hAnsi="Cambria"/>
          <w:b w:val="0"/>
          <w:i w:val="0"/>
          <w:sz w:val="22"/>
        </w:rPr>
        <w:t>Employee satisfaction and grievance closure rates shall be key KPIs for review.</w:t>
      </w:r>
    </w:p>
    <w:p>
      <w:pPr>
        <w:keepNext/>
        <w:spacing w:before="200" w:after="120"/>
      </w:pPr>
      <w:r>
        <w:rPr>
          <w:rFonts w:ascii="Cambria" w:hAnsi="Cambria"/>
          <w:b/>
          <w:color w:val="1F3A5F"/>
          <w:sz w:val="24"/>
        </w:rPr>
        <w:t>XI. Policy Review and Alignment</w:t>
      </w:r>
    </w:p>
    <w:p>
      <w:pPr>
        <w:pStyle w:val="ListBullet"/>
        <w:spacing w:line="276" w:lineRule="auto"/>
        <w:ind w:left="510"/>
      </w:pPr>
      <w:r>
        <w:rPr>
          <w:rFonts w:ascii="Cambria" w:hAnsi="Cambria"/>
          <w:b w:val="0"/>
          <w:i w:val="0"/>
          <w:sz w:val="22"/>
        </w:rPr>
        <w:t>The policy shall be reviewed every three years or earlier as per regulatory changes.</w:t>
      </w:r>
    </w:p>
    <w:p>
      <w:pPr>
        <w:pStyle w:val="ListBullet"/>
        <w:spacing w:line="276" w:lineRule="auto"/>
        <w:ind w:left="510"/>
      </w:pPr>
      <w:r>
        <w:rPr>
          <w:rFonts w:ascii="Cambria" w:hAnsi="Cambria"/>
          <w:b w:val="0"/>
          <w:i w:val="0"/>
          <w:sz w:val="22"/>
        </w:rPr>
        <w:t>Alignment ensured with:</w:t>
      </w:r>
    </w:p>
    <w:p>
      <w:pPr>
        <w:pStyle w:val="ListBullet2"/>
        <w:spacing w:line="276" w:lineRule="auto"/>
        <w:ind w:left="1020"/>
      </w:pPr>
      <w:r>
        <w:rPr>
          <w:rFonts w:ascii="Cambria" w:hAnsi="Cambria"/>
          <w:b w:val="0"/>
          <w:i w:val="0"/>
          <w:sz w:val="22"/>
        </w:rPr>
        <w:t>UGC (Grievance Redressal) Regulations, 2023</w:t>
      </w:r>
    </w:p>
    <w:p>
      <w:pPr>
        <w:pStyle w:val="ListBullet2"/>
        <w:spacing w:line="276" w:lineRule="auto"/>
        <w:ind w:left="1020"/>
      </w:pPr>
      <w:r>
        <w:rPr>
          <w:rFonts w:ascii="Cambria" w:hAnsi="Cambria"/>
          <w:b w:val="0"/>
          <w:i w:val="0"/>
          <w:sz w:val="22"/>
        </w:rPr>
        <w:t>AICTE Regulations on Employee Grievance Redressal</w:t>
      </w:r>
    </w:p>
    <w:p>
      <w:pPr>
        <w:pStyle w:val="ListBullet2"/>
        <w:spacing w:line="276" w:lineRule="auto"/>
        <w:ind w:left="1020"/>
      </w:pPr>
      <w:r>
        <w:rPr>
          <w:rFonts w:ascii="Cambria" w:hAnsi="Cambria"/>
          <w:b w:val="0"/>
          <w:i w:val="0"/>
          <w:sz w:val="22"/>
        </w:rPr>
        <w:t>Industrial Employment (Standing Orders) Act, 1946</w:t>
      </w:r>
    </w:p>
    <w:p>
      <w:pPr>
        <w:pStyle w:val="ListBullet2"/>
        <w:spacing w:line="276" w:lineRule="auto"/>
        <w:ind w:left="1020"/>
      </w:pPr>
      <w:r>
        <w:rPr>
          <w:rFonts w:ascii="Cambria" w:hAnsi="Cambria"/>
          <w:b w:val="0"/>
          <w:i w:val="0"/>
          <w:sz w:val="22"/>
        </w:rPr>
        <w:t>Labour Laws and NEP 2020 Human Resource Governance Principles.</w:t>
      </w:r>
    </w:p>
    <w:p>
      <w:pPr>
        <w:keepNext/>
        <w:spacing w:before="200" w:after="120"/>
      </w:pPr>
      <w:r>
        <w:rPr>
          <w:rFonts w:ascii="Cambria" w:hAnsi="Cambria"/>
          <w:b/>
          <w:color w:val="1F3A5F"/>
          <w:sz w:val="24"/>
        </w:rPr>
        <w:t>XII.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762"/>
            <w:shd w:val="clear" w:color="auto" w:fill="1F3A5F"/>
          </w:tcPr>
          <w:p>
            <w:pPr>
              <w:spacing w:after="40" w:before="40"/>
            </w:pPr>
            <w:r/>
            <w:r>
              <w:rPr>
                <w:rFonts w:ascii="Cambria" w:hAnsi="Cambria"/>
                <w:b/>
                <w:i w:val="0"/>
                <w:color w:val="FFFFFF"/>
                <w:sz w:val="22"/>
              </w:rPr>
              <w:t>Provision</w:t>
            </w:r>
          </w:p>
        </w:tc>
        <w:tc>
          <w:tcPr>
            <w:tcW w:type="dxa" w:w="2721"/>
            <w:shd w:val="clear" w:color="auto" w:fill="1F3A5F"/>
          </w:tcPr>
          <w:p>
            <w:pPr>
              <w:spacing w:after="40" w:before="40"/>
            </w:pPr>
            <w:r/>
            <w:r>
              <w:rPr>
                <w:rFonts w:ascii="Cambria" w:hAnsi="Cambria"/>
                <w:b/>
                <w:i w:val="0"/>
                <w:color w:val="FFFFFF"/>
                <w:sz w:val="22"/>
              </w:rPr>
              <w:t>Responsible Authority</w:t>
            </w:r>
          </w:p>
        </w:tc>
      </w:tr>
      <w:tr>
        <w:tc>
          <w:tcPr>
            <w:tcW w:type="dxa" w:w="1927"/>
          </w:tcPr>
          <w:p>
            <w:pPr>
              <w:spacing w:after="40" w:before="40"/>
            </w:pPr>
            <w:r/>
            <w:r>
              <w:rPr>
                <w:rFonts w:ascii="Cambria" w:hAnsi="Cambria"/>
                <w:b w:val="0"/>
                <w:i w:val="0"/>
                <w:sz w:val="22"/>
              </w:rPr>
              <w:t>Grievance Resolution</w:t>
            </w:r>
          </w:p>
        </w:tc>
        <w:tc>
          <w:tcPr>
            <w:tcW w:type="dxa" w:w="4762"/>
          </w:tcPr>
          <w:p>
            <w:pPr>
              <w:spacing w:after="40" w:before="40"/>
            </w:pPr>
            <w:r/>
            <w:r>
              <w:rPr>
                <w:rFonts w:ascii="Cambria" w:hAnsi="Cambria"/>
                <w:b w:val="0"/>
                <w:i w:val="0"/>
                <w:sz w:val="22"/>
              </w:rPr>
              <w:t>Multi-level (HoD → IGRC → UGRC → BoM)</w:t>
            </w:r>
          </w:p>
        </w:tc>
        <w:tc>
          <w:tcPr>
            <w:tcW w:type="dxa" w:w="2721"/>
          </w:tcPr>
          <w:p>
            <w:pPr>
              <w:spacing w:after="40" w:before="40"/>
            </w:pPr>
            <w:r/>
            <w:r>
              <w:rPr>
                <w:rFonts w:ascii="Cambria" w:hAnsi="Cambria"/>
                <w:b w:val="0"/>
                <w:i w:val="0"/>
                <w:sz w:val="22"/>
              </w:rPr>
              <w:t>Registrar / HRD Cell</w:t>
            </w:r>
          </w:p>
        </w:tc>
      </w:tr>
      <w:tr>
        <w:tc>
          <w:tcPr>
            <w:tcW w:type="dxa" w:w="1927"/>
            <w:shd w:val="clear" w:color="auto" w:fill="F0F2F5"/>
          </w:tcPr>
          <w:p>
            <w:pPr>
              <w:spacing w:after="40" w:before="40"/>
            </w:pPr>
            <w:r/>
            <w:r>
              <w:rPr>
                <w:rFonts w:ascii="Cambria" w:hAnsi="Cambria"/>
                <w:b w:val="0"/>
                <w:i w:val="0"/>
                <w:sz w:val="22"/>
              </w:rPr>
              <w:t>Timeline for Resolution</w:t>
            </w:r>
          </w:p>
        </w:tc>
        <w:tc>
          <w:tcPr>
            <w:tcW w:type="dxa" w:w="4762"/>
            <w:shd w:val="clear" w:color="auto" w:fill="F0F2F5"/>
          </w:tcPr>
          <w:p>
            <w:pPr>
              <w:spacing w:after="40" w:before="40"/>
            </w:pPr>
            <w:r/>
            <w:r>
              <w:rPr>
                <w:rFonts w:ascii="Cambria" w:hAnsi="Cambria"/>
                <w:b w:val="0"/>
                <w:i w:val="0"/>
                <w:sz w:val="22"/>
              </w:rPr>
              <w:t>7–60 working days</w:t>
            </w:r>
          </w:p>
        </w:tc>
        <w:tc>
          <w:tcPr>
            <w:tcW w:type="dxa" w:w="2721"/>
            <w:shd w:val="clear" w:color="auto" w:fill="F0F2F5"/>
          </w:tcPr>
          <w:p>
            <w:pPr>
              <w:spacing w:after="40" w:before="40"/>
            </w:pPr>
            <w:r/>
            <w:r>
              <w:rPr>
                <w:rFonts w:ascii="Cambria" w:hAnsi="Cambria"/>
                <w:b w:val="0"/>
                <w:i w:val="0"/>
                <w:sz w:val="22"/>
              </w:rPr>
              <w:t>IGRC / UGRC</w:t>
            </w:r>
          </w:p>
        </w:tc>
      </w:tr>
      <w:tr>
        <w:tc>
          <w:tcPr>
            <w:tcW w:type="dxa" w:w="1927"/>
          </w:tcPr>
          <w:p>
            <w:pPr>
              <w:spacing w:after="40" w:before="40"/>
            </w:pPr>
            <w:r/>
            <w:r>
              <w:rPr>
                <w:rFonts w:ascii="Cambria" w:hAnsi="Cambria"/>
                <w:b w:val="0"/>
                <w:i w:val="0"/>
                <w:sz w:val="22"/>
              </w:rPr>
              <w:t>Disciplinary Process</w:t>
            </w:r>
          </w:p>
        </w:tc>
        <w:tc>
          <w:tcPr>
            <w:tcW w:type="dxa" w:w="4762"/>
          </w:tcPr>
          <w:p>
            <w:pPr>
              <w:spacing w:after="40" w:before="40"/>
            </w:pPr>
            <w:r/>
            <w:r>
              <w:rPr>
                <w:rFonts w:ascii="Cambria" w:hAnsi="Cambria"/>
                <w:b w:val="0"/>
                <w:i w:val="0"/>
                <w:sz w:val="22"/>
              </w:rPr>
              <w:t>Inquiry-based with appeal rights</w:t>
            </w:r>
          </w:p>
        </w:tc>
        <w:tc>
          <w:tcPr>
            <w:tcW w:type="dxa" w:w="2721"/>
          </w:tcPr>
          <w:p>
            <w:pPr>
              <w:spacing w:after="40" w:before="40"/>
            </w:pPr>
            <w:r/>
            <w:r>
              <w:rPr>
                <w:rFonts w:ascii="Cambria" w:hAnsi="Cambria"/>
                <w:b w:val="0"/>
                <w:i w:val="0"/>
                <w:sz w:val="22"/>
              </w:rPr>
              <w:t>HRD / BoM</w:t>
            </w:r>
          </w:p>
        </w:tc>
      </w:tr>
      <w:tr>
        <w:tc>
          <w:tcPr>
            <w:tcW w:type="dxa" w:w="1927"/>
            <w:shd w:val="clear" w:color="auto" w:fill="F0F2F5"/>
          </w:tcPr>
          <w:p>
            <w:pPr>
              <w:spacing w:after="40" w:before="40"/>
            </w:pPr>
            <w:r/>
            <w:r>
              <w:rPr>
                <w:rFonts w:ascii="Cambria" w:hAnsi="Cambria"/>
                <w:b w:val="0"/>
                <w:i w:val="0"/>
                <w:sz w:val="22"/>
              </w:rPr>
              <w:t>Confidentiality</w:t>
            </w:r>
          </w:p>
        </w:tc>
        <w:tc>
          <w:tcPr>
            <w:tcW w:type="dxa" w:w="4762"/>
            <w:shd w:val="clear" w:color="auto" w:fill="F0F2F5"/>
          </w:tcPr>
          <w:p>
            <w:pPr>
              <w:spacing w:after="40" w:before="40"/>
            </w:pPr>
            <w:r/>
            <w:r>
              <w:rPr>
                <w:rFonts w:ascii="Cambria" w:hAnsi="Cambria"/>
                <w:b w:val="0"/>
                <w:i w:val="0"/>
                <w:sz w:val="22"/>
              </w:rPr>
              <w:t>Mandatory at all levels</w:t>
            </w:r>
          </w:p>
        </w:tc>
        <w:tc>
          <w:tcPr>
            <w:tcW w:type="dxa" w:w="2721"/>
            <w:shd w:val="clear" w:color="auto" w:fill="F0F2F5"/>
          </w:tcPr>
          <w:p>
            <w:pPr>
              <w:spacing w:after="40" w:before="40"/>
            </w:pPr>
            <w:r/>
            <w:r>
              <w:rPr>
                <w:rFonts w:ascii="Cambria" w:hAnsi="Cambria"/>
                <w:b w:val="0"/>
                <w:i w:val="0"/>
                <w:sz w:val="22"/>
              </w:rPr>
              <w:t>Inquiry Committee</w:t>
            </w:r>
          </w:p>
        </w:tc>
      </w:tr>
      <w:tr>
        <w:tc>
          <w:tcPr>
            <w:tcW w:type="dxa" w:w="1927"/>
          </w:tcPr>
          <w:p>
            <w:pPr>
              <w:spacing w:after="40" w:before="40"/>
            </w:pPr>
            <w:r/>
            <w:r>
              <w:rPr>
                <w:rFonts w:ascii="Cambria" w:hAnsi="Cambria"/>
                <w:b w:val="0"/>
                <w:i w:val="0"/>
                <w:sz w:val="22"/>
              </w:rPr>
              <w:t>Record Maintenance</w:t>
            </w:r>
          </w:p>
        </w:tc>
        <w:tc>
          <w:tcPr>
            <w:tcW w:type="dxa" w:w="4762"/>
          </w:tcPr>
          <w:p>
            <w:pPr>
              <w:spacing w:after="40" w:before="40"/>
            </w:pPr>
            <w:r/>
            <w:r>
              <w:rPr>
                <w:rFonts w:ascii="Cambria" w:hAnsi="Cambria"/>
                <w:b w:val="0"/>
                <w:i w:val="0"/>
                <w:sz w:val="22"/>
              </w:rPr>
              <w:t>5 years</w:t>
            </w:r>
          </w:p>
        </w:tc>
        <w:tc>
          <w:tcPr>
            <w:tcW w:type="dxa" w:w="2721"/>
          </w:tcPr>
          <w:p>
            <w:pPr>
              <w:spacing w:after="40" w:before="40"/>
            </w:pPr>
            <w:r/>
            <w:r>
              <w:rPr>
                <w:rFonts w:ascii="Cambria" w:hAnsi="Cambria"/>
                <w:b w:val="0"/>
                <w:i w:val="0"/>
                <w:sz w:val="22"/>
              </w:rPr>
              <w:t>HR Department</w:t>
            </w:r>
          </w:p>
        </w:tc>
      </w:tr>
      <w:tr>
        <w:tc>
          <w:tcPr>
            <w:tcW w:type="dxa" w:w="1927"/>
            <w:shd w:val="clear" w:color="auto" w:fill="F0F2F5"/>
          </w:tcPr>
          <w:p>
            <w:pPr>
              <w:spacing w:after="40" w:before="40"/>
            </w:pPr>
            <w:r/>
            <w:r>
              <w:rPr>
                <w:rFonts w:ascii="Cambria" w:hAnsi="Cambria"/>
                <w:b w:val="0"/>
                <w:i w:val="0"/>
                <w:sz w:val="22"/>
              </w:rPr>
              <w:t>Policy Review</w:t>
            </w:r>
          </w:p>
        </w:tc>
        <w:tc>
          <w:tcPr>
            <w:tcW w:type="dxa" w:w="4762"/>
            <w:shd w:val="clear" w:color="auto" w:fill="F0F2F5"/>
          </w:tcPr>
          <w:p>
            <w:pPr>
              <w:spacing w:after="40" w:before="40"/>
            </w:pPr>
            <w:r/>
            <w:r>
              <w:rPr>
                <w:rFonts w:ascii="Cambria" w:hAnsi="Cambria"/>
                <w:b w:val="0"/>
                <w:i w:val="0"/>
                <w:sz w:val="22"/>
              </w:rPr>
              <w:t>Every 3 years</w:t>
            </w:r>
          </w:p>
        </w:tc>
        <w:tc>
          <w:tcPr>
            <w:tcW w:type="dxa" w:w="2721"/>
            <w:shd w:val="clear" w:color="auto" w:fill="F0F2F5"/>
          </w:tcPr>
          <w:p>
            <w:pPr>
              <w:spacing w:after="40" w:before="40"/>
            </w:pPr>
            <w:r/>
            <w:r>
              <w:rPr>
                <w:rFonts w:ascii="Cambria" w:hAnsi="Cambria"/>
                <w:b w:val="0"/>
                <w:i w:val="0"/>
                <w:sz w:val="22"/>
              </w:rPr>
              <w:t>BoM / IQAC</w:t>
            </w:r>
          </w:p>
        </w:tc>
      </w:tr>
    </w:tbl>
    <w:p>
      <w:pPr>
        <w:spacing w:after="40"/>
      </w:pPr>
    </w:p>
    <w:p>
      <w:pPr>
        <w:keepNext/>
        <w:spacing w:before="200" w:after="120"/>
      </w:pPr>
      <w:r>
        <w:rPr>
          <w:rFonts w:ascii="Cambria" w:hAnsi="Cambria"/>
          <w:b/>
          <w:color w:val="1F3A5F"/>
          <w:sz w:val="24"/>
        </w:rPr>
        <w:t>XIII. Policy Principles</w:t>
      </w:r>
    </w:p>
    <w:p>
      <w:pPr>
        <w:pStyle w:val="ListBullet"/>
        <w:spacing w:line="276" w:lineRule="auto"/>
        <w:ind w:left="510"/>
      </w:pPr>
      <w:r>
        <w:rPr>
          <w:rFonts w:ascii="Cambria" w:hAnsi="Cambria"/>
          <w:b w:val="0"/>
          <w:i w:val="0"/>
          <w:sz w:val="22"/>
        </w:rPr>
        <w:t>Fairness, equality, and transparency are the foundation of this policy.</w:t>
      </w:r>
    </w:p>
    <w:p>
      <w:pPr>
        <w:pStyle w:val="ListBullet"/>
        <w:spacing w:line="276" w:lineRule="auto"/>
        <w:ind w:left="510"/>
      </w:pPr>
      <w:r>
        <w:rPr>
          <w:rFonts w:ascii="Cambria" w:hAnsi="Cambria"/>
          <w:b w:val="0"/>
          <w:i w:val="0"/>
          <w:sz w:val="22"/>
        </w:rPr>
        <w:t>Every employee has the right to be heard and to receive a timely and impartial resolution.</w:t>
      </w:r>
    </w:p>
    <w:p>
      <w:pPr>
        <w:pStyle w:val="ListBullet"/>
        <w:spacing w:line="276" w:lineRule="auto"/>
        <w:ind w:left="510"/>
      </w:pPr>
      <w:r>
        <w:rPr>
          <w:rFonts w:ascii="Cambria" w:hAnsi="Cambria"/>
          <w:b w:val="0"/>
          <w:i w:val="0"/>
          <w:sz w:val="22"/>
        </w:rPr>
        <w:t>Disciplinary measures shall be corrective, not punitive, emphasizing reformation and accountability.</w:t>
      </w:r>
    </w:p>
    <w:p>
      <w:pPr>
        <w:pStyle w:val="ListBullet"/>
        <w:spacing w:line="276" w:lineRule="auto"/>
        <w:ind w:left="510"/>
      </w:pPr>
      <w:r>
        <w:rPr>
          <w:rFonts w:ascii="Cambria" w:hAnsi="Cambria"/>
          <w:b w:val="0"/>
          <w:i w:val="0"/>
          <w:sz w:val="22"/>
        </w:rPr>
        <w:t>The institution shall maintain a zero-tolerance stance toward harassment, discrimination, and corruption.</w:t>
      </w:r>
    </w:p>
    <w:p>
      <w:pPr>
        <w:pStyle w:val="ListBullet"/>
        <w:spacing w:line="276" w:lineRule="auto"/>
        <w:ind w:left="510"/>
      </w:pPr>
      <w:r>
        <w:rPr>
          <w:rFonts w:ascii="Cambria" w:hAnsi="Cambria"/>
          <w:b w:val="0"/>
          <w:i w:val="0"/>
          <w:sz w:val="22"/>
        </w:rPr>
        <w:t>Continuous improvement in grievance mechanisms will be ensured through feedback and periodic audits.</w:t>
      </w:r>
    </w:p>
    <w:p>
      <w:pPr>
        <w:keepNext/>
        <w:spacing w:before="200" w:after="120"/>
      </w:pPr>
      <w:r>
        <w:rPr>
          <w:rFonts w:ascii="Cambria" w:hAnsi="Cambria"/>
          <w:b/>
          <w:color w:val="1F3A5F"/>
          <w:sz w:val="27"/>
        </w:rPr>
        <w:t>R. Code of Conduct and Ethics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define the ethical standards, professional behaviour, and institutional values expected of all employees of the University.</w:t>
      </w:r>
    </w:p>
    <w:p>
      <w:pPr>
        <w:pStyle w:val="ListBullet"/>
        <w:spacing w:line="276" w:lineRule="auto"/>
        <w:ind w:left="510"/>
      </w:pPr>
      <w:r>
        <w:rPr>
          <w:rFonts w:ascii="Cambria" w:hAnsi="Cambria"/>
          <w:b w:val="0"/>
          <w:i w:val="0"/>
          <w:sz w:val="22"/>
        </w:rPr>
        <w:t>The policy ensures that every action of faculty, staff, and administrators reflects integrity, accountability, fairness, and respect — aligning with the principles of UGC Regulations (2018), AICTE Code of Professional Conduct, and the National Education Policy (NEP) 2020.</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Promote a culture of ethical responsibility and professional integrity among all employees.</w:t>
      </w:r>
    </w:p>
    <w:p>
      <w:pPr>
        <w:pStyle w:val="ListBullet"/>
        <w:spacing w:line="276" w:lineRule="auto"/>
        <w:ind w:left="510"/>
      </w:pPr>
      <w:r>
        <w:rPr>
          <w:rFonts w:ascii="Cambria" w:hAnsi="Cambria"/>
          <w:b w:val="0"/>
          <w:i w:val="0"/>
          <w:sz w:val="22"/>
        </w:rPr>
        <w:t>Safeguard institutional reputation by maintaining high moral, social, and professional standards.</w:t>
      </w:r>
    </w:p>
    <w:p>
      <w:pPr>
        <w:pStyle w:val="ListBullet"/>
        <w:spacing w:line="276" w:lineRule="auto"/>
        <w:ind w:left="510"/>
      </w:pPr>
      <w:r>
        <w:rPr>
          <w:rFonts w:ascii="Cambria" w:hAnsi="Cambria"/>
          <w:b w:val="0"/>
          <w:i w:val="0"/>
          <w:sz w:val="22"/>
        </w:rPr>
        <w:t>Ensure compliance with all applicable laws, academic regulations, and institutional policies.</w:t>
      </w:r>
    </w:p>
    <w:p>
      <w:pPr>
        <w:pStyle w:val="ListBullet"/>
        <w:spacing w:line="276" w:lineRule="auto"/>
        <w:ind w:left="510"/>
      </w:pPr>
      <w:r>
        <w:rPr>
          <w:rFonts w:ascii="Cambria" w:hAnsi="Cambria"/>
          <w:b w:val="0"/>
          <w:i w:val="0"/>
          <w:sz w:val="22"/>
        </w:rPr>
        <w:t>Encourage transparency, inclusivity, and respect in academic and administrative dealings.</w:t>
      </w:r>
    </w:p>
    <w:p>
      <w:pPr>
        <w:pStyle w:val="ListBullet"/>
        <w:spacing w:line="276" w:lineRule="auto"/>
        <w:ind w:left="510"/>
      </w:pPr>
      <w:r>
        <w:rPr>
          <w:rFonts w:ascii="Cambria" w:hAnsi="Cambria"/>
          <w:b w:val="0"/>
          <w:i w:val="0"/>
          <w:sz w:val="22"/>
        </w:rPr>
        <w:t>Prevent misconduct, conflicts of interest, and unethical behaviour at all levels.</w:t>
      </w:r>
    </w:p>
    <w:p>
      <w:pPr>
        <w:keepNext/>
        <w:spacing w:before="200" w:after="120"/>
      </w:pPr>
      <w:r>
        <w:rPr>
          <w:rFonts w:ascii="Cambria" w:hAnsi="Cambria"/>
          <w:b/>
          <w:color w:val="1F3A5F"/>
          <w:sz w:val="24"/>
        </w:rPr>
        <w:t>II. Scope and Applicability</w:t>
      </w:r>
    </w:p>
    <w:p>
      <w:pPr>
        <w:pStyle w:val="ListBullet"/>
        <w:spacing w:line="276" w:lineRule="auto"/>
        <w:ind w:left="510"/>
      </w:pPr>
      <w:r>
        <w:rPr>
          <w:rFonts w:ascii="Cambria" w:hAnsi="Cambria"/>
          <w:b w:val="0"/>
          <w:i w:val="0"/>
          <w:sz w:val="22"/>
        </w:rPr>
        <w:t>Applies to all categories of employees — Teaching, Non-teaching, Technical, and Administrative staff (regular, probationary, contract, or part-time).</w:t>
      </w:r>
    </w:p>
    <w:p>
      <w:pPr>
        <w:pStyle w:val="ListBullet"/>
        <w:spacing w:line="276" w:lineRule="auto"/>
        <w:ind w:left="510"/>
      </w:pPr>
      <w:r>
        <w:rPr>
          <w:rFonts w:ascii="Cambria" w:hAnsi="Cambria"/>
          <w:b w:val="0"/>
          <w:i w:val="0"/>
          <w:sz w:val="22"/>
        </w:rPr>
        <w:t>Extends to research scholars, visiting faculty, consultants, and adjunct appointments associated with the University.</w:t>
      </w:r>
    </w:p>
    <w:p>
      <w:pPr>
        <w:pStyle w:val="ListBullet"/>
        <w:spacing w:line="276" w:lineRule="auto"/>
        <w:ind w:left="510"/>
      </w:pPr>
      <w:r>
        <w:rPr>
          <w:rFonts w:ascii="Cambria" w:hAnsi="Cambria"/>
          <w:b w:val="0"/>
          <w:i w:val="0"/>
          <w:sz w:val="22"/>
        </w:rPr>
        <w:t>Covers conduct within and outside the campus where the reputation or interests of the University may be affected.</w:t>
      </w:r>
    </w:p>
    <w:p>
      <w:pPr>
        <w:keepNext/>
        <w:spacing w:before="200" w:after="120"/>
      </w:pPr>
      <w:r>
        <w:rPr>
          <w:rFonts w:ascii="Cambria" w:hAnsi="Cambria"/>
          <w:b/>
          <w:color w:val="1F3A5F"/>
          <w:sz w:val="24"/>
        </w:rPr>
        <w:t>III. Core Ethical Principles</w:t>
      </w:r>
    </w:p>
    <w:tbl>
      <w:tblPr>
        <w:tblStyle w:val="TableGrid"/>
        <w:tblW w:type="auto" w:w="0"/>
        <w:jc w:val="center"/>
        <w:tblLook w:firstColumn="1" w:firstRow="1" w:lastColumn="0" w:lastRow="0" w:noHBand="0" w:noVBand="1" w:val="04A0"/>
        <w:tblLayout w:type="fixed"/>
      </w:tblPr>
      <w:tblGrid>
        <w:gridCol w:w="4706"/>
        <w:gridCol w:w="4706"/>
      </w:tblGrid>
      <w:tr>
        <w:tc>
          <w:tcPr>
            <w:tcW w:type="dxa" w:w="2494"/>
            <w:shd w:val="clear" w:color="auto" w:fill="1F3A5F"/>
          </w:tcPr>
          <w:p>
            <w:pPr>
              <w:spacing w:after="40" w:before="40"/>
            </w:pPr>
            <w:r/>
            <w:r>
              <w:rPr>
                <w:rFonts w:ascii="Cambria" w:hAnsi="Cambria"/>
                <w:b/>
                <w:i w:val="0"/>
                <w:color w:val="FFFFFF"/>
                <w:sz w:val="22"/>
              </w:rPr>
              <w:t>Principle</w:t>
            </w:r>
          </w:p>
        </w:tc>
        <w:tc>
          <w:tcPr>
            <w:tcW w:type="dxa" w:w="6917"/>
            <w:shd w:val="clear" w:color="auto" w:fill="1F3A5F"/>
          </w:tcPr>
          <w:p>
            <w:pPr>
              <w:spacing w:after="40" w:before="40"/>
            </w:pPr>
            <w:r/>
            <w:r>
              <w:rPr>
                <w:rFonts w:ascii="Cambria" w:hAnsi="Cambria"/>
                <w:b/>
                <w:i w:val="0"/>
                <w:color w:val="FFFFFF"/>
                <w:sz w:val="22"/>
              </w:rPr>
              <w:t>Description</w:t>
            </w:r>
          </w:p>
        </w:tc>
      </w:tr>
      <w:tr>
        <w:tc>
          <w:tcPr>
            <w:tcW w:type="dxa" w:w="2494"/>
          </w:tcPr>
          <w:p>
            <w:pPr>
              <w:spacing w:after="40" w:before="40"/>
            </w:pPr>
            <w:r/>
            <w:r>
              <w:rPr>
                <w:rFonts w:ascii="Cambria" w:hAnsi="Cambria"/>
                <w:b w:val="0"/>
                <w:i w:val="0"/>
                <w:sz w:val="22"/>
              </w:rPr>
              <w:t>Integrity</w:t>
            </w:r>
          </w:p>
        </w:tc>
        <w:tc>
          <w:tcPr>
            <w:tcW w:type="dxa" w:w="6917"/>
          </w:tcPr>
          <w:p>
            <w:pPr>
              <w:spacing w:after="40" w:before="40"/>
            </w:pPr>
            <w:r/>
            <w:r>
              <w:rPr>
                <w:rFonts w:ascii="Cambria" w:hAnsi="Cambria"/>
                <w:b w:val="0"/>
                <w:i w:val="0"/>
                <w:sz w:val="22"/>
              </w:rPr>
              <w:t>Maintain honesty, fairness, and accountability in all professional dealings.</w:t>
            </w:r>
          </w:p>
        </w:tc>
      </w:tr>
      <w:tr>
        <w:tc>
          <w:tcPr>
            <w:tcW w:type="dxa" w:w="2494"/>
            <w:shd w:val="clear" w:color="auto" w:fill="F0F2F5"/>
          </w:tcPr>
          <w:p>
            <w:pPr>
              <w:spacing w:after="40" w:before="40"/>
            </w:pPr>
            <w:r/>
            <w:r>
              <w:rPr>
                <w:rFonts w:ascii="Cambria" w:hAnsi="Cambria"/>
                <w:b w:val="0"/>
                <w:i w:val="0"/>
                <w:sz w:val="22"/>
              </w:rPr>
              <w:t>Respect</w:t>
            </w:r>
          </w:p>
        </w:tc>
        <w:tc>
          <w:tcPr>
            <w:tcW w:type="dxa" w:w="6917"/>
            <w:shd w:val="clear" w:color="auto" w:fill="F0F2F5"/>
          </w:tcPr>
          <w:p>
            <w:pPr>
              <w:spacing w:after="40" w:before="40"/>
            </w:pPr>
            <w:r/>
            <w:r>
              <w:rPr>
                <w:rFonts w:ascii="Cambria" w:hAnsi="Cambria"/>
                <w:b w:val="0"/>
                <w:i w:val="0"/>
                <w:sz w:val="22"/>
              </w:rPr>
              <w:t>Treat colleagues, students, and stakeholders with dignity, empathy, and equality.</w:t>
            </w:r>
          </w:p>
        </w:tc>
      </w:tr>
      <w:tr>
        <w:tc>
          <w:tcPr>
            <w:tcW w:type="dxa" w:w="2494"/>
          </w:tcPr>
          <w:p>
            <w:pPr>
              <w:spacing w:after="40" w:before="40"/>
            </w:pPr>
            <w:r/>
            <w:r>
              <w:rPr>
                <w:rFonts w:ascii="Cambria" w:hAnsi="Cambria"/>
                <w:b w:val="0"/>
                <w:i w:val="0"/>
                <w:sz w:val="22"/>
              </w:rPr>
              <w:t>Confidentiality</w:t>
            </w:r>
          </w:p>
        </w:tc>
        <w:tc>
          <w:tcPr>
            <w:tcW w:type="dxa" w:w="6917"/>
          </w:tcPr>
          <w:p>
            <w:pPr>
              <w:spacing w:after="40" w:before="40"/>
            </w:pPr>
            <w:r/>
            <w:r>
              <w:rPr>
                <w:rFonts w:ascii="Cambria" w:hAnsi="Cambria"/>
                <w:b w:val="0"/>
                <w:i w:val="0"/>
                <w:sz w:val="22"/>
              </w:rPr>
              <w:t>Protect institutional data, research findings, and student information.</w:t>
            </w:r>
          </w:p>
        </w:tc>
      </w:tr>
      <w:tr>
        <w:tc>
          <w:tcPr>
            <w:tcW w:type="dxa" w:w="2494"/>
            <w:shd w:val="clear" w:color="auto" w:fill="F0F2F5"/>
          </w:tcPr>
          <w:p>
            <w:pPr>
              <w:spacing w:after="40" w:before="40"/>
            </w:pPr>
            <w:r/>
            <w:r>
              <w:rPr>
                <w:rFonts w:ascii="Cambria" w:hAnsi="Cambria"/>
                <w:b w:val="0"/>
                <w:i w:val="0"/>
                <w:sz w:val="22"/>
              </w:rPr>
              <w:t>Transparency</w:t>
            </w:r>
          </w:p>
        </w:tc>
        <w:tc>
          <w:tcPr>
            <w:tcW w:type="dxa" w:w="6917"/>
            <w:shd w:val="clear" w:color="auto" w:fill="F0F2F5"/>
          </w:tcPr>
          <w:p>
            <w:pPr>
              <w:spacing w:after="40" w:before="40"/>
            </w:pPr>
            <w:r/>
            <w:r>
              <w:rPr>
                <w:rFonts w:ascii="Cambria" w:hAnsi="Cambria"/>
                <w:b w:val="0"/>
                <w:i w:val="0"/>
                <w:sz w:val="22"/>
              </w:rPr>
              <w:t>Ensure clarity in decision-making, communication, and reporting.</w:t>
            </w:r>
          </w:p>
        </w:tc>
      </w:tr>
      <w:tr>
        <w:tc>
          <w:tcPr>
            <w:tcW w:type="dxa" w:w="2494"/>
          </w:tcPr>
          <w:p>
            <w:pPr>
              <w:spacing w:after="40" w:before="40"/>
            </w:pPr>
            <w:r/>
            <w:r>
              <w:rPr>
                <w:rFonts w:ascii="Cambria" w:hAnsi="Cambria"/>
                <w:b w:val="0"/>
                <w:i w:val="0"/>
                <w:sz w:val="22"/>
              </w:rPr>
              <w:t>Accountability</w:t>
            </w:r>
          </w:p>
        </w:tc>
        <w:tc>
          <w:tcPr>
            <w:tcW w:type="dxa" w:w="6917"/>
          </w:tcPr>
          <w:p>
            <w:pPr>
              <w:spacing w:after="40" w:before="40"/>
            </w:pPr>
            <w:r/>
            <w:r>
              <w:rPr>
                <w:rFonts w:ascii="Cambria" w:hAnsi="Cambria"/>
                <w:b w:val="0"/>
                <w:i w:val="0"/>
                <w:sz w:val="22"/>
              </w:rPr>
              <w:t>Accept responsibility for professional duties and institutional obligations.</w:t>
            </w:r>
          </w:p>
        </w:tc>
      </w:tr>
      <w:tr>
        <w:tc>
          <w:tcPr>
            <w:tcW w:type="dxa" w:w="2494"/>
            <w:shd w:val="clear" w:color="auto" w:fill="F0F2F5"/>
          </w:tcPr>
          <w:p>
            <w:pPr>
              <w:spacing w:after="40" w:before="40"/>
            </w:pPr>
            <w:r/>
            <w:r>
              <w:rPr>
                <w:rFonts w:ascii="Cambria" w:hAnsi="Cambria"/>
                <w:b w:val="0"/>
                <w:i w:val="0"/>
                <w:sz w:val="22"/>
              </w:rPr>
              <w:t>Non-Discrimination</w:t>
            </w:r>
          </w:p>
        </w:tc>
        <w:tc>
          <w:tcPr>
            <w:tcW w:type="dxa" w:w="6917"/>
            <w:shd w:val="clear" w:color="auto" w:fill="F0F2F5"/>
          </w:tcPr>
          <w:p>
            <w:pPr>
              <w:spacing w:after="40" w:before="40"/>
            </w:pPr>
            <w:r/>
            <w:r>
              <w:rPr>
                <w:rFonts w:ascii="Cambria" w:hAnsi="Cambria"/>
                <w:b w:val="0"/>
                <w:i w:val="0"/>
                <w:sz w:val="22"/>
              </w:rPr>
              <w:t>Ensure fairness irrespective of gender, caste, religion, disability, or background.</w:t>
            </w:r>
          </w:p>
        </w:tc>
      </w:tr>
      <w:tr>
        <w:tc>
          <w:tcPr>
            <w:tcW w:type="dxa" w:w="2494"/>
          </w:tcPr>
          <w:p>
            <w:pPr>
              <w:spacing w:after="40" w:before="40"/>
            </w:pPr>
            <w:r/>
            <w:r>
              <w:rPr>
                <w:rFonts w:ascii="Cambria" w:hAnsi="Cambria"/>
                <w:b w:val="0"/>
                <w:i w:val="0"/>
                <w:sz w:val="22"/>
              </w:rPr>
              <w:t>Professional Excellence</w:t>
            </w:r>
          </w:p>
        </w:tc>
        <w:tc>
          <w:tcPr>
            <w:tcW w:type="dxa" w:w="6917"/>
          </w:tcPr>
          <w:p>
            <w:pPr>
              <w:spacing w:after="40" w:before="40"/>
            </w:pPr>
            <w:r/>
            <w:r>
              <w:rPr>
                <w:rFonts w:ascii="Cambria" w:hAnsi="Cambria"/>
                <w:b w:val="0"/>
                <w:i w:val="0"/>
                <w:sz w:val="22"/>
              </w:rPr>
              <w:t>Strive for continuous improvement in teaching, research, and service.</w:t>
            </w:r>
          </w:p>
        </w:tc>
      </w:tr>
    </w:tbl>
    <w:p>
      <w:pPr>
        <w:spacing w:after="40"/>
      </w:pPr>
    </w:p>
    <w:p>
      <w:pPr>
        <w:keepNext/>
        <w:spacing w:before="200" w:after="120"/>
      </w:pPr>
      <w:r>
        <w:rPr>
          <w:rFonts w:ascii="Cambria" w:hAnsi="Cambria"/>
          <w:b/>
          <w:color w:val="1F3A5F"/>
          <w:sz w:val="24"/>
        </w:rPr>
        <w:t>IV. General Code of Conduct for All Employees</w:t>
      </w:r>
    </w:p>
    <w:p>
      <w:pPr>
        <w:keepNext/>
        <w:spacing w:before="200" w:after="120"/>
      </w:pPr>
      <w:r>
        <w:rPr>
          <w:rFonts w:ascii="Cambria" w:hAnsi="Cambria"/>
          <w:b/>
          <w:color w:val="1F3A5F"/>
          <w:sz w:val="24"/>
        </w:rPr>
        <w:t>1. Commitment to Duty</w:t>
      </w:r>
    </w:p>
    <w:p>
      <w:pPr>
        <w:pStyle w:val="ListBullet2"/>
        <w:spacing w:line="276" w:lineRule="auto"/>
        <w:ind w:left="1020"/>
      </w:pPr>
      <w:r>
        <w:rPr>
          <w:rFonts w:ascii="Cambria" w:hAnsi="Cambria"/>
          <w:b w:val="0"/>
          <w:i w:val="0"/>
          <w:sz w:val="22"/>
        </w:rPr>
        <w:t>Perform duties with dedication, efficiency, and integrity.</w:t>
      </w:r>
    </w:p>
    <w:p>
      <w:pPr>
        <w:pStyle w:val="ListBullet2"/>
        <w:spacing w:line="276" w:lineRule="auto"/>
        <w:ind w:left="1020"/>
      </w:pPr>
      <w:r>
        <w:rPr>
          <w:rFonts w:ascii="Cambria" w:hAnsi="Cambria"/>
          <w:b w:val="0"/>
          <w:i w:val="0"/>
          <w:sz w:val="22"/>
        </w:rPr>
        <w:t>Adhere to official working hours and institutional discipline.</w:t>
      </w:r>
    </w:p>
    <w:p>
      <w:pPr>
        <w:pStyle w:val="ListBullet2"/>
        <w:spacing w:line="276" w:lineRule="auto"/>
        <w:ind w:left="1020"/>
      </w:pPr>
      <w:r>
        <w:rPr>
          <w:rFonts w:ascii="Cambria" w:hAnsi="Cambria"/>
          <w:b w:val="0"/>
          <w:i w:val="0"/>
          <w:sz w:val="22"/>
        </w:rPr>
        <w:t>Avoid negligence or dereliction of duty.</w:t>
      </w:r>
    </w:p>
    <w:p>
      <w:pPr>
        <w:keepNext/>
        <w:spacing w:before="200" w:after="120"/>
      </w:pPr>
      <w:r>
        <w:rPr>
          <w:rFonts w:ascii="Cambria" w:hAnsi="Cambria"/>
          <w:b/>
          <w:color w:val="1F3A5F"/>
          <w:sz w:val="24"/>
        </w:rPr>
        <w:t>2. Respect and Behaviour</w:t>
      </w:r>
    </w:p>
    <w:p>
      <w:pPr>
        <w:pStyle w:val="ListBullet2"/>
        <w:spacing w:line="276" w:lineRule="auto"/>
        <w:ind w:left="1020"/>
      </w:pPr>
      <w:r>
        <w:rPr>
          <w:rFonts w:ascii="Cambria" w:hAnsi="Cambria"/>
          <w:b w:val="0"/>
          <w:i w:val="0"/>
          <w:sz w:val="22"/>
        </w:rPr>
        <w:t>Maintain cordial relationships with colleagues, students, and stakeholders.</w:t>
      </w:r>
    </w:p>
    <w:p>
      <w:pPr>
        <w:pStyle w:val="ListBullet2"/>
        <w:spacing w:line="276" w:lineRule="auto"/>
        <w:ind w:left="1020"/>
      </w:pPr>
      <w:r>
        <w:rPr>
          <w:rFonts w:ascii="Cambria" w:hAnsi="Cambria"/>
          <w:b w:val="0"/>
          <w:i w:val="0"/>
          <w:sz w:val="22"/>
        </w:rPr>
        <w:t>Avoid rude, harassing, or discriminatory behaviour.</w:t>
      </w:r>
    </w:p>
    <w:p>
      <w:pPr>
        <w:pStyle w:val="ListBullet2"/>
        <w:spacing w:line="276" w:lineRule="auto"/>
        <w:ind w:left="1020"/>
      </w:pPr>
      <w:r>
        <w:rPr>
          <w:rFonts w:ascii="Cambria" w:hAnsi="Cambria"/>
          <w:b w:val="0"/>
          <w:i w:val="0"/>
          <w:sz w:val="22"/>
        </w:rPr>
        <w:t>Uphold the University's culture of inclusivity and teamwork.</w:t>
      </w:r>
    </w:p>
    <w:p>
      <w:pPr>
        <w:keepNext/>
        <w:spacing w:before="200" w:after="120"/>
      </w:pPr>
      <w:r>
        <w:rPr>
          <w:rFonts w:ascii="Cambria" w:hAnsi="Cambria"/>
          <w:b/>
          <w:color w:val="1F3A5F"/>
          <w:sz w:val="24"/>
        </w:rPr>
        <w:t>3. Confidentiality and Data Protection</w:t>
      </w:r>
    </w:p>
    <w:p>
      <w:pPr>
        <w:pStyle w:val="ListBullet2"/>
        <w:spacing w:line="276" w:lineRule="auto"/>
        <w:ind w:left="1020"/>
      </w:pPr>
      <w:r>
        <w:rPr>
          <w:rFonts w:ascii="Cambria" w:hAnsi="Cambria"/>
          <w:b w:val="0"/>
          <w:i w:val="0"/>
          <w:sz w:val="22"/>
        </w:rPr>
        <w:t>Do not disclose confidential information without proper authorization.</w:t>
      </w:r>
    </w:p>
    <w:p>
      <w:pPr>
        <w:pStyle w:val="ListBullet2"/>
        <w:spacing w:line="276" w:lineRule="auto"/>
        <w:ind w:left="1020"/>
      </w:pPr>
      <w:r>
        <w:rPr>
          <w:rFonts w:ascii="Cambria" w:hAnsi="Cambria"/>
          <w:b w:val="0"/>
          <w:i w:val="0"/>
          <w:sz w:val="22"/>
        </w:rPr>
        <w:t>Protect sensitive institutional, financial, or academic data.</w:t>
      </w:r>
    </w:p>
    <w:p>
      <w:pPr>
        <w:pStyle w:val="ListBullet2"/>
        <w:spacing w:line="276" w:lineRule="auto"/>
        <w:ind w:left="1020"/>
      </w:pPr>
      <w:r>
        <w:rPr>
          <w:rFonts w:ascii="Cambria" w:hAnsi="Cambria"/>
          <w:b w:val="0"/>
          <w:i w:val="0"/>
          <w:sz w:val="22"/>
        </w:rPr>
        <w:t>Comply with Data Privacy and ICT Usage Policy.</w:t>
      </w:r>
    </w:p>
    <w:p>
      <w:pPr>
        <w:keepNext/>
        <w:spacing w:before="200" w:after="120"/>
      </w:pPr>
      <w:r>
        <w:rPr>
          <w:rFonts w:ascii="Cambria" w:hAnsi="Cambria"/>
          <w:b/>
          <w:color w:val="1F3A5F"/>
          <w:sz w:val="24"/>
        </w:rPr>
        <w:t>4. Use of University Property</w:t>
      </w:r>
    </w:p>
    <w:p>
      <w:pPr>
        <w:pStyle w:val="ListBullet2"/>
        <w:spacing w:line="276" w:lineRule="auto"/>
        <w:ind w:left="1020"/>
      </w:pPr>
      <w:r>
        <w:rPr>
          <w:rFonts w:ascii="Cambria" w:hAnsi="Cambria"/>
          <w:b w:val="0"/>
          <w:i w:val="0"/>
          <w:sz w:val="22"/>
        </w:rPr>
        <w:t>Use all institutional assets (vehicles, equipment, IT resources) responsibly and only for official purposes.</w:t>
      </w:r>
    </w:p>
    <w:p>
      <w:pPr>
        <w:pStyle w:val="ListBullet2"/>
        <w:spacing w:line="276" w:lineRule="auto"/>
        <w:ind w:left="1020"/>
      </w:pPr>
      <w:r>
        <w:rPr>
          <w:rFonts w:ascii="Cambria" w:hAnsi="Cambria"/>
          <w:b w:val="0"/>
          <w:i w:val="0"/>
          <w:sz w:val="22"/>
        </w:rPr>
        <w:t>Avoid misuse or unauthorized removal of institutional property.</w:t>
      </w:r>
    </w:p>
    <w:p>
      <w:pPr>
        <w:keepNext/>
        <w:spacing w:before="200" w:after="120"/>
      </w:pPr>
      <w:r>
        <w:rPr>
          <w:rFonts w:ascii="Cambria" w:hAnsi="Cambria"/>
          <w:b/>
          <w:color w:val="1F3A5F"/>
          <w:sz w:val="24"/>
        </w:rPr>
        <w:t>5. Financial Integrity</w:t>
      </w:r>
    </w:p>
    <w:p>
      <w:pPr>
        <w:pStyle w:val="ListBullet2"/>
        <w:spacing w:line="276" w:lineRule="auto"/>
        <w:ind w:left="1020"/>
      </w:pPr>
      <w:r>
        <w:rPr>
          <w:rFonts w:ascii="Cambria" w:hAnsi="Cambria"/>
          <w:b w:val="0"/>
          <w:i w:val="0"/>
          <w:sz w:val="22"/>
        </w:rPr>
        <w:t>Adhere to transparent financial and procurement processes.</w:t>
      </w:r>
    </w:p>
    <w:p>
      <w:pPr>
        <w:pStyle w:val="ListBullet2"/>
        <w:spacing w:line="276" w:lineRule="auto"/>
        <w:ind w:left="1020"/>
      </w:pPr>
      <w:r>
        <w:rPr>
          <w:rFonts w:ascii="Cambria" w:hAnsi="Cambria"/>
          <w:b w:val="0"/>
          <w:i w:val="0"/>
          <w:sz w:val="22"/>
        </w:rPr>
        <w:t>Avoid misuse of funds, embezzlement, or falsification of records.</w:t>
      </w:r>
    </w:p>
    <w:p>
      <w:pPr>
        <w:pStyle w:val="ListBullet2"/>
        <w:spacing w:line="276" w:lineRule="auto"/>
        <w:ind w:left="1020"/>
      </w:pPr>
      <w:r>
        <w:rPr>
          <w:rFonts w:ascii="Cambria" w:hAnsi="Cambria"/>
          <w:b w:val="0"/>
          <w:i w:val="0"/>
          <w:sz w:val="22"/>
        </w:rPr>
        <w:t>Declare any conflict of interest in financial or research activities.</w:t>
      </w:r>
    </w:p>
    <w:p>
      <w:pPr>
        <w:keepNext/>
        <w:spacing w:before="200" w:after="120"/>
      </w:pPr>
      <w:r>
        <w:rPr>
          <w:rFonts w:ascii="Cambria" w:hAnsi="Cambria"/>
          <w:b/>
          <w:color w:val="1F3A5F"/>
          <w:sz w:val="24"/>
        </w:rPr>
        <w:t>6. Compliance with Laws and Regulations</w:t>
      </w:r>
    </w:p>
    <w:p>
      <w:pPr>
        <w:pStyle w:val="ListBullet2"/>
        <w:spacing w:line="276" w:lineRule="auto"/>
        <w:ind w:left="1020"/>
      </w:pPr>
      <w:r>
        <w:rPr>
          <w:rFonts w:ascii="Cambria" w:hAnsi="Cambria"/>
          <w:b w:val="0"/>
          <w:i w:val="0"/>
          <w:sz w:val="22"/>
        </w:rPr>
        <w:t>Follow all national laws, UGC/AICTE guidelines, and institutional rules.</w:t>
      </w:r>
    </w:p>
    <w:p>
      <w:pPr>
        <w:pStyle w:val="ListBullet2"/>
        <w:spacing w:line="276" w:lineRule="auto"/>
        <w:ind w:left="1020"/>
      </w:pPr>
      <w:r>
        <w:rPr>
          <w:rFonts w:ascii="Cambria" w:hAnsi="Cambria"/>
          <w:b w:val="0"/>
          <w:i w:val="0"/>
          <w:sz w:val="22"/>
        </w:rPr>
        <w:t>Report any illegal or unethical activity observed on campus.</w:t>
      </w:r>
    </w:p>
    <w:p>
      <w:pPr>
        <w:keepNext/>
        <w:spacing w:before="200" w:after="120"/>
      </w:pPr>
      <w:r>
        <w:rPr>
          <w:rFonts w:ascii="Cambria" w:hAnsi="Cambria"/>
          <w:b/>
          <w:color w:val="1F3A5F"/>
          <w:sz w:val="24"/>
        </w:rPr>
        <w:t>V. Specific Code for Teaching Faculty</w:t>
      </w:r>
    </w:p>
    <w:p>
      <w:pPr>
        <w:pStyle w:val="ListBullet"/>
        <w:spacing w:line="276" w:lineRule="auto"/>
        <w:ind w:left="510"/>
      </w:pPr>
      <w:r>
        <w:rPr>
          <w:rFonts w:ascii="Cambria" w:hAnsi="Cambria"/>
          <w:b w:val="0"/>
          <w:i w:val="0"/>
          <w:sz w:val="22"/>
        </w:rPr>
        <w:t>Maintain the highest standards of academic integrity, impartiality, and fairness in teaching and evaluation.</w:t>
      </w:r>
    </w:p>
    <w:p>
      <w:pPr>
        <w:pStyle w:val="ListBullet"/>
        <w:spacing w:line="276" w:lineRule="auto"/>
        <w:ind w:left="510"/>
      </w:pPr>
      <w:r>
        <w:rPr>
          <w:rFonts w:ascii="Cambria" w:hAnsi="Cambria"/>
          <w:b w:val="0"/>
          <w:i w:val="0"/>
          <w:sz w:val="22"/>
        </w:rPr>
        <w:t>Avoid plagiarism and promote research ethics in all academic outputs.</w:t>
      </w:r>
    </w:p>
    <w:p>
      <w:pPr>
        <w:pStyle w:val="ListBullet"/>
        <w:spacing w:line="276" w:lineRule="auto"/>
        <w:ind w:left="510"/>
      </w:pPr>
      <w:r>
        <w:rPr>
          <w:rFonts w:ascii="Cambria" w:hAnsi="Cambria"/>
          <w:b w:val="0"/>
          <w:i w:val="0"/>
          <w:sz w:val="22"/>
        </w:rPr>
        <w:t>Serve as role models for students, demonstrating discipline, humility, and dedication.</w:t>
      </w:r>
    </w:p>
    <w:p>
      <w:pPr>
        <w:pStyle w:val="ListBullet"/>
        <w:spacing w:line="276" w:lineRule="auto"/>
        <w:ind w:left="510"/>
      </w:pPr>
      <w:r>
        <w:rPr>
          <w:rFonts w:ascii="Cambria" w:hAnsi="Cambria"/>
          <w:b w:val="0"/>
          <w:i w:val="0"/>
          <w:sz w:val="22"/>
        </w:rPr>
        <w:t>Uphold neutrality in political, ideological, or religious matters within the classroom.</w:t>
      </w:r>
    </w:p>
    <w:p>
      <w:pPr>
        <w:pStyle w:val="ListBullet"/>
        <w:spacing w:line="276" w:lineRule="auto"/>
        <w:ind w:left="510"/>
      </w:pPr>
      <w:r>
        <w:rPr>
          <w:rFonts w:ascii="Cambria" w:hAnsi="Cambria"/>
          <w:b w:val="0"/>
          <w:i w:val="0"/>
          <w:sz w:val="22"/>
        </w:rPr>
        <w:t>Encourage open dialogue and critical thinking while respecting diversity of thought.</w:t>
      </w:r>
    </w:p>
    <w:p>
      <w:pPr>
        <w:pStyle w:val="ListBullet"/>
        <w:spacing w:line="276" w:lineRule="auto"/>
        <w:ind w:left="510"/>
      </w:pPr>
      <w:r>
        <w:rPr>
          <w:rFonts w:ascii="Cambria" w:hAnsi="Cambria"/>
          <w:b w:val="0"/>
          <w:i w:val="0"/>
          <w:sz w:val="22"/>
        </w:rPr>
        <w:t>Avoid accepting gifts, favours, or any inducement from students or vendors.</w:t>
      </w:r>
    </w:p>
    <w:p>
      <w:pPr>
        <w:pStyle w:val="ListBullet"/>
        <w:spacing w:line="276" w:lineRule="auto"/>
        <w:ind w:left="510"/>
      </w:pPr>
      <w:r>
        <w:rPr>
          <w:rFonts w:ascii="Cambria" w:hAnsi="Cambria"/>
          <w:b w:val="0"/>
          <w:i w:val="0"/>
          <w:sz w:val="22"/>
        </w:rPr>
        <w:t>Mentor students with fairness, ensuring confidentiality of personal or academic issues.</w:t>
      </w:r>
    </w:p>
    <w:p>
      <w:pPr>
        <w:keepNext/>
        <w:spacing w:before="200" w:after="120"/>
      </w:pPr>
      <w:r>
        <w:rPr>
          <w:rFonts w:ascii="Cambria" w:hAnsi="Cambria"/>
          <w:b/>
          <w:color w:val="1F3A5F"/>
          <w:sz w:val="24"/>
        </w:rPr>
        <w:t>VI. Specific Code for Non-Teaching / Administrative Staff</w:t>
      </w:r>
    </w:p>
    <w:p>
      <w:pPr>
        <w:pStyle w:val="ListBullet"/>
        <w:spacing w:line="276" w:lineRule="auto"/>
        <w:ind w:left="510"/>
      </w:pPr>
      <w:r>
        <w:rPr>
          <w:rFonts w:ascii="Cambria" w:hAnsi="Cambria"/>
          <w:b w:val="0"/>
          <w:i w:val="0"/>
          <w:sz w:val="22"/>
        </w:rPr>
        <w:t>Be punctual, courteous, and supportive in interactions with students and faculty.</w:t>
      </w:r>
    </w:p>
    <w:p>
      <w:pPr>
        <w:pStyle w:val="ListBullet"/>
        <w:spacing w:line="276" w:lineRule="auto"/>
        <w:ind w:left="510"/>
      </w:pPr>
      <w:r>
        <w:rPr>
          <w:rFonts w:ascii="Cambria" w:hAnsi="Cambria"/>
          <w:b w:val="0"/>
          <w:i w:val="0"/>
          <w:sz w:val="22"/>
        </w:rPr>
        <w:t>Maintain strict confidentiality of official documents and records.</w:t>
      </w:r>
    </w:p>
    <w:p>
      <w:pPr>
        <w:pStyle w:val="ListBullet"/>
        <w:spacing w:line="276" w:lineRule="auto"/>
        <w:ind w:left="510"/>
      </w:pPr>
      <w:r>
        <w:rPr>
          <w:rFonts w:ascii="Cambria" w:hAnsi="Cambria"/>
          <w:b w:val="0"/>
          <w:i w:val="0"/>
          <w:sz w:val="22"/>
        </w:rPr>
        <w:t>Handle financial and administrative transactions with accuracy and transparency.</w:t>
      </w:r>
    </w:p>
    <w:p>
      <w:pPr>
        <w:pStyle w:val="ListBullet"/>
        <w:spacing w:line="276" w:lineRule="auto"/>
        <w:ind w:left="510"/>
      </w:pPr>
      <w:r>
        <w:rPr>
          <w:rFonts w:ascii="Cambria" w:hAnsi="Cambria"/>
          <w:b w:val="0"/>
          <w:i w:val="0"/>
          <w:sz w:val="22"/>
        </w:rPr>
        <w:t>Avoid bureaucratic delays, favouritism, or misuse of authority.</w:t>
      </w:r>
    </w:p>
    <w:p>
      <w:pPr>
        <w:pStyle w:val="ListBullet"/>
        <w:spacing w:line="276" w:lineRule="auto"/>
        <w:ind w:left="510"/>
      </w:pPr>
      <w:r>
        <w:rPr>
          <w:rFonts w:ascii="Cambria" w:hAnsi="Cambria"/>
          <w:b w:val="0"/>
          <w:i w:val="0"/>
          <w:sz w:val="22"/>
        </w:rPr>
        <w:t>Treat all stakeholders fairly and assist in maintaining institutional harmony.</w:t>
      </w:r>
    </w:p>
    <w:p>
      <w:pPr>
        <w:keepNext/>
        <w:spacing w:before="200" w:after="120"/>
      </w:pPr>
      <w:r>
        <w:rPr>
          <w:rFonts w:ascii="Cambria" w:hAnsi="Cambria"/>
          <w:b/>
          <w:color w:val="1F3A5F"/>
          <w:sz w:val="24"/>
        </w:rPr>
        <w:t>VII. Specific Code for Researchers and Project Staff</w:t>
      </w:r>
    </w:p>
    <w:p>
      <w:pPr>
        <w:pStyle w:val="ListBullet"/>
        <w:spacing w:line="276" w:lineRule="auto"/>
        <w:ind w:left="510"/>
      </w:pPr>
      <w:r>
        <w:rPr>
          <w:rFonts w:ascii="Cambria" w:hAnsi="Cambria"/>
          <w:b w:val="0"/>
          <w:i w:val="0"/>
          <w:sz w:val="22"/>
        </w:rPr>
        <w:t>Adhere to Research Ethics, Publication, and IPR Policies of the University.</w:t>
      </w:r>
    </w:p>
    <w:p>
      <w:pPr>
        <w:pStyle w:val="ListBullet"/>
        <w:spacing w:line="276" w:lineRule="auto"/>
        <w:ind w:left="510"/>
      </w:pPr>
      <w:r>
        <w:rPr>
          <w:rFonts w:ascii="Cambria" w:hAnsi="Cambria"/>
          <w:b w:val="0"/>
          <w:i w:val="0"/>
          <w:sz w:val="22"/>
        </w:rPr>
        <w:t>Avoid plagiarism, data fabrication, or misrepresentation of results.</w:t>
      </w:r>
    </w:p>
    <w:p>
      <w:pPr>
        <w:pStyle w:val="ListBullet"/>
        <w:spacing w:line="276" w:lineRule="auto"/>
        <w:ind w:left="510"/>
      </w:pPr>
      <w:r>
        <w:rPr>
          <w:rFonts w:ascii="Cambria" w:hAnsi="Cambria"/>
          <w:b w:val="0"/>
          <w:i w:val="0"/>
          <w:sz w:val="22"/>
        </w:rPr>
        <w:t>Ensure ethical clearance for research involving humans, animals, or environmental impact.</w:t>
      </w:r>
    </w:p>
    <w:p>
      <w:pPr>
        <w:pStyle w:val="ListBullet"/>
        <w:spacing w:line="276" w:lineRule="auto"/>
        <w:ind w:left="510"/>
      </w:pPr>
      <w:r>
        <w:rPr>
          <w:rFonts w:ascii="Cambria" w:hAnsi="Cambria"/>
          <w:b w:val="0"/>
          <w:i w:val="0"/>
          <w:sz w:val="22"/>
        </w:rPr>
        <w:t>Properly acknowledge all contributors, funding agencies, and collaborators.</w:t>
      </w:r>
    </w:p>
    <w:p>
      <w:pPr>
        <w:pStyle w:val="ListBullet"/>
        <w:spacing w:line="276" w:lineRule="auto"/>
        <w:ind w:left="510"/>
      </w:pPr>
      <w:r>
        <w:rPr>
          <w:rFonts w:ascii="Cambria" w:hAnsi="Cambria"/>
          <w:b w:val="0"/>
          <w:i w:val="0"/>
          <w:sz w:val="22"/>
        </w:rPr>
        <w:t>Maintain laboratory safety, record integrity, and responsible authorship practices.</w:t>
      </w:r>
    </w:p>
    <w:p>
      <w:pPr>
        <w:keepNext/>
        <w:spacing w:before="200" w:after="120"/>
      </w:pPr>
      <w:r>
        <w:rPr>
          <w:rFonts w:ascii="Cambria" w:hAnsi="Cambria"/>
          <w:b/>
          <w:color w:val="1F3A5F"/>
          <w:sz w:val="24"/>
        </w:rPr>
        <w:t>VIII. Conflict of Interest Policy</w:t>
      </w:r>
    </w:p>
    <w:p>
      <w:pPr>
        <w:pStyle w:val="ListBullet"/>
        <w:spacing w:line="276" w:lineRule="auto"/>
        <w:ind w:left="510"/>
      </w:pPr>
      <w:r>
        <w:rPr>
          <w:rFonts w:ascii="Cambria" w:hAnsi="Cambria"/>
          <w:b w:val="0"/>
          <w:i w:val="0"/>
          <w:sz w:val="22"/>
        </w:rPr>
        <w:t>Employees must disclose any situation where personal interest may conflict with institutional duties, such as:</w:t>
      </w:r>
    </w:p>
    <w:p>
      <w:pPr>
        <w:pStyle w:val="ListBullet2"/>
        <w:spacing w:line="276" w:lineRule="auto"/>
        <w:ind w:left="1020"/>
      </w:pPr>
      <w:r>
        <w:rPr>
          <w:rFonts w:ascii="Cambria" w:hAnsi="Cambria"/>
          <w:b w:val="0"/>
          <w:i w:val="0"/>
          <w:sz w:val="22"/>
        </w:rPr>
        <w:t>Dual employment or consultancy without approval.</w:t>
      </w:r>
    </w:p>
    <w:p>
      <w:pPr>
        <w:pStyle w:val="ListBullet2"/>
        <w:spacing w:line="276" w:lineRule="auto"/>
        <w:ind w:left="1020"/>
      </w:pPr>
      <w:r>
        <w:rPr>
          <w:rFonts w:ascii="Cambria" w:hAnsi="Cambria"/>
          <w:b w:val="0"/>
          <w:i w:val="0"/>
          <w:sz w:val="22"/>
        </w:rPr>
        <w:t>Procurement or financial decisions benefiting relatives.</w:t>
      </w:r>
    </w:p>
    <w:p>
      <w:pPr>
        <w:pStyle w:val="ListBullet2"/>
        <w:spacing w:line="276" w:lineRule="auto"/>
        <w:ind w:left="1020"/>
      </w:pPr>
      <w:r>
        <w:rPr>
          <w:rFonts w:ascii="Cambria" w:hAnsi="Cambria"/>
          <w:b w:val="0"/>
          <w:i w:val="0"/>
          <w:sz w:val="22"/>
        </w:rPr>
        <w:t>Academic evaluation of relatives or associates.</w:t>
      </w:r>
    </w:p>
    <w:p>
      <w:pPr>
        <w:pStyle w:val="ListBullet"/>
        <w:spacing w:line="276" w:lineRule="auto"/>
        <w:ind w:left="510"/>
      </w:pPr>
      <w:r>
        <w:rPr>
          <w:rFonts w:ascii="Cambria" w:hAnsi="Cambria"/>
          <w:b w:val="0"/>
          <w:i w:val="0"/>
          <w:sz w:val="22"/>
        </w:rPr>
        <w:t>Conflicts should be declared in the prescribed Conflict Disclosure Form (CDF-01).</w:t>
      </w:r>
    </w:p>
    <w:p>
      <w:pPr>
        <w:pStyle w:val="ListBullet"/>
        <w:spacing w:line="276" w:lineRule="auto"/>
        <w:ind w:left="510"/>
      </w:pPr>
      <w:r>
        <w:rPr>
          <w:rFonts w:ascii="Cambria" w:hAnsi="Cambria"/>
          <w:b w:val="0"/>
          <w:i w:val="0"/>
          <w:sz w:val="22"/>
        </w:rPr>
        <w:t>Decisions involving conflicts must be handled by an independent authority to ensure impartiality.</w:t>
      </w:r>
    </w:p>
    <w:p>
      <w:pPr>
        <w:keepNext/>
        <w:spacing w:before="200" w:after="120"/>
      </w:pPr>
      <w:r>
        <w:rPr>
          <w:rFonts w:ascii="Cambria" w:hAnsi="Cambria"/>
          <w:b/>
          <w:color w:val="1F3A5F"/>
          <w:sz w:val="24"/>
        </w:rPr>
        <w:t>IX. Social Media and Public Communication</w:t>
      </w:r>
    </w:p>
    <w:p>
      <w:pPr>
        <w:pStyle w:val="ListBullet"/>
        <w:spacing w:line="276" w:lineRule="auto"/>
        <w:ind w:left="510"/>
      </w:pPr>
      <w:r>
        <w:rPr>
          <w:rFonts w:ascii="Cambria" w:hAnsi="Cambria"/>
          <w:b w:val="0"/>
          <w:i w:val="0"/>
          <w:sz w:val="22"/>
        </w:rPr>
        <w:t>Employees shall not post, publish, or share information that:</w:t>
      </w:r>
    </w:p>
    <w:p>
      <w:pPr>
        <w:pStyle w:val="ListBullet2"/>
        <w:spacing w:line="276" w:lineRule="auto"/>
        <w:ind w:left="1020"/>
      </w:pPr>
      <w:r>
        <w:rPr>
          <w:rFonts w:ascii="Cambria" w:hAnsi="Cambria"/>
          <w:b w:val="0"/>
          <w:i w:val="0"/>
          <w:sz w:val="22"/>
        </w:rPr>
        <w:t>Misrepresents institutional policies or damages reputation.</w:t>
      </w:r>
    </w:p>
    <w:p>
      <w:pPr>
        <w:pStyle w:val="ListBullet2"/>
        <w:spacing w:line="276" w:lineRule="auto"/>
        <w:ind w:left="1020"/>
      </w:pPr>
      <w:r>
        <w:rPr>
          <w:rFonts w:ascii="Cambria" w:hAnsi="Cambria"/>
          <w:b w:val="0"/>
          <w:i w:val="0"/>
          <w:sz w:val="22"/>
        </w:rPr>
        <w:t>Violates confidentiality or copyright norms.</w:t>
      </w:r>
    </w:p>
    <w:p>
      <w:pPr>
        <w:pStyle w:val="ListBullet2"/>
        <w:spacing w:line="276" w:lineRule="auto"/>
        <w:ind w:left="1020"/>
      </w:pPr>
      <w:r>
        <w:rPr>
          <w:rFonts w:ascii="Cambria" w:hAnsi="Cambria"/>
          <w:b w:val="0"/>
          <w:i w:val="0"/>
          <w:sz w:val="22"/>
        </w:rPr>
        <w:t>Contains hate speech, political propaganda, or defamation.</w:t>
      </w:r>
    </w:p>
    <w:p>
      <w:pPr>
        <w:pStyle w:val="ListBullet"/>
        <w:spacing w:line="276" w:lineRule="auto"/>
        <w:ind w:left="510"/>
      </w:pPr>
      <w:r>
        <w:rPr>
          <w:rFonts w:ascii="Cambria" w:hAnsi="Cambria"/>
          <w:b w:val="0"/>
          <w:i w:val="0"/>
          <w:sz w:val="22"/>
        </w:rPr>
        <w:t>Use of the University's name, logo, or designation on social media must have prior authorization.</w:t>
      </w:r>
    </w:p>
    <w:p>
      <w:pPr>
        <w:pStyle w:val="ListBullet"/>
        <w:spacing w:line="276" w:lineRule="auto"/>
        <w:ind w:left="510"/>
      </w:pPr>
      <w:r>
        <w:rPr>
          <w:rFonts w:ascii="Cambria" w:hAnsi="Cambria"/>
          <w:b w:val="0"/>
          <w:i w:val="0"/>
          <w:sz w:val="22"/>
        </w:rPr>
        <w:t>Personal opinions must be clearly distinguished from official communication.</w:t>
      </w:r>
    </w:p>
    <w:p>
      <w:pPr>
        <w:keepNext/>
        <w:spacing w:before="200" w:after="120"/>
      </w:pPr>
      <w:r>
        <w:rPr>
          <w:rFonts w:ascii="Cambria" w:hAnsi="Cambria"/>
          <w:b/>
          <w:color w:val="1F3A5F"/>
          <w:sz w:val="24"/>
        </w:rPr>
        <w:t>X. Environmental and Social Responsibility</w:t>
      </w:r>
    </w:p>
    <w:p>
      <w:pPr>
        <w:pStyle w:val="ListBullet"/>
        <w:spacing w:line="276" w:lineRule="auto"/>
        <w:ind w:left="510"/>
      </w:pPr>
      <w:r>
        <w:rPr>
          <w:rFonts w:ascii="Cambria" w:hAnsi="Cambria"/>
          <w:b w:val="0"/>
          <w:i w:val="0"/>
          <w:sz w:val="22"/>
        </w:rPr>
        <w:t>Support the University's initiatives under SDG 12 (Responsible Consumption) and SDG 13 (Climate Action).</w:t>
      </w:r>
    </w:p>
    <w:p>
      <w:pPr>
        <w:pStyle w:val="ListBullet"/>
        <w:spacing w:line="276" w:lineRule="auto"/>
        <w:ind w:left="510"/>
      </w:pPr>
      <w:r>
        <w:rPr>
          <w:rFonts w:ascii="Cambria" w:hAnsi="Cambria"/>
          <w:b w:val="0"/>
          <w:i w:val="0"/>
          <w:sz w:val="22"/>
        </w:rPr>
        <w:t>Promote eco-friendly practices such as paperless operations, waste segregation, and energy conservation.</w:t>
      </w:r>
    </w:p>
    <w:p>
      <w:pPr>
        <w:pStyle w:val="ListBullet"/>
        <w:spacing w:line="276" w:lineRule="auto"/>
        <w:ind w:left="510"/>
      </w:pPr>
      <w:r>
        <w:rPr>
          <w:rFonts w:ascii="Cambria" w:hAnsi="Cambria"/>
          <w:b w:val="0"/>
          <w:i w:val="0"/>
          <w:sz w:val="22"/>
        </w:rPr>
        <w:t>Encourage student and staff participation in community service, outreach, and social welfare programs.</w:t>
      </w:r>
    </w:p>
    <w:p>
      <w:pPr>
        <w:keepNext/>
        <w:spacing w:before="200" w:after="120"/>
      </w:pPr>
      <w:r>
        <w:rPr>
          <w:rFonts w:ascii="Cambria" w:hAnsi="Cambria"/>
          <w:b/>
          <w:color w:val="1F3A5F"/>
          <w:sz w:val="24"/>
        </w:rPr>
        <w:t>XI. Disciplinary Consequences for Misconduct</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Type of Misconduct</w:t>
            </w:r>
          </w:p>
        </w:tc>
        <w:tc>
          <w:tcPr>
            <w:tcW w:type="dxa" w:w="3969"/>
            <w:shd w:val="clear" w:color="auto" w:fill="1F3A5F"/>
          </w:tcPr>
          <w:p>
            <w:pPr>
              <w:spacing w:after="40" w:before="40"/>
            </w:pPr>
            <w:r/>
            <w:r>
              <w:rPr>
                <w:rFonts w:ascii="Cambria" w:hAnsi="Cambria"/>
                <w:b/>
                <w:i w:val="0"/>
                <w:color w:val="FFFFFF"/>
                <w:sz w:val="22"/>
              </w:rPr>
              <w:t>Examples</w:t>
            </w:r>
          </w:p>
        </w:tc>
        <w:tc>
          <w:tcPr>
            <w:tcW w:type="dxa" w:w="3515"/>
            <w:shd w:val="clear" w:color="auto" w:fill="1F3A5F"/>
          </w:tcPr>
          <w:p>
            <w:pPr>
              <w:spacing w:after="40" w:before="40"/>
            </w:pPr>
            <w:r/>
            <w:r>
              <w:rPr>
                <w:rFonts w:ascii="Cambria" w:hAnsi="Cambria"/>
                <w:b/>
                <w:i w:val="0"/>
                <w:color w:val="FFFFFF"/>
                <w:sz w:val="22"/>
              </w:rPr>
              <w:t>Possible Disciplinary Action</w:t>
            </w:r>
          </w:p>
        </w:tc>
      </w:tr>
      <w:tr>
        <w:tc>
          <w:tcPr>
            <w:tcW w:type="dxa" w:w="1927"/>
          </w:tcPr>
          <w:p>
            <w:pPr>
              <w:spacing w:after="40" w:before="40"/>
            </w:pPr>
            <w:r/>
            <w:r>
              <w:rPr>
                <w:rFonts w:ascii="Cambria" w:hAnsi="Cambria"/>
                <w:b w:val="0"/>
                <w:i w:val="0"/>
                <w:sz w:val="22"/>
              </w:rPr>
              <w:t>Minor Misconduct</w:t>
            </w:r>
          </w:p>
        </w:tc>
        <w:tc>
          <w:tcPr>
            <w:tcW w:type="dxa" w:w="3969"/>
          </w:tcPr>
          <w:p>
            <w:pPr>
              <w:spacing w:after="40" w:before="40"/>
            </w:pPr>
            <w:r/>
            <w:r>
              <w:rPr>
                <w:rFonts w:ascii="Cambria" w:hAnsi="Cambria"/>
                <w:b w:val="0"/>
                <w:i w:val="0"/>
                <w:sz w:val="22"/>
              </w:rPr>
              <w:t>Negligence, tardiness, insubordination</w:t>
            </w:r>
          </w:p>
        </w:tc>
        <w:tc>
          <w:tcPr>
            <w:tcW w:type="dxa" w:w="3515"/>
          </w:tcPr>
          <w:p>
            <w:pPr>
              <w:spacing w:after="40" w:before="40"/>
            </w:pPr>
            <w:r/>
            <w:r>
              <w:rPr>
                <w:rFonts w:ascii="Cambria" w:hAnsi="Cambria"/>
                <w:b w:val="0"/>
                <w:i w:val="0"/>
                <w:sz w:val="22"/>
              </w:rPr>
              <w:t>Written warning, counselling</w:t>
            </w:r>
          </w:p>
        </w:tc>
      </w:tr>
      <w:tr>
        <w:tc>
          <w:tcPr>
            <w:tcW w:type="dxa" w:w="1927"/>
            <w:shd w:val="clear" w:color="auto" w:fill="F0F2F5"/>
          </w:tcPr>
          <w:p>
            <w:pPr>
              <w:spacing w:after="40" w:before="40"/>
            </w:pPr>
            <w:r/>
            <w:r>
              <w:rPr>
                <w:rFonts w:ascii="Cambria" w:hAnsi="Cambria"/>
                <w:b w:val="0"/>
                <w:i w:val="0"/>
                <w:sz w:val="22"/>
              </w:rPr>
              <w:t>Moderate Misconduct</w:t>
            </w:r>
          </w:p>
        </w:tc>
        <w:tc>
          <w:tcPr>
            <w:tcW w:type="dxa" w:w="3969"/>
            <w:shd w:val="clear" w:color="auto" w:fill="F0F2F5"/>
          </w:tcPr>
          <w:p>
            <w:pPr>
              <w:spacing w:after="40" w:before="40"/>
            </w:pPr>
            <w:r/>
            <w:r>
              <w:rPr>
                <w:rFonts w:ascii="Cambria" w:hAnsi="Cambria"/>
                <w:b w:val="0"/>
                <w:i w:val="0"/>
                <w:sz w:val="22"/>
              </w:rPr>
              <w:t>Violation of confidentiality, data misuse</w:t>
            </w:r>
          </w:p>
        </w:tc>
        <w:tc>
          <w:tcPr>
            <w:tcW w:type="dxa" w:w="3515"/>
            <w:shd w:val="clear" w:color="auto" w:fill="F0F2F5"/>
          </w:tcPr>
          <w:p>
            <w:pPr>
              <w:spacing w:after="40" w:before="40"/>
            </w:pPr>
            <w:r/>
            <w:r>
              <w:rPr>
                <w:rFonts w:ascii="Cambria" w:hAnsi="Cambria"/>
                <w:b w:val="0"/>
                <w:i w:val="0"/>
                <w:sz w:val="22"/>
              </w:rPr>
              <w:t>Suspension, reprimand, or loss of increment</w:t>
            </w:r>
          </w:p>
        </w:tc>
      </w:tr>
      <w:tr>
        <w:tc>
          <w:tcPr>
            <w:tcW w:type="dxa" w:w="1927"/>
          </w:tcPr>
          <w:p>
            <w:pPr>
              <w:spacing w:after="40" w:before="40"/>
            </w:pPr>
            <w:r/>
            <w:r>
              <w:rPr>
                <w:rFonts w:ascii="Cambria" w:hAnsi="Cambria"/>
                <w:b w:val="0"/>
                <w:i w:val="0"/>
                <w:sz w:val="22"/>
              </w:rPr>
              <w:t>Serious Misconduct</w:t>
            </w:r>
          </w:p>
        </w:tc>
        <w:tc>
          <w:tcPr>
            <w:tcW w:type="dxa" w:w="3969"/>
          </w:tcPr>
          <w:p>
            <w:pPr>
              <w:spacing w:after="40" w:before="40"/>
            </w:pPr>
            <w:r/>
            <w:r>
              <w:rPr>
                <w:rFonts w:ascii="Cambria" w:hAnsi="Cambria"/>
                <w:b w:val="0"/>
                <w:i w:val="0"/>
                <w:sz w:val="22"/>
              </w:rPr>
              <w:t>Harassment, corruption, academic malpractice</w:t>
            </w:r>
          </w:p>
        </w:tc>
        <w:tc>
          <w:tcPr>
            <w:tcW w:type="dxa" w:w="3515"/>
          </w:tcPr>
          <w:p>
            <w:pPr>
              <w:spacing w:after="40" w:before="40"/>
            </w:pPr>
            <w:r/>
            <w:r>
              <w:rPr>
                <w:rFonts w:ascii="Cambria" w:hAnsi="Cambria"/>
                <w:b w:val="0"/>
                <w:i w:val="0"/>
                <w:sz w:val="22"/>
              </w:rPr>
              <w:t>Termination, legal proceedings, or blacklisting</w:t>
            </w:r>
          </w:p>
        </w:tc>
      </w:tr>
      <w:tr>
        <w:tc>
          <w:tcPr>
            <w:tcW w:type="dxa" w:w="1927"/>
            <w:shd w:val="clear" w:color="auto" w:fill="F0F2F5"/>
          </w:tcPr>
          <w:p>
            <w:pPr>
              <w:spacing w:after="40" w:before="40"/>
            </w:pPr>
            <w:r/>
            <w:r>
              <w:rPr>
                <w:rFonts w:ascii="Cambria" w:hAnsi="Cambria"/>
                <w:b w:val="0"/>
                <w:i w:val="0"/>
                <w:sz w:val="22"/>
              </w:rPr>
              <w:t>Ethical Violation</w:t>
            </w:r>
          </w:p>
        </w:tc>
        <w:tc>
          <w:tcPr>
            <w:tcW w:type="dxa" w:w="3969"/>
            <w:shd w:val="clear" w:color="auto" w:fill="F0F2F5"/>
          </w:tcPr>
          <w:p>
            <w:pPr>
              <w:spacing w:after="40" w:before="40"/>
            </w:pPr>
            <w:r/>
            <w:r>
              <w:rPr>
                <w:rFonts w:ascii="Cambria" w:hAnsi="Cambria"/>
                <w:b w:val="0"/>
                <w:i w:val="0"/>
                <w:sz w:val="22"/>
              </w:rPr>
              <w:t>Plagiarism, falsification of data, conflict concealment</w:t>
            </w:r>
          </w:p>
        </w:tc>
        <w:tc>
          <w:tcPr>
            <w:tcW w:type="dxa" w:w="3515"/>
            <w:shd w:val="clear" w:color="auto" w:fill="F0F2F5"/>
          </w:tcPr>
          <w:p>
            <w:pPr>
              <w:spacing w:after="40" w:before="40"/>
            </w:pPr>
            <w:r/>
            <w:r>
              <w:rPr>
                <w:rFonts w:ascii="Cambria" w:hAnsi="Cambria"/>
                <w:b w:val="0"/>
                <w:i w:val="0"/>
                <w:sz w:val="22"/>
              </w:rPr>
              <w:t>Enquiry + penalty under IPR/Research Policy</w:t>
            </w:r>
          </w:p>
        </w:tc>
      </w:tr>
    </w:tbl>
    <w:p>
      <w:pPr>
        <w:spacing w:after="40"/>
      </w:pPr>
    </w:p>
    <w:p>
      <w:pPr>
        <w:jc w:val="both"/>
      </w:pPr>
      <w:r>
        <w:rPr>
          <w:rFonts w:ascii="Cambria" w:hAnsi="Cambria"/>
          <w:i w:val="0"/>
          <w:sz w:val="22"/>
        </w:rPr>
        <w:t>All disciplinary actions shall follow due process as detailed in the Grievance Redressal and Disciplinary Policy.</w:t>
      </w:r>
    </w:p>
    <w:p>
      <w:pPr>
        <w:keepNext/>
        <w:spacing w:before="200" w:after="120"/>
      </w:pPr>
      <w:r>
        <w:rPr>
          <w:rFonts w:ascii="Cambria" w:hAnsi="Cambria"/>
          <w:b/>
          <w:color w:val="1F3A5F"/>
          <w:sz w:val="24"/>
        </w:rPr>
        <w:t>XII. Governance and Implementation</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Body / Authority</w:t>
            </w:r>
          </w:p>
        </w:tc>
        <w:tc>
          <w:tcPr>
            <w:tcW w:type="dxa" w:w="6237"/>
            <w:shd w:val="clear" w:color="auto" w:fill="1F3A5F"/>
          </w:tcPr>
          <w:p>
            <w:pPr>
              <w:spacing w:after="40" w:before="40"/>
            </w:pPr>
            <w:r/>
            <w:r>
              <w:rPr>
                <w:rFonts w:ascii="Cambria" w:hAnsi="Cambria"/>
                <w:b/>
                <w:i w:val="0"/>
                <w:color w:val="FFFFFF"/>
                <w:sz w:val="22"/>
              </w:rPr>
              <w:t>Roles and Responsibilities</w:t>
            </w:r>
          </w:p>
        </w:tc>
      </w:tr>
      <w:tr>
        <w:tc>
          <w:tcPr>
            <w:tcW w:type="dxa" w:w="3175"/>
          </w:tcPr>
          <w:p>
            <w:pPr>
              <w:spacing w:after="40" w:before="40"/>
            </w:pPr>
            <w:r/>
            <w:r>
              <w:rPr>
                <w:rFonts w:ascii="Cambria" w:hAnsi="Cambria"/>
                <w:b w:val="0"/>
                <w:i w:val="0"/>
                <w:sz w:val="22"/>
              </w:rPr>
              <w:t>Code of Conduct &amp; Ethics Committee (CCEC)</w:t>
            </w:r>
          </w:p>
        </w:tc>
        <w:tc>
          <w:tcPr>
            <w:tcW w:type="dxa" w:w="6237"/>
          </w:tcPr>
          <w:p>
            <w:pPr>
              <w:spacing w:after="40" w:before="40"/>
            </w:pPr>
            <w:r/>
            <w:r>
              <w:rPr>
                <w:rFonts w:ascii="Cambria" w:hAnsi="Cambria"/>
                <w:b w:val="0"/>
                <w:i w:val="0"/>
                <w:sz w:val="22"/>
              </w:rPr>
              <w:t>Implementation, review, and awareness activities.</w:t>
            </w:r>
          </w:p>
        </w:tc>
      </w:tr>
      <w:tr>
        <w:tc>
          <w:tcPr>
            <w:tcW w:type="dxa" w:w="3175"/>
            <w:shd w:val="clear" w:color="auto" w:fill="F0F2F5"/>
          </w:tcPr>
          <w:p>
            <w:pPr>
              <w:spacing w:after="40" w:before="40"/>
            </w:pPr>
            <w:r/>
            <w:r>
              <w:rPr>
                <w:rFonts w:ascii="Cambria" w:hAnsi="Cambria"/>
                <w:b w:val="0"/>
                <w:i w:val="0"/>
                <w:sz w:val="22"/>
              </w:rPr>
              <w:t>Registrar / HRD Cell</w:t>
            </w:r>
          </w:p>
        </w:tc>
        <w:tc>
          <w:tcPr>
            <w:tcW w:type="dxa" w:w="6237"/>
            <w:shd w:val="clear" w:color="auto" w:fill="F0F2F5"/>
          </w:tcPr>
          <w:p>
            <w:pPr>
              <w:spacing w:after="40" w:before="40"/>
            </w:pPr>
            <w:r/>
            <w:r>
              <w:rPr>
                <w:rFonts w:ascii="Cambria" w:hAnsi="Cambria"/>
                <w:b w:val="0"/>
                <w:i w:val="0"/>
                <w:sz w:val="22"/>
              </w:rPr>
              <w:t>Maintain compliance records and declarations.</w:t>
            </w:r>
          </w:p>
        </w:tc>
      </w:tr>
      <w:tr>
        <w:tc>
          <w:tcPr>
            <w:tcW w:type="dxa" w:w="3175"/>
          </w:tcPr>
          <w:p>
            <w:pPr>
              <w:spacing w:after="40" w:before="40"/>
            </w:pPr>
            <w:r/>
            <w:r>
              <w:rPr>
                <w:rFonts w:ascii="Cambria" w:hAnsi="Cambria"/>
                <w:b w:val="0"/>
                <w:i w:val="0"/>
                <w:sz w:val="22"/>
              </w:rPr>
              <w:t>IQAC</w:t>
            </w:r>
          </w:p>
        </w:tc>
        <w:tc>
          <w:tcPr>
            <w:tcW w:type="dxa" w:w="6237"/>
          </w:tcPr>
          <w:p>
            <w:pPr>
              <w:spacing w:after="40" w:before="40"/>
            </w:pPr>
            <w:r/>
            <w:r>
              <w:rPr>
                <w:rFonts w:ascii="Cambria" w:hAnsi="Cambria"/>
                <w:b w:val="0"/>
                <w:i w:val="0"/>
                <w:sz w:val="22"/>
              </w:rPr>
              <w:t>Ensure integration with institutional quality parameters.</w:t>
            </w:r>
          </w:p>
        </w:tc>
      </w:tr>
      <w:tr>
        <w:tc>
          <w:tcPr>
            <w:tcW w:type="dxa" w:w="3175"/>
            <w:shd w:val="clear" w:color="auto" w:fill="F0F2F5"/>
          </w:tcPr>
          <w:p>
            <w:pPr>
              <w:spacing w:after="40" w:before="40"/>
            </w:pPr>
            <w:r/>
            <w:r>
              <w:rPr>
                <w:rFonts w:ascii="Cambria" w:hAnsi="Cambria"/>
                <w:b w:val="0"/>
                <w:i w:val="0"/>
                <w:sz w:val="22"/>
              </w:rPr>
              <w:t>Ethics Review Board (ERB)</w:t>
            </w:r>
          </w:p>
        </w:tc>
        <w:tc>
          <w:tcPr>
            <w:tcW w:type="dxa" w:w="6237"/>
            <w:shd w:val="clear" w:color="auto" w:fill="F0F2F5"/>
          </w:tcPr>
          <w:p>
            <w:pPr>
              <w:spacing w:after="40" w:before="40"/>
            </w:pPr>
            <w:r/>
            <w:r>
              <w:rPr>
                <w:rFonts w:ascii="Cambria" w:hAnsi="Cambria"/>
                <w:b w:val="0"/>
                <w:i w:val="0"/>
                <w:sz w:val="22"/>
              </w:rPr>
              <w:t>Handle research and academic ethics issues.</w:t>
            </w:r>
          </w:p>
        </w:tc>
      </w:tr>
      <w:tr>
        <w:tc>
          <w:tcPr>
            <w:tcW w:type="dxa" w:w="3175"/>
          </w:tcPr>
          <w:p>
            <w:pPr>
              <w:spacing w:after="40" w:before="40"/>
            </w:pPr>
            <w:r/>
            <w:r>
              <w:rPr>
                <w:rFonts w:ascii="Cambria" w:hAnsi="Cambria"/>
                <w:b w:val="0"/>
                <w:i w:val="0"/>
                <w:sz w:val="22"/>
              </w:rPr>
              <w:t>Board of Management (BoM)</w:t>
            </w:r>
          </w:p>
        </w:tc>
        <w:tc>
          <w:tcPr>
            <w:tcW w:type="dxa" w:w="6237"/>
          </w:tcPr>
          <w:p>
            <w:pPr>
              <w:spacing w:after="40" w:before="40"/>
            </w:pPr>
            <w:r/>
            <w:r>
              <w:rPr>
                <w:rFonts w:ascii="Cambria" w:hAnsi="Cambria"/>
                <w:b w:val="0"/>
                <w:i w:val="0"/>
                <w:sz w:val="22"/>
              </w:rPr>
              <w:t>Approve policy updates and major disciplinary decisions.</w:t>
            </w:r>
          </w:p>
        </w:tc>
      </w:tr>
    </w:tbl>
    <w:p>
      <w:pPr>
        <w:spacing w:after="40"/>
      </w:pPr>
    </w:p>
    <w:p>
      <w:pPr>
        <w:keepNext/>
        <w:spacing w:before="200" w:after="120"/>
      </w:pPr>
      <w:r>
        <w:rPr>
          <w:rFonts w:ascii="Cambria" w:hAnsi="Cambria"/>
          <w:b/>
          <w:color w:val="1F3A5F"/>
          <w:sz w:val="24"/>
        </w:rPr>
        <w:t>XIII. Training and Awareness</w:t>
      </w:r>
    </w:p>
    <w:p>
      <w:pPr>
        <w:pStyle w:val="ListBullet"/>
        <w:spacing w:line="276" w:lineRule="auto"/>
        <w:ind w:left="510"/>
      </w:pPr>
      <w:r>
        <w:rPr>
          <w:rFonts w:ascii="Cambria" w:hAnsi="Cambria"/>
          <w:b w:val="0"/>
          <w:i w:val="0"/>
          <w:sz w:val="22"/>
        </w:rPr>
        <w:t>Annual Ethics Orientation for all employees during induction and refresher programs.</w:t>
      </w:r>
    </w:p>
    <w:p>
      <w:pPr>
        <w:pStyle w:val="ListBullet"/>
        <w:spacing w:line="276" w:lineRule="auto"/>
        <w:ind w:left="510"/>
      </w:pPr>
      <w:r>
        <w:rPr>
          <w:rFonts w:ascii="Cambria" w:hAnsi="Cambria"/>
          <w:b w:val="0"/>
          <w:i w:val="0"/>
          <w:sz w:val="22"/>
        </w:rPr>
        <w:t>Workshops on Academic Integrity, Data Protection, and Research Ethics conducted by IQAC and HRD Cell.</w:t>
      </w:r>
    </w:p>
    <w:p>
      <w:pPr>
        <w:pStyle w:val="ListBullet"/>
        <w:spacing w:line="276" w:lineRule="auto"/>
        <w:ind w:left="510"/>
      </w:pPr>
      <w:r>
        <w:rPr>
          <w:rFonts w:ascii="Cambria" w:hAnsi="Cambria"/>
          <w:b w:val="0"/>
          <w:i w:val="0"/>
          <w:sz w:val="22"/>
        </w:rPr>
        <w:t>Ethical Pledge Signing Ceremony during orientation to reinforce institutional values.</w:t>
      </w:r>
    </w:p>
    <w:p>
      <w:pPr>
        <w:pStyle w:val="ListBullet"/>
        <w:spacing w:line="276" w:lineRule="auto"/>
        <w:ind w:left="510"/>
      </w:pPr>
      <w:r>
        <w:rPr>
          <w:rFonts w:ascii="Cambria" w:hAnsi="Cambria"/>
          <w:b w:val="0"/>
          <w:i w:val="0"/>
          <w:sz w:val="22"/>
        </w:rPr>
        <w:t>Digital Ethics Repository to provide policy access, self-assessment tools, and compliance checklists.</w:t>
      </w:r>
    </w:p>
    <w:p>
      <w:pPr>
        <w:keepNext/>
        <w:spacing w:before="200" w:after="120"/>
      </w:pPr>
      <w:r>
        <w:rPr>
          <w:rFonts w:ascii="Cambria" w:hAnsi="Cambria"/>
          <w:b/>
          <w:color w:val="1F3A5F"/>
          <w:sz w:val="24"/>
        </w:rPr>
        <w:t>XIV. Documentation and Compliance</w:t>
      </w:r>
    </w:p>
    <w:p>
      <w:pPr>
        <w:pStyle w:val="ListBullet"/>
        <w:spacing w:line="276" w:lineRule="auto"/>
        <w:ind w:left="510"/>
      </w:pPr>
      <w:r>
        <w:rPr>
          <w:rFonts w:ascii="Cambria" w:hAnsi="Cambria"/>
          <w:b w:val="0"/>
          <w:i w:val="0"/>
          <w:sz w:val="22"/>
        </w:rPr>
        <w:t>HRD Cell shall maintain records of:</w:t>
      </w:r>
    </w:p>
    <w:p>
      <w:pPr>
        <w:pStyle w:val="ListBullet2"/>
        <w:spacing w:line="276" w:lineRule="auto"/>
        <w:ind w:left="1020"/>
      </w:pPr>
      <w:r>
        <w:rPr>
          <w:rFonts w:ascii="Cambria" w:hAnsi="Cambria"/>
          <w:b w:val="0"/>
          <w:i w:val="0"/>
          <w:sz w:val="22"/>
        </w:rPr>
        <w:t>Annual Code of Conduct Declaration (Form–CCD–01).</w:t>
      </w:r>
    </w:p>
    <w:p>
      <w:pPr>
        <w:pStyle w:val="ListBullet2"/>
        <w:spacing w:line="276" w:lineRule="auto"/>
        <w:ind w:left="1020"/>
      </w:pPr>
      <w:r>
        <w:rPr>
          <w:rFonts w:ascii="Cambria" w:hAnsi="Cambria"/>
          <w:b w:val="0"/>
          <w:i w:val="0"/>
          <w:sz w:val="22"/>
        </w:rPr>
        <w:t>Conflict of Interest Disclosures.</w:t>
      </w:r>
    </w:p>
    <w:p>
      <w:pPr>
        <w:pStyle w:val="ListBullet2"/>
        <w:spacing w:line="276" w:lineRule="auto"/>
        <w:ind w:left="1020"/>
      </w:pPr>
      <w:r>
        <w:rPr>
          <w:rFonts w:ascii="Cambria" w:hAnsi="Cambria"/>
          <w:b w:val="0"/>
          <w:i w:val="0"/>
          <w:sz w:val="22"/>
        </w:rPr>
        <w:t>Disciplinary actions and ethical clearances.</w:t>
      </w:r>
    </w:p>
    <w:p>
      <w:pPr>
        <w:pStyle w:val="ListBullet"/>
        <w:spacing w:line="276" w:lineRule="auto"/>
        <w:ind w:left="510"/>
      </w:pPr>
      <w:r>
        <w:rPr>
          <w:rFonts w:ascii="Cambria" w:hAnsi="Cambria"/>
          <w:b w:val="0"/>
          <w:i w:val="0"/>
          <w:sz w:val="22"/>
        </w:rPr>
        <w:t>IQAC shall include compliance status in Annual Quality Assurance Report (AQAR) under NAAC Criterion 7.1.9 (Institutional Values and Code of Conduct).</w:t>
      </w:r>
    </w:p>
    <w:p>
      <w:pPr>
        <w:pStyle w:val="ListBullet"/>
        <w:spacing w:line="276" w:lineRule="auto"/>
        <w:ind w:left="510"/>
      </w:pPr>
      <w:r>
        <w:rPr>
          <w:rFonts w:ascii="Cambria" w:hAnsi="Cambria"/>
          <w:b w:val="0"/>
          <w:i w:val="0"/>
          <w:sz w:val="22"/>
        </w:rPr>
        <w:t>Regular ethics audits to be conducted every three years.</w:t>
      </w:r>
    </w:p>
    <w:p>
      <w:pPr>
        <w:keepNext/>
        <w:spacing w:before="200" w:after="120"/>
      </w:pPr>
      <w:r>
        <w:rPr>
          <w:rFonts w:ascii="Cambria" w:hAnsi="Cambria"/>
          <w:b/>
          <w:color w:val="1F3A5F"/>
          <w:sz w:val="24"/>
        </w:rPr>
        <w:t>XV. Policy Review and Updation</w:t>
      </w:r>
    </w:p>
    <w:p>
      <w:pPr>
        <w:pStyle w:val="ListBullet"/>
        <w:spacing w:line="276" w:lineRule="auto"/>
        <w:ind w:left="510"/>
      </w:pPr>
      <w:r>
        <w:rPr>
          <w:rFonts w:ascii="Cambria" w:hAnsi="Cambria"/>
          <w:b w:val="0"/>
          <w:i w:val="0"/>
          <w:sz w:val="22"/>
        </w:rPr>
        <w:t>The policy shall be reviewed every three years by the CCEC and approved by BoM.</w:t>
      </w:r>
    </w:p>
    <w:p>
      <w:pPr>
        <w:pStyle w:val="ListBullet"/>
        <w:spacing w:line="276" w:lineRule="auto"/>
        <w:ind w:left="510"/>
      </w:pPr>
      <w:r>
        <w:rPr>
          <w:rFonts w:ascii="Cambria" w:hAnsi="Cambria"/>
          <w:b w:val="0"/>
          <w:i w:val="0"/>
          <w:sz w:val="22"/>
        </w:rPr>
        <w:t>Updates will align with:</w:t>
      </w:r>
    </w:p>
    <w:p>
      <w:pPr>
        <w:pStyle w:val="ListBullet2"/>
        <w:spacing w:line="276" w:lineRule="auto"/>
        <w:ind w:left="1020"/>
      </w:pPr>
      <w:r>
        <w:rPr>
          <w:rFonts w:ascii="Cambria" w:hAnsi="Cambria"/>
          <w:b w:val="0"/>
          <w:i w:val="0"/>
          <w:sz w:val="22"/>
        </w:rPr>
        <w:t>UGC (Minimum Standards of Professional Ethics) Regulations, 2019</w:t>
      </w:r>
    </w:p>
    <w:p>
      <w:pPr>
        <w:pStyle w:val="ListBullet2"/>
        <w:spacing w:line="276" w:lineRule="auto"/>
        <w:ind w:left="1020"/>
      </w:pPr>
      <w:r>
        <w:rPr>
          <w:rFonts w:ascii="Cambria" w:hAnsi="Cambria"/>
          <w:b w:val="0"/>
          <w:i w:val="0"/>
          <w:sz w:val="22"/>
        </w:rPr>
        <w:t>AICTE Code of Conduct for Faculty (2021)</w:t>
      </w:r>
    </w:p>
    <w:p>
      <w:pPr>
        <w:pStyle w:val="ListBullet2"/>
        <w:spacing w:line="276" w:lineRule="auto"/>
        <w:ind w:left="1020"/>
      </w:pPr>
      <w:r>
        <w:rPr>
          <w:rFonts w:ascii="Cambria" w:hAnsi="Cambria"/>
          <w:b w:val="0"/>
          <w:i w:val="0"/>
          <w:sz w:val="22"/>
        </w:rPr>
        <w:t>National Education Policy (NEP) 2020 – Institutional Ethics Provisions</w:t>
      </w:r>
    </w:p>
    <w:p>
      <w:pPr>
        <w:pStyle w:val="ListBullet2"/>
        <w:spacing w:line="276" w:lineRule="auto"/>
        <w:ind w:left="1020"/>
      </w:pPr>
      <w:r>
        <w:rPr>
          <w:rFonts w:ascii="Cambria" w:hAnsi="Cambria"/>
          <w:b w:val="0"/>
          <w:i w:val="0"/>
          <w:sz w:val="22"/>
        </w:rPr>
        <w:t>UN SDG Principles on Ethical Governance.</w:t>
      </w:r>
    </w:p>
    <w:p>
      <w:pPr>
        <w:keepNext/>
        <w:spacing w:before="200" w:after="120"/>
      </w:pPr>
      <w:r>
        <w:rPr>
          <w:rFonts w:ascii="Cambria" w:hAnsi="Cambria"/>
          <w:b/>
          <w:color w:val="1F3A5F"/>
          <w:sz w:val="24"/>
        </w:rPr>
        <w:t>XVI.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Responsible Authority</w:t>
            </w:r>
          </w:p>
        </w:tc>
      </w:tr>
      <w:tr>
        <w:tc>
          <w:tcPr>
            <w:tcW w:type="dxa" w:w="1927"/>
          </w:tcPr>
          <w:p>
            <w:pPr>
              <w:spacing w:after="40" w:before="40"/>
            </w:pPr>
            <w:r/>
            <w:r>
              <w:rPr>
                <w:rFonts w:ascii="Cambria" w:hAnsi="Cambria"/>
                <w:b w:val="0"/>
                <w:i w:val="0"/>
                <w:sz w:val="22"/>
              </w:rPr>
              <w:t>Applicability</w:t>
            </w:r>
          </w:p>
        </w:tc>
        <w:tc>
          <w:tcPr>
            <w:tcW w:type="dxa" w:w="4876"/>
          </w:tcPr>
          <w:p>
            <w:pPr>
              <w:spacing w:after="40" w:before="40"/>
            </w:pPr>
            <w:r/>
            <w:r>
              <w:rPr>
                <w:rFonts w:ascii="Cambria" w:hAnsi="Cambria"/>
                <w:b w:val="0"/>
                <w:i w:val="0"/>
                <w:sz w:val="22"/>
              </w:rPr>
              <w:t>All faculty, staff, and research personnel</w:t>
            </w:r>
          </w:p>
        </w:tc>
        <w:tc>
          <w:tcPr>
            <w:tcW w:type="dxa" w:w="2608"/>
          </w:tcPr>
          <w:p>
            <w:pPr>
              <w:spacing w:after="40" w:before="40"/>
            </w:pPr>
            <w:r/>
            <w:r>
              <w:rPr>
                <w:rFonts w:ascii="Cambria" w:hAnsi="Cambria"/>
                <w:b w:val="0"/>
                <w:i w:val="0"/>
                <w:sz w:val="22"/>
              </w:rPr>
              <w:t>Registrar / HRD</w:t>
            </w:r>
          </w:p>
        </w:tc>
      </w:tr>
      <w:tr>
        <w:tc>
          <w:tcPr>
            <w:tcW w:type="dxa" w:w="1927"/>
            <w:shd w:val="clear" w:color="auto" w:fill="F0F2F5"/>
          </w:tcPr>
          <w:p>
            <w:pPr>
              <w:spacing w:after="40" w:before="40"/>
            </w:pPr>
            <w:r/>
            <w:r>
              <w:rPr>
                <w:rFonts w:ascii="Cambria" w:hAnsi="Cambria"/>
                <w:b w:val="0"/>
                <w:i w:val="0"/>
                <w:sz w:val="22"/>
              </w:rPr>
              <w:t>Core Principles</w:t>
            </w:r>
          </w:p>
        </w:tc>
        <w:tc>
          <w:tcPr>
            <w:tcW w:type="dxa" w:w="4876"/>
            <w:shd w:val="clear" w:color="auto" w:fill="F0F2F5"/>
          </w:tcPr>
          <w:p>
            <w:pPr>
              <w:spacing w:after="40" w:before="40"/>
            </w:pPr>
            <w:r/>
            <w:r>
              <w:rPr>
                <w:rFonts w:ascii="Cambria" w:hAnsi="Cambria"/>
                <w:b w:val="0"/>
                <w:i w:val="0"/>
                <w:sz w:val="22"/>
              </w:rPr>
              <w:t>Integrity, transparency, fairness, accountability</w:t>
            </w:r>
          </w:p>
        </w:tc>
        <w:tc>
          <w:tcPr>
            <w:tcW w:type="dxa" w:w="2608"/>
            <w:shd w:val="clear" w:color="auto" w:fill="F0F2F5"/>
          </w:tcPr>
          <w:p>
            <w:pPr>
              <w:spacing w:after="40" w:before="40"/>
            </w:pPr>
            <w:r/>
            <w:r>
              <w:rPr>
                <w:rFonts w:ascii="Cambria" w:hAnsi="Cambria"/>
                <w:b w:val="0"/>
                <w:i w:val="0"/>
                <w:sz w:val="22"/>
              </w:rPr>
              <w:t>CCEC</w:t>
            </w:r>
          </w:p>
        </w:tc>
      </w:tr>
      <w:tr>
        <w:tc>
          <w:tcPr>
            <w:tcW w:type="dxa" w:w="1927"/>
          </w:tcPr>
          <w:p>
            <w:pPr>
              <w:spacing w:after="40" w:before="40"/>
            </w:pPr>
            <w:r/>
            <w:r>
              <w:rPr>
                <w:rFonts w:ascii="Cambria" w:hAnsi="Cambria"/>
                <w:b w:val="0"/>
                <w:i w:val="0"/>
                <w:sz w:val="22"/>
              </w:rPr>
              <w:t>Conflict of Interest</w:t>
            </w:r>
          </w:p>
        </w:tc>
        <w:tc>
          <w:tcPr>
            <w:tcW w:type="dxa" w:w="4876"/>
          </w:tcPr>
          <w:p>
            <w:pPr>
              <w:spacing w:after="40" w:before="40"/>
            </w:pPr>
            <w:r/>
            <w:r>
              <w:rPr>
                <w:rFonts w:ascii="Cambria" w:hAnsi="Cambria"/>
                <w:b w:val="0"/>
                <w:i w:val="0"/>
                <w:sz w:val="22"/>
              </w:rPr>
              <w:t>Mandatory disclosure and annual declaration</w:t>
            </w:r>
          </w:p>
        </w:tc>
        <w:tc>
          <w:tcPr>
            <w:tcW w:type="dxa" w:w="2608"/>
          </w:tcPr>
          <w:p>
            <w:pPr>
              <w:spacing w:after="40" w:before="40"/>
            </w:pPr>
            <w:r/>
            <w:r>
              <w:rPr>
                <w:rFonts w:ascii="Cambria" w:hAnsi="Cambria"/>
                <w:b w:val="0"/>
                <w:i w:val="0"/>
                <w:sz w:val="22"/>
              </w:rPr>
              <w:t>HRD Cell</w:t>
            </w:r>
          </w:p>
        </w:tc>
      </w:tr>
      <w:tr>
        <w:tc>
          <w:tcPr>
            <w:tcW w:type="dxa" w:w="1927"/>
            <w:shd w:val="clear" w:color="auto" w:fill="F0F2F5"/>
          </w:tcPr>
          <w:p>
            <w:pPr>
              <w:spacing w:after="40" w:before="40"/>
            </w:pPr>
            <w:r/>
            <w:r>
              <w:rPr>
                <w:rFonts w:ascii="Cambria" w:hAnsi="Cambria"/>
                <w:b w:val="0"/>
                <w:i w:val="0"/>
                <w:sz w:val="22"/>
              </w:rPr>
              <w:t>Disciplinary Oversight</w:t>
            </w:r>
          </w:p>
        </w:tc>
        <w:tc>
          <w:tcPr>
            <w:tcW w:type="dxa" w:w="4876"/>
            <w:shd w:val="clear" w:color="auto" w:fill="F0F2F5"/>
          </w:tcPr>
          <w:p>
            <w:pPr>
              <w:spacing w:after="40" w:before="40"/>
            </w:pPr>
            <w:r/>
            <w:r>
              <w:rPr>
                <w:rFonts w:ascii="Cambria" w:hAnsi="Cambria"/>
                <w:b w:val="0"/>
                <w:i w:val="0"/>
                <w:sz w:val="22"/>
              </w:rPr>
              <w:t>Enquiry as per disciplinary policy</w:t>
            </w:r>
          </w:p>
        </w:tc>
        <w:tc>
          <w:tcPr>
            <w:tcW w:type="dxa" w:w="2608"/>
            <w:shd w:val="clear" w:color="auto" w:fill="F0F2F5"/>
          </w:tcPr>
          <w:p>
            <w:pPr>
              <w:spacing w:after="40" w:before="40"/>
            </w:pPr>
            <w:r/>
            <w:r>
              <w:rPr>
                <w:rFonts w:ascii="Cambria" w:hAnsi="Cambria"/>
                <w:b w:val="0"/>
                <w:i w:val="0"/>
                <w:sz w:val="22"/>
              </w:rPr>
              <w:t>BoM / CCEC</w:t>
            </w:r>
          </w:p>
        </w:tc>
      </w:tr>
      <w:tr>
        <w:tc>
          <w:tcPr>
            <w:tcW w:type="dxa" w:w="1927"/>
          </w:tcPr>
          <w:p>
            <w:pPr>
              <w:spacing w:after="40" w:before="40"/>
            </w:pPr>
            <w:r/>
            <w:r>
              <w:rPr>
                <w:rFonts w:ascii="Cambria" w:hAnsi="Cambria"/>
                <w:b w:val="0"/>
                <w:i w:val="0"/>
                <w:sz w:val="22"/>
              </w:rPr>
              <w:t>Training</w:t>
            </w:r>
          </w:p>
        </w:tc>
        <w:tc>
          <w:tcPr>
            <w:tcW w:type="dxa" w:w="4876"/>
          </w:tcPr>
          <w:p>
            <w:pPr>
              <w:spacing w:after="40" w:before="40"/>
            </w:pPr>
            <w:r/>
            <w:r>
              <w:rPr>
                <w:rFonts w:ascii="Cambria" w:hAnsi="Cambria"/>
                <w:b w:val="0"/>
                <w:i w:val="0"/>
                <w:sz w:val="22"/>
              </w:rPr>
              <w:t>Annual ethics workshops and induction programs</w:t>
            </w:r>
          </w:p>
        </w:tc>
        <w:tc>
          <w:tcPr>
            <w:tcW w:type="dxa" w:w="2608"/>
          </w:tcPr>
          <w:p>
            <w:pPr>
              <w:spacing w:after="40" w:before="40"/>
            </w:pPr>
            <w:r/>
            <w:r>
              <w:rPr>
                <w:rFonts w:ascii="Cambria" w:hAnsi="Cambria"/>
                <w:b w:val="0"/>
                <w:i w:val="0"/>
                <w:sz w:val="22"/>
              </w:rPr>
              <w:t>IQAC / HRD</w:t>
            </w:r>
          </w:p>
        </w:tc>
      </w:tr>
      <w:tr>
        <w:tc>
          <w:tcPr>
            <w:tcW w:type="dxa" w:w="1927"/>
            <w:shd w:val="clear" w:color="auto" w:fill="F0F2F5"/>
          </w:tcPr>
          <w:p>
            <w:pPr>
              <w:spacing w:after="40" w:before="40"/>
            </w:pPr>
            <w:r/>
            <w:r>
              <w:rPr>
                <w:rFonts w:ascii="Cambria" w:hAnsi="Cambria"/>
                <w:b w:val="0"/>
                <w:i w:val="0"/>
                <w:sz w:val="22"/>
              </w:rPr>
              <w:t>Policy Review</w:t>
            </w:r>
          </w:p>
        </w:tc>
        <w:tc>
          <w:tcPr>
            <w:tcW w:type="dxa" w:w="4876"/>
            <w:shd w:val="clear" w:color="auto" w:fill="F0F2F5"/>
          </w:tcPr>
          <w:p>
            <w:pPr>
              <w:spacing w:after="40" w:before="40"/>
            </w:pPr>
            <w:r/>
            <w:r>
              <w:rPr>
                <w:rFonts w:ascii="Cambria" w:hAnsi="Cambria"/>
                <w:b w:val="0"/>
                <w:i w:val="0"/>
                <w:sz w:val="22"/>
              </w:rPr>
              <w:t>Every 3 years</w:t>
            </w:r>
          </w:p>
        </w:tc>
        <w:tc>
          <w:tcPr>
            <w:tcW w:type="dxa" w:w="2608"/>
            <w:shd w:val="clear" w:color="auto" w:fill="F0F2F5"/>
          </w:tcPr>
          <w:p>
            <w:pPr>
              <w:spacing w:after="40" w:before="40"/>
            </w:pPr>
            <w:r/>
            <w:r>
              <w:rPr>
                <w:rFonts w:ascii="Cambria" w:hAnsi="Cambria"/>
                <w:b w:val="0"/>
                <w:i w:val="0"/>
                <w:sz w:val="22"/>
              </w:rPr>
              <w:t>CCEC / BoM</w:t>
            </w:r>
          </w:p>
        </w:tc>
      </w:tr>
    </w:tbl>
    <w:p>
      <w:pPr>
        <w:spacing w:after="40"/>
      </w:pPr>
    </w:p>
    <w:p>
      <w:pPr>
        <w:keepNext/>
        <w:spacing w:before="200" w:after="120"/>
      </w:pPr>
      <w:r>
        <w:rPr>
          <w:rFonts w:ascii="Cambria" w:hAnsi="Cambria"/>
          <w:b/>
          <w:color w:val="1F3A5F"/>
          <w:sz w:val="24"/>
        </w:rPr>
        <w:t>XVII. Policy Principles</w:t>
      </w:r>
    </w:p>
    <w:p>
      <w:pPr>
        <w:pStyle w:val="ListBullet"/>
        <w:spacing w:line="276" w:lineRule="auto"/>
        <w:ind w:left="510"/>
      </w:pPr>
      <w:r>
        <w:rPr>
          <w:rFonts w:ascii="Cambria" w:hAnsi="Cambria"/>
          <w:b w:val="0"/>
          <w:i w:val="0"/>
          <w:sz w:val="22"/>
        </w:rPr>
        <w:t>Ethics and professionalism form the foundation of institutional excellence and credibility.</w:t>
      </w:r>
    </w:p>
    <w:p>
      <w:pPr>
        <w:pStyle w:val="ListBullet"/>
        <w:spacing w:line="276" w:lineRule="auto"/>
        <w:ind w:left="510"/>
      </w:pPr>
      <w:r>
        <w:rPr>
          <w:rFonts w:ascii="Cambria" w:hAnsi="Cambria"/>
          <w:b w:val="0"/>
          <w:i w:val="0"/>
          <w:sz w:val="22"/>
        </w:rPr>
        <w:t>Every employee is a custodian of the University's reputation and values.</w:t>
      </w:r>
    </w:p>
    <w:p>
      <w:pPr>
        <w:pStyle w:val="ListBullet"/>
        <w:spacing w:line="276" w:lineRule="auto"/>
        <w:ind w:left="510"/>
      </w:pPr>
      <w:r>
        <w:rPr>
          <w:rFonts w:ascii="Cambria" w:hAnsi="Cambria"/>
          <w:b w:val="0"/>
          <w:i w:val="0"/>
          <w:sz w:val="22"/>
        </w:rPr>
        <w:t>Ethical decisions must prioritize student welfare, social justice, and academic honesty.</w:t>
      </w:r>
    </w:p>
    <w:p>
      <w:pPr>
        <w:pStyle w:val="ListBullet"/>
        <w:spacing w:line="276" w:lineRule="auto"/>
        <w:ind w:left="510"/>
      </w:pPr>
      <w:r>
        <w:rPr>
          <w:rFonts w:ascii="Cambria" w:hAnsi="Cambria"/>
          <w:b w:val="0"/>
          <w:i w:val="0"/>
          <w:sz w:val="22"/>
        </w:rPr>
        <w:t>Violations will attract fair but firm action, upholding discipline with compassion and transparency.</w:t>
      </w:r>
    </w:p>
    <w:p>
      <w:pPr>
        <w:pStyle w:val="ListBullet"/>
        <w:spacing w:line="276" w:lineRule="auto"/>
        <w:ind w:left="510"/>
      </w:pPr>
      <w:r>
        <w:rPr>
          <w:rFonts w:ascii="Cambria" w:hAnsi="Cambria"/>
          <w:b w:val="0"/>
          <w:i w:val="0"/>
          <w:sz w:val="22"/>
        </w:rPr>
        <w:t>The University commits to nurturing a morally responsible, transparent, and accountable academic community.</w:t>
      </w:r>
    </w:p>
    <w:p>
      <w:pPr>
        <w:keepNext/>
        <w:spacing w:before="200" w:after="120"/>
      </w:pPr>
      <w:r>
        <w:rPr>
          <w:rFonts w:ascii="Cambria" w:hAnsi="Cambria"/>
          <w:b/>
          <w:color w:val="1F3A5F"/>
          <w:sz w:val="27"/>
        </w:rPr>
        <w:t>S. Equal Opportunity, Diversity, and Inclusion Policy</w:t>
      </w:r>
    </w:p>
    <w:p>
      <w:pPr>
        <w:keepNext/>
        <w:spacing w:before="200" w:after="120"/>
      </w:pPr>
      <w:r>
        <w:rPr>
          <w:rFonts w:ascii="Cambria" w:hAnsi="Cambria"/>
          <w:b/>
          <w:color w:val="1F3A5F"/>
          <w:sz w:val="24"/>
        </w:rPr>
        <w:t>Purpose</w:t>
      </w:r>
    </w:p>
    <w:p>
      <w:pPr>
        <w:pStyle w:val="ListBullet"/>
        <w:spacing w:line="276" w:lineRule="auto"/>
        <w:ind w:left="510"/>
      </w:pPr>
      <w:r>
        <w:rPr>
          <w:rFonts w:ascii="Cambria" w:hAnsi="Cambria"/>
          <w:b w:val="0"/>
          <w:i w:val="0"/>
          <w:sz w:val="22"/>
        </w:rPr>
        <w:t>To promote an equitable, inclusive, and non-discriminatory environment within the University that ensures fair treatment and equal access to opportunities for all employees, students, and stakeholders.</w:t>
      </w:r>
    </w:p>
    <w:p>
      <w:pPr>
        <w:pStyle w:val="ListBullet"/>
        <w:spacing w:line="276" w:lineRule="auto"/>
        <w:ind w:left="510"/>
      </w:pPr>
      <w:r>
        <w:rPr>
          <w:rFonts w:ascii="Cambria" w:hAnsi="Cambria"/>
          <w:b w:val="0"/>
          <w:i w:val="0"/>
          <w:sz w:val="22"/>
        </w:rPr>
        <w:t>This policy reflects the institution's commitment to diversity, social justice, and inclusivity, in line with the Constitution of India (Articles 14–16), UGC Guidelines (2022), and NEP 2020 – Equity and Inclusion Framework.</w:t>
      </w:r>
    </w:p>
    <w:p>
      <w:pPr>
        <w:keepNext/>
        <w:spacing w:before="200" w:after="120"/>
      </w:pPr>
      <w:r>
        <w:rPr>
          <w:rFonts w:ascii="Cambria" w:hAnsi="Cambria"/>
          <w:b/>
          <w:color w:val="1F3A5F"/>
          <w:sz w:val="24"/>
        </w:rPr>
        <w:t>I. Objectives</w:t>
      </w:r>
    </w:p>
    <w:p>
      <w:pPr>
        <w:pStyle w:val="ListBullet"/>
        <w:spacing w:line="276" w:lineRule="auto"/>
        <w:ind w:left="510"/>
      </w:pPr>
      <w:r>
        <w:rPr>
          <w:rFonts w:ascii="Cambria" w:hAnsi="Cambria"/>
          <w:b w:val="0"/>
          <w:i w:val="0"/>
          <w:sz w:val="22"/>
        </w:rPr>
        <w:t>Ensure equal opportunity in recruitment, training, promotion, and participation in institutional activities.</w:t>
      </w:r>
    </w:p>
    <w:p>
      <w:pPr>
        <w:pStyle w:val="ListBullet"/>
        <w:spacing w:line="276" w:lineRule="auto"/>
        <w:ind w:left="510"/>
      </w:pPr>
      <w:r>
        <w:rPr>
          <w:rFonts w:ascii="Cambria" w:hAnsi="Cambria"/>
          <w:b w:val="0"/>
          <w:i w:val="0"/>
          <w:sz w:val="22"/>
        </w:rPr>
        <w:t>Foster a diverse and inclusive community that values gender balance, cultural diversity, and accessibility.</w:t>
      </w:r>
    </w:p>
    <w:p>
      <w:pPr>
        <w:pStyle w:val="ListBullet"/>
        <w:spacing w:line="276" w:lineRule="auto"/>
        <w:ind w:left="510"/>
      </w:pPr>
      <w:r>
        <w:rPr>
          <w:rFonts w:ascii="Cambria" w:hAnsi="Cambria"/>
          <w:b w:val="0"/>
          <w:i w:val="0"/>
          <w:sz w:val="22"/>
        </w:rPr>
        <w:t>Prevent and eliminate discrimination or bias based on caste, religion, gender, disability, socioeconomic background, or ethnicity.</w:t>
      </w:r>
    </w:p>
    <w:p>
      <w:pPr>
        <w:pStyle w:val="ListBullet"/>
        <w:spacing w:line="276" w:lineRule="auto"/>
        <w:ind w:left="510"/>
      </w:pPr>
      <w:r>
        <w:rPr>
          <w:rFonts w:ascii="Cambria" w:hAnsi="Cambria"/>
          <w:b w:val="0"/>
          <w:i w:val="0"/>
          <w:sz w:val="22"/>
        </w:rPr>
        <w:t>Encourage the active inclusion of women, persons with disabilities (PwDs), minority groups, and economically weaker sections (EWS) in academic and administrative processes.</w:t>
      </w:r>
    </w:p>
    <w:p>
      <w:pPr>
        <w:pStyle w:val="ListBullet"/>
        <w:spacing w:line="276" w:lineRule="auto"/>
        <w:ind w:left="510"/>
      </w:pPr>
      <w:r>
        <w:rPr>
          <w:rFonts w:ascii="Cambria" w:hAnsi="Cambria"/>
          <w:b w:val="0"/>
          <w:i w:val="0"/>
          <w:sz w:val="22"/>
        </w:rPr>
        <w:t>Strengthen the University's alignment with SDG 5 (Gender Equality), SDG 10 (Reduced Inequalities), and SDG 4 (Quality Education for All).</w:t>
      </w:r>
    </w:p>
    <w:p>
      <w:pPr>
        <w:keepNext/>
        <w:spacing w:before="200" w:after="120"/>
      </w:pPr>
      <w:r>
        <w:rPr>
          <w:rFonts w:ascii="Cambria" w:hAnsi="Cambria"/>
          <w:b/>
          <w:color w:val="1F3A5F"/>
          <w:sz w:val="24"/>
        </w:rPr>
        <w:t>II. Scope and Applicability</w:t>
      </w:r>
    </w:p>
    <w:p>
      <w:pPr>
        <w:pStyle w:val="ListBullet"/>
        <w:spacing w:line="276" w:lineRule="auto"/>
        <w:ind w:left="510"/>
      </w:pPr>
      <w:r>
        <w:rPr>
          <w:rFonts w:ascii="Cambria" w:hAnsi="Cambria"/>
          <w:b w:val="0"/>
          <w:i w:val="0"/>
          <w:sz w:val="22"/>
        </w:rPr>
        <w:t>Applicable to all:</w:t>
      </w:r>
    </w:p>
    <w:p>
      <w:pPr>
        <w:pStyle w:val="ListBullet2"/>
        <w:spacing w:line="276" w:lineRule="auto"/>
        <w:ind w:left="1020"/>
      </w:pPr>
      <w:r>
        <w:rPr>
          <w:rFonts w:ascii="Cambria" w:hAnsi="Cambria"/>
          <w:b w:val="0"/>
          <w:i w:val="0"/>
          <w:sz w:val="22"/>
        </w:rPr>
        <w:t>Teaching and Non-Teaching Employees (regular, contract, or temporary).</w:t>
      </w:r>
    </w:p>
    <w:p>
      <w:pPr>
        <w:pStyle w:val="ListBullet2"/>
        <w:spacing w:line="276" w:lineRule="auto"/>
        <w:ind w:left="1020"/>
      </w:pPr>
      <w:r>
        <w:rPr>
          <w:rFonts w:ascii="Cambria" w:hAnsi="Cambria"/>
          <w:b w:val="0"/>
          <w:i w:val="0"/>
          <w:sz w:val="22"/>
        </w:rPr>
        <w:t>Students, Researchers, and Visiting Faculty.</w:t>
      </w:r>
    </w:p>
    <w:p>
      <w:pPr>
        <w:pStyle w:val="ListBullet2"/>
        <w:spacing w:line="276" w:lineRule="auto"/>
        <w:ind w:left="1020"/>
      </w:pPr>
      <w:r>
        <w:rPr>
          <w:rFonts w:ascii="Cambria" w:hAnsi="Cambria"/>
          <w:b w:val="0"/>
          <w:i w:val="0"/>
          <w:sz w:val="22"/>
        </w:rPr>
        <w:t>Vendors and Partners associated with institutional operations.</w:t>
      </w:r>
    </w:p>
    <w:p>
      <w:pPr>
        <w:pStyle w:val="ListBullet"/>
        <w:spacing w:line="276" w:lineRule="auto"/>
        <w:ind w:left="510"/>
      </w:pPr>
      <w:r>
        <w:rPr>
          <w:rFonts w:ascii="Cambria" w:hAnsi="Cambria"/>
          <w:b w:val="0"/>
          <w:i w:val="0"/>
          <w:sz w:val="22"/>
        </w:rPr>
        <w:t>Covers all institutional functions including:</w:t>
      </w:r>
    </w:p>
    <w:p>
      <w:pPr>
        <w:pStyle w:val="ListBullet2"/>
        <w:spacing w:line="276" w:lineRule="auto"/>
        <w:ind w:left="1020"/>
      </w:pPr>
      <w:r>
        <w:rPr>
          <w:rFonts w:ascii="Cambria" w:hAnsi="Cambria"/>
          <w:b w:val="0"/>
          <w:i w:val="0"/>
          <w:sz w:val="22"/>
        </w:rPr>
        <w:t>Recruitment, promotion, and performance appraisal.</w:t>
      </w:r>
    </w:p>
    <w:p>
      <w:pPr>
        <w:pStyle w:val="ListBullet2"/>
        <w:spacing w:line="276" w:lineRule="auto"/>
        <w:ind w:left="1020"/>
      </w:pPr>
      <w:r>
        <w:rPr>
          <w:rFonts w:ascii="Cambria" w:hAnsi="Cambria"/>
          <w:b w:val="0"/>
          <w:i w:val="0"/>
          <w:sz w:val="22"/>
        </w:rPr>
        <w:t>Admission and academic processes.</w:t>
      </w:r>
    </w:p>
    <w:p>
      <w:pPr>
        <w:pStyle w:val="ListBullet2"/>
        <w:spacing w:line="276" w:lineRule="auto"/>
        <w:ind w:left="1020"/>
      </w:pPr>
      <w:r>
        <w:rPr>
          <w:rFonts w:ascii="Cambria" w:hAnsi="Cambria"/>
          <w:b w:val="0"/>
          <w:i w:val="0"/>
          <w:sz w:val="22"/>
        </w:rPr>
        <w:t>Training, research, and innovation participation.</w:t>
      </w:r>
    </w:p>
    <w:p>
      <w:pPr>
        <w:pStyle w:val="ListBullet2"/>
        <w:spacing w:line="276" w:lineRule="auto"/>
        <w:ind w:left="1020"/>
      </w:pPr>
      <w:r>
        <w:rPr>
          <w:rFonts w:ascii="Cambria" w:hAnsi="Cambria"/>
          <w:b w:val="0"/>
          <w:i w:val="0"/>
          <w:sz w:val="22"/>
        </w:rPr>
        <w:t>Use of facilities, welfare programs, and grievance mechanisms.</w:t>
      </w:r>
    </w:p>
    <w:p>
      <w:pPr>
        <w:keepNext/>
        <w:spacing w:before="200" w:after="120"/>
      </w:pPr>
      <w:r>
        <w:rPr>
          <w:rFonts w:ascii="Cambria" w:hAnsi="Cambria"/>
          <w:b/>
          <w:color w:val="1F3A5F"/>
          <w:sz w:val="24"/>
        </w:rPr>
        <w:t>III. Principles of Equality and Inclusion</w:t>
      </w:r>
    </w:p>
    <w:tbl>
      <w:tblPr>
        <w:tblStyle w:val="TableGrid"/>
        <w:tblW w:type="auto" w:w="0"/>
        <w:jc w:val="center"/>
        <w:tblLook w:firstColumn="1" w:firstRow="1" w:lastColumn="0" w:lastRow="0" w:noHBand="0" w:noVBand="1" w:val="04A0"/>
        <w:tblLayout w:type="fixed"/>
      </w:tblPr>
      <w:tblGrid>
        <w:gridCol w:w="4706"/>
        <w:gridCol w:w="4706"/>
      </w:tblGrid>
      <w:tr>
        <w:tc>
          <w:tcPr>
            <w:tcW w:type="dxa" w:w="2268"/>
            <w:shd w:val="clear" w:color="auto" w:fill="1F3A5F"/>
          </w:tcPr>
          <w:p>
            <w:pPr>
              <w:spacing w:after="40" w:before="40"/>
            </w:pPr>
            <w:r/>
            <w:r>
              <w:rPr>
                <w:rFonts w:ascii="Cambria" w:hAnsi="Cambria"/>
                <w:b/>
                <w:i w:val="0"/>
                <w:color w:val="FFFFFF"/>
                <w:sz w:val="22"/>
              </w:rPr>
              <w:t>Core Principle</w:t>
            </w:r>
          </w:p>
        </w:tc>
        <w:tc>
          <w:tcPr>
            <w:tcW w:type="dxa" w:w="7144"/>
            <w:shd w:val="clear" w:color="auto" w:fill="1F3A5F"/>
          </w:tcPr>
          <w:p>
            <w:pPr>
              <w:spacing w:after="40" w:before="40"/>
            </w:pPr>
            <w:r/>
            <w:r>
              <w:rPr>
                <w:rFonts w:ascii="Cambria" w:hAnsi="Cambria"/>
                <w:b/>
                <w:i w:val="0"/>
                <w:color w:val="FFFFFF"/>
                <w:sz w:val="22"/>
              </w:rPr>
              <w:t>Description</w:t>
            </w:r>
          </w:p>
        </w:tc>
      </w:tr>
      <w:tr>
        <w:tc>
          <w:tcPr>
            <w:tcW w:type="dxa" w:w="2268"/>
          </w:tcPr>
          <w:p>
            <w:pPr>
              <w:spacing w:after="40" w:before="40"/>
            </w:pPr>
            <w:r/>
            <w:r>
              <w:rPr>
                <w:rFonts w:ascii="Cambria" w:hAnsi="Cambria"/>
                <w:b w:val="0"/>
                <w:i w:val="0"/>
                <w:sz w:val="22"/>
              </w:rPr>
              <w:t>Equity</w:t>
            </w:r>
          </w:p>
        </w:tc>
        <w:tc>
          <w:tcPr>
            <w:tcW w:type="dxa" w:w="7144"/>
          </w:tcPr>
          <w:p>
            <w:pPr>
              <w:spacing w:after="40" w:before="40"/>
            </w:pPr>
            <w:r/>
            <w:r>
              <w:rPr>
                <w:rFonts w:ascii="Cambria" w:hAnsi="Cambria"/>
                <w:b w:val="0"/>
                <w:i w:val="0"/>
                <w:sz w:val="22"/>
              </w:rPr>
              <w:t>Fair treatment according to individual needs and circumstances.</w:t>
            </w:r>
          </w:p>
        </w:tc>
      </w:tr>
      <w:tr>
        <w:tc>
          <w:tcPr>
            <w:tcW w:type="dxa" w:w="2268"/>
            <w:shd w:val="clear" w:color="auto" w:fill="F0F2F5"/>
          </w:tcPr>
          <w:p>
            <w:pPr>
              <w:spacing w:after="40" w:before="40"/>
            </w:pPr>
            <w:r/>
            <w:r>
              <w:rPr>
                <w:rFonts w:ascii="Cambria" w:hAnsi="Cambria"/>
                <w:b w:val="0"/>
                <w:i w:val="0"/>
                <w:sz w:val="22"/>
              </w:rPr>
              <w:t>Diversity</w:t>
            </w:r>
          </w:p>
        </w:tc>
        <w:tc>
          <w:tcPr>
            <w:tcW w:type="dxa" w:w="7144"/>
            <w:shd w:val="clear" w:color="auto" w:fill="F0F2F5"/>
          </w:tcPr>
          <w:p>
            <w:pPr>
              <w:spacing w:after="40" w:before="40"/>
            </w:pPr>
            <w:r/>
            <w:r>
              <w:rPr>
                <w:rFonts w:ascii="Cambria" w:hAnsi="Cambria"/>
                <w:b w:val="0"/>
                <w:i w:val="0"/>
                <w:sz w:val="22"/>
              </w:rPr>
              <w:t>Valuing differences across gender, region, culture, and background.</w:t>
            </w:r>
          </w:p>
        </w:tc>
      </w:tr>
      <w:tr>
        <w:tc>
          <w:tcPr>
            <w:tcW w:type="dxa" w:w="2268"/>
          </w:tcPr>
          <w:p>
            <w:pPr>
              <w:spacing w:after="40" w:before="40"/>
            </w:pPr>
            <w:r/>
            <w:r>
              <w:rPr>
                <w:rFonts w:ascii="Cambria" w:hAnsi="Cambria"/>
                <w:b w:val="0"/>
                <w:i w:val="0"/>
                <w:sz w:val="22"/>
              </w:rPr>
              <w:t>Accessibility</w:t>
            </w:r>
          </w:p>
        </w:tc>
        <w:tc>
          <w:tcPr>
            <w:tcW w:type="dxa" w:w="7144"/>
          </w:tcPr>
          <w:p>
            <w:pPr>
              <w:spacing w:after="40" w:before="40"/>
            </w:pPr>
            <w:r/>
            <w:r>
              <w:rPr>
                <w:rFonts w:ascii="Cambria" w:hAnsi="Cambria"/>
                <w:b w:val="0"/>
                <w:i w:val="0"/>
                <w:sz w:val="22"/>
              </w:rPr>
              <w:t>Removing physical, social, or digital barriers to participation.</w:t>
            </w:r>
          </w:p>
        </w:tc>
      </w:tr>
      <w:tr>
        <w:tc>
          <w:tcPr>
            <w:tcW w:type="dxa" w:w="2268"/>
            <w:shd w:val="clear" w:color="auto" w:fill="F0F2F5"/>
          </w:tcPr>
          <w:p>
            <w:pPr>
              <w:spacing w:after="40" w:before="40"/>
            </w:pPr>
            <w:r/>
            <w:r>
              <w:rPr>
                <w:rFonts w:ascii="Cambria" w:hAnsi="Cambria"/>
                <w:b w:val="0"/>
                <w:i w:val="0"/>
                <w:sz w:val="22"/>
              </w:rPr>
              <w:t>Inclusion</w:t>
            </w:r>
          </w:p>
        </w:tc>
        <w:tc>
          <w:tcPr>
            <w:tcW w:type="dxa" w:w="7144"/>
            <w:shd w:val="clear" w:color="auto" w:fill="F0F2F5"/>
          </w:tcPr>
          <w:p>
            <w:pPr>
              <w:spacing w:after="40" w:before="40"/>
            </w:pPr>
            <w:r/>
            <w:r>
              <w:rPr>
                <w:rFonts w:ascii="Cambria" w:hAnsi="Cambria"/>
                <w:b w:val="0"/>
                <w:i w:val="0"/>
                <w:sz w:val="22"/>
              </w:rPr>
              <w:t>Ensuring representation, voice, and belonging for all groups.</w:t>
            </w:r>
          </w:p>
        </w:tc>
      </w:tr>
      <w:tr>
        <w:tc>
          <w:tcPr>
            <w:tcW w:type="dxa" w:w="2268"/>
          </w:tcPr>
          <w:p>
            <w:pPr>
              <w:spacing w:after="40" w:before="40"/>
            </w:pPr>
            <w:r/>
            <w:r>
              <w:rPr>
                <w:rFonts w:ascii="Cambria" w:hAnsi="Cambria"/>
                <w:b w:val="0"/>
                <w:i w:val="0"/>
                <w:sz w:val="22"/>
              </w:rPr>
              <w:t>Transparency</w:t>
            </w:r>
          </w:p>
        </w:tc>
        <w:tc>
          <w:tcPr>
            <w:tcW w:type="dxa" w:w="7144"/>
          </w:tcPr>
          <w:p>
            <w:pPr>
              <w:spacing w:after="40" w:before="40"/>
            </w:pPr>
            <w:r/>
            <w:r>
              <w:rPr>
                <w:rFonts w:ascii="Cambria" w:hAnsi="Cambria"/>
                <w:b w:val="0"/>
                <w:i w:val="0"/>
                <w:sz w:val="22"/>
              </w:rPr>
              <w:t>Open and unbiased decision-making in all institutional processes.</w:t>
            </w:r>
          </w:p>
        </w:tc>
      </w:tr>
      <w:tr>
        <w:tc>
          <w:tcPr>
            <w:tcW w:type="dxa" w:w="2268"/>
            <w:shd w:val="clear" w:color="auto" w:fill="F0F2F5"/>
          </w:tcPr>
          <w:p>
            <w:pPr>
              <w:spacing w:after="40" w:before="40"/>
            </w:pPr>
            <w:r/>
            <w:r>
              <w:rPr>
                <w:rFonts w:ascii="Cambria" w:hAnsi="Cambria"/>
                <w:b w:val="0"/>
                <w:i w:val="0"/>
                <w:sz w:val="22"/>
              </w:rPr>
              <w:t>Non-Discrimination</w:t>
            </w:r>
          </w:p>
        </w:tc>
        <w:tc>
          <w:tcPr>
            <w:tcW w:type="dxa" w:w="7144"/>
            <w:shd w:val="clear" w:color="auto" w:fill="F0F2F5"/>
          </w:tcPr>
          <w:p>
            <w:pPr>
              <w:spacing w:after="40" w:before="40"/>
            </w:pPr>
            <w:r/>
            <w:r>
              <w:rPr>
                <w:rFonts w:ascii="Cambria" w:hAnsi="Cambria"/>
                <w:b w:val="0"/>
                <w:i w:val="0"/>
                <w:sz w:val="22"/>
              </w:rPr>
              <w:t>Zero tolerance for any form of bias, exclusion, or harassment.</w:t>
            </w:r>
          </w:p>
        </w:tc>
      </w:tr>
    </w:tbl>
    <w:p>
      <w:pPr>
        <w:spacing w:after="40"/>
      </w:pPr>
    </w:p>
    <w:p>
      <w:pPr>
        <w:keepNext/>
        <w:spacing w:before="200" w:after="120"/>
      </w:pPr>
      <w:r>
        <w:rPr>
          <w:rFonts w:ascii="Cambria" w:hAnsi="Cambria"/>
          <w:b/>
          <w:color w:val="1F3A5F"/>
          <w:sz w:val="24"/>
        </w:rPr>
        <w:t>IV. Equal Opportunity Framework</w:t>
      </w:r>
    </w:p>
    <w:tbl>
      <w:tblPr>
        <w:tblStyle w:val="TableGrid"/>
        <w:tblW w:type="auto" w:w="0"/>
        <w:jc w:val="center"/>
        <w:tblLook w:firstColumn="1" w:firstRow="1" w:lastColumn="0" w:lastRow="0" w:noHBand="0" w:noVBand="1" w:val="04A0"/>
        <w:tblLayout w:type="fixed"/>
      </w:tblPr>
      <w:tblGrid>
        <w:gridCol w:w="4706"/>
        <w:gridCol w:w="4706"/>
      </w:tblGrid>
      <w:tr>
        <w:tc>
          <w:tcPr>
            <w:tcW w:type="dxa" w:w="2608"/>
            <w:shd w:val="clear" w:color="auto" w:fill="1F3A5F"/>
          </w:tcPr>
          <w:p>
            <w:pPr>
              <w:spacing w:after="40" w:before="40"/>
            </w:pPr>
            <w:r/>
            <w:r>
              <w:rPr>
                <w:rFonts w:ascii="Cambria" w:hAnsi="Cambria"/>
                <w:b/>
                <w:i w:val="0"/>
                <w:color w:val="FFFFFF"/>
                <w:sz w:val="22"/>
              </w:rPr>
              <w:t>Area of Opportunity</w:t>
            </w:r>
          </w:p>
        </w:tc>
        <w:tc>
          <w:tcPr>
            <w:tcW w:type="dxa" w:w="6804"/>
            <w:shd w:val="clear" w:color="auto" w:fill="1F3A5F"/>
          </w:tcPr>
          <w:p>
            <w:pPr>
              <w:spacing w:after="40" w:before="40"/>
            </w:pPr>
            <w:r/>
            <w:r>
              <w:rPr>
                <w:rFonts w:ascii="Cambria" w:hAnsi="Cambria"/>
                <w:b/>
                <w:i w:val="0"/>
                <w:color w:val="FFFFFF"/>
                <w:sz w:val="22"/>
              </w:rPr>
              <w:t>Policy Provision</w:t>
            </w:r>
          </w:p>
        </w:tc>
      </w:tr>
      <w:tr>
        <w:tc>
          <w:tcPr>
            <w:tcW w:type="dxa" w:w="2608"/>
          </w:tcPr>
          <w:p>
            <w:pPr>
              <w:spacing w:after="40" w:before="40"/>
            </w:pPr>
            <w:r/>
            <w:r>
              <w:rPr>
                <w:rFonts w:ascii="Cambria" w:hAnsi="Cambria"/>
                <w:b w:val="0"/>
                <w:i w:val="0"/>
                <w:sz w:val="22"/>
              </w:rPr>
              <w:t>Recruitment and Selection</w:t>
            </w:r>
          </w:p>
        </w:tc>
        <w:tc>
          <w:tcPr>
            <w:tcW w:type="dxa" w:w="6804"/>
          </w:tcPr>
          <w:p>
            <w:pPr>
              <w:spacing w:after="40" w:before="40"/>
            </w:pPr>
            <w:r/>
            <w:r>
              <w:rPr>
                <w:rFonts w:ascii="Cambria" w:hAnsi="Cambria"/>
                <w:b w:val="0"/>
                <w:i w:val="0"/>
                <w:sz w:val="22"/>
              </w:rPr>
              <w:t>Transparent hiring based on merit and reservation norms (as per UGC / Government guidelines).</w:t>
            </w:r>
          </w:p>
        </w:tc>
      </w:tr>
      <w:tr>
        <w:tc>
          <w:tcPr>
            <w:tcW w:type="dxa" w:w="2608"/>
            <w:shd w:val="clear" w:color="auto" w:fill="F0F2F5"/>
          </w:tcPr>
          <w:p>
            <w:pPr>
              <w:spacing w:after="40" w:before="40"/>
            </w:pPr>
            <w:r/>
            <w:r>
              <w:rPr>
                <w:rFonts w:ascii="Cambria" w:hAnsi="Cambria"/>
                <w:b w:val="0"/>
                <w:i w:val="0"/>
                <w:sz w:val="22"/>
              </w:rPr>
              <w:t>Promotion and Appraisal</w:t>
            </w:r>
          </w:p>
        </w:tc>
        <w:tc>
          <w:tcPr>
            <w:tcW w:type="dxa" w:w="6804"/>
            <w:shd w:val="clear" w:color="auto" w:fill="F0F2F5"/>
          </w:tcPr>
          <w:p>
            <w:pPr>
              <w:spacing w:after="40" w:before="40"/>
            </w:pPr>
            <w:r/>
            <w:r>
              <w:rPr>
                <w:rFonts w:ascii="Cambria" w:hAnsi="Cambria"/>
                <w:b w:val="0"/>
                <w:i w:val="0"/>
                <w:sz w:val="22"/>
              </w:rPr>
              <w:t>Equal access to advancement based on performance and not personal characteristics.</w:t>
            </w:r>
          </w:p>
        </w:tc>
      </w:tr>
      <w:tr>
        <w:tc>
          <w:tcPr>
            <w:tcW w:type="dxa" w:w="2608"/>
          </w:tcPr>
          <w:p>
            <w:pPr>
              <w:spacing w:after="40" w:before="40"/>
            </w:pPr>
            <w:r/>
            <w:r>
              <w:rPr>
                <w:rFonts w:ascii="Cambria" w:hAnsi="Cambria"/>
                <w:b w:val="0"/>
                <w:i w:val="0"/>
                <w:sz w:val="22"/>
              </w:rPr>
              <w:t>Training and Capacity Building</w:t>
            </w:r>
          </w:p>
        </w:tc>
        <w:tc>
          <w:tcPr>
            <w:tcW w:type="dxa" w:w="6804"/>
          </w:tcPr>
          <w:p>
            <w:pPr>
              <w:spacing w:after="40" w:before="40"/>
            </w:pPr>
            <w:r/>
            <w:r>
              <w:rPr>
                <w:rFonts w:ascii="Cambria" w:hAnsi="Cambria"/>
                <w:b w:val="0"/>
                <w:i w:val="0"/>
                <w:sz w:val="22"/>
              </w:rPr>
              <w:t>Inclusive training programs ensuring equal participation from all employee categories.</w:t>
            </w:r>
          </w:p>
        </w:tc>
      </w:tr>
      <w:tr>
        <w:tc>
          <w:tcPr>
            <w:tcW w:type="dxa" w:w="2608"/>
            <w:shd w:val="clear" w:color="auto" w:fill="F0F2F5"/>
          </w:tcPr>
          <w:p>
            <w:pPr>
              <w:spacing w:after="40" w:before="40"/>
            </w:pPr>
            <w:r/>
            <w:r>
              <w:rPr>
                <w:rFonts w:ascii="Cambria" w:hAnsi="Cambria"/>
                <w:b w:val="0"/>
                <w:i w:val="0"/>
                <w:sz w:val="22"/>
              </w:rPr>
              <w:t>Academic Admissions</w:t>
            </w:r>
          </w:p>
        </w:tc>
        <w:tc>
          <w:tcPr>
            <w:tcW w:type="dxa" w:w="6804"/>
            <w:shd w:val="clear" w:color="auto" w:fill="F0F2F5"/>
          </w:tcPr>
          <w:p>
            <w:pPr>
              <w:spacing w:after="40" w:before="40"/>
            </w:pPr>
            <w:r/>
            <w:r>
              <w:rPr>
                <w:rFonts w:ascii="Cambria" w:hAnsi="Cambria"/>
                <w:b w:val="0"/>
                <w:i w:val="0"/>
                <w:sz w:val="22"/>
              </w:rPr>
              <w:t>Reservation and fee concession for SC/ST/OBC/EWS/PwD as per statutory norms.</w:t>
            </w:r>
          </w:p>
        </w:tc>
      </w:tr>
      <w:tr>
        <w:tc>
          <w:tcPr>
            <w:tcW w:type="dxa" w:w="2608"/>
          </w:tcPr>
          <w:p>
            <w:pPr>
              <w:spacing w:after="40" w:before="40"/>
            </w:pPr>
            <w:r/>
            <w:r>
              <w:rPr>
                <w:rFonts w:ascii="Cambria" w:hAnsi="Cambria"/>
                <w:b w:val="0"/>
                <w:i w:val="0"/>
                <w:sz w:val="22"/>
              </w:rPr>
              <w:t>Research and Innovation Participation</w:t>
            </w:r>
          </w:p>
        </w:tc>
        <w:tc>
          <w:tcPr>
            <w:tcW w:type="dxa" w:w="6804"/>
          </w:tcPr>
          <w:p>
            <w:pPr>
              <w:spacing w:after="40" w:before="40"/>
            </w:pPr>
            <w:r/>
            <w:r>
              <w:rPr>
                <w:rFonts w:ascii="Cambria" w:hAnsi="Cambria"/>
                <w:b w:val="0"/>
                <w:i w:val="0"/>
                <w:sz w:val="22"/>
              </w:rPr>
              <w:t>Priority inclusion of women and minority scholars in funded projects and committees.</w:t>
            </w:r>
          </w:p>
        </w:tc>
      </w:tr>
      <w:tr>
        <w:tc>
          <w:tcPr>
            <w:tcW w:type="dxa" w:w="2608"/>
            <w:shd w:val="clear" w:color="auto" w:fill="F0F2F5"/>
          </w:tcPr>
          <w:p>
            <w:pPr>
              <w:spacing w:after="40" w:before="40"/>
            </w:pPr>
            <w:r/>
            <w:r>
              <w:rPr>
                <w:rFonts w:ascii="Cambria" w:hAnsi="Cambria"/>
                <w:b w:val="0"/>
                <w:i w:val="0"/>
                <w:sz w:val="22"/>
              </w:rPr>
              <w:t>Committee Representation</w:t>
            </w:r>
          </w:p>
        </w:tc>
        <w:tc>
          <w:tcPr>
            <w:tcW w:type="dxa" w:w="6804"/>
            <w:shd w:val="clear" w:color="auto" w:fill="F0F2F5"/>
          </w:tcPr>
          <w:p>
            <w:pPr>
              <w:spacing w:after="40" w:before="40"/>
            </w:pPr>
            <w:r/>
            <w:r>
              <w:rPr>
                <w:rFonts w:ascii="Cambria" w:hAnsi="Cambria"/>
                <w:b w:val="0"/>
                <w:i w:val="0"/>
                <w:sz w:val="22"/>
              </w:rPr>
              <w:t>At least one-third representation of women and inclusion of marginalized groups.</w:t>
            </w:r>
          </w:p>
        </w:tc>
      </w:tr>
      <w:tr>
        <w:tc>
          <w:tcPr>
            <w:tcW w:type="dxa" w:w="2608"/>
          </w:tcPr>
          <w:p>
            <w:pPr>
              <w:spacing w:after="40" w:before="40"/>
            </w:pPr>
            <w:r/>
            <w:r>
              <w:rPr>
                <w:rFonts w:ascii="Cambria" w:hAnsi="Cambria"/>
                <w:b w:val="0"/>
                <w:i w:val="0"/>
                <w:sz w:val="22"/>
              </w:rPr>
              <w:t>Digital Accessibility</w:t>
            </w:r>
          </w:p>
        </w:tc>
        <w:tc>
          <w:tcPr>
            <w:tcW w:type="dxa" w:w="6804"/>
          </w:tcPr>
          <w:p>
            <w:pPr>
              <w:spacing w:after="40" w:before="40"/>
            </w:pPr>
            <w:r/>
            <w:r>
              <w:rPr>
                <w:rFonts w:ascii="Cambria" w:hAnsi="Cambria"/>
                <w:b w:val="0"/>
                <w:i w:val="0"/>
                <w:sz w:val="22"/>
              </w:rPr>
              <w:t>All institutional platforms to meet Web Content Accessibility Guidelines (WCAG 2.1) for PwDs.</w:t>
            </w:r>
          </w:p>
        </w:tc>
      </w:tr>
    </w:tbl>
    <w:p>
      <w:pPr>
        <w:spacing w:after="40"/>
      </w:pPr>
    </w:p>
    <w:p>
      <w:pPr>
        <w:keepNext/>
        <w:spacing w:before="200" w:after="120"/>
      </w:pPr>
      <w:r>
        <w:rPr>
          <w:rFonts w:ascii="Cambria" w:hAnsi="Cambria"/>
          <w:b/>
          <w:color w:val="1F3A5F"/>
          <w:sz w:val="24"/>
        </w:rPr>
        <w:t>V. Special Provisions and Support Systems</w:t>
      </w:r>
    </w:p>
    <w:p>
      <w:pPr>
        <w:keepNext/>
        <w:spacing w:before="200" w:after="120"/>
      </w:pPr>
      <w:r>
        <w:rPr>
          <w:rFonts w:ascii="Cambria" w:hAnsi="Cambria"/>
          <w:b/>
          <w:color w:val="1F3A5F"/>
          <w:sz w:val="24"/>
        </w:rPr>
        <w:t>1. Gender Equity Initiatives</w:t>
      </w:r>
    </w:p>
    <w:p>
      <w:pPr>
        <w:pStyle w:val="ListBullet"/>
        <w:spacing w:line="276" w:lineRule="auto"/>
        <w:ind w:left="510"/>
      </w:pPr>
      <w:r>
        <w:rPr>
          <w:rFonts w:ascii="Cambria" w:hAnsi="Cambria"/>
          <w:b w:val="0"/>
          <w:i w:val="0"/>
          <w:sz w:val="22"/>
        </w:rPr>
        <w:t>Gender Sensitization Programs conducted annually by the Women's Cell / ICC.</w:t>
      </w:r>
    </w:p>
    <w:p>
      <w:pPr>
        <w:pStyle w:val="ListBullet"/>
        <w:spacing w:line="276" w:lineRule="auto"/>
        <w:ind w:left="510"/>
      </w:pPr>
      <w:r>
        <w:rPr>
          <w:rFonts w:ascii="Cambria" w:hAnsi="Cambria"/>
          <w:b w:val="0"/>
          <w:i w:val="0"/>
          <w:sz w:val="22"/>
        </w:rPr>
        <w:t>Maternity and Paternity Support:</w:t>
      </w:r>
    </w:p>
    <w:p>
      <w:pPr>
        <w:pStyle w:val="ListBullet2"/>
        <w:spacing w:line="276" w:lineRule="auto"/>
        <w:ind w:left="1020"/>
      </w:pPr>
      <w:r>
        <w:rPr>
          <w:rFonts w:ascii="Cambria" w:hAnsi="Cambria"/>
          <w:b w:val="0"/>
          <w:i w:val="0"/>
          <w:sz w:val="22"/>
        </w:rPr>
        <w:t>180 days maternity leave + 15 days paternity leave.</w:t>
      </w:r>
    </w:p>
    <w:p>
      <w:pPr>
        <w:pStyle w:val="ListBullet2"/>
        <w:spacing w:line="276" w:lineRule="auto"/>
        <w:ind w:left="1020"/>
      </w:pPr>
      <w:r>
        <w:rPr>
          <w:rFonts w:ascii="Cambria" w:hAnsi="Cambria"/>
          <w:b w:val="0"/>
          <w:i w:val="0"/>
          <w:sz w:val="22"/>
        </w:rPr>
        <w:t>Flexible working hours for new parents.</w:t>
      </w:r>
    </w:p>
    <w:p>
      <w:pPr>
        <w:pStyle w:val="ListBullet"/>
        <w:spacing w:line="276" w:lineRule="auto"/>
        <w:ind w:left="510"/>
      </w:pPr>
      <w:r>
        <w:rPr>
          <w:rFonts w:ascii="Cambria" w:hAnsi="Cambria"/>
          <w:b w:val="0"/>
          <w:i w:val="0"/>
          <w:sz w:val="22"/>
        </w:rPr>
        <w:t>Day Care / Crèche Facilities within the campus.</w:t>
      </w:r>
    </w:p>
    <w:p>
      <w:pPr>
        <w:pStyle w:val="ListBullet"/>
        <w:spacing w:line="276" w:lineRule="auto"/>
        <w:ind w:left="510"/>
      </w:pPr>
      <w:r>
        <w:rPr>
          <w:rFonts w:ascii="Cambria" w:hAnsi="Cambria"/>
          <w:b w:val="0"/>
          <w:i w:val="0"/>
          <w:sz w:val="22"/>
        </w:rPr>
        <w:t>Support for career re-entry programs for women after breaks.</w:t>
      </w:r>
    </w:p>
    <w:p>
      <w:pPr>
        <w:keepNext/>
        <w:spacing w:before="200" w:after="120"/>
      </w:pPr>
      <w:r>
        <w:rPr>
          <w:rFonts w:ascii="Cambria" w:hAnsi="Cambria"/>
          <w:b/>
          <w:color w:val="1F3A5F"/>
          <w:sz w:val="24"/>
        </w:rPr>
        <w:t>2. Disability Inclusion Measures</w:t>
      </w:r>
    </w:p>
    <w:p>
      <w:pPr>
        <w:pStyle w:val="ListBullet"/>
        <w:spacing w:line="276" w:lineRule="auto"/>
        <w:ind w:left="510"/>
      </w:pPr>
      <w:r>
        <w:rPr>
          <w:rFonts w:ascii="Cambria" w:hAnsi="Cambria"/>
          <w:b w:val="0"/>
          <w:i w:val="0"/>
          <w:sz w:val="22"/>
        </w:rPr>
        <w:t>Barrier-free campus design: Ramps, elevators, tactile flooring, Braille signage, and accessible washrooms.</w:t>
      </w:r>
    </w:p>
    <w:p>
      <w:pPr>
        <w:pStyle w:val="ListBullet"/>
        <w:spacing w:line="276" w:lineRule="auto"/>
        <w:ind w:left="510"/>
      </w:pPr>
      <w:r>
        <w:rPr>
          <w:rFonts w:ascii="Cambria" w:hAnsi="Cambria"/>
          <w:b w:val="0"/>
          <w:i w:val="0"/>
          <w:sz w:val="22"/>
        </w:rPr>
        <w:t>Assistive Technologies: Screen readers, voice-to-text tools, and accessible e-resources in the library.</w:t>
      </w:r>
    </w:p>
    <w:p>
      <w:pPr>
        <w:pStyle w:val="ListBullet"/>
        <w:spacing w:line="276" w:lineRule="auto"/>
        <w:ind w:left="510"/>
      </w:pPr>
      <w:r>
        <w:rPr>
          <w:rFonts w:ascii="Cambria" w:hAnsi="Cambria"/>
          <w:b w:val="0"/>
          <w:i w:val="0"/>
          <w:sz w:val="22"/>
        </w:rPr>
        <w:t>Exam Accommodation: Extra time, scribes, or alternate formats for PwD students.</w:t>
      </w:r>
    </w:p>
    <w:p>
      <w:pPr>
        <w:pStyle w:val="ListBullet"/>
        <w:spacing w:line="276" w:lineRule="auto"/>
        <w:ind w:left="510"/>
      </w:pPr>
      <w:r>
        <w:rPr>
          <w:rFonts w:ascii="Cambria" w:hAnsi="Cambria"/>
          <w:b w:val="0"/>
          <w:i w:val="0"/>
          <w:sz w:val="22"/>
        </w:rPr>
        <w:t>Dedicated Disability Support Officer to coordinate accessibility needs.</w:t>
      </w:r>
    </w:p>
    <w:p>
      <w:pPr>
        <w:keepNext/>
        <w:spacing w:before="200" w:after="120"/>
      </w:pPr>
      <w:r>
        <w:rPr>
          <w:rFonts w:ascii="Cambria" w:hAnsi="Cambria"/>
          <w:b/>
          <w:color w:val="1F3A5F"/>
          <w:sz w:val="24"/>
        </w:rPr>
        <w:t>3. Minority and Socioeconomic Inclusion</w:t>
      </w:r>
    </w:p>
    <w:p>
      <w:pPr>
        <w:pStyle w:val="ListBullet"/>
        <w:spacing w:line="276" w:lineRule="auto"/>
        <w:ind w:left="510"/>
      </w:pPr>
      <w:r>
        <w:rPr>
          <w:rFonts w:ascii="Cambria" w:hAnsi="Cambria"/>
          <w:b w:val="0"/>
          <w:i w:val="0"/>
          <w:sz w:val="22"/>
        </w:rPr>
        <w:t>Scholarships and fee waivers for EWS, SC/ST/OBC, and minority students.</w:t>
      </w:r>
    </w:p>
    <w:p>
      <w:pPr>
        <w:pStyle w:val="ListBullet"/>
        <w:spacing w:line="276" w:lineRule="auto"/>
        <w:ind w:left="510"/>
      </w:pPr>
      <w:r>
        <w:rPr>
          <w:rFonts w:ascii="Cambria" w:hAnsi="Cambria"/>
          <w:b w:val="0"/>
          <w:i w:val="0"/>
          <w:sz w:val="22"/>
        </w:rPr>
        <w:t>Priority access to mentoring, bridge courses, and remedial classes.</w:t>
      </w:r>
    </w:p>
    <w:p>
      <w:pPr>
        <w:pStyle w:val="ListBullet"/>
        <w:spacing w:line="276" w:lineRule="auto"/>
        <w:ind w:left="510"/>
      </w:pPr>
      <w:r>
        <w:rPr>
          <w:rFonts w:ascii="Cambria" w:hAnsi="Cambria"/>
          <w:b w:val="0"/>
          <w:i w:val="0"/>
          <w:sz w:val="22"/>
        </w:rPr>
        <w:t>Observance of minority cultural events and promotion of pluralism.</w:t>
      </w:r>
    </w:p>
    <w:p>
      <w:pPr>
        <w:keepNext/>
        <w:spacing w:before="200" w:after="120"/>
      </w:pPr>
      <w:r>
        <w:rPr>
          <w:rFonts w:ascii="Cambria" w:hAnsi="Cambria"/>
          <w:b/>
          <w:color w:val="1F3A5F"/>
          <w:sz w:val="24"/>
        </w:rPr>
        <w:t>4. LGBTQIA+ Inclusion</w:t>
      </w:r>
    </w:p>
    <w:p>
      <w:pPr>
        <w:pStyle w:val="ListBullet"/>
        <w:spacing w:line="276" w:lineRule="auto"/>
        <w:ind w:left="510"/>
      </w:pPr>
      <w:r>
        <w:rPr>
          <w:rFonts w:ascii="Cambria" w:hAnsi="Cambria"/>
          <w:b w:val="0"/>
          <w:i w:val="0"/>
          <w:sz w:val="22"/>
        </w:rPr>
        <w:t>Adoption of non-discriminatory policies in employment and academics.</w:t>
      </w:r>
    </w:p>
    <w:p>
      <w:pPr>
        <w:pStyle w:val="ListBullet"/>
        <w:spacing w:line="276" w:lineRule="auto"/>
        <w:ind w:left="510"/>
      </w:pPr>
      <w:r>
        <w:rPr>
          <w:rFonts w:ascii="Cambria" w:hAnsi="Cambria"/>
          <w:b w:val="0"/>
          <w:i w:val="0"/>
          <w:sz w:val="22"/>
        </w:rPr>
        <w:t>Gender-neutral restrooms and support through student-led diversity clubs.</w:t>
      </w:r>
    </w:p>
    <w:p>
      <w:pPr>
        <w:pStyle w:val="ListBullet"/>
        <w:spacing w:line="276" w:lineRule="auto"/>
        <w:ind w:left="510"/>
      </w:pPr>
      <w:r>
        <w:rPr>
          <w:rFonts w:ascii="Cambria" w:hAnsi="Cambria"/>
          <w:b w:val="0"/>
          <w:i w:val="0"/>
          <w:sz w:val="22"/>
        </w:rPr>
        <w:t>Sensitization programs for staff and students on gender identity and inclusivity.</w:t>
      </w:r>
    </w:p>
    <w:p>
      <w:pPr>
        <w:keepNext/>
        <w:spacing w:before="200" w:after="120"/>
      </w:pPr>
      <w:r>
        <w:rPr>
          <w:rFonts w:ascii="Cambria" w:hAnsi="Cambria"/>
          <w:b/>
          <w:color w:val="1F3A5F"/>
          <w:sz w:val="24"/>
        </w:rPr>
        <w:t>VI. Institutional Governance Structure</w:t>
      </w:r>
    </w:p>
    <w:tbl>
      <w:tblPr>
        <w:tblStyle w:val="TableGrid"/>
        <w:tblW w:type="auto" w:w="0"/>
        <w:jc w:val="center"/>
        <w:tblLook w:firstColumn="1" w:firstRow="1" w:lastColumn="0" w:lastRow="0" w:noHBand="0" w:noVBand="1" w:val="04A0"/>
        <w:tblLayout w:type="fixed"/>
      </w:tblPr>
      <w:tblGrid>
        <w:gridCol w:w="4706"/>
        <w:gridCol w:w="4706"/>
      </w:tblGrid>
      <w:tr>
        <w:tc>
          <w:tcPr>
            <w:tcW w:type="dxa" w:w="3175"/>
            <w:shd w:val="clear" w:color="auto" w:fill="1F3A5F"/>
          </w:tcPr>
          <w:p>
            <w:pPr>
              <w:spacing w:after="40" w:before="40"/>
            </w:pPr>
            <w:r/>
            <w:r>
              <w:rPr>
                <w:rFonts w:ascii="Cambria" w:hAnsi="Cambria"/>
                <w:b/>
                <w:i w:val="0"/>
                <w:color w:val="FFFFFF"/>
                <w:sz w:val="22"/>
              </w:rPr>
              <w:t>Committee / Cell</w:t>
            </w:r>
          </w:p>
        </w:tc>
        <w:tc>
          <w:tcPr>
            <w:tcW w:type="dxa" w:w="6237"/>
            <w:shd w:val="clear" w:color="auto" w:fill="1F3A5F"/>
          </w:tcPr>
          <w:p>
            <w:pPr>
              <w:spacing w:after="40" w:before="40"/>
            </w:pPr>
            <w:r/>
            <w:r>
              <w:rPr>
                <w:rFonts w:ascii="Cambria" w:hAnsi="Cambria"/>
                <w:b/>
                <w:i w:val="0"/>
                <w:color w:val="FFFFFF"/>
                <w:sz w:val="22"/>
              </w:rPr>
              <w:t>Role and Responsibilities</w:t>
            </w:r>
          </w:p>
        </w:tc>
      </w:tr>
      <w:tr>
        <w:tc>
          <w:tcPr>
            <w:tcW w:type="dxa" w:w="3175"/>
          </w:tcPr>
          <w:p>
            <w:pPr>
              <w:spacing w:after="40" w:before="40"/>
            </w:pPr>
            <w:r/>
            <w:r>
              <w:rPr>
                <w:rFonts w:ascii="Cambria" w:hAnsi="Cambria"/>
                <w:b w:val="0"/>
                <w:i w:val="0"/>
                <w:sz w:val="22"/>
              </w:rPr>
              <w:t>Equal Opportunity Cell (EOC)</w:t>
            </w:r>
          </w:p>
        </w:tc>
        <w:tc>
          <w:tcPr>
            <w:tcW w:type="dxa" w:w="6237"/>
          </w:tcPr>
          <w:p>
            <w:pPr>
              <w:spacing w:after="40" w:before="40"/>
            </w:pPr>
            <w:r/>
            <w:r>
              <w:rPr>
                <w:rFonts w:ascii="Cambria" w:hAnsi="Cambria"/>
                <w:b w:val="0"/>
                <w:i w:val="0"/>
                <w:sz w:val="22"/>
              </w:rPr>
              <w:t>Nodal body for implementing and monitoring the policy.</w:t>
            </w:r>
          </w:p>
        </w:tc>
      </w:tr>
      <w:tr>
        <w:tc>
          <w:tcPr>
            <w:tcW w:type="dxa" w:w="3175"/>
            <w:shd w:val="clear" w:color="auto" w:fill="F0F2F5"/>
          </w:tcPr>
          <w:p>
            <w:pPr>
              <w:spacing w:after="40" w:before="40"/>
            </w:pPr>
            <w:r/>
            <w:r>
              <w:rPr>
                <w:rFonts w:ascii="Cambria" w:hAnsi="Cambria"/>
                <w:b w:val="0"/>
                <w:i w:val="0"/>
                <w:sz w:val="22"/>
              </w:rPr>
              <w:t>Women Empowerment Cell (WEC)</w:t>
            </w:r>
          </w:p>
        </w:tc>
        <w:tc>
          <w:tcPr>
            <w:tcW w:type="dxa" w:w="6237"/>
            <w:shd w:val="clear" w:color="auto" w:fill="F0F2F5"/>
          </w:tcPr>
          <w:p>
            <w:pPr>
              <w:spacing w:after="40" w:before="40"/>
            </w:pPr>
            <w:r/>
            <w:r>
              <w:rPr>
                <w:rFonts w:ascii="Cambria" w:hAnsi="Cambria"/>
                <w:b w:val="0"/>
                <w:i w:val="0"/>
                <w:sz w:val="22"/>
              </w:rPr>
              <w:t>Conducts gender sensitization and empowerment initiatives.</w:t>
            </w:r>
          </w:p>
        </w:tc>
      </w:tr>
      <w:tr>
        <w:tc>
          <w:tcPr>
            <w:tcW w:type="dxa" w:w="3175"/>
          </w:tcPr>
          <w:p>
            <w:pPr>
              <w:spacing w:after="40" w:before="40"/>
            </w:pPr>
            <w:r/>
            <w:r>
              <w:rPr>
                <w:rFonts w:ascii="Cambria" w:hAnsi="Cambria"/>
                <w:b w:val="0"/>
                <w:i w:val="0"/>
                <w:sz w:val="22"/>
              </w:rPr>
              <w:t>Internal Complaints Committee (ICC)</w:t>
            </w:r>
          </w:p>
        </w:tc>
        <w:tc>
          <w:tcPr>
            <w:tcW w:type="dxa" w:w="6237"/>
          </w:tcPr>
          <w:p>
            <w:pPr>
              <w:spacing w:after="40" w:before="40"/>
            </w:pPr>
            <w:r/>
            <w:r>
              <w:rPr>
                <w:rFonts w:ascii="Cambria" w:hAnsi="Cambria"/>
                <w:b w:val="0"/>
                <w:i w:val="0"/>
                <w:sz w:val="22"/>
              </w:rPr>
              <w:t>Handles cases under POSH Act, 2013.</w:t>
            </w:r>
          </w:p>
        </w:tc>
      </w:tr>
      <w:tr>
        <w:tc>
          <w:tcPr>
            <w:tcW w:type="dxa" w:w="3175"/>
            <w:shd w:val="clear" w:color="auto" w:fill="F0F2F5"/>
          </w:tcPr>
          <w:p>
            <w:pPr>
              <w:spacing w:after="40" w:before="40"/>
            </w:pPr>
            <w:r/>
            <w:r>
              <w:rPr>
                <w:rFonts w:ascii="Cambria" w:hAnsi="Cambria"/>
                <w:b w:val="0"/>
                <w:i w:val="0"/>
                <w:sz w:val="22"/>
              </w:rPr>
              <w:t>Disability Support Committee (DSC)</w:t>
            </w:r>
          </w:p>
        </w:tc>
        <w:tc>
          <w:tcPr>
            <w:tcW w:type="dxa" w:w="6237"/>
            <w:shd w:val="clear" w:color="auto" w:fill="F0F2F5"/>
          </w:tcPr>
          <w:p>
            <w:pPr>
              <w:spacing w:after="40" w:before="40"/>
            </w:pPr>
            <w:r/>
            <w:r>
              <w:rPr>
                <w:rFonts w:ascii="Cambria" w:hAnsi="Cambria"/>
                <w:b w:val="0"/>
                <w:i w:val="0"/>
                <w:sz w:val="22"/>
              </w:rPr>
              <w:t>Ensures accessibility infrastructure and academic support for PwDs.</w:t>
            </w:r>
          </w:p>
        </w:tc>
      </w:tr>
      <w:tr>
        <w:tc>
          <w:tcPr>
            <w:tcW w:type="dxa" w:w="3175"/>
          </w:tcPr>
          <w:p>
            <w:pPr>
              <w:spacing w:after="40" w:before="40"/>
            </w:pPr>
            <w:r/>
            <w:r>
              <w:rPr>
                <w:rFonts w:ascii="Cambria" w:hAnsi="Cambria"/>
                <w:b w:val="0"/>
                <w:i w:val="0"/>
                <w:sz w:val="22"/>
              </w:rPr>
              <w:t>Minority &amp; Inclusion Committee (MIC)</w:t>
            </w:r>
          </w:p>
        </w:tc>
        <w:tc>
          <w:tcPr>
            <w:tcW w:type="dxa" w:w="6237"/>
          </w:tcPr>
          <w:p>
            <w:pPr>
              <w:spacing w:after="40" w:before="40"/>
            </w:pPr>
            <w:r/>
            <w:r>
              <w:rPr>
                <w:rFonts w:ascii="Cambria" w:hAnsi="Cambria"/>
                <w:b w:val="0"/>
                <w:i w:val="0"/>
                <w:sz w:val="22"/>
              </w:rPr>
              <w:t>Promotes cultural and religious harmony initiatives.</w:t>
            </w:r>
          </w:p>
        </w:tc>
      </w:tr>
      <w:tr>
        <w:tc>
          <w:tcPr>
            <w:tcW w:type="dxa" w:w="3175"/>
            <w:shd w:val="clear" w:color="auto" w:fill="F0F2F5"/>
          </w:tcPr>
          <w:p>
            <w:pPr>
              <w:spacing w:after="40" w:before="40"/>
            </w:pPr>
            <w:r/>
            <w:r>
              <w:rPr>
                <w:rFonts w:ascii="Cambria" w:hAnsi="Cambria"/>
                <w:b w:val="0"/>
                <w:i w:val="0"/>
                <w:sz w:val="22"/>
              </w:rPr>
              <w:t>HRD Cell &amp; IQAC</w:t>
            </w:r>
          </w:p>
        </w:tc>
        <w:tc>
          <w:tcPr>
            <w:tcW w:type="dxa" w:w="6237"/>
            <w:shd w:val="clear" w:color="auto" w:fill="F0F2F5"/>
          </w:tcPr>
          <w:p>
            <w:pPr>
              <w:spacing w:after="40" w:before="40"/>
            </w:pPr>
            <w:r/>
            <w:r>
              <w:rPr>
                <w:rFonts w:ascii="Cambria" w:hAnsi="Cambria"/>
                <w:b w:val="0"/>
                <w:i w:val="0"/>
                <w:sz w:val="22"/>
              </w:rPr>
              <w:t>Monitor compliance, maintain data, and prepare annual inclusion reports.</w:t>
            </w:r>
          </w:p>
        </w:tc>
      </w:tr>
    </w:tbl>
    <w:p>
      <w:pPr>
        <w:spacing w:after="40"/>
      </w:pPr>
    </w:p>
    <w:p>
      <w:pPr>
        <w:keepNext/>
        <w:spacing w:before="200" w:after="120"/>
      </w:pPr>
      <w:r>
        <w:rPr>
          <w:rFonts w:ascii="Cambria" w:hAnsi="Cambria"/>
          <w:b/>
          <w:color w:val="1F3A5F"/>
          <w:sz w:val="24"/>
        </w:rPr>
        <w:t>VII. Implementation Strategy</w:t>
      </w:r>
    </w:p>
    <w:p>
      <w:pPr>
        <w:spacing w:line="276" w:lineRule="auto"/>
        <w:ind w:left="357" w:hanging="357"/>
      </w:pPr>
      <w:r>
        <w:rPr>
          <w:rFonts w:ascii="Cambria" w:hAnsi="Cambria"/>
          <w:b w:val="0"/>
          <w:i w:val="0"/>
          <w:sz w:val="22"/>
        </w:rPr>
        <w:t xml:space="preserve">1. </w:t>
      </w:r>
      <w:r>
        <w:rPr>
          <w:rFonts w:ascii="Cambria" w:hAnsi="Cambria"/>
          <w:b w:val="0"/>
          <w:i w:val="0"/>
          <w:sz w:val="22"/>
        </w:rPr>
        <w:t>Policy Communication</w:t>
      </w:r>
    </w:p>
    <w:p>
      <w:pPr>
        <w:pStyle w:val="ListBullet2"/>
        <w:spacing w:line="276" w:lineRule="auto"/>
        <w:ind w:left="1020"/>
      </w:pPr>
      <w:r>
        <w:rPr>
          <w:rFonts w:ascii="Cambria" w:hAnsi="Cambria"/>
          <w:b w:val="0"/>
          <w:i w:val="0"/>
          <w:sz w:val="22"/>
        </w:rPr>
        <w:t>Publication on University website and employee/student handbook.</w:t>
      </w:r>
    </w:p>
    <w:p>
      <w:pPr>
        <w:pStyle w:val="ListBullet2"/>
        <w:spacing w:line="276" w:lineRule="auto"/>
        <w:ind w:left="1020"/>
      </w:pPr>
      <w:r>
        <w:rPr>
          <w:rFonts w:ascii="Cambria" w:hAnsi="Cambria"/>
          <w:b w:val="0"/>
          <w:i w:val="0"/>
          <w:sz w:val="22"/>
        </w:rPr>
        <w:t>Awareness drives during induction programs.</w:t>
      </w:r>
    </w:p>
    <w:p>
      <w:pPr>
        <w:spacing w:line="276" w:lineRule="auto"/>
        <w:ind w:left="357" w:hanging="357"/>
      </w:pPr>
      <w:r>
        <w:rPr>
          <w:rFonts w:ascii="Cambria" w:hAnsi="Cambria"/>
          <w:b w:val="0"/>
          <w:i w:val="0"/>
          <w:sz w:val="22"/>
        </w:rPr>
        <w:t xml:space="preserve">2. </w:t>
      </w:r>
      <w:r>
        <w:rPr>
          <w:rFonts w:ascii="Cambria" w:hAnsi="Cambria"/>
          <w:b w:val="0"/>
          <w:i w:val="0"/>
          <w:sz w:val="22"/>
        </w:rPr>
        <w:t>Training and Capacity Building</w:t>
      </w:r>
    </w:p>
    <w:p>
      <w:pPr>
        <w:pStyle w:val="ListBullet2"/>
        <w:spacing w:line="276" w:lineRule="auto"/>
        <w:ind w:left="1020"/>
      </w:pPr>
      <w:r>
        <w:rPr>
          <w:rFonts w:ascii="Cambria" w:hAnsi="Cambria"/>
          <w:b w:val="0"/>
          <w:i w:val="0"/>
          <w:sz w:val="22"/>
        </w:rPr>
        <w:t>Regular workshops on inclusive teaching, gender sensitivity, and cultural competence.</w:t>
      </w:r>
    </w:p>
    <w:p>
      <w:pPr>
        <w:pStyle w:val="ListBullet2"/>
        <w:spacing w:line="276" w:lineRule="auto"/>
        <w:ind w:left="1020"/>
      </w:pPr>
      <w:r>
        <w:rPr>
          <w:rFonts w:ascii="Cambria" w:hAnsi="Cambria"/>
          <w:b w:val="0"/>
          <w:i w:val="0"/>
          <w:sz w:val="22"/>
        </w:rPr>
        <w:t>Online training for staff on handling unconscious bias and inclusive communication.</w:t>
      </w:r>
    </w:p>
    <w:p>
      <w:pPr>
        <w:spacing w:line="276" w:lineRule="auto"/>
        <w:ind w:left="357" w:hanging="357"/>
      </w:pPr>
      <w:r>
        <w:rPr>
          <w:rFonts w:ascii="Cambria" w:hAnsi="Cambria"/>
          <w:b w:val="0"/>
          <w:i w:val="0"/>
          <w:sz w:val="22"/>
        </w:rPr>
        <w:t xml:space="preserve">3. </w:t>
      </w:r>
      <w:r>
        <w:rPr>
          <w:rFonts w:ascii="Cambria" w:hAnsi="Cambria"/>
          <w:b w:val="0"/>
          <w:i w:val="0"/>
          <w:sz w:val="22"/>
        </w:rPr>
        <w:t>Inclusion Audits</w:t>
      </w:r>
    </w:p>
    <w:p>
      <w:pPr>
        <w:pStyle w:val="ListBullet2"/>
        <w:spacing w:line="276" w:lineRule="auto"/>
        <w:ind w:left="1020"/>
      </w:pPr>
      <w:r>
        <w:rPr>
          <w:rFonts w:ascii="Cambria" w:hAnsi="Cambria"/>
          <w:b w:val="0"/>
          <w:i w:val="0"/>
          <w:sz w:val="22"/>
        </w:rPr>
        <w:t>Annual Diversity &amp; Inclusion (D&amp;I) Audit to assess participation rates, accessibility, and equity measures.</w:t>
      </w:r>
    </w:p>
    <w:p>
      <w:pPr>
        <w:pStyle w:val="ListBullet2"/>
        <w:spacing w:line="276" w:lineRule="auto"/>
        <w:ind w:left="1020"/>
      </w:pPr>
      <w:r>
        <w:rPr>
          <w:rFonts w:ascii="Cambria" w:hAnsi="Cambria"/>
          <w:b w:val="0"/>
          <w:i w:val="0"/>
          <w:sz w:val="22"/>
        </w:rPr>
        <w:t>Findings to be presented in the Annual Equal Opportunity Report submitted to the BoM and IQAC.</w:t>
      </w:r>
    </w:p>
    <w:p>
      <w:pPr>
        <w:spacing w:line="276" w:lineRule="auto"/>
        <w:ind w:left="357" w:hanging="357"/>
      </w:pPr>
      <w:r>
        <w:rPr>
          <w:rFonts w:ascii="Cambria" w:hAnsi="Cambria"/>
          <w:b w:val="0"/>
          <w:i w:val="0"/>
          <w:sz w:val="22"/>
        </w:rPr>
        <w:t xml:space="preserve">4. </w:t>
      </w:r>
      <w:r>
        <w:rPr>
          <w:rFonts w:ascii="Cambria" w:hAnsi="Cambria"/>
          <w:b w:val="0"/>
          <w:i w:val="0"/>
          <w:sz w:val="22"/>
        </w:rPr>
        <w:t>Awareness and Celebration</w:t>
      </w:r>
    </w:p>
    <w:p>
      <w:pPr>
        <w:pStyle w:val="ListBullet2"/>
        <w:spacing w:line="276" w:lineRule="auto"/>
        <w:ind w:left="1020"/>
      </w:pPr>
      <w:r>
        <w:rPr>
          <w:rFonts w:ascii="Cambria" w:hAnsi="Cambria"/>
          <w:b w:val="0"/>
          <w:i w:val="0"/>
          <w:sz w:val="22"/>
        </w:rPr>
        <w:t>Observance of Women's Day, International Day of Persons with Disabilities, and Diversity Week.</w:t>
      </w:r>
    </w:p>
    <w:p>
      <w:pPr>
        <w:pStyle w:val="ListBullet2"/>
        <w:spacing w:line="276" w:lineRule="auto"/>
        <w:ind w:left="1020"/>
      </w:pPr>
      <w:r>
        <w:rPr>
          <w:rFonts w:ascii="Cambria" w:hAnsi="Cambria"/>
          <w:b w:val="0"/>
          <w:i w:val="0"/>
          <w:sz w:val="22"/>
        </w:rPr>
        <w:t>Organization of cross-cultural events and heritage days to promote mutual understanding.</w:t>
      </w:r>
    </w:p>
    <w:p>
      <w:pPr>
        <w:keepNext/>
        <w:spacing w:before="200" w:after="120"/>
      </w:pPr>
      <w:r>
        <w:rPr>
          <w:rFonts w:ascii="Cambria" w:hAnsi="Cambria"/>
          <w:b/>
          <w:color w:val="1F3A5F"/>
          <w:sz w:val="24"/>
        </w:rPr>
        <w:t>VIII. Monitoring and Evaluation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Evaluation Aspect</w:t>
            </w:r>
          </w:p>
        </w:tc>
        <w:tc>
          <w:tcPr>
            <w:tcW w:type="dxa" w:w="4876"/>
            <w:shd w:val="clear" w:color="auto" w:fill="1F3A5F"/>
          </w:tcPr>
          <w:p>
            <w:pPr>
              <w:spacing w:after="40" w:before="40"/>
            </w:pPr>
            <w:r/>
            <w:r>
              <w:rPr>
                <w:rFonts w:ascii="Cambria" w:hAnsi="Cambria"/>
                <w:b/>
                <w:i w:val="0"/>
                <w:color w:val="FFFFFF"/>
                <w:sz w:val="22"/>
              </w:rPr>
              <w:t>Key Metrics</w:t>
            </w:r>
          </w:p>
        </w:tc>
        <w:tc>
          <w:tcPr>
            <w:tcW w:type="dxa" w:w="2494"/>
            <w:shd w:val="clear" w:color="auto" w:fill="1F3A5F"/>
          </w:tcPr>
          <w:p>
            <w:pPr>
              <w:spacing w:after="40" w:before="40"/>
            </w:pPr>
            <w:r/>
            <w:r>
              <w:rPr>
                <w:rFonts w:ascii="Cambria" w:hAnsi="Cambria"/>
                <w:b/>
                <w:i w:val="0"/>
                <w:color w:val="FFFFFF"/>
                <w:sz w:val="22"/>
              </w:rPr>
              <w:t>Responsible Unit</w:t>
            </w:r>
          </w:p>
        </w:tc>
      </w:tr>
      <w:tr>
        <w:tc>
          <w:tcPr>
            <w:tcW w:type="dxa" w:w="2041"/>
          </w:tcPr>
          <w:p>
            <w:pPr>
              <w:spacing w:after="40" w:before="40"/>
            </w:pPr>
            <w:r/>
            <w:r>
              <w:rPr>
                <w:rFonts w:ascii="Cambria" w:hAnsi="Cambria"/>
                <w:b w:val="0"/>
                <w:i w:val="0"/>
                <w:sz w:val="22"/>
              </w:rPr>
              <w:t>Recruitment Equity</w:t>
            </w:r>
          </w:p>
        </w:tc>
        <w:tc>
          <w:tcPr>
            <w:tcW w:type="dxa" w:w="4876"/>
          </w:tcPr>
          <w:p>
            <w:pPr>
              <w:spacing w:after="40" w:before="40"/>
            </w:pPr>
            <w:r/>
            <w:r>
              <w:rPr>
                <w:rFonts w:ascii="Cambria" w:hAnsi="Cambria"/>
                <w:b w:val="0"/>
                <w:i w:val="0"/>
                <w:sz w:val="22"/>
              </w:rPr>
              <w:t>Representation data across gender and categories</w:t>
            </w:r>
          </w:p>
        </w:tc>
        <w:tc>
          <w:tcPr>
            <w:tcW w:type="dxa" w:w="2494"/>
          </w:tcPr>
          <w:p>
            <w:pPr>
              <w:spacing w:after="40" w:before="40"/>
            </w:pPr>
            <w:r/>
            <w:r>
              <w:rPr>
                <w:rFonts w:ascii="Cambria" w:hAnsi="Cambria"/>
                <w:b w:val="0"/>
                <w:i w:val="0"/>
                <w:sz w:val="22"/>
              </w:rPr>
              <w:t>HRD / EOC</w:t>
            </w:r>
          </w:p>
        </w:tc>
      </w:tr>
      <w:tr>
        <w:tc>
          <w:tcPr>
            <w:tcW w:type="dxa" w:w="2041"/>
            <w:shd w:val="clear" w:color="auto" w:fill="F0F2F5"/>
          </w:tcPr>
          <w:p>
            <w:pPr>
              <w:spacing w:after="40" w:before="40"/>
            </w:pPr>
            <w:r/>
            <w:r>
              <w:rPr>
                <w:rFonts w:ascii="Cambria" w:hAnsi="Cambria"/>
                <w:b w:val="0"/>
                <w:i w:val="0"/>
                <w:sz w:val="22"/>
              </w:rPr>
              <w:t>Training Inclusivity</w:t>
            </w:r>
          </w:p>
        </w:tc>
        <w:tc>
          <w:tcPr>
            <w:tcW w:type="dxa" w:w="4876"/>
            <w:shd w:val="clear" w:color="auto" w:fill="F0F2F5"/>
          </w:tcPr>
          <w:p>
            <w:pPr>
              <w:spacing w:after="40" w:before="40"/>
            </w:pPr>
            <w:r/>
            <w:r>
              <w:rPr>
                <w:rFonts w:ascii="Cambria" w:hAnsi="Cambria"/>
                <w:b w:val="0"/>
                <w:i w:val="0"/>
                <w:sz w:val="22"/>
              </w:rPr>
              <w:t>% of staff trained in gender/diversity sensitivity</w:t>
            </w:r>
          </w:p>
        </w:tc>
        <w:tc>
          <w:tcPr>
            <w:tcW w:type="dxa" w:w="2494"/>
            <w:shd w:val="clear" w:color="auto" w:fill="F0F2F5"/>
          </w:tcPr>
          <w:p>
            <w:pPr>
              <w:spacing w:after="40" w:before="40"/>
            </w:pPr>
            <w:r/>
            <w:r>
              <w:rPr>
                <w:rFonts w:ascii="Cambria" w:hAnsi="Cambria"/>
                <w:b w:val="0"/>
                <w:i w:val="0"/>
                <w:sz w:val="22"/>
              </w:rPr>
              <w:t>IQAC / HRD</w:t>
            </w:r>
          </w:p>
        </w:tc>
      </w:tr>
      <w:tr>
        <w:tc>
          <w:tcPr>
            <w:tcW w:type="dxa" w:w="2041"/>
          </w:tcPr>
          <w:p>
            <w:pPr>
              <w:spacing w:after="40" w:before="40"/>
            </w:pPr>
            <w:r/>
            <w:r>
              <w:rPr>
                <w:rFonts w:ascii="Cambria" w:hAnsi="Cambria"/>
                <w:b w:val="0"/>
                <w:i w:val="0"/>
                <w:sz w:val="22"/>
              </w:rPr>
              <w:t>Accessibility Score</w:t>
            </w:r>
          </w:p>
        </w:tc>
        <w:tc>
          <w:tcPr>
            <w:tcW w:type="dxa" w:w="4876"/>
          </w:tcPr>
          <w:p>
            <w:pPr>
              <w:spacing w:after="40" w:before="40"/>
            </w:pPr>
            <w:r/>
            <w:r>
              <w:rPr>
                <w:rFonts w:ascii="Cambria" w:hAnsi="Cambria"/>
                <w:b w:val="0"/>
                <w:i w:val="0"/>
                <w:sz w:val="22"/>
              </w:rPr>
              <w:t>Audit of campus and digital accessibility compliance</w:t>
            </w:r>
          </w:p>
        </w:tc>
        <w:tc>
          <w:tcPr>
            <w:tcW w:type="dxa" w:w="2494"/>
          </w:tcPr>
          <w:p>
            <w:pPr>
              <w:spacing w:after="40" w:before="40"/>
            </w:pPr>
            <w:r/>
            <w:r>
              <w:rPr>
                <w:rFonts w:ascii="Cambria" w:hAnsi="Cambria"/>
                <w:b w:val="0"/>
                <w:i w:val="0"/>
                <w:sz w:val="22"/>
              </w:rPr>
              <w:t>DSC / Estate</w:t>
            </w:r>
          </w:p>
        </w:tc>
      </w:tr>
      <w:tr>
        <w:tc>
          <w:tcPr>
            <w:tcW w:type="dxa" w:w="2041"/>
            <w:shd w:val="clear" w:color="auto" w:fill="F0F2F5"/>
          </w:tcPr>
          <w:p>
            <w:pPr>
              <w:spacing w:after="40" w:before="40"/>
            </w:pPr>
            <w:r/>
            <w:r>
              <w:rPr>
                <w:rFonts w:ascii="Cambria" w:hAnsi="Cambria"/>
                <w:b w:val="0"/>
                <w:i w:val="0"/>
                <w:sz w:val="22"/>
              </w:rPr>
              <w:t>Grievance Redressal</w:t>
            </w:r>
          </w:p>
        </w:tc>
        <w:tc>
          <w:tcPr>
            <w:tcW w:type="dxa" w:w="4876"/>
            <w:shd w:val="clear" w:color="auto" w:fill="F0F2F5"/>
          </w:tcPr>
          <w:p>
            <w:pPr>
              <w:spacing w:after="40" w:before="40"/>
            </w:pPr>
            <w:r/>
            <w:r>
              <w:rPr>
                <w:rFonts w:ascii="Cambria" w:hAnsi="Cambria"/>
                <w:b w:val="0"/>
                <w:i w:val="0"/>
                <w:sz w:val="22"/>
              </w:rPr>
              <w:t>No. of cases resolved under EOC/ICC</w:t>
            </w:r>
          </w:p>
        </w:tc>
        <w:tc>
          <w:tcPr>
            <w:tcW w:type="dxa" w:w="2494"/>
            <w:shd w:val="clear" w:color="auto" w:fill="F0F2F5"/>
          </w:tcPr>
          <w:p>
            <w:pPr>
              <w:spacing w:after="40" w:before="40"/>
            </w:pPr>
            <w:r/>
            <w:r>
              <w:rPr>
                <w:rFonts w:ascii="Cambria" w:hAnsi="Cambria"/>
                <w:b w:val="0"/>
                <w:i w:val="0"/>
                <w:sz w:val="22"/>
              </w:rPr>
              <w:t>Registrar / HRD</w:t>
            </w:r>
          </w:p>
        </w:tc>
      </w:tr>
      <w:tr>
        <w:tc>
          <w:tcPr>
            <w:tcW w:type="dxa" w:w="2041"/>
          </w:tcPr>
          <w:p>
            <w:pPr>
              <w:spacing w:after="40" w:before="40"/>
            </w:pPr>
            <w:r/>
            <w:r>
              <w:rPr>
                <w:rFonts w:ascii="Cambria" w:hAnsi="Cambria"/>
                <w:b w:val="0"/>
                <w:i w:val="0"/>
                <w:sz w:val="22"/>
              </w:rPr>
              <w:t>Satisfaction Index</w:t>
            </w:r>
          </w:p>
        </w:tc>
        <w:tc>
          <w:tcPr>
            <w:tcW w:type="dxa" w:w="4876"/>
          </w:tcPr>
          <w:p>
            <w:pPr>
              <w:spacing w:after="40" w:before="40"/>
            </w:pPr>
            <w:r/>
            <w:r>
              <w:rPr>
                <w:rFonts w:ascii="Cambria" w:hAnsi="Cambria"/>
                <w:b w:val="0"/>
                <w:i w:val="0"/>
                <w:sz w:val="22"/>
              </w:rPr>
              <w:t>Employee and student feedback on inclusiveness</w:t>
            </w:r>
          </w:p>
        </w:tc>
        <w:tc>
          <w:tcPr>
            <w:tcW w:type="dxa" w:w="2494"/>
          </w:tcPr>
          <w:p>
            <w:pPr>
              <w:spacing w:after="40" w:before="40"/>
            </w:pPr>
            <w:r/>
            <w:r>
              <w:rPr>
                <w:rFonts w:ascii="Cambria" w:hAnsi="Cambria"/>
                <w:b w:val="0"/>
                <w:i w:val="0"/>
                <w:sz w:val="22"/>
              </w:rPr>
              <w:t>IQAC / EOC</w:t>
            </w:r>
          </w:p>
        </w:tc>
      </w:tr>
    </w:tbl>
    <w:p>
      <w:pPr>
        <w:spacing w:after="40"/>
      </w:pPr>
    </w:p>
    <w:p>
      <w:pPr>
        <w:keepNext/>
        <w:spacing w:before="200" w:after="120"/>
      </w:pPr>
      <w:r>
        <w:rPr>
          <w:rFonts w:ascii="Cambria" w:hAnsi="Cambria"/>
          <w:b/>
          <w:color w:val="1F3A5F"/>
          <w:sz w:val="24"/>
        </w:rPr>
        <w:t>IX. Grievance and Redressal</w:t>
      </w:r>
    </w:p>
    <w:p>
      <w:pPr>
        <w:pStyle w:val="ListBullet"/>
        <w:spacing w:line="276" w:lineRule="auto"/>
        <w:ind w:left="510"/>
      </w:pPr>
      <w:r>
        <w:rPr>
          <w:rFonts w:ascii="Cambria" w:hAnsi="Cambria"/>
          <w:b w:val="0"/>
          <w:i w:val="0"/>
          <w:sz w:val="22"/>
        </w:rPr>
        <w:t>Any complaint related to discrimination, bias, or exclusion may be lodged with the Equal Opportunity Cell (EOC).</w:t>
      </w:r>
    </w:p>
    <w:p>
      <w:pPr>
        <w:pStyle w:val="ListBullet"/>
        <w:spacing w:line="276" w:lineRule="auto"/>
        <w:ind w:left="510"/>
      </w:pPr>
      <w:r>
        <w:rPr>
          <w:rFonts w:ascii="Cambria" w:hAnsi="Cambria"/>
          <w:b w:val="0"/>
          <w:i w:val="0"/>
          <w:sz w:val="22"/>
        </w:rPr>
        <w:t>The EOC shall:</w:t>
      </w:r>
    </w:p>
    <w:p>
      <w:pPr>
        <w:pStyle w:val="ListBullet2"/>
        <w:spacing w:line="276" w:lineRule="auto"/>
        <w:ind w:left="1020"/>
      </w:pPr>
      <w:r>
        <w:rPr>
          <w:rFonts w:ascii="Cambria" w:hAnsi="Cambria"/>
          <w:b w:val="0"/>
          <w:i w:val="0"/>
          <w:sz w:val="22"/>
        </w:rPr>
        <w:t>Acknowledge receipt within 3 working days.</w:t>
      </w:r>
    </w:p>
    <w:p>
      <w:pPr>
        <w:pStyle w:val="ListBullet2"/>
        <w:spacing w:line="276" w:lineRule="auto"/>
        <w:ind w:left="1020"/>
      </w:pPr>
      <w:r>
        <w:rPr>
          <w:rFonts w:ascii="Cambria" w:hAnsi="Cambria"/>
          <w:b w:val="0"/>
          <w:i w:val="0"/>
          <w:sz w:val="22"/>
        </w:rPr>
        <w:t>Conduct enquiry and provide resolution within 30 days.</w:t>
      </w:r>
    </w:p>
    <w:p>
      <w:pPr>
        <w:pStyle w:val="ListBullet2"/>
        <w:spacing w:line="276" w:lineRule="auto"/>
        <w:ind w:left="1020"/>
      </w:pPr>
      <w:r>
        <w:rPr>
          <w:rFonts w:ascii="Cambria" w:hAnsi="Cambria"/>
          <w:b w:val="0"/>
          <w:i w:val="0"/>
          <w:sz w:val="22"/>
        </w:rPr>
        <w:t>Maintain confidentiality and ensure protection from retaliation.</w:t>
      </w:r>
    </w:p>
    <w:p>
      <w:pPr>
        <w:pStyle w:val="ListBullet"/>
        <w:spacing w:line="276" w:lineRule="auto"/>
        <w:ind w:left="510"/>
      </w:pPr>
      <w:r>
        <w:rPr>
          <w:rFonts w:ascii="Cambria" w:hAnsi="Cambria"/>
          <w:b w:val="0"/>
          <w:i w:val="0"/>
          <w:sz w:val="22"/>
        </w:rPr>
        <w:t>Severe violations (e.g., harassment or abuse) shall be referred to the ICC or Grievance Committee as applicable.</w:t>
      </w:r>
    </w:p>
    <w:p>
      <w:pPr>
        <w:keepNext/>
        <w:spacing w:before="200" w:after="120"/>
      </w:pPr>
      <w:r>
        <w:rPr>
          <w:rFonts w:ascii="Cambria" w:hAnsi="Cambria"/>
          <w:b/>
          <w:color w:val="1F3A5F"/>
          <w:sz w:val="24"/>
        </w:rPr>
        <w:t>X. Documentation and Reporting</w:t>
      </w:r>
    </w:p>
    <w:p>
      <w:pPr>
        <w:pStyle w:val="ListBullet"/>
        <w:spacing w:line="276" w:lineRule="auto"/>
        <w:ind w:left="510"/>
      </w:pPr>
      <w:r>
        <w:rPr>
          <w:rFonts w:ascii="Cambria" w:hAnsi="Cambria"/>
          <w:b w:val="0"/>
          <w:i w:val="0"/>
          <w:sz w:val="22"/>
        </w:rPr>
        <w:t>The EOC and HRD Cell shall maintain:</w:t>
      </w:r>
    </w:p>
    <w:p>
      <w:pPr>
        <w:pStyle w:val="ListBullet2"/>
        <w:spacing w:line="276" w:lineRule="auto"/>
        <w:ind w:left="1020"/>
      </w:pPr>
      <w:r>
        <w:rPr>
          <w:rFonts w:ascii="Cambria" w:hAnsi="Cambria"/>
          <w:b w:val="0"/>
          <w:i w:val="0"/>
          <w:sz w:val="22"/>
        </w:rPr>
        <w:t>Diversity Register (demographic, gender, category representation).</w:t>
      </w:r>
    </w:p>
    <w:p>
      <w:pPr>
        <w:pStyle w:val="ListBullet2"/>
        <w:spacing w:line="276" w:lineRule="auto"/>
        <w:ind w:left="1020"/>
      </w:pPr>
      <w:r>
        <w:rPr>
          <w:rFonts w:ascii="Cambria" w:hAnsi="Cambria"/>
          <w:b w:val="0"/>
          <w:i w:val="0"/>
          <w:sz w:val="22"/>
        </w:rPr>
        <w:t>Accessibility Audit Reports and compliance plans.</w:t>
      </w:r>
    </w:p>
    <w:p>
      <w:pPr>
        <w:pStyle w:val="ListBullet2"/>
        <w:spacing w:line="276" w:lineRule="auto"/>
        <w:ind w:left="1020"/>
      </w:pPr>
      <w:r>
        <w:rPr>
          <w:rFonts w:ascii="Cambria" w:hAnsi="Cambria"/>
          <w:b w:val="0"/>
          <w:i w:val="0"/>
          <w:sz w:val="22"/>
        </w:rPr>
        <w:t>Annual Equal Opportunity Report for submission to BoM, IQAC, and accreditation bodies.</w:t>
      </w:r>
    </w:p>
    <w:p>
      <w:pPr>
        <w:pStyle w:val="ListBullet"/>
        <w:spacing w:line="276" w:lineRule="auto"/>
        <w:ind w:left="510"/>
      </w:pPr>
      <w:r>
        <w:rPr>
          <w:rFonts w:ascii="Cambria" w:hAnsi="Cambria"/>
          <w:b w:val="0"/>
          <w:i w:val="0"/>
          <w:sz w:val="22"/>
        </w:rPr>
        <w:t>Evidence mapped to:</w:t>
      </w:r>
    </w:p>
    <w:p>
      <w:pPr>
        <w:pStyle w:val="ListBullet2"/>
        <w:spacing w:line="276" w:lineRule="auto"/>
        <w:ind w:left="1020"/>
      </w:pPr>
      <w:r>
        <w:rPr>
          <w:rFonts w:ascii="Cambria" w:hAnsi="Cambria"/>
          <w:b w:val="0"/>
          <w:i w:val="0"/>
          <w:sz w:val="22"/>
        </w:rPr>
        <w:t>NAAC Criterion 7.1.7 &amp; 7.1.9 (Institutional Values, Inclusiveness, and Code of Conduct)</w:t>
      </w:r>
    </w:p>
    <w:p>
      <w:pPr>
        <w:pStyle w:val="ListBullet2"/>
        <w:spacing w:line="276" w:lineRule="auto"/>
        <w:ind w:left="1020"/>
      </w:pPr>
      <w:r>
        <w:rPr>
          <w:rFonts w:ascii="Cambria" w:hAnsi="Cambria"/>
          <w:b w:val="0"/>
          <w:i w:val="0"/>
          <w:sz w:val="22"/>
        </w:rPr>
        <w:t>NIRF “Outreach and Inclusivity” parameters.</w:t>
      </w:r>
    </w:p>
    <w:p>
      <w:pPr>
        <w:pStyle w:val="ListBullet2"/>
        <w:spacing w:line="276" w:lineRule="auto"/>
        <w:ind w:left="1020"/>
      </w:pPr>
      <w:r>
        <w:rPr>
          <w:rFonts w:ascii="Cambria" w:hAnsi="Cambria"/>
          <w:b w:val="0"/>
          <w:i w:val="0"/>
          <w:sz w:val="22"/>
        </w:rPr>
        <w:t>UGC Equal Opportunity Cell Guidelines, 2022.</w:t>
      </w:r>
    </w:p>
    <w:p>
      <w:pPr>
        <w:keepNext/>
        <w:spacing w:before="200" w:after="120"/>
      </w:pPr>
      <w:r>
        <w:rPr>
          <w:rFonts w:ascii="Cambria" w:hAnsi="Cambria"/>
          <w:b/>
          <w:color w:val="1F3A5F"/>
          <w:sz w:val="24"/>
        </w:rPr>
        <w:t>XI. Policy Review and Alignment</w:t>
      </w:r>
    </w:p>
    <w:p>
      <w:pPr>
        <w:pStyle w:val="ListBullet"/>
        <w:spacing w:line="276" w:lineRule="auto"/>
        <w:ind w:left="510"/>
      </w:pPr>
      <w:r>
        <w:rPr>
          <w:rFonts w:ascii="Cambria" w:hAnsi="Cambria"/>
          <w:b w:val="0"/>
          <w:i w:val="0"/>
          <w:sz w:val="22"/>
        </w:rPr>
        <w:t>The policy shall be reviewed every three years by the Equal Opportunity Cell and approved by BoM.</w:t>
      </w:r>
    </w:p>
    <w:p>
      <w:pPr>
        <w:pStyle w:val="ListBullet"/>
        <w:spacing w:line="276" w:lineRule="auto"/>
        <w:ind w:left="510"/>
      </w:pPr>
      <w:r>
        <w:rPr>
          <w:rFonts w:ascii="Cambria" w:hAnsi="Cambria"/>
          <w:b w:val="0"/>
          <w:i w:val="0"/>
          <w:sz w:val="22"/>
        </w:rPr>
        <w:t>Updated in accordance with:</w:t>
      </w:r>
    </w:p>
    <w:p>
      <w:pPr>
        <w:pStyle w:val="ListBullet2"/>
        <w:spacing w:line="276" w:lineRule="auto"/>
        <w:ind w:left="1020"/>
      </w:pPr>
      <w:r>
        <w:rPr>
          <w:rFonts w:ascii="Cambria" w:hAnsi="Cambria"/>
          <w:b w:val="0"/>
          <w:i w:val="0"/>
          <w:sz w:val="22"/>
        </w:rPr>
        <w:t>Rights of Persons with Disabilities Act, 2016</w:t>
      </w:r>
    </w:p>
    <w:p>
      <w:pPr>
        <w:pStyle w:val="ListBullet2"/>
        <w:spacing w:line="276" w:lineRule="auto"/>
        <w:ind w:left="1020"/>
      </w:pPr>
      <w:r>
        <w:rPr>
          <w:rFonts w:ascii="Cambria" w:hAnsi="Cambria"/>
          <w:b w:val="0"/>
          <w:i w:val="0"/>
          <w:sz w:val="22"/>
        </w:rPr>
        <w:t>POSH Act, 2013</w:t>
      </w:r>
    </w:p>
    <w:p>
      <w:pPr>
        <w:pStyle w:val="ListBullet2"/>
        <w:spacing w:line="276" w:lineRule="auto"/>
        <w:ind w:left="1020"/>
      </w:pPr>
      <w:r>
        <w:rPr>
          <w:rFonts w:ascii="Cambria" w:hAnsi="Cambria"/>
          <w:b w:val="0"/>
          <w:i w:val="0"/>
          <w:sz w:val="22"/>
        </w:rPr>
        <w:t>Transgender Persons (Protection of Rights) Act, 2019</w:t>
      </w:r>
    </w:p>
    <w:p>
      <w:pPr>
        <w:pStyle w:val="ListBullet2"/>
        <w:spacing w:line="276" w:lineRule="auto"/>
        <w:ind w:left="1020"/>
      </w:pPr>
      <w:r>
        <w:rPr>
          <w:rFonts w:ascii="Cambria" w:hAnsi="Cambria"/>
          <w:b w:val="0"/>
          <w:i w:val="0"/>
          <w:sz w:val="22"/>
        </w:rPr>
        <w:t>NEP 2020 – Equity, Inclusion, and Gender Sensitivity Clauses.</w:t>
      </w:r>
    </w:p>
    <w:p>
      <w:pPr>
        <w:keepNext/>
        <w:spacing w:before="200" w:after="120"/>
      </w:pPr>
      <w:r>
        <w:rPr>
          <w:rFonts w:ascii="Cambria" w:hAnsi="Cambria"/>
          <w:b/>
          <w:color w:val="1F3A5F"/>
          <w:sz w:val="24"/>
        </w:rPr>
        <w:t>XII. Summary Table</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041"/>
            <w:shd w:val="clear" w:color="auto" w:fill="1F3A5F"/>
          </w:tcPr>
          <w:p>
            <w:pPr>
              <w:spacing w:after="40" w:before="40"/>
            </w:pPr>
            <w:r/>
            <w:r>
              <w:rPr>
                <w:rFonts w:ascii="Cambria" w:hAnsi="Cambria"/>
                <w:b/>
                <w:i w:val="0"/>
                <w:color w:val="FFFFFF"/>
                <w:sz w:val="22"/>
              </w:rPr>
              <w:t>Aspect</w:t>
            </w:r>
          </w:p>
        </w:tc>
        <w:tc>
          <w:tcPr>
            <w:tcW w:type="dxa" w:w="4762"/>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Responsible Unit</w:t>
            </w:r>
          </w:p>
        </w:tc>
      </w:tr>
      <w:tr>
        <w:tc>
          <w:tcPr>
            <w:tcW w:type="dxa" w:w="2041"/>
          </w:tcPr>
          <w:p>
            <w:pPr>
              <w:spacing w:after="40" w:before="40"/>
            </w:pPr>
            <w:r/>
            <w:r>
              <w:rPr>
                <w:rFonts w:ascii="Cambria" w:hAnsi="Cambria"/>
                <w:b w:val="0"/>
                <w:i w:val="0"/>
                <w:sz w:val="22"/>
              </w:rPr>
              <w:t>Policy Coverage</w:t>
            </w:r>
          </w:p>
        </w:tc>
        <w:tc>
          <w:tcPr>
            <w:tcW w:type="dxa" w:w="4762"/>
          </w:tcPr>
          <w:p>
            <w:pPr>
              <w:spacing w:after="40" w:before="40"/>
            </w:pPr>
            <w:r/>
            <w:r>
              <w:rPr>
                <w:rFonts w:ascii="Cambria" w:hAnsi="Cambria"/>
                <w:b w:val="0"/>
                <w:i w:val="0"/>
                <w:sz w:val="22"/>
              </w:rPr>
              <w:t>Faculty, staff, students, vendors</w:t>
            </w:r>
          </w:p>
        </w:tc>
        <w:tc>
          <w:tcPr>
            <w:tcW w:type="dxa" w:w="2608"/>
          </w:tcPr>
          <w:p>
            <w:pPr>
              <w:spacing w:after="40" w:before="40"/>
            </w:pPr>
            <w:r/>
            <w:r>
              <w:rPr>
                <w:rFonts w:ascii="Cambria" w:hAnsi="Cambria"/>
                <w:b w:val="0"/>
                <w:i w:val="0"/>
                <w:sz w:val="22"/>
              </w:rPr>
              <w:t>EOC / HRD</w:t>
            </w:r>
          </w:p>
        </w:tc>
      </w:tr>
      <w:tr>
        <w:tc>
          <w:tcPr>
            <w:tcW w:type="dxa" w:w="2041"/>
            <w:shd w:val="clear" w:color="auto" w:fill="F0F2F5"/>
          </w:tcPr>
          <w:p>
            <w:pPr>
              <w:spacing w:after="40" w:before="40"/>
            </w:pPr>
            <w:r/>
            <w:r>
              <w:rPr>
                <w:rFonts w:ascii="Cambria" w:hAnsi="Cambria"/>
                <w:b w:val="0"/>
                <w:i w:val="0"/>
                <w:sz w:val="22"/>
              </w:rPr>
              <w:t>Reservation &amp; Representation</w:t>
            </w:r>
          </w:p>
        </w:tc>
        <w:tc>
          <w:tcPr>
            <w:tcW w:type="dxa" w:w="4762"/>
            <w:shd w:val="clear" w:color="auto" w:fill="F0F2F5"/>
          </w:tcPr>
          <w:p>
            <w:pPr>
              <w:spacing w:after="40" w:before="40"/>
            </w:pPr>
            <w:r/>
            <w:r>
              <w:rPr>
                <w:rFonts w:ascii="Cambria" w:hAnsi="Cambria"/>
                <w:b w:val="0"/>
                <w:i w:val="0"/>
                <w:sz w:val="22"/>
              </w:rPr>
              <w:t>As per UGC / Govt norms</w:t>
            </w:r>
          </w:p>
        </w:tc>
        <w:tc>
          <w:tcPr>
            <w:tcW w:type="dxa" w:w="2608"/>
            <w:shd w:val="clear" w:color="auto" w:fill="F0F2F5"/>
          </w:tcPr>
          <w:p>
            <w:pPr>
              <w:spacing w:after="40" w:before="40"/>
            </w:pPr>
            <w:r/>
            <w:r>
              <w:rPr>
                <w:rFonts w:ascii="Cambria" w:hAnsi="Cambria"/>
                <w:b w:val="0"/>
                <w:i w:val="0"/>
                <w:sz w:val="22"/>
              </w:rPr>
              <w:t>HRD / BoM</w:t>
            </w:r>
          </w:p>
        </w:tc>
      </w:tr>
      <w:tr>
        <w:tc>
          <w:tcPr>
            <w:tcW w:type="dxa" w:w="2041"/>
          </w:tcPr>
          <w:p>
            <w:pPr>
              <w:spacing w:after="40" w:before="40"/>
            </w:pPr>
            <w:r/>
            <w:r>
              <w:rPr>
                <w:rFonts w:ascii="Cambria" w:hAnsi="Cambria"/>
                <w:b w:val="0"/>
                <w:i w:val="0"/>
                <w:sz w:val="22"/>
              </w:rPr>
              <w:t>Accessibility</w:t>
            </w:r>
          </w:p>
        </w:tc>
        <w:tc>
          <w:tcPr>
            <w:tcW w:type="dxa" w:w="4762"/>
          </w:tcPr>
          <w:p>
            <w:pPr>
              <w:spacing w:after="40" w:before="40"/>
            </w:pPr>
            <w:r/>
            <w:r>
              <w:rPr>
                <w:rFonts w:ascii="Cambria" w:hAnsi="Cambria"/>
                <w:b w:val="0"/>
                <w:i w:val="0"/>
                <w:sz w:val="22"/>
              </w:rPr>
              <w:t>Physical &amp; digital infrastructure for PwDs</w:t>
            </w:r>
          </w:p>
        </w:tc>
        <w:tc>
          <w:tcPr>
            <w:tcW w:type="dxa" w:w="2608"/>
          </w:tcPr>
          <w:p>
            <w:pPr>
              <w:spacing w:after="40" w:before="40"/>
            </w:pPr>
            <w:r/>
            <w:r>
              <w:rPr>
                <w:rFonts w:ascii="Cambria" w:hAnsi="Cambria"/>
                <w:b w:val="0"/>
                <w:i w:val="0"/>
                <w:sz w:val="22"/>
              </w:rPr>
              <w:t>DSC / Estate</w:t>
            </w:r>
          </w:p>
        </w:tc>
      </w:tr>
      <w:tr>
        <w:tc>
          <w:tcPr>
            <w:tcW w:type="dxa" w:w="2041"/>
            <w:shd w:val="clear" w:color="auto" w:fill="F0F2F5"/>
          </w:tcPr>
          <w:p>
            <w:pPr>
              <w:spacing w:after="40" w:before="40"/>
            </w:pPr>
            <w:r/>
            <w:r>
              <w:rPr>
                <w:rFonts w:ascii="Cambria" w:hAnsi="Cambria"/>
                <w:b w:val="0"/>
                <w:i w:val="0"/>
                <w:sz w:val="22"/>
              </w:rPr>
              <w:t>Gender Sensitization</w:t>
            </w:r>
          </w:p>
        </w:tc>
        <w:tc>
          <w:tcPr>
            <w:tcW w:type="dxa" w:w="4762"/>
            <w:shd w:val="clear" w:color="auto" w:fill="F0F2F5"/>
          </w:tcPr>
          <w:p>
            <w:pPr>
              <w:spacing w:after="40" w:before="40"/>
            </w:pPr>
            <w:r/>
            <w:r>
              <w:rPr>
                <w:rFonts w:ascii="Cambria" w:hAnsi="Cambria"/>
                <w:b w:val="0"/>
                <w:i w:val="0"/>
                <w:sz w:val="22"/>
              </w:rPr>
              <w:t>Annual training and WEC initiatives</w:t>
            </w:r>
          </w:p>
        </w:tc>
        <w:tc>
          <w:tcPr>
            <w:tcW w:type="dxa" w:w="2608"/>
            <w:shd w:val="clear" w:color="auto" w:fill="F0F2F5"/>
          </w:tcPr>
          <w:p>
            <w:pPr>
              <w:spacing w:after="40" w:before="40"/>
            </w:pPr>
            <w:r/>
            <w:r>
              <w:rPr>
                <w:rFonts w:ascii="Cambria" w:hAnsi="Cambria"/>
                <w:b w:val="0"/>
                <w:i w:val="0"/>
                <w:sz w:val="22"/>
              </w:rPr>
              <w:t>ICC / WEC</w:t>
            </w:r>
          </w:p>
        </w:tc>
      </w:tr>
      <w:tr>
        <w:tc>
          <w:tcPr>
            <w:tcW w:type="dxa" w:w="2041"/>
          </w:tcPr>
          <w:p>
            <w:pPr>
              <w:spacing w:after="40" w:before="40"/>
            </w:pPr>
            <w:r/>
            <w:r>
              <w:rPr>
                <w:rFonts w:ascii="Cambria" w:hAnsi="Cambria"/>
                <w:b w:val="0"/>
                <w:i w:val="0"/>
                <w:sz w:val="22"/>
              </w:rPr>
              <w:t>Reporting</w:t>
            </w:r>
          </w:p>
        </w:tc>
        <w:tc>
          <w:tcPr>
            <w:tcW w:type="dxa" w:w="4762"/>
          </w:tcPr>
          <w:p>
            <w:pPr>
              <w:spacing w:after="40" w:before="40"/>
            </w:pPr>
            <w:r/>
            <w:r>
              <w:rPr>
                <w:rFonts w:ascii="Cambria" w:hAnsi="Cambria"/>
                <w:b w:val="0"/>
                <w:i w:val="0"/>
                <w:sz w:val="22"/>
              </w:rPr>
              <w:t>Annual Equal Opportunity Report</w:t>
            </w:r>
          </w:p>
        </w:tc>
        <w:tc>
          <w:tcPr>
            <w:tcW w:type="dxa" w:w="2608"/>
          </w:tcPr>
          <w:p>
            <w:pPr>
              <w:spacing w:after="40" w:before="40"/>
            </w:pPr>
            <w:r/>
            <w:r>
              <w:rPr>
                <w:rFonts w:ascii="Cambria" w:hAnsi="Cambria"/>
                <w:b w:val="0"/>
                <w:i w:val="0"/>
                <w:sz w:val="22"/>
              </w:rPr>
              <w:t>EOC / IQAC</w:t>
            </w:r>
          </w:p>
        </w:tc>
      </w:tr>
      <w:tr>
        <w:tc>
          <w:tcPr>
            <w:tcW w:type="dxa" w:w="2041"/>
            <w:shd w:val="clear" w:color="auto" w:fill="F0F2F5"/>
          </w:tcPr>
          <w:p>
            <w:pPr>
              <w:spacing w:after="40" w:before="40"/>
            </w:pPr>
            <w:r/>
            <w:r>
              <w:rPr>
                <w:rFonts w:ascii="Cambria" w:hAnsi="Cambria"/>
                <w:b w:val="0"/>
                <w:i w:val="0"/>
                <w:sz w:val="22"/>
              </w:rPr>
              <w:t>Review Cycle</w:t>
            </w:r>
          </w:p>
        </w:tc>
        <w:tc>
          <w:tcPr>
            <w:tcW w:type="dxa" w:w="4762"/>
            <w:shd w:val="clear" w:color="auto" w:fill="F0F2F5"/>
          </w:tcPr>
          <w:p>
            <w:pPr>
              <w:spacing w:after="40" w:before="40"/>
            </w:pPr>
            <w:r/>
            <w:r>
              <w:rPr>
                <w:rFonts w:ascii="Cambria" w:hAnsi="Cambria"/>
                <w:b w:val="0"/>
                <w:i w:val="0"/>
                <w:sz w:val="22"/>
              </w:rPr>
              <w:t>Every 3 years</w:t>
            </w:r>
          </w:p>
        </w:tc>
        <w:tc>
          <w:tcPr>
            <w:tcW w:type="dxa" w:w="2608"/>
            <w:shd w:val="clear" w:color="auto" w:fill="F0F2F5"/>
          </w:tcPr>
          <w:p>
            <w:pPr>
              <w:spacing w:after="40" w:before="40"/>
            </w:pPr>
            <w:r/>
            <w:r>
              <w:rPr>
                <w:rFonts w:ascii="Cambria" w:hAnsi="Cambria"/>
                <w:b w:val="0"/>
                <w:i w:val="0"/>
                <w:sz w:val="22"/>
              </w:rPr>
              <w:t>BoM / EOC</w:t>
            </w:r>
          </w:p>
        </w:tc>
      </w:tr>
    </w:tbl>
    <w:p>
      <w:pPr>
        <w:spacing w:after="40"/>
      </w:pPr>
    </w:p>
    <w:p>
      <w:pPr>
        <w:keepNext/>
        <w:spacing w:before="200" w:after="120"/>
      </w:pPr>
      <w:r>
        <w:rPr>
          <w:rFonts w:ascii="Cambria" w:hAnsi="Cambria"/>
          <w:b/>
          <w:color w:val="1F3A5F"/>
          <w:sz w:val="24"/>
        </w:rPr>
        <w:t>XIII. Policy Principles</w:t>
      </w:r>
    </w:p>
    <w:p>
      <w:pPr>
        <w:pStyle w:val="ListBullet"/>
        <w:spacing w:line="276" w:lineRule="auto"/>
        <w:ind w:left="510"/>
      </w:pPr>
      <w:r>
        <w:rPr>
          <w:rFonts w:ascii="Cambria" w:hAnsi="Cambria"/>
          <w:b w:val="0"/>
          <w:i w:val="0"/>
          <w:sz w:val="22"/>
        </w:rPr>
        <w:t>Diversity is a strength, not a difference — all members of the University shall be valued equally.</w:t>
      </w:r>
    </w:p>
    <w:p>
      <w:pPr>
        <w:pStyle w:val="ListBullet"/>
        <w:spacing w:line="276" w:lineRule="auto"/>
        <w:ind w:left="510"/>
      </w:pPr>
      <w:r>
        <w:rPr>
          <w:rFonts w:ascii="Cambria" w:hAnsi="Cambria"/>
          <w:b w:val="0"/>
          <w:i w:val="0"/>
          <w:sz w:val="22"/>
        </w:rPr>
        <w:t>Inclusion means ensuring that every voice is heard and every individual is respected.</w:t>
      </w:r>
    </w:p>
    <w:p>
      <w:pPr>
        <w:pStyle w:val="ListBullet"/>
        <w:spacing w:line="276" w:lineRule="auto"/>
        <w:ind w:left="510"/>
      </w:pPr>
      <w:r>
        <w:rPr>
          <w:rFonts w:ascii="Cambria" w:hAnsi="Cambria"/>
          <w:b w:val="0"/>
          <w:i w:val="0"/>
          <w:sz w:val="22"/>
        </w:rPr>
        <w:t>The University commits to zero tolerance for discrimination or exclusion.</w:t>
      </w:r>
    </w:p>
    <w:p>
      <w:pPr>
        <w:pStyle w:val="ListBullet"/>
        <w:spacing w:line="276" w:lineRule="auto"/>
        <w:ind w:left="510"/>
      </w:pPr>
      <w:r>
        <w:rPr>
          <w:rFonts w:ascii="Cambria" w:hAnsi="Cambria"/>
          <w:b w:val="0"/>
          <w:i w:val="0"/>
          <w:sz w:val="22"/>
        </w:rPr>
        <w:t>Equity-driven policies will guide recruitment, learning, leadership, and institutional governance.</w:t>
      </w:r>
    </w:p>
    <w:p>
      <w:pPr>
        <w:pStyle w:val="ListBullet"/>
        <w:spacing w:line="276" w:lineRule="auto"/>
        <w:ind w:left="510"/>
      </w:pPr>
      <w:r>
        <w:rPr>
          <w:rFonts w:ascii="Cambria" w:hAnsi="Cambria"/>
          <w:b w:val="0"/>
          <w:i w:val="0"/>
          <w:sz w:val="22"/>
        </w:rPr>
        <w:t>Through diversity and inclusion, the University aims to foster a just, empathetic, and globally competitive campus community.</w:t>
      </w:r>
    </w:p>
    <w:p>
      <w:r>
        <w:br w:type="page"/>
      </w:r>
    </w:p>
    <w:p>
      <w:pPr>
        <w:keepNext/>
        <w:spacing w:before="200" w:after="120"/>
      </w:pPr>
      <w:r>
        <w:rPr>
          <w:rFonts w:ascii="Cambria" w:hAnsi="Cambria"/>
          <w:b/>
          <w:color w:val="1F3A5F"/>
          <w:sz w:val="27"/>
        </w:rPr>
        <w:t>T. Appointments – Method of Recruitment</w:t>
      </w:r>
    </w:p>
    <w:p>
      <w:pPr>
        <w:keepNext/>
        <w:spacing w:before="200" w:after="120"/>
      </w:pPr>
      <w:r>
        <w:rPr>
          <w:rFonts w:ascii="Cambria" w:hAnsi="Cambria"/>
          <w:b/>
          <w:color w:val="1F3A5F"/>
          <w:sz w:val="24"/>
        </w:rPr>
        <w:t>I. Purpose and Scope</w:t>
      </w:r>
    </w:p>
    <w:p>
      <w:pPr>
        <w:pStyle w:val="ListBullet"/>
        <w:spacing w:line="276" w:lineRule="auto"/>
        <w:ind w:left="510"/>
      </w:pPr>
      <w:r>
        <w:rPr>
          <w:rFonts w:ascii="Cambria" w:hAnsi="Cambria"/>
          <w:b w:val="0"/>
          <w:i w:val="0"/>
          <w:sz w:val="22"/>
        </w:rPr>
        <w:t>To define the procedures and authorities involved in the recruitment and appointment of University personnel, ensuring transparency, merit-based selection, and adherence to statutory norms.</w:t>
      </w:r>
    </w:p>
    <w:p>
      <w:pPr>
        <w:pStyle w:val="ListBullet"/>
        <w:spacing w:line="276" w:lineRule="auto"/>
        <w:ind w:left="510"/>
      </w:pPr>
      <w:r>
        <w:rPr>
          <w:rFonts w:ascii="Cambria" w:hAnsi="Cambria"/>
          <w:b w:val="0"/>
          <w:i w:val="0"/>
          <w:sz w:val="22"/>
        </w:rPr>
        <w:t>This policy applies to all categories of appointments — regular, ad-hoc, temporary, contractual, and promotional, across both teaching and non-teaching cadres.</w:t>
      </w:r>
    </w:p>
    <w:p>
      <w:pPr>
        <w:keepNext/>
        <w:spacing w:before="200" w:after="120"/>
      </w:pPr>
      <w:r>
        <w:rPr>
          <w:rFonts w:ascii="Cambria" w:hAnsi="Cambria"/>
          <w:b/>
          <w:color w:val="1F3A5F"/>
          <w:sz w:val="24"/>
        </w:rPr>
        <w:t>II. General Principles of Recruitment</w:t>
      </w:r>
    </w:p>
    <w:p>
      <w:pPr>
        <w:pStyle w:val="ListBullet"/>
        <w:spacing w:line="276" w:lineRule="auto"/>
        <w:ind w:left="510"/>
      </w:pPr>
      <w:r>
        <w:rPr>
          <w:rFonts w:ascii="Cambria" w:hAnsi="Cambria"/>
          <w:b w:val="0"/>
          <w:i w:val="0"/>
          <w:sz w:val="22"/>
        </w:rPr>
        <w:t>All appointments shall be made strictly based on merit, following established qualifications and eligibility norms prescribed by UGC, AICTE, State Government, and the University's Board of Management (BoM).</w:t>
      </w:r>
    </w:p>
    <w:p>
      <w:pPr>
        <w:pStyle w:val="ListBullet"/>
        <w:spacing w:line="276" w:lineRule="auto"/>
        <w:ind w:left="510"/>
      </w:pPr>
      <w:r>
        <w:rPr>
          <w:rFonts w:ascii="Cambria" w:hAnsi="Cambria"/>
          <w:b w:val="0"/>
          <w:i w:val="0"/>
          <w:sz w:val="22"/>
        </w:rPr>
        <w:t>Equal Opportunity and Diversity shall be maintained as per the Equal Opportunity, Diversity &amp; Inclusion Policy.</w:t>
      </w:r>
    </w:p>
    <w:p>
      <w:pPr>
        <w:pStyle w:val="ListBullet"/>
        <w:spacing w:line="276" w:lineRule="auto"/>
        <w:ind w:left="510"/>
      </w:pPr>
      <w:r>
        <w:rPr>
          <w:rFonts w:ascii="Cambria" w:hAnsi="Cambria"/>
          <w:b w:val="0"/>
          <w:i w:val="0"/>
          <w:sz w:val="22"/>
        </w:rPr>
        <w:t>Every appointment must be approved by the competent authority before the candidate assumes charge.</w:t>
      </w:r>
    </w:p>
    <w:p>
      <w:pPr>
        <w:pStyle w:val="ListBullet"/>
        <w:spacing w:line="276" w:lineRule="auto"/>
        <w:ind w:left="510"/>
      </w:pPr>
      <w:r>
        <w:rPr>
          <w:rFonts w:ascii="Cambria" w:hAnsi="Cambria"/>
          <w:b w:val="0"/>
          <w:i w:val="0"/>
          <w:sz w:val="22"/>
        </w:rPr>
        <w:t>Recruitment to posts shall be carried out through:</w:t>
      </w:r>
    </w:p>
    <w:p>
      <w:pPr>
        <w:spacing w:line="276" w:lineRule="auto"/>
        <w:ind w:left="357" w:hanging="357"/>
      </w:pPr>
      <w:r>
        <w:rPr>
          <w:rFonts w:ascii="Cambria" w:hAnsi="Cambria"/>
          <w:b w:val="0"/>
          <w:i w:val="0"/>
          <w:sz w:val="22"/>
        </w:rPr>
        <w:t xml:space="preserve">1. </w:t>
      </w:r>
      <w:r>
        <w:rPr>
          <w:rFonts w:ascii="Cambria" w:hAnsi="Cambria"/>
          <w:b w:val="0"/>
          <w:i w:val="0"/>
          <w:sz w:val="22"/>
        </w:rPr>
        <w:t>Open Advertisement (Regular Appointments).</w:t>
      </w:r>
    </w:p>
    <w:p>
      <w:pPr>
        <w:spacing w:line="276" w:lineRule="auto"/>
        <w:ind w:left="357" w:hanging="357"/>
      </w:pPr>
      <w:r>
        <w:rPr>
          <w:rFonts w:ascii="Cambria" w:hAnsi="Cambria"/>
          <w:b w:val="0"/>
          <w:i w:val="0"/>
          <w:sz w:val="22"/>
        </w:rPr>
        <w:t xml:space="preserve">2. </w:t>
      </w:r>
      <w:r>
        <w:rPr>
          <w:rFonts w:ascii="Cambria" w:hAnsi="Cambria"/>
          <w:b w:val="0"/>
          <w:i w:val="0"/>
          <w:sz w:val="22"/>
        </w:rPr>
        <w:t>Invitation (Eminent Scholars / Distinguished Professionals).</w:t>
      </w:r>
    </w:p>
    <w:p>
      <w:pPr>
        <w:spacing w:line="276" w:lineRule="auto"/>
        <w:ind w:left="357" w:hanging="357"/>
      </w:pPr>
      <w:r>
        <w:rPr>
          <w:rFonts w:ascii="Cambria" w:hAnsi="Cambria"/>
          <w:b w:val="0"/>
          <w:i w:val="0"/>
          <w:sz w:val="22"/>
        </w:rPr>
        <w:t xml:space="preserve">3. </w:t>
      </w:r>
      <w:r>
        <w:rPr>
          <w:rFonts w:ascii="Cambria" w:hAnsi="Cambria"/>
          <w:b w:val="0"/>
          <w:i w:val="0"/>
          <w:sz w:val="22"/>
        </w:rPr>
        <w:t>Promotion / Internal Selection (Eligible Staff within the University).</w:t>
      </w:r>
    </w:p>
    <w:p>
      <w:pPr>
        <w:spacing w:line="276" w:lineRule="auto"/>
        <w:ind w:left="357" w:hanging="357"/>
      </w:pPr>
      <w:r>
        <w:rPr>
          <w:rFonts w:ascii="Cambria" w:hAnsi="Cambria"/>
          <w:b w:val="0"/>
          <w:i w:val="0"/>
          <w:sz w:val="22"/>
        </w:rPr>
        <w:t xml:space="preserve">4. </w:t>
      </w:r>
      <w:r>
        <w:rPr>
          <w:rFonts w:ascii="Cambria" w:hAnsi="Cambria"/>
          <w:b w:val="0"/>
          <w:i w:val="0"/>
          <w:sz w:val="22"/>
        </w:rPr>
        <w:t>Contractual / Ad-hoc Engagement (for limited period or special need).</w:t>
      </w:r>
    </w:p>
    <w:p>
      <w:pPr>
        <w:keepNext/>
        <w:spacing w:before="200" w:after="120"/>
      </w:pPr>
      <w:r>
        <w:rPr>
          <w:rFonts w:ascii="Cambria" w:hAnsi="Cambria"/>
          <w:b/>
          <w:color w:val="1F3A5F"/>
          <w:sz w:val="24"/>
        </w:rPr>
        <w:t>III. Teaching Faculty Recruitment</w:t>
      </w:r>
    </w:p>
    <w:p>
      <w:pPr>
        <w:keepNext/>
        <w:spacing w:before="200" w:after="120"/>
      </w:pPr>
      <w:r>
        <w:rPr>
          <w:rFonts w:ascii="Cambria" w:hAnsi="Cambria"/>
          <w:b/>
          <w:color w:val="1F3A5F"/>
          <w:sz w:val="24"/>
        </w:rPr>
        <w:t>a. Constitution of Faculty Selection Committees</w:t>
      </w:r>
    </w:p>
    <w:p>
      <w:pPr>
        <w:pStyle w:val="ListBullet"/>
        <w:spacing w:line="276" w:lineRule="auto"/>
        <w:ind w:left="510"/>
      </w:pPr>
      <w:r>
        <w:rPr>
          <w:rFonts w:ascii="Cambria" w:hAnsi="Cambria"/>
          <w:b w:val="0"/>
          <w:i w:val="0"/>
          <w:sz w:val="22"/>
        </w:rPr>
        <w:t>The constitution of the Faculty Selection Committee shall be in accordance with the University Grants Commission (UGC) Regulations, 2018 and subsequent amendments.</w:t>
      </w:r>
    </w:p>
    <w:p>
      <w:pPr>
        <w:pStyle w:val="ListBullet"/>
        <w:spacing w:line="276" w:lineRule="auto"/>
        <w:ind w:left="510"/>
      </w:pPr>
      <w:r>
        <w:rPr>
          <w:rFonts w:ascii="Cambria" w:hAnsi="Cambria"/>
          <w:b w:val="0"/>
          <w:i w:val="0"/>
          <w:sz w:val="22"/>
        </w:rPr>
        <w:t>The composition shall typically include:</w:t>
      </w:r>
    </w:p>
    <w:tbl>
      <w:tblPr>
        <w:tblStyle w:val="TableGrid"/>
        <w:tblW w:type="auto" w:w="0"/>
        <w:jc w:val="center"/>
        <w:tblLook w:firstColumn="1" w:firstRow="1" w:lastColumn="0" w:lastRow="0" w:noHBand="0" w:noVBand="1" w:val="04A0"/>
        <w:tblLayout w:type="fixed"/>
      </w:tblPr>
      <w:tblGrid>
        <w:gridCol w:w="4706"/>
        <w:gridCol w:w="4706"/>
      </w:tblGrid>
      <w:tr>
        <w:tc>
          <w:tcPr>
            <w:tcW w:type="dxa" w:w="3742"/>
            <w:shd w:val="clear" w:color="auto" w:fill="1F3A5F"/>
          </w:tcPr>
          <w:p>
            <w:pPr>
              <w:spacing w:after="40" w:before="40"/>
            </w:pPr>
            <w:r/>
            <w:r>
              <w:rPr>
                <w:rFonts w:ascii="Cambria" w:hAnsi="Cambria"/>
                <w:b/>
                <w:i w:val="0"/>
                <w:color w:val="FFFFFF"/>
                <w:sz w:val="22"/>
              </w:rPr>
              <w:t>Position</w:t>
            </w:r>
          </w:p>
        </w:tc>
        <w:tc>
          <w:tcPr>
            <w:tcW w:type="dxa" w:w="5670"/>
            <w:shd w:val="clear" w:color="auto" w:fill="1F3A5F"/>
          </w:tcPr>
          <w:p>
            <w:pPr>
              <w:spacing w:after="40" w:before="40"/>
            </w:pPr>
            <w:r/>
            <w:r>
              <w:rPr>
                <w:rFonts w:ascii="Cambria" w:hAnsi="Cambria"/>
                <w:b/>
                <w:i w:val="0"/>
                <w:color w:val="FFFFFF"/>
                <w:sz w:val="22"/>
              </w:rPr>
              <w:t>Composition / Member</w:t>
            </w:r>
          </w:p>
        </w:tc>
      </w:tr>
      <w:tr>
        <w:tc>
          <w:tcPr>
            <w:tcW w:type="dxa" w:w="3742"/>
          </w:tcPr>
          <w:p>
            <w:pPr>
              <w:spacing w:after="40" w:before="40"/>
            </w:pPr>
            <w:r/>
            <w:r>
              <w:rPr>
                <w:rFonts w:ascii="Cambria" w:hAnsi="Cambria"/>
                <w:b w:val="0"/>
                <w:i w:val="0"/>
                <w:sz w:val="22"/>
              </w:rPr>
              <w:t>Chairperson</w:t>
            </w:r>
          </w:p>
        </w:tc>
        <w:tc>
          <w:tcPr>
            <w:tcW w:type="dxa" w:w="5670"/>
          </w:tcPr>
          <w:p>
            <w:pPr>
              <w:spacing w:after="40" w:before="40"/>
            </w:pPr>
            <w:r/>
            <w:r>
              <w:rPr>
                <w:rFonts w:ascii="Cambria" w:hAnsi="Cambria"/>
                <w:b w:val="0"/>
                <w:i w:val="0"/>
                <w:sz w:val="22"/>
              </w:rPr>
              <w:t>Vice-Chancellor or Nominee</w:t>
            </w:r>
          </w:p>
        </w:tc>
      </w:tr>
      <w:tr>
        <w:tc>
          <w:tcPr>
            <w:tcW w:type="dxa" w:w="3742"/>
            <w:shd w:val="clear" w:color="auto" w:fill="F0F2F5"/>
          </w:tcPr>
          <w:p>
            <w:pPr>
              <w:spacing w:after="40" w:before="40"/>
            </w:pPr>
            <w:r/>
            <w:r>
              <w:rPr>
                <w:rFonts w:ascii="Cambria" w:hAnsi="Cambria"/>
                <w:b w:val="0"/>
                <w:i w:val="0"/>
                <w:sz w:val="22"/>
              </w:rPr>
              <w:t>Subject Experts</w:t>
            </w:r>
          </w:p>
        </w:tc>
        <w:tc>
          <w:tcPr>
            <w:tcW w:type="dxa" w:w="5670"/>
            <w:shd w:val="clear" w:color="auto" w:fill="F0F2F5"/>
          </w:tcPr>
          <w:p>
            <w:pPr>
              <w:spacing w:after="40" w:before="40"/>
            </w:pPr>
            <w:r/>
            <w:r>
              <w:rPr>
                <w:rFonts w:ascii="Cambria" w:hAnsi="Cambria"/>
                <w:b w:val="0"/>
                <w:i w:val="0"/>
                <w:sz w:val="22"/>
              </w:rPr>
              <w:t>Two or more external experts nominated by the Vice-Chancellor</w:t>
            </w:r>
          </w:p>
        </w:tc>
      </w:tr>
      <w:tr>
        <w:tc>
          <w:tcPr>
            <w:tcW w:type="dxa" w:w="3742"/>
          </w:tcPr>
          <w:p>
            <w:pPr>
              <w:spacing w:after="40" w:before="40"/>
            </w:pPr>
            <w:r/>
            <w:r>
              <w:rPr>
                <w:rFonts w:ascii="Cambria" w:hAnsi="Cambria"/>
                <w:b w:val="0"/>
                <w:i w:val="0"/>
                <w:sz w:val="22"/>
              </w:rPr>
              <w:t>Dean of Faculty</w:t>
            </w:r>
          </w:p>
        </w:tc>
        <w:tc>
          <w:tcPr>
            <w:tcW w:type="dxa" w:w="5670"/>
          </w:tcPr>
          <w:p>
            <w:pPr>
              <w:spacing w:after="40" w:before="40"/>
            </w:pPr>
            <w:r/>
            <w:r>
              <w:rPr>
                <w:rFonts w:ascii="Cambria" w:hAnsi="Cambria"/>
                <w:b w:val="0"/>
                <w:i w:val="0"/>
                <w:sz w:val="22"/>
              </w:rPr>
              <w:t>Member</w:t>
            </w:r>
          </w:p>
        </w:tc>
      </w:tr>
      <w:tr>
        <w:tc>
          <w:tcPr>
            <w:tcW w:type="dxa" w:w="3742"/>
            <w:shd w:val="clear" w:color="auto" w:fill="F0F2F5"/>
          </w:tcPr>
          <w:p>
            <w:pPr>
              <w:spacing w:after="40" w:before="40"/>
            </w:pPr>
            <w:r/>
            <w:r>
              <w:rPr>
                <w:rFonts w:ascii="Cambria" w:hAnsi="Cambria"/>
                <w:b w:val="0"/>
                <w:i w:val="0"/>
                <w:sz w:val="22"/>
              </w:rPr>
              <w:t>Head of the Department</w:t>
            </w:r>
          </w:p>
        </w:tc>
        <w:tc>
          <w:tcPr>
            <w:tcW w:type="dxa" w:w="5670"/>
            <w:shd w:val="clear" w:color="auto" w:fill="F0F2F5"/>
          </w:tcPr>
          <w:p>
            <w:pPr>
              <w:spacing w:after="40" w:before="40"/>
            </w:pPr>
            <w:r/>
            <w:r>
              <w:rPr>
                <w:rFonts w:ascii="Cambria" w:hAnsi="Cambria"/>
                <w:b w:val="0"/>
                <w:i w:val="0"/>
                <w:sz w:val="22"/>
              </w:rPr>
              <w:t>Member</w:t>
            </w:r>
          </w:p>
        </w:tc>
      </w:tr>
      <w:tr>
        <w:tc>
          <w:tcPr>
            <w:tcW w:type="dxa" w:w="3742"/>
          </w:tcPr>
          <w:p>
            <w:pPr>
              <w:spacing w:after="40" w:before="40"/>
            </w:pPr>
            <w:r/>
            <w:r>
              <w:rPr>
                <w:rFonts w:ascii="Cambria" w:hAnsi="Cambria"/>
                <w:b w:val="0"/>
                <w:i w:val="0"/>
                <w:sz w:val="22"/>
              </w:rPr>
              <w:t>Registrar / HRD Head</w:t>
            </w:r>
          </w:p>
        </w:tc>
        <w:tc>
          <w:tcPr>
            <w:tcW w:type="dxa" w:w="5670"/>
          </w:tcPr>
          <w:p>
            <w:pPr>
              <w:spacing w:after="40" w:before="40"/>
            </w:pPr>
            <w:r/>
            <w:r>
              <w:rPr>
                <w:rFonts w:ascii="Cambria" w:hAnsi="Cambria"/>
                <w:b w:val="0"/>
                <w:i w:val="0"/>
                <w:sz w:val="22"/>
              </w:rPr>
              <w:t>Member Secretary</w:t>
            </w:r>
          </w:p>
        </w:tc>
      </w:tr>
      <w:tr>
        <w:tc>
          <w:tcPr>
            <w:tcW w:type="dxa" w:w="3742"/>
            <w:shd w:val="clear" w:color="auto" w:fill="F0F2F5"/>
          </w:tcPr>
          <w:p>
            <w:pPr>
              <w:spacing w:after="40" w:before="40"/>
            </w:pPr>
            <w:r/>
            <w:r>
              <w:rPr>
                <w:rFonts w:ascii="Cambria" w:hAnsi="Cambria"/>
                <w:b w:val="0"/>
                <w:i w:val="0"/>
                <w:sz w:val="22"/>
              </w:rPr>
              <w:t>Representative of SC/ST/OBC/Women (if required)</w:t>
            </w:r>
          </w:p>
        </w:tc>
        <w:tc>
          <w:tcPr>
            <w:tcW w:type="dxa" w:w="5670"/>
            <w:shd w:val="clear" w:color="auto" w:fill="F0F2F5"/>
          </w:tcPr>
          <w:p>
            <w:pPr>
              <w:spacing w:after="40" w:before="40"/>
            </w:pPr>
            <w:r/>
            <w:r>
              <w:rPr>
                <w:rFonts w:ascii="Cambria" w:hAnsi="Cambria"/>
                <w:b w:val="0"/>
                <w:i w:val="0"/>
                <w:sz w:val="22"/>
              </w:rPr>
              <w:t>Co-opted Member</w:t>
            </w:r>
          </w:p>
        </w:tc>
      </w:tr>
    </w:tbl>
    <w:p>
      <w:pPr>
        <w:spacing w:after="40"/>
      </w:pPr>
    </w:p>
    <w:p>
      <w:pPr>
        <w:pStyle w:val="ListBullet"/>
        <w:spacing w:line="276" w:lineRule="auto"/>
        <w:ind w:left="510"/>
      </w:pPr>
      <w:r>
        <w:rPr>
          <w:rFonts w:ascii="Cambria" w:hAnsi="Cambria"/>
          <w:b w:val="0"/>
          <w:i w:val="0"/>
          <w:sz w:val="22"/>
        </w:rPr>
        <w:t>The Committee shall evaluate candidates on the basis of academic record, teaching experience, research performance, publications, and interview performance.</w:t>
      </w:r>
    </w:p>
    <w:p>
      <w:pPr>
        <w:pStyle w:val="ListBullet"/>
        <w:spacing w:line="276" w:lineRule="auto"/>
        <w:ind w:left="510"/>
      </w:pPr>
      <w:r>
        <w:rPr>
          <w:rFonts w:ascii="Cambria" w:hAnsi="Cambria"/>
          <w:b w:val="0"/>
          <w:i w:val="0"/>
          <w:sz w:val="22"/>
        </w:rPr>
        <w:t>The recommendations of the Selection Committee shall be placed before the Board of Management for final approval.</w:t>
      </w:r>
    </w:p>
    <w:p>
      <w:pPr>
        <w:keepNext/>
        <w:spacing w:before="200" w:after="120"/>
      </w:pPr>
      <w:r>
        <w:rPr>
          <w:rFonts w:ascii="Cambria" w:hAnsi="Cambria"/>
          <w:b/>
          <w:color w:val="1F3A5F"/>
          <w:sz w:val="24"/>
        </w:rPr>
        <w:t>IV. Faculty on Ad-Hoc and Temporary Appointments</w:t>
      </w:r>
    </w:p>
    <w:p>
      <w:pPr>
        <w:keepNext/>
        <w:spacing w:before="200" w:after="120"/>
      </w:pPr>
      <w:r>
        <w:rPr>
          <w:rFonts w:ascii="Cambria" w:hAnsi="Cambria"/>
          <w:b/>
          <w:color w:val="1F3A5F"/>
          <w:sz w:val="24"/>
        </w:rPr>
        <w:t>a. Authority for Ad-hoc Appointments</w:t>
      </w:r>
    </w:p>
    <w:p>
      <w:pPr>
        <w:pStyle w:val="ListBullet"/>
        <w:spacing w:line="276" w:lineRule="auto"/>
        <w:ind w:left="510"/>
      </w:pPr>
      <w:r>
        <w:rPr>
          <w:rFonts w:ascii="Cambria" w:hAnsi="Cambria"/>
          <w:b w:val="0"/>
          <w:i w:val="0"/>
          <w:sz w:val="22"/>
        </w:rPr>
        <w:t>The Board of Management (BoM) shall have the power to determine:</w:t>
      </w:r>
    </w:p>
    <w:p>
      <w:pPr>
        <w:spacing w:line="276" w:lineRule="auto"/>
        <w:ind w:left="357" w:hanging="357"/>
      </w:pPr>
      <w:r>
        <w:rPr>
          <w:rFonts w:ascii="Cambria" w:hAnsi="Cambria"/>
          <w:b w:val="0"/>
          <w:i w:val="0"/>
          <w:sz w:val="22"/>
        </w:rPr>
        <w:t xml:space="preserve">1. </w:t>
      </w:r>
      <w:r>
        <w:rPr>
          <w:rFonts w:ascii="Cambria" w:hAnsi="Cambria"/>
          <w:b w:val="0"/>
          <w:i w:val="0"/>
          <w:sz w:val="22"/>
        </w:rPr>
        <w:t>Whether a post is to be filled by open advertisement, invitation, or promotion from within the University staff.</w:t>
      </w:r>
    </w:p>
    <w:p>
      <w:pPr>
        <w:spacing w:line="276" w:lineRule="auto"/>
        <w:ind w:left="357" w:hanging="357"/>
      </w:pPr>
      <w:r>
        <w:rPr>
          <w:rFonts w:ascii="Cambria" w:hAnsi="Cambria"/>
          <w:b w:val="0"/>
          <w:i w:val="0"/>
          <w:sz w:val="22"/>
        </w:rPr>
        <w:t xml:space="preserve">2. </w:t>
      </w:r>
      <w:r>
        <w:rPr>
          <w:rFonts w:ascii="Cambria" w:hAnsi="Cambria"/>
          <w:b w:val="0"/>
          <w:i w:val="0"/>
          <w:sz w:val="22"/>
        </w:rPr>
        <w:t>The tenure, remuneration, and terms of engagement for the temporary appointment.</w:t>
      </w:r>
    </w:p>
    <w:p>
      <w:pPr>
        <w:spacing w:line="276" w:lineRule="auto"/>
        <w:ind w:left="357" w:hanging="357"/>
      </w:pPr>
      <w:r>
        <w:rPr>
          <w:rFonts w:ascii="Cambria" w:hAnsi="Cambria"/>
          <w:b w:val="0"/>
          <w:i w:val="0"/>
          <w:sz w:val="22"/>
        </w:rPr>
        <w:t xml:space="preserve">3. </w:t>
      </w:r>
      <w:r>
        <w:rPr>
          <w:rFonts w:ascii="Cambria" w:hAnsi="Cambria"/>
          <w:b w:val="0"/>
          <w:i w:val="0"/>
          <w:sz w:val="22"/>
        </w:rPr>
        <w:t>The duration of appointment, which normally shall not exceed one academic year, unless extended by BoM.</w:t>
      </w:r>
    </w:p>
    <w:p>
      <w:pPr>
        <w:keepNext/>
        <w:spacing w:before="200" w:after="120"/>
      </w:pPr>
      <w:r>
        <w:rPr>
          <w:rFonts w:ascii="Cambria" w:hAnsi="Cambria"/>
          <w:b/>
          <w:color w:val="1F3A5F"/>
          <w:sz w:val="24"/>
        </w:rPr>
        <w:t>b. Procedure</w:t>
      </w:r>
    </w:p>
    <w:p>
      <w:pPr>
        <w:pStyle w:val="ListBullet"/>
        <w:spacing w:line="276" w:lineRule="auto"/>
        <w:ind w:left="510"/>
      </w:pPr>
      <w:r>
        <w:rPr>
          <w:rFonts w:ascii="Cambria" w:hAnsi="Cambria"/>
          <w:b w:val="0"/>
          <w:i w:val="0"/>
          <w:sz w:val="22"/>
        </w:rPr>
        <w:t>Ad-hoc faculty shall be selected through a local selection panel comprising:</w:t>
      </w:r>
    </w:p>
    <w:p>
      <w:pPr>
        <w:pStyle w:val="ListBullet2"/>
        <w:spacing w:line="276" w:lineRule="auto"/>
        <w:ind w:left="1020"/>
      </w:pPr>
      <w:r>
        <w:rPr>
          <w:rFonts w:ascii="Cambria" w:hAnsi="Cambria"/>
          <w:b w:val="0"/>
          <w:i w:val="0"/>
          <w:sz w:val="22"/>
        </w:rPr>
        <w:t>Vice-Chancellor / Dean (Chairperson)</w:t>
      </w:r>
    </w:p>
    <w:p>
      <w:pPr>
        <w:pStyle w:val="ListBullet2"/>
        <w:spacing w:line="276" w:lineRule="auto"/>
        <w:ind w:left="1020"/>
      </w:pPr>
      <w:r>
        <w:rPr>
          <w:rFonts w:ascii="Cambria" w:hAnsi="Cambria"/>
          <w:b w:val="0"/>
          <w:i w:val="0"/>
          <w:sz w:val="22"/>
        </w:rPr>
        <w:t>Head of the Department</w:t>
      </w:r>
    </w:p>
    <w:p>
      <w:pPr>
        <w:pStyle w:val="ListBullet2"/>
        <w:spacing w:line="276" w:lineRule="auto"/>
        <w:ind w:left="1020"/>
      </w:pPr>
      <w:r>
        <w:rPr>
          <w:rFonts w:ascii="Cambria" w:hAnsi="Cambria"/>
          <w:b w:val="0"/>
          <w:i w:val="0"/>
          <w:sz w:val="22"/>
        </w:rPr>
        <w:t>One Subject Expert from another University / Institution</w:t>
      </w:r>
    </w:p>
    <w:p>
      <w:pPr>
        <w:pStyle w:val="ListBullet2"/>
        <w:spacing w:line="276" w:lineRule="auto"/>
        <w:ind w:left="1020"/>
      </w:pPr>
      <w:r>
        <w:rPr>
          <w:rFonts w:ascii="Cambria" w:hAnsi="Cambria"/>
          <w:b w:val="0"/>
          <w:i w:val="0"/>
          <w:sz w:val="22"/>
        </w:rPr>
        <w:t>Registrar / HR Representative</w:t>
      </w:r>
    </w:p>
    <w:p>
      <w:pPr>
        <w:pStyle w:val="ListBullet"/>
        <w:spacing w:line="276" w:lineRule="auto"/>
        <w:ind w:left="510"/>
      </w:pPr>
      <w:r>
        <w:rPr>
          <w:rFonts w:ascii="Cambria" w:hAnsi="Cambria"/>
          <w:b w:val="0"/>
          <w:i w:val="0"/>
          <w:sz w:val="22"/>
        </w:rPr>
        <w:t>The appointment order shall specify the duration, salary, and conditions of service.</w:t>
      </w:r>
    </w:p>
    <w:p>
      <w:pPr>
        <w:keepNext/>
        <w:spacing w:before="200" w:after="120"/>
      </w:pPr>
      <w:r>
        <w:rPr>
          <w:rFonts w:ascii="Cambria" w:hAnsi="Cambria"/>
          <w:b/>
          <w:color w:val="1F3A5F"/>
          <w:sz w:val="24"/>
        </w:rPr>
        <w:t>V. Contractual Appointments</w:t>
      </w:r>
    </w:p>
    <w:p>
      <w:pPr>
        <w:keepNext/>
        <w:spacing w:before="200" w:after="120"/>
      </w:pPr>
      <w:r>
        <w:rPr>
          <w:rFonts w:ascii="Cambria" w:hAnsi="Cambria"/>
          <w:b/>
          <w:color w:val="1F3A5F"/>
          <w:sz w:val="24"/>
        </w:rPr>
        <w:t>a. Special Circumstances Clause</w:t>
      </w:r>
    </w:p>
    <w:p>
      <w:pPr>
        <w:pStyle w:val="ListBullet"/>
        <w:spacing w:line="276" w:lineRule="auto"/>
        <w:ind w:left="510"/>
      </w:pPr>
      <w:r>
        <w:rPr>
          <w:rFonts w:ascii="Cambria" w:hAnsi="Cambria"/>
          <w:b w:val="0"/>
          <w:i w:val="0"/>
          <w:sz w:val="22"/>
        </w:rPr>
        <w:t>Notwithstanding any provisions under the regular recruitment rules, the Board of Management shall have the authority, in special circumstances, to appoint any person on contract for a period up to five (5) years.</w:t>
      </w:r>
    </w:p>
    <w:p>
      <w:pPr>
        <w:pStyle w:val="ListBullet"/>
        <w:spacing w:line="276" w:lineRule="auto"/>
        <w:ind w:left="510"/>
      </w:pPr>
      <w:r>
        <w:rPr>
          <w:rFonts w:ascii="Cambria" w:hAnsi="Cambria"/>
          <w:b w:val="0"/>
          <w:i w:val="0"/>
          <w:sz w:val="22"/>
        </w:rPr>
        <w:t>Such appointments may made:</w:t>
      </w:r>
    </w:p>
    <w:p>
      <w:pPr>
        <w:pStyle w:val="ListBullet2"/>
        <w:spacing w:line="276" w:lineRule="auto"/>
        <w:ind w:left="1020"/>
      </w:pPr>
      <w:r>
        <w:rPr>
          <w:rFonts w:ascii="Cambria" w:hAnsi="Cambria"/>
          <w:b w:val="0"/>
          <w:i w:val="0"/>
          <w:sz w:val="22"/>
        </w:rPr>
        <w:t>For newly introduced academic programs.</w:t>
      </w:r>
    </w:p>
    <w:p>
      <w:pPr>
        <w:pStyle w:val="ListBullet2"/>
        <w:spacing w:line="276" w:lineRule="auto"/>
        <w:ind w:left="1020"/>
      </w:pPr>
      <w:r>
        <w:rPr>
          <w:rFonts w:ascii="Cambria" w:hAnsi="Cambria"/>
          <w:b w:val="0"/>
          <w:i w:val="0"/>
          <w:sz w:val="22"/>
        </w:rPr>
        <w:t>For industry experts, professionals, or distinguished academicians.</w:t>
      </w:r>
    </w:p>
    <w:p>
      <w:pPr>
        <w:pStyle w:val="ListBullet2"/>
        <w:spacing w:line="276" w:lineRule="auto"/>
        <w:ind w:left="1020"/>
      </w:pPr>
      <w:r>
        <w:rPr>
          <w:rFonts w:ascii="Cambria" w:hAnsi="Cambria"/>
          <w:b w:val="0"/>
          <w:i w:val="0"/>
          <w:sz w:val="22"/>
        </w:rPr>
        <w:t>For research, consultancy, or development projects.</w:t>
      </w:r>
    </w:p>
    <w:p>
      <w:pPr>
        <w:keepNext/>
        <w:spacing w:before="200" w:after="120"/>
      </w:pPr>
      <w:r>
        <w:rPr>
          <w:rFonts w:ascii="Cambria" w:hAnsi="Cambria"/>
          <w:b/>
          <w:color w:val="1F3A5F"/>
          <w:sz w:val="24"/>
        </w:rPr>
        <w:t>b. Ratification</w:t>
      </w:r>
    </w:p>
    <w:p>
      <w:pPr>
        <w:pStyle w:val="ListBullet"/>
        <w:spacing w:line="276" w:lineRule="auto"/>
        <w:ind w:left="510"/>
      </w:pPr>
      <w:r>
        <w:rPr>
          <w:rFonts w:ascii="Cambria" w:hAnsi="Cambria"/>
          <w:b w:val="0"/>
          <w:i w:val="0"/>
          <w:sz w:val="22"/>
        </w:rPr>
        <w:t>All contractual appointments made under this clause shall be ratified by the Board of Management at its next meeting.</w:t>
      </w:r>
    </w:p>
    <w:p>
      <w:pPr>
        <w:pStyle w:val="ListBullet"/>
        <w:spacing w:line="276" w:lineRule="auto"/>
        <w:ind w:left="510"/>
      </w:pPr>
      <w:r>
        <w:rPr>
          <w:rFonts w:ascii="Cambria" w:hAnsi="Cambria"/>
          <w:b w:val="0"/>
          <w:i w:val="0"/>
          <w:sz w:val="22"/>
        </w:rPr>
        <w:t>The appointment order must clearly indicate:</w:t>
      </w:r>
    </w:p>
    <w:p>
      <w:pPr>
        <w:pStyle w:val="ListBullet2"/>
        <w:spacing w:line="276" w:lineRule="auto"/>
        <w:ind w:left="1020"/>
      </w:pPr>
      <w:r>
        <w:rPr>
          <w:rFonts w:ascii="Cambria" w:hAnsi="Cambria"/>
          <w:b w:val="0"/>
          <w:i w:val="0"/>
          <w:sz w:val="22"/>
        </w:rPr>
        <w:t>Duration of the contract.</w:t>
      </w:r>
    </w:p>
    <w:p>
      <w:pPr>
        <w:pStyle w:val="ListBullet2"/>
        <w:spacing w:line="276" w:lineRule="auto"/>
        <w:ind w:left="1020"/>
      </w:pPr>
      <w:r>
        <w:rPr>
          <w:rFonts w:ascii="Cambria" w:hAnsi="Cambria"/>
          <w:b w:val="0"/>
          <w:i w:val="0"/>
          <w:sz w:val="22"/>
        </w:rPr>
        <w:t>Consolidated or scale-based pay structure.</w:t>
      </w:r>
    </w:p>
    <w:p>
      <w:pPr>
        <w:pStyle w:val="ListBullet2"/>
        <w:spacing w:line="276" w:lineRule="auto"/>
        <w:ind w:left="1020"/>
      </w:pPr>
      <w:r>
        <w:rPr>
          <w:rFonts w:ascii="Cambria" w:hAnsi="Cambria"/>
          <w:b w:val="0"/>
          <w:i w:val="0"/>
          <w:sz w:val="22"/>
        </w:rPr>
        <w:t>Renewal and termination conditions.</w:t>
      </w:r>
    </w:p>
    <w:p>
      <w:pPr>
        <w:keepNext/>
        <w:spacing w:before="200" w:after="120"/>
      </w:pPr>
      <w:r>
        <w:rPr>
          <w:rFonts w:ascii="Cambria" w:hAnsi="Cambria"/>
          <w:b/>
          <w:color w:val="1F3A5F"/>
          <w:sz w:val="24"/>
        </w:rPr>
        <w:t>VI. Method of Recruitment by Promotion / Internal Selection</w:t>
      </w:r>
    </w:p>
    <w:p>
      <w:pPr>
        <w:pStyle w:val="ListBullet"/>
        <w:spacing w:line="276" w:lineRule="auto"/>
        <w:ind w:left="510"/>
      </w:pPr>
      <w:r>
        <w:rPr>
          <w:rFonts w:ascii="Cambria" w:hAnsi="Cambria"/>
          <w:b w:val="0"/>
          <w:i w:val="0"/>
          <w:sz w:val="22"/>
        </w:rPr>
        <w:t>Promotion shall be based on merit-cum-seniority, academic performance, and service record.</w:t>
      </w:r>
    </w:p>
    <w:p>
      <w:pPr>
        <w:pStyle w:val="ListBullet"/>
        <w:spacing w:line="276" w:lineRule="auto"/>
        <w:ind w:left="510"/>
      </w:pPr>
      <w:r>
        <w:rPr>
          <w:rFonts w:ascii="Cambria" w:hAnsi="Cambria"/>
          <w:b w:val="0"/>
          <w:i w:val="0"/>
          <w:sz w:val="22"/>
        </w:rPr>
        <w:t>Selection for higher positions (e.g., Assistant → Associate Professor) shall follow UGC Career Advancement Scheme (CAS) norms.</w:t>
      </w:r>
    </w:p>
    <w:p>
      <w:pPr>
        <w:pStyle w:val="ListBullet"/>
        <w:spacing w:line="276" w:lineRule="auto"/>
        <w:ind w:left="510"/>
      </w:pPr>
      <w:r>
        <w:rPr>
          <w:rFonts w:ascii="Cambria" w:hAnsi="Cambria"/>
          <w:b w:val="0"/>
          <w:i w:val="0"/>
          <w:sz w:val="22"/>
        </w:rPr>
        <w:t>Internal candidates shall be given equal opportunity to apply for higher posts where eligible.</w:t>
      </w:r>
    </w:p>
    <w:p>
      <w:pPr>
        <w:pStyle w:val="ListBullet"/>
        <w:spacing w:line="276" w:lineRule="auto"/>
        <w:ind w:left="510"/>
      </w:pPr>
      <w:r>
        <w:rPr>
          <w:rFonts w:ascii="Cambria" w:hAnsi="Cambria"/>
          <w:b w:val="0"/>
          <w:i w:val="0"/>
          <w:sz w:val="22"/>
        </w:rPr>
        <w:t>Promotion panels shall include:</w:t>
      </w:r>
    </w:p>
    <w:p>
      <w:pPr>
        <w:pStyle w:val="ListBullet2"/>
        <w:spacing w:line="276" w:lineRule="auto"/>
        <w:ind w:left="1020"/>
      </w:pPr>
      <w:r>
        <w:rPr>
          <w:rFonts w:ascii="Cambria" w:hAnsi="Cambria"/>
          <w:b w:val="0"/>
          <w:i w:val="0"/>
          <w:sz w:val="22"/>
        </w:rPr>
        <w:t>Vice-Chancellor (Chairperson)</w:t>
      </w:r>
    </w:p>
    <w:p>
      <w:pPr>
        <w:pStyle w:val="ListBullet2"/>
        <w:spacing w:line="276" w:lineRule="auto"/>
        <w:ind w:left="1020"/>
      </w:pPr>
      <w:r>
        <w:rPr>
          <w:rFonts w:ascii="Cambria" w:hAnsi="Cambria"/>
          <w:b w:val="0"/>
          <w:i w:val="0"/>
          <w:sz w:val="22"/>
        </w:rPr>
        <w:t>Dean / Head of Department</w:t>
      </w:r>
    </w:p>
    <w:p>
      <w:pPr>
        <w:pStyle w:val="ListBullet2"/>
        <w:spacing w:line="276" w:lineRule="auto"/>
        <w:ind w:left="1020"/>
      </w:pPr>
      <w:r>
        <w:rPr>
          <w:rFonts w:ascii="Cambria" w:hAnsi="Cambria"/>
          <w:b w:val="0"/>
          <w:i w:val="0"/>
          <w:sz w:val="22"/>
        </w:rPr>
        <w:t>Two External Experts</w:t>
      </w:r>
    </w:p>
    <w:p>
      <w:pPr>
        <w:pStyle w:val="ListBullet2"/>
        <w:spacing w:line="276" w:lineRule="auto"/>
        <w:ind w:left="1020"/>
      </w:pPr>
      <w:r>
        <w:rPr>
          <w:rFonts w:ascii="Cambria" w:hAnsi="Cambria"/>
          <w:b w:val="0"/>
          <w:i w:val="0"/>
          <w:sz w:val="22"/>
        </w:rPr>
        <w:t>Registrar / HR Head</w:t>
      </w:r>
    </w:p>
    <w:p>
      <w:pPr>
        <w:keepNext/>
        <w:spacing w:before="200" w:after="120"/>
      </w:pPr>
      <w:r>
        <w:rPr>
          <w:rFonts w:ascii="Cambria" w:hAnsi="Cambria"/>
          <w:b/>
          <w:color w:val="1F3A5F"/>
          <w:sz w:val="24"/>
        </w:rPr>
        <w:t>VII. Non-Teaching and Administrative Recruitment</w:t>
      </w:r>
    </w:p>
    <w:p>
      <w:pPr>
        <w:pStyle w:val="ListBullet"/>
        <w:spacing w:line="276" w:lineRule="auto"/>
        <w:ind w:left="510"/>
      </w:pPr>
      <w:r>
        <w:rPr>
          <w:rFonts w:ascii="Cambria" w:hAnsi="Cambria"/>
          <w:b w:val="0"/>
          <w:i w:val="0"/>
          <w:sz w:val="22"/>
        </w:rPr>
        <w:t>Recruitment for non-teaching positions shall be conducted by Selection Committees constituted by the Board of Management, following notified qualifications and experience criteria.</w:t>
      </w:r>
    </w:p>
    <w:p>
      <w:pPr>
        <w:pStyle w:val="ListBullet"/>
        <w:spacing w:line="276" w:lineRule="auto"/>
        <w:ind w:left="510"/>
      </w:pPr>
      <w:r>
        <w:rPr>
          <w:rFonts w:ascii="Cambria" w:hAnsi="Cambria"/>
          <w:b w:val="0"/>
          <w:i w:val="0"/>
          <w:sz w:val="22"/>
        </w:rPr>
        <w:t>The Committee composition shall include:</w:t>
      </w:r>
    </w:p>
    <w:p>
      <w:pPr>
        <w:pStyle w:val="ListBullet2"/>
        <w:spacing w:line="276" w:lineRule="auto"/>
        <w:ind w:left="1020"/>
      </w:pPr>
      <w:r>
        <w:rPr>
          <w:rFonts w:ascii="Cambria" w:hAnsi="Cambria"/>
          <w:b w:val="0"/>
          <w:i w:val="0"/>
          <w:sz w:val="22"/>
        </w:rPr>
        <w:t>Vice-Chancellor / Registrar (Chairperson)</w:t>
      </w:r>
    </w:p>
    <w:p>
      <w:pPr>
        <w:pStyle w:val="ListBullet2"/>
        <w:spacing w:line="276" w:lineRule="auto"/>
        <w:ind w:left="1020"/>
      </w:pPr>
      <w:r>
        <w:rPr>
          <w:rFonts w:ascii="Cambria" w:hAnsi="Cambria"/>
          <w:b w:val="0"/>
          <w:i w:val="0"/>
          <w:sz w:val="22"/>
        </w:rPr>
        <w:t>Head of Concerned Department / Section</w:t>
      </w:r>
    </w:p>
    <w:p>
      <w:pPr>
        <w:pStyle w:val="ListBullet2"/>
        <w:spacing w:line="276" w:lineRule="auto"/>
        <w:ind w:left="1020"/>
      </w:pPr>
      <w:r>
        <w:rPr>
          <w:rFonts w:ascii="Cambria" w:hAnsi="Cambria"/>
          <w:b w:val="0"/>
          <w:i w:val="0"/>
          <w:sz w:val="22"/>
        </w:rPr>
        <w:t>External Expert (if required)</w:t>
      </w:r>
    </w:p>
    <w:p>
      <w:pPr>
        <w:pStyle w:val="ListBullet2"/>
        <w:spacing w:line="276" w:lineRule="auto"/>
        <w:ind w:left="1020"/>
      </w:pPr>
      <w:r>
        <w:rPr>
          <w:rFonts w:ascii="Cambria" w:hAnsi="Cambria"/>
          <w:b w:val="0"/>
          <w:i w:val="0"/>
          <w:sz w:val="22"/>
        </w:rPr>
        <w:t>HR Officer (Member Secretary)</w:t>
      </w:r>
    </w:p>
    <w:p>
      <w:pPr>
        <w:pStyle w:val="ListBullet"/>
        <w:spacing w:line="276" w:lineRule="auto"/>
        <w:ind w:left="510"/>
      </w:pPr>
      <w:r>
        <w:rPr>
          <w:rFonts w:ascii="Cambria" w:hAnsi="Cambria"/>
          <w:b w:val="0"/>
          <w:i w:val="0"/>
          <w:sz w:val="22"/>
        </w:rPr>
        <w:t>Recruitment shall be conducted through written tests, skill assessments, and interviews, depending on the nature of the post.</w:t>
      </w:r>
    </w:p>
    <w:p>
      <w:pPr>
        <w:keepNext/>
        <w:spacing w:before="200" w:after="120"/>
      </w:pPr>
      <w:r>
        <w:rPr>
          <w:rFonts w:ascii="Cambria" w:hAnsi="Cambria"/>
          <w:b/>
          <w:color w:val="1F3A5F"/>
          <w:sz w:val="24"/>
        </w:rPr>
        <w:t>VIII. Documentation and Transparency</w:t>
      </w:r>
    </w:p>
    <w:p>
      <w:pPr>
        <w:pStyle w:val="ListBullet"/>
        <w:spacing w:line="276" w:lineRule="auto"/>
        <w:ind w:left="510"/>
      </w:pPr>
      <w:r>
        <w:rPr>
          <w:rFonts w:ascii="Cambria" w:hAnsi="Cambria"/>
          <w:b w:val="0"/>
          <w:i w:val="0"/>
          <w:sz w:val="22"/>
        </w:rPr>
        <w:t>Every stage of the recruitment process must be documented and retained in official records for audit and accreditation.</w:t>
      </w:r>
    </w:p>
    <w:p>
      <w:pPr>
        <w:pStyle w:val="ListBullet"/>
        <w:spacing w:line="276" w:lineRule="auto"/>
        <w:ind w:left="510"/>
      </w:pPr>
      <w:r>
        <w:rPr>
          <w:rFonts w:ascii="Cambria" w:hAnsi="Cambria"/>
          <w:b w:val="0"/>
          <w:i w:val="0"/>
          <w:sz w:val="22"/>
        </w:rPr>
        <w:t>Documents include:</w:t>
      </w:r>
    </w:p>
    <w:p>
      <w:pPr>
        <w:pStyle w:val="ListBullet2"/>
        <w:spacing w:line="276" w:lineRule="auto"/>
        <w:ind w:left="1020"/>
      </w:pPr>
      <w:r>
        <w:rPr>
          <w:rFonts w:ascii="Cambria" w:hAnsi="Cambria"/>
          <w:b w:val="0"/>
          <w:i w:val="0"/>
          <w:sz w:val="22"/>
        </w:rPr>
        <w:t>Notification / Advertisement Copy</w:t>
      </w:r>
    </w:p>
    <w:p>
      <w:pPr>
        <w:pStyle w:val="ListBullet2"/>
        <w:spacing w:line="276" w:lineRule="auto"/>
        <w:ind w:left="1020"/>
      </w:pPr>
      <w:r>
        <w:rPr>
          <w:rFonts w:ascii="Cambria" w:hAnsi="Cambria"/>
          <w:b w:val="0"/>
          <w:i w:val="0"/>
          <w:sz w:val="22"/>
        </w:rPr>
        <w:t>Shortlisting Report</w:t>
      </w:r>
    </w:p>
    <w:p>
      <w:pPr>
        <w:pStyle w:val="ListBullet2"/>
        <w:spacing w:line="276" w:lineRule="auto"/>
        <w:ind w:left="1020"/>
      </w:pPr>
      <w:r>
        <w:rPr>
          <w:rFonts w:ascii="Cambria" w:hAnsi="Cambria"/>
          <w:b w:val="0"/>
          <w:i w:val="0"/>
          <w:sz w:val="22"/>
        </w:rPr>
        <w:t>Selection Committee Minutes</w:t>
      </w:r>
    </w:p>
    <w:p>
      <w:pPr>
        <w:pStyle w:val="ListBullet2"/>
        <w:spacing w:line="276" w:lineRule="auto"/>
        <w:ind w:left="1020"/>
      </w:pPr>
      <w:r>
        <w:rPr>
          <w:rFonts w:ascii="Cambria" w:hAnsi="Cambria"/>
          <w:b w:val="0"/>
          <w:i w:val="0"/>
          <w:sz w:val="22"/>
        </w:rPr>
        <w:t>Approval by Competent Authority</w:t>
      </w:r>
    </w:p>
    <w:p>
      <w:pPr>
        <w:pStyle w:val="ListBullet2"/>
        <w:spacing w:line="276" w:lineRule="auto"/>
        <w:ind w:left="1020"/>
      </w:pPr>
      <w:r>
        <w:rPr>
          <w:rFonts w:ascii="Cambria" w:hAnsi="Cambria"/>
          <w:b w:val="0"/>
          <w:i w:val="0"/>
          <w:sz w:val="22"/>
        </w:rPr>
        <w:t>Offer Letter and Appointment Order</w:t>
      </w:r>
    </w:p>
    <w:p>
      <w:pPr>
        <w:pStyle w:val="ListBullet"/>
        <w:spacing w:line="276" w:lineRule="auto"/>
        <w:ind w:left="510"/>
      </w:pPr>
      <w:r>
        <w:rPr>
          <w:rFonts w:ascii="Cambria" w:hAnsi="Cambria"/>
          <w:b w:val="0"/>
          <w:i w:val="0"/>
          <w:sz w:val="22"/>
        </w:rPr>
        <w:t>Records shall be preserved for a minimum of 10 years in compliance with NAAC and ISO 9001:2015 standards.</w:t>
      </w:r>
    </w:p>
    <w:p>
      <w:pPr>
        <w:keepNext/>
        <w:spacing w:before="200" w:after="120"/>
      </w:pPr>
      <w:r>
        <w:rPr>
          <w:rFonts w:ascii="Cambria" w:hAnsi="Cambria"/>
          <w:b/>
          <w:color w:val="1F3A5F"/>
          <w:sz w:val="24"/>
        </w:rPr>
        <w:t>IX. Compliance and Review</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7"/>
            <w:shd w:val="clear" w:color="auto" w:fill="1F3A5F"/>
          </w:tcPr>
          <w:p>
            <w:pPr>
              <w:spacing w:after="40" w:before="40"/>
            </w:pPr>
            <w:r/>
            <w:r>
              <w:rPr>
                <w:rFonts w:ascii="Cambria" w:hAnsi="Cambria"/>
                <w:b/>
                <w:i w:val="0"/>
                <w:color w:val="FFFFFF"/>
                <w:sz w:val="22"/>
              </w:rPr>
              <w:t>Aspect</w:t>
            </w:r>
          </w:p>
        </w:tc>
        <w:tc>
          <w:tcPr>
            <w:tcW w:type="dxa" w:w="4876"/>
            <w:shd w:val="clear" w:color="auto" w:fill="1F3A5F"/>
          </w:tcPr>
          <w:p>
            <w:pPr>
              <w:spacing w:after="40" w:before="40"/>
            </w:pPr>
            <w:r/>
            <w:r>
              <w:rPr>
                <w:rFonts w:ascii="Cambria" w:hAnsi="Cambria"/>
                <w:b/>
                <w:i w:val="0"/>
                <w:color w:val="FFFFFF"/>
                <w:sz w:val="22"/>
              </w:rPr>
              <w:t>Provision</w:t>
            </w:r>
          </w:p>
        </w:tc>
        <w:tc>
          <w:tcPr>
            <w:tcW w:type="dxa" w:w="2608"/>
            <w:shd w:val="clear" w:color="auto" w:fill="1F3A5F"/>
          </w:tcPr>
          <w:p>
            <w:pPr>
              <w:spacing w:after="40" w:before="40"/>
            </w:pPr>
            <w:r/>
            <w:r>
              <w:rPr>
                <w:rFonts w:ascii="Cambria" w:hAnsi="Cambria"/>
                <w:b/>
                <w:i w:val="0"/>
                <w:color w:val="FFFFFF"/>
                <w:sz w:val="22"/>
              </w:rPr>
              <w:t>Responsible Authority</w:t>
            </w:r>
          </w:p>
        </w:tc>
      </w:tr>
      <w:tr>
        <w:tc>
          <w:tcPr>
            <w:tcW w:type="dxa" w:w="1927"/>
          </w:tcPr>
          <w:p>
            <w:pPr>
              <w:spacing w:after="40" w:before="40"/>
            </w:pPr>
            <w:r/>
            <w:r>
              <w:rPr>
                <w:rFonts w:ascii="Cambria" w:hAnsi="Cambria"/>
                <w:b w:val="0"/>
                <w:i w:val="0"/>
                <w:sz w:val="22"/>
              </w:rPr>
              <w:t>Regulatory Alignment</w:t>
            </w:r>
          </w:p>
        </w:tc>
        <w:tc>
          <w:tcPr>
            <w:tcW w:type="dxa" w:w="4876"/>
          </w:tcPr>
          <w:p>
            <w:pPr>
              <w:spacing w:after="40" w:before="40"/>
            </w:pPr>
            <w:r/>
            <w:r>
              <w:rPr>
                <w:rFonts w:ascii="Cambria" w:hAnsi="Cambria"/>
                <w:b w:val="0"/>
                <w:i w:val="0"/>
                <w:sz w:val="22"/>
              </w:rPr>
              <w:t>UGC, AICTE, State Govt., and University Statutes</w:t>
            </w:r>
          </w:p>
        </w:tc>
        <w:tc>
          <w:tcPr>
            <w:tcW w:type="dxa" w:w="2608"/>
          </w:tcPr>
          <w:p>
            <w:pPr>
              <w:spacing w:after="40" w:before="40"/>
            </w:pPr>
            <w:r/>
            <w:r>
              <w:rPr>
                <w:rFonts w:ascii="Cambria" w:hAnsi="Cambria"/>
                <w:b w:val="0"/>
                <w:i w:val="0"/>
                <w:sz w:val="22"/>
              </w:rPr>
              <w:t>Registrar / BoM</w:t>
            </w:r>
          </w:p>
        </w:tc>
      </w:tr>
      <w:tr>
        <w:tc>
          <w:tcPr>
            <w:tcW w:type="dxa" w:w="1927"/>
            <w:shd w:val="clear" w:color="auto" w:fill="F0F2F5"/>
          </w:tcPr>
          <w:p>
            <w:pPr>
              <w:spacing w:after="40" w:before="40"/>
            </w:pPr>
            <w:r/>
            <w:r>
              <w:rPr>
                <w:rFonts w:ascii="Cambria" w:hAnsi="Cambria"/>
                <w:b w:val="0"/>
                <w:i w:val="0"/>
                <w:sz w:val="22"/>
              </w:rPr>
              <w:t>Recruitment Records</w:t>
            </w:r>
          </w:p>
        </w:tc>
        <w:tc>
          <w:tcPr>
            <w:tcW w:type="dxa" w:w="4876"/>
            <w:shd w:val="clear" w:color="auto" w:fill="F0F2F5"/>
          </w:tcPr>
          <w:p>
            <w:pPr>
              <w:spacing w:after="40" w:before="40"/>
            </w:pPr>
            <w:r/>
            <w:r>
              <w:rPr>
                <w:rFonts w:ascii="Cambria" w:hAnsi="Cambria"/>
                <w:b w:val="0"/>
                <w:i w:val="0"/>
                <w:sz w:val="22"/>
              </w:rPr>
              <w:t>Documentation, approval, and audit</w:t>
            </w:r>
          </w:p>
        </w:tc>
        <w:tc>
          <w:tcPr>
            <w:tcW w:type="dxa" w:w="2608"/>
            <w:shd w:val="clear" w:color="auto" w:fill="F0F2F5"/>
          </w:tcPr>
          <w:p>
            <w:pPr>
              <w:spacing w:after="40" w:before="40"/>
            </w:pPr>
            <w:r/>
            <w:r>
              <w:rPr>
                <w:rFonts w:ascii="Cambria" w:hAnsi="Cambria"/>
                <w:b w:val="0"/>
                <w:i w:val="0"/>
                <w:sz w:val="22"/>
              </w:rPr>
              <w:t>HRD Cell</w:t>
            </w:r>
          </w:p>
        </w:tc>
      </w:tr>
      <w:tr>
        <w:tc>
          <w:tcPr>
            <w:tcW w:type="dxa" w:w="1927"/>
          </w:tcPr>
          <w:p>
            <w:pPr>
              <w:spacing w:after="40" w:before="40"/>
            </w:pPr>
            <w:r/>
            <w:r>
              <w:rPr>
                <w:rFonts w:ascii="Cambria" w:hAnsi="Cambria"/>
                <w:b w:val="0"/>
                <w:i w:val="0"/>
                <w:sz w:val="22"/>
              </w:rPr>
              <w:t>Equal Opportunity</w:t>
            </w:r>
          </w:p>
        </w:tc>
        <w:tc>
          <w:tcPr>
            <w:tcW w:type="dxa" w:w="4876"/>
          </w:tcPr>
          <w:p>
            <w:pPr>
              <w:spacing w:after="40" w:before="40"/>
            </w:pPr>
            <w:r/>
            <w:r>
              <w:rPr>
                <w:rFonts w:ascii="Cambria" w:hAnsi="Cambria"/>
                <w:b w:val="0"/>
                <w:i w:val="0"/>
                <w:sz w:val="22"/>
              </w:rPr>
              <w:t>Non-discriminatory hiring and representation</w:t>
            </w:r>
          </w:p>
        </w:tc>
        <w:tc>
          <w:tcPr>
            <w:tcW w:type="dxa" w:w="2608"/>
          </w:tcPr>
          <w:p>
            <w:pPr>
              <w:spacing w:after="40" w:before="40"/>
            </w:pPr>
            <w:r/>
            <w:r>
              <w:rPr>
                <w:rFonts w:ascii="Cambria" w:hAnsi="Cambria"/>
                <w:b w:val="0"/>
                <w:i w:val="0"/>
                <w:sz w:val="22"/>
              </w:rPr>
              <w:t>EOC / HR</w:t>
            </w:r>
          </w:p>
        </w:tc>
      </w:tr>
      <w:tr>
        <w:tc>
          <w:tcPr>
            <w:tcW w:type="dxa" w:w="1927"/>
            <w:shd w:val="clear" w:color="auto" w:fill="F0F2F5"/>
          </w:tcPr>
          <w:p>
            <w:pPr>
              <w:spacing w:after="40" w:before="40"/>
            </w:pPr>
            <w:r/>
            <w:r>
              <w:rPr>
                <w:rFonts w:ascii="Cambria" w:hAnsi="Cambria"/>
                <w:b w:val="0"/>
                <w:i w:val="0"/>
                <w:sz w:val="22"/>
              </w:rPr>
              <w:t>Ratification</w:t>
            </w:r>
          </w:p>
        </w:tc>
        <w:tc>
          <w:tcPr>
            <w:tcW w:type="dxa" w:w="4876"/>
            <w:shd w:val="clear" w:color="auto" w:fill="F0F2F5"/>
          </w:tcPr>
          <w:p>
            <w:pPr>
              <w:spacing w:after="40" w:before="40"/>
            </w:pPr>
            <w:r/>
            <w:r>
              <w:rPr>
                <w:rFonts w:ascii="Cambria" w:hAnsi="Cambria"/>
                <w:b w:val="0"/>
                <w:i w:val="0"/>
                <w:sz w:val="22"/>
              </w:rPr>
              <w:t>Contractual appointments ratified by BoM</w:t>
            </w:r>
          </w:p>
        </w:tc>
        <w:tc>
          <w:tcPr>
            <w:tcW w:type="dxa" w:w="2608"/>
            <w:shd w:val="clear" w:color="auto" w:fill="F0F2F5"/>
          </w:tcPr>
          <w:p>
            <w:pPr>
              <w:spacing w:after="40" w:before="40"/>
            </w:pPr>
            <w:r/>
            <w:r>
              <w:rPr>
                <w:rFonts w:ascii="Cambria" w:hAnsi="Cambria"/>
                <w:b w:val="0"/>
                <w:i w:val="0"/>
                <w:sz w:val="22"/>
              </w:rPr>
              <w:t>Registrar</w:t>
            </w:r>
          </w:p>
        </w:tc>
      </w:tr>
      <w:tr>
        <w:tc>
          <w:tcPr>
            <w:tcW w:type="dxa" w:w="1927"/>
          </w:tcPr>
          <w:p>
            <w:pPr>
              <w:spacing w:after="40" w:before="40"/>
            </w:pPr>
            <w:r/>
            <w:r>
              <w:rPr>
                <w:rFonts w:ascii="Cambria" w:hAnsi="Cambria"/>
                <w:b w:val="0"/>
                <w:i w:val="0"/>
                <w:sz w:val="22"/>
              </w:rPr>
              <w:t>Review Cycle</w:t>
            </w:r>
          </w:p>
        </w:tc>
        <w:tc>
          <w:tcPr>
            <w:tcW w:type="dxa" w:w="4876"/>
          </w:tcPr>
          <w:p>
            <w:pPr>
              <w:spacing w:after="40" w:before="40"/>
            </w:pPr>
            <w:r/>
            <w:r>
              <w:rPr>
                <w:rFonts w:ascii="Cambria" w:hAnsi="Cambria"/>
                <w:b w:val="0"/>
                <w:i w:val="0"/>
                <w:sz w:val="22"/>
              </w:rPr>
              <w:t>Every 3 years</w:t>
            </w:r>
          </w:p>
        </w:tc>
        <w:tc>
          <w:tcPr>
            <w:tcW w:type="dxa" w:w="2608"/>
          </w:tcPr>
          <w:p>
            <w:pPr>
              <w:spacing w:after="40" w:before="40"/>
            </w:pPr>
            <w:r/>
            <w:r>
              <w:rPr>
                <w:rFonts w:ascii="Cambria" w:hAnsi="Cambria"/>
                <w:b w:val="0"/>
                <w:i w:val="0"/>
                <w:sz w:val="22"/>
              </w:rPr>
              <w:t>HRD / BoM</w:t>
            </w:r>
          </w:p>
        </w:tc>
      </w:tr>
    </w:tbl>
    <w:p>
      <w:pPr>
        <w:spacing w:after="40"/>
      </w:pPr>
    </w:p>
    <w:p>
      <w:pPr>
        <w:keepNext/>
        <w:spacing w:before="200" w:after="120"/>
      </w:pPr>
      <w:r>
        <w:rPr>
          <w:rFonts w:ascii="Cambria" w:hAnsi="Cambria"/>
          <w:b/>
          <w:color w:val="1F3A5F"/>
          <w:sz w:val="24"/>
        </w:rPr>
        <w:t>X. Policy Principles</w:t>
      </w:r>
    </w:p>
    <w:p>
      <w:pPr>
        <w:pStyle w:val="ListBullet"/>
        <w:spacing w:line="276" w:lineRule="auto"/>
        <w:ind w:left="510"/>
      </w:pPr>
      <w:r>
        <w:rPr>
          <w:rFonts w:ascii="Cambria" w:hAnsi="Cambria"/>
          <w:b w:val="0"/>
          <w:i w:val="0"/>
          <w:sz w:val="22"/>
        </w:rPr>
        <w:t>Recruitment shall always be transparent, merit-based, and inclusive.</w:t>
      </w:r>
    </w:p>
    <w:p>
      <w:pPr>
        <w:pStyle w:val="ListBullet"/>
        <w:spacing w:line="276" w:lineRule="auto"/>
        <w:ind w:left="510"/>
      </w:pPr>
      <w:r>
        <w:rPr>
          <w:rFonts w:ascii="Cambria" w:hAnsi="Cambria"/>
          <w:b w:val="0"/>
          <w:i w:val="0"/>
          <w:sz w:val="22"/>
        </w:rPr>
        <w:t>No appointment shall be made without adherence to prescribed qualifications and procedures.</w:t>
      </w:r>
    </w:p>
    <w:p>
      <w:pPr>
        <w:pStyle w:val="ListBullet"/>
        <w:spacing w:line="276" w:lineRule="auto"/>
        <w:ind w:left="510"/>
      </w:pPr>
      <w:r>
        <w:rPr>
          <w:rFonts w:ascii="Cambria" w:hAnsi="Cambria"/>
          <w:b w:val="0"/>
          <w:i w:val="0"/>
          <w:sz w:val="22"/>
        </w:rPr>
        <w:t>The Board of Management retains ultimate authority in approving, ratifying, or rejecting any recommendation.</w:t>
      </w:r>
    </w:p>
    <w:p>
      <w:pPr>
        <w:pStyle w:val="ListBullet"/>
        <w:spacing w:line="276" w:lineRule="auto"/>
        <w:ind w:left="510"/>
      </w:pPr>
      <w:r>
        <w:rPr>
          <w:rFonts w:ascii="Cambria" w:hAnsi="Cambria"/>
          <w:b w:val="0"/>
          <w:i w:val="0"/>
          <w:sz w:val="22"/>
        </w:rPr>
        <w:t>Short-term academic and administrative needs may be addressed through contractual or ad-hoc appointments, without compromising on quality and compliance.</w:t>
      </w:r>
    </w:p>
    <w:p>
      <w:pPr>
        <w:pStyle w:val="ListBullet"/>
        <w:spacing w:line="276" w:lineRule="auto"/>
        <w:ind w:left="510"/>
      </w:pPr>
      <w:r>
        <w:rPr>
          <w:rFonts w:ascii="Cambria" w:hAnsi="Cambria"/>
          <w:b w:val="0"/>
          <w:i w:val="0"/>
          <w:sz w:val="22"/>
        </w:rPr>
        <w:t>The University is committed to fostering academic excellence and ethical governance through a robust, compliant, and equitable recruitment system.</w:t>
      </w:r>
    </w:p>
    <w:p>
      <w:r>
        <w:br w:type="page"/>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