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FF0000"/>
          <w:sz w:val="48"/>
        </w:rPr>
        <w:t>Institutional HR Framework: Service Rules, Conduct, Leave Policies, and Administrative Governance</w:t>
      </w:r>
    </w:p>
    <w:p>
      <w:pPr>
        <w:jc w:val="center"/>
      </w:pPr>
      <w:r>
        <w:rPr>
          <w:rFonts w:ascii="Cambria" w:hAnsi="Cambria"/>
          <w:b/>
          <w:i w:val="0"/>
          <w:color w:val="FF0000"/>
          <w:sz w:val="36"/>
        </w:rPr>
        <w:t>Part 4 (Final)</w:t>
      </w:r>
    </w:p>
    <w:p/>
    <w:p/>
    <w:p/>
    <w:p>
      <w:pPr>
        <w:jc w:val="center"/>
      </w:pPr>
      <w:r>
        <w:rPr>
          <w:rFonts w:ascii="Cambria" w:hAnsi="Cambria"/>
          <w:b/>
          <w:i w:val="0"/>
          <w:sz w:val="22"/>
        </w:rPr>
        <w:t>Dr Venkata Rama Krishna Tottempudi</w:t>
      </w:r>
    </w:p>
    <w:p>
      <w:pPr>
        <w:jc w:val="center"/>
      </w:pPr>
      <w:r>
        <w:rPr>
          <w:rFonts w:ascii="Cambria" w:hAnsi="Cambria"/>
          <w:b/>
          <w:i w:val="0"/>
          <w:sz w:val="22"/>
        </w:rPr>
        <w:t>Professor, Avanthi Institute of Engineering &amp; Technology</w:t>
      </w:r>
    </w:p>
    <w:p/>
    <w:p>
      <w:pPr>
        <w:jc w:val="center"/>
      </w:pPr>
      <w:r>
        <w:rPr>
          <w:rFonts w:ascii="Cambria" w:hAnsi="Cambria"/>
          <w:b/>
          <w:i w:val="0"/>
          <w:sz w:val="22"/>
        </w:rPr>
        <w:t>Sai Saran Tottempudi</w:t>
      </w:r>
    </w:p>
    <w:p>
      <w:pPr>
        <w:jc w:val="center"/>
      </w:pPr>
      <w:r>
        <w:rPr>
          <w:rFonts w:ascii="Cambria" w:hAnsi="Cambria"/>
          <w:b/>
          <w:i w:val="0"/>
          <w:sz w:val="22"/>
        </w:rPr>
        <w:t>Lecturer, Avanthi Institute of Engineering &amp; Technology</w:t>
      </w:r>
    </w:p>
    <w:p>
      <w:r>
        <w:br w:type="page"/>
      </w:r>
    </w:p>
    <w:p>
      <w:pPr>
        <w:keepNext/>
        <w:spacing w:before="280" w:after="160"/>
      </w:pPr>
      <w:r>
        <w:rPr>
          <w:rFonts w:ascii="Cambria" w:hAnsi="Cambria"/>
          <w:b/>
          <w:color w:val="1F3A5F"/>
          <w:sz w:val="32"/>
        </w:rPr>
        <w:t>ABOUT THIS PART</w:t>
      </w:r>
    </w:p>
    <w:p>
      <w:pPr>
        <w:jc w:val="both"/>
      </w:pPr>
      <w:r>
        <w:rPr>
          <w:rFonts w:ascii="Cambria" w:hAnsi="Cambria"/>
          <w:i w:val="0"/>
          <w:sz w:val="22"/>
        </w:rPr>
        <w:t>This is Part 4, the FINAL part, of the Institutional HR Framework, continuing directly from Part 3 (which covers Section 52 'Procedure for Imposition of Penalties (Enquiry and Opportunity to be Heard)' through the remainder of Section 66 'Conduct Rules' up to its sub-policy 'Policy on Applications for Outside Employment', source pages 194-302, image files Screenshot (11384).png through Screenshot (11490).png). Note that source pages 241 and 264 were missing from the supplied image set; this gap is marked in Part 3 at the relevant point rather than fabricated. Part 4 begins at source page 303, Screenshot (11491).png, with Section 67 'Misconduct' — a new numbered chapter comprising 25 named sub-policies, each following the book's repeating Purpose / General Rule / Illustrative Acts / Disciplinary Consequences / Procedural Framework / Policy Principles structure — followed by a short explanatory note on the definition and scope of sexual harassment, and concludes with Section 68 'References', an 85-item bibliography of the authors' related Kindle titles. The transcription runs through Screenshot (11544).png, source page 356, the LAST image in the 360-image folder (Screenshot (11185).png through Screenshot (11544).png), ending naturally at the close of the References list — a complete, natural end of the book's content, not a mid-sentence truncation.</w:t>
      </w:r>
    </w:p>
    <w:p>
      <w:r>
        <w:br w:type="page"/>
      </w:r>
    </w:p>
    <w:p>
      <w:pPr>
        <w:keepNext/>
        <w:spacing w:before="280" w:after="160"/>
      </w:pPr>
      <w:r>
        <w:rPr>
          <w:rFonts w:ascii="Cambria" w:hAnsi="Cambria"/>
          <w:b/>
          <w:color w:val="1F3A5F"/>
          <w:sz w:val="32"/>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jc w:val="center"/>
            </w:pPr>
            <w:r/>
            <w:r>
              <w:rPr>
                <w:rFonts w:ascii="Cambria" w:hAnsi="Cambria"/>
                <w:b/>
                <w:i w:val="0"/>
                <w:color w:val="FFFFFF"/>
                <w:sz w:val="22"/>
              </w:rPr>
              <w:t>S. No</w:t>
            </w:r>
          </w:p>
        </w:tc>
        <w:tc>
          <w:tcPr>
            <w:tcW w:type="dxa" w:w="7541"/>
            <w:shd w:val="clear" w:color="auto" w:fill="1F3A5F"/>
          </w:tcPr>
          <w:p>
            <w:pPr>
              <w:spacing w:after="40" w:before="40"/>
              <w:jc w:val="center"/>
            </w:pPr>
            <w:r/>
            <w:r>
              <w:rPr>
                <w:rFonts w:ascii="Cambria" w:hAnsi="Cambria"/>
                <w:b/>
                <w:i w:val="0"/>
                <w:color w:val="FFFFFF"/>
                <w:sz w:val="22"/>
              </w:rPr>
              <w:t>Content</w:t>
            </w:r>
          </w:p>
        </w:tc>
        <w:tc>
          <w:tcPr>
            <w:tcW w:type="dxa" w:w="1020"/>
            <w:shd w:val="clear" w:color="auto" w:fill="1F3A5F"/>
          </w:tcPr>
          <w:p>
            <w:pPr>
              <w:spacing w:after="40" w:before="40"/>
              <w:jc w:val="center"/>
            </w:pPr>
            <w:r/>
            <w:r>
              <w:rPr>
                <w:rFonts w:ascii="Cambria" w:hAnsi="Cambria"/>
                <w:b/>
                <w:i w:val="0"/>
                <w:color w:val="FFFFFF"/>
                <w:sz w:val="22"/>
              </w:rPr>
              <w:t>Pg. No</w:t>
            </w:r>
          </w:p>
        </w:tc>
      </w:tr>
      <w:tr>
        <w:tc>
          <w:tcPr>
            <w:tcW w:type="dxa" w:w="850"/>
          </w:tcPr>
          <w:p>
            <w:pPr>
              <w:spacing w:after="40" w:before="40"/>
              <w:jc w:val="center"/>
            </w:pPr>
            <w:r/>
            <w:r>
              <w:rPr>
                <w:rFonts w:ascii="Cambria" w:hAnsi="Cambria"/>
                <w:b w:val="0"/>
                <w:i w:val="0"/>
                <w:sz w:val="22"/>
              </w:rPr>
              <w:t>1</w:t>
            </w:r>
          </w:p>
        </w:tc>
        <w:tc>
          <w:tcPr>
            <w:tcW w:type="dxa" w:w="7541"/>
          </w:tcPr>
          <w:p>
            <w:pPr>
              <w:spacing w:after="40" w:before="40"/>
            </w:pPr>
            <w:r/>
            <w:r>
              <w:rPr>
                <w:rFonts w:ascii="Cambria" w:hAnsi="Cambria"/>
                <w:b w:val="0"/>
                <w:i w:val="0"/>
                <w:sz w:val="22"/>
              </w:rPr>
              <w:t>67. Misconduct</w:t>
            </w:r>
          </w:p>
        </w:tc>
        <w:tc>
          <w:tcPr>
            <w:tcW w:type="dxa" w:w="1020"/>
          </w:tcPr>
          <w:p>
            <w:pPr>
              <w:spacing w:after="40" w:before="40"/>
              <w:jc w:val="center"/>
            </w:pPr>
            <w:r/>
            <w:r>
              <w:rPr>
                <w:rFonts w:ascii="Cambria" w:hAnsi="Cambria"/>
                <w:b w:val="0"/>
                <w:i w:val="0"/>
                <w:sz w:val="22"/>
              </w:rPr>
              <w:t>303</w:t>
            </w:r>
          </w:p>
        </w:tc>
      </w:tr>
      <w:tr>
        <w:tc>
          <w:tcPr>
            <w:tcW w:type="dxa" w:w="850"/>
            <w:shd w:val="clear" w:color="auto" w:fill="F0F2F5"/>
          </w:tcPr>
          <w:p>
            <w:pPr>
              <w:spacing w:after="40" w:before="40"/>
              <w:jc w:val="center"/>
            </w:pPr>
            <w:r/>
            <w:r>
              <w:rPr>
                <w:rFonts w:ascii="Cambria" w:hAnsi="Cambria"/>
                <w:b w:val="0"/>
                <w:i w:val="0"/>
                <w:sz w:val="22"/>
              </w:rPr>
              <w:t>2</w:t>
            </w:r>
          </w:p>
        </w:tc>
        <w:tc>
          <w:tcPr>
            <w:tcW w:type="dxa" w:w="7541"/>
            <w:shd w:val="clear" w:color="auto" w:fill="F0F2F5"/>
          </w:tcPr>
          <w:p>
            <w:pPr>
              <w:spacing w:after="40" w:before="40"/>
            </w:pPr>
            <w:r/>
            <w:r>
              <w:rPr>
                <w:rFonts w:ascii="Cambria" w:hAnsi="Cambria"/>
                <w:b w:val="0"/>
                <w:i w:val="0"/>
                <w:sz w:val="22"/>
              </w:rPr>
              <w:t>Policy on Furnishing False Information or Misrepresentation</w:t>
            </w:r>
          </w:p>
        </w:tc>
        <w:tc>
          <w:tcPr>
            <w:tcW w:type="dxa" w:w="1020"/>
            <w:shd w:val="clear" w:color="auto" w:fill="F0F2F5"/>
          </w:tcPr>
          <w:p>
            <w:pPr>
              <w:spacing w:after="40" w:before="40"/>
              <w:jc w:val="center"/>
            </w:pPr>
            <w:r/>
            <w:r>
              <w:rPr>
                <w:rFonts w:ascii="Cambria" w:hAnsi="Cambria"/>
                <w:b w:val="0"/>
                <w:i w:val="0"/>
                <w:sz w:val="22"/>
              </w:rPr>
              <w:t>303</w:t>
            </w:r>
          </w:p>
        </w:tc>
      </w:tr>
      <w:tr>
        <w:tc>
          <w:tcPr>
            <w:tcW w:type="dxa" w:w="850"/>
          </w:tcPr>
          <w:p>
            <w:pPr>
              <w:spacing w:after="40" w:before="40"/>
              <w:jc w:val="center"/>
            </w:pPr>
            <w:r/>
            <w:r>
              <w:rPr>
                <w:rFonts w:ascii="Cambria" w:hAnsi="Cambria"/>
                <w:b w:val="0"/>
                <w:i w:val="0"/>
                <w:sz w:val="22"/>
              </w:rPr>
              <w:t>3</w:t>
            </w:r>
          </w:p>
        </w:tc>
        <w:tc>
          <w:tcPr>
            <w:tcW w:type="dxa" w:w="7541"/>
          </w:tcPr>
          <w:p>
            <w:pPr>
              <w:spacing w:after="40" w:before="40"/>
            </w:pPr>
            <w:r/>
            <w:r>
              <w:rPr>
                <w:rFonts w:ascii="Cambria" w:hAnsi="Cambria"/>
                <w:b w:val="0"/>
                <w:i w:val="0"/>
                <w:sz w:val="22"/>
              </w:rPr>
              <w:t>Policy on Acts Prejudicial to the Interests of the Institution</w:t>
            </w:r>
          </w:p>
        </w:tc>
        <w:tc>
          <w:tcPr>
            <w:tcW w:type="dxa" w:w="1020"/>
          </w:tcPr>
          <w:p>
            <w:pPr>
              <w:spacing w:after="40" w:before="40"/>
              <w:jc w:val="center"/>
            </w:pPr>
            <w:r/>
            <w:r>
              <w:rPr>
                <w:rFonts w:ascii="Cambria" w:hAnsi="Cambria"/>
                <w:b w:val="0"/>
                <w:i w:val="0"/>
                <w:sz w:val="22"/>
              </w:rPr>
              <w:t>304</w:t>
            </w:r>
          </w:p>
        </w:tc>
      </w:tr>
      <w:tr>
        <w:tc>
          <w:tcPr>
            <w:tcW w:type="dxa" w:w="850"/>
            <w:shd w:val="clear" w:color="auto" w:fill="F0F2F5"/>
          </w:tcPr>
          <w:p>
            <w:pPr>
              <w:spacing w:after="40" w:before="40"/>
              <w:jc w:val="center"/>
            </w:pPr>
            <w:r/>
            <w:r>
              <w:rPr>
                <w:rFonts w:ascii="Cambria" w:hAnsi="Cambria"/>
                <w:b w:val="0"/>
                <w:i w:val="0"/>
                <w:sz w:val="22"/>
              </w:rPr>
              <w:t>4</w:t>
            </w:r>
          </w:p>
        </w:tc>
        <w:tc>
          <w:tcPr>
            <w:tcW w:type="dxa" w:w="7541"/>
            <w:shd w:val="clear" w:color="auto" w:fill="F0F2F5"/>
          </w:tcPr>
          <w:p>
            <w:pPr>
              <w:spacing w:after="40" w:before="40"/>
            </w:pPr>
            <w:r/>
            <w:r>
              <w:rPr>
                <w:rFonts w:ascii="Cambria" w:hAnsi="Cambria"/>
                <w:b w:val="0"/>
                <w:i w:val="0"/>
                <w:sz w:val="22"/>
              </w:rPr>
              <w:t>Policy on Willful Insubordination or Disobedience to Superiors</w:t>
            </w:r>
          </w:p>
        </w:tc>
        <w:tc>
          <w:tcPr>
            <w:tcW w:type="dxa" w:w="1020"/>
            <w:shd w:val="clear" w:color="auto" w:fill="F0F2F5"/>
          </w:tcPr>
          <w:p>
            <w:pPr>
              <w:spacing w:after="40" w:before="40"/>
              <w:jc w:val="center"/>
            </w:pPr>
            <w:r/>
            <w:r>
              <w:rPr>
                <w:rFonts w:ascii="Cambria" w:hAnsi="Cambria"/>
                <w:b w:val="0"/>
                <w:i w:val="0"/>
                <w:sz w:val="22"/>
              </w:rPr>
              <w:t>306</w:t>
            </w:r>
          </w:p>
        </w:tc>
      </w:tr>
      <w:tr>
        <w:tc>
          <w:tcPr>
            <w:tcW w:type="dxa" w:w="850"/>
          </w:tcPr>
          <w:p>
            <w:pPr>
              <w:spacing w:after="40" w:before="40"/>
              <w:jc w:val="center"/>
            </w:pPr>
            <w:r/>
            <w:r>
              <w:rPr>
                <w:rFonts w:ascii="Cambria" w:hAnsi="Cambria"/>
                <w:b w:val="0"/>
                <w:i w:val="0"/>
                <w:sz w:val="22"/>
              </w:rPr>
              <w:t>5</w:t>
            </w:r>
          </w:p>
        </w:tc>
        <w:tc>
          <w:tcPr>
            <w:tcW w:type="dxa" w:w="7541"/>
          </w:tcPr>
          <w:p>
            <w:pPr>
              <w:spacing w:after="40" w:before="40"/>
            </w:pPr>
            <w:r/>
            <w:r>
              <w:rPr>
                <w:rFonts w:ascii="Cambria" w:hAnsi="Cambria"/>
                <w:b w:val="0"/>
                <w:i w:val="0"/>
                <w:sz w:val="22"/>
              </w:rPr>
              <w:t>Policy on Defiance of Orders, Disrespectful Communication, and Improper Correspondence with Higher Authorities</w:t>
            </w:r>
          </w:p>
        </w:tc>
        <w:tc>
          <w:tcPr>
            <w:tcW w:type="dxa" w:w="1020"/>
          </w:tcPr>
          <w:p>
            <w:pPr>
              <w:spacing w:after="40" w:before="40"/>
              <w:jc w:val="center"/>
            </w:pPr>
            <w:r/>
            <w:r>
              <w:rPr>
                <w:rFonts w:ascii="Cambria" w:hAnsi="Cambria"/>
                <w:b w:val="0"/>
                <w:i w:val="0"/>
                <w:sz w:val="22"/>
              </w:rPr>
              <w:t>307</w:t>
            </w:r>
          </w:p>
        </w:tc>
      </w:tr>
      <w:tr>
        <w:tc>
          <w:tcPr>
            <w:tcW w:type="dxa" w:w="850"/>
            <w:shd w:val="clear" w:color="auto" w:fill="F0F2F5"/>
          </w:tcPr>
          <w:p>
            <w:pPr>
              <w:spacing w:after="40" w:before="40"/>
              <w:jc w:val="center"/>
            </w:pPr>
            <w:r/>
            <w:r>
              <w:rPr>
                <w:rFonts w:ascii="Cambria" w:hAnsi="Cambria"/>
                <w:b w:val="0"/>
                <w:i w:val="0"/>
                <w:sz w:val="22"/>
              </w:rPr>
              <w:t>6</w:t>
            </w:r>
          </w:p>
        </w:tc>
        <w:tc>
          <w:tcPr>
            <w:tcW w:type="dxa" w:w="7541"/>
            <w:shd w:val="clear" w:color="auto" w:fill="F0F2F5"/>
          </w:tcPr>
          <w:p>
            <w:pPr>
              <w:spacing w:after="40" w:before="40"/>
            </w:pPr>
            <w:r/>
            <w:r>
              <w:rPr>
                <w:rFonts w:ascii="Cambria" w:hAnsi="Cambria"/>
                <w:b w:val="0"/>
                <w:i w:val="0"/>
                <w:sz w:val="22"/>
              </w:rPr>
              <w:t>Policy on Unauthorized Absence and Overstaying Sanctioned Leave</w:t>
            </w:r>
          </w:p>
        </w:tc>
        <w:tc>
          <w:tcPr>
            <w:tcW w:type="dxa" w:w="1020"/>
            <w:shd w:val="clear" w:color="auto" w:fill="F0F2F5"/>
          </w:tcPr>
          <w:p>
            <w:pPr>
              <w:spacing w:after="40" w:before="40"/>
              <w:jc w:val="center"/>
            </w:pPr>
            <w:r/>
            <w:r>
              <w:rPr>
                <w:rFonts w:ascii="Cambria" w:hAnsi="Cambria"/>
                <w:b w:val="0"/>
                <w:i w:val="0"/>
                <w:sz w:val="22"/>
              </w:rPr>
              <w:t>308</w:t>
            </w:r>
          </w:p>
        </w:tc>
      </w:tr>
      <w:tr>
        <w:tc>
          <w:tcPr>
            <w:tcW w:type="dxa" w:w="850"/>
          </w:tcPr>
          <w:p>
            <w:pPr>
              <w:spacing w:after="40" w:before="40"/>
              <w:jc w:val="center"/>
            </w:pPr>
            <w:r/>
            <w:r>
              <w:rPr>
                <w:rFonts w:ascii="Cambria" w:hAnsi="Cambria"/>
                <w:b w:val="0"/>
                <w:i w:val="0"/>
                <w:sz w:val="22"/>
              </w:rPr>
              <w:t>7</w:t>
            </w:r>
          </w:p>
        </w:tc>
        <w:tc>
          <w:tcPr>
            <w:tcW w:type="dxa" w:w="7541"/>
          </w:tcPr>
          <w:p>
            <w:pPr>
              <w:spacing w:after="40" w:before="40"/>
            </w:pPr>
            <w:r/>
            <w:r>
              <w:rPr>
                <w:rFonts w:ascii="Cambria" w:hAnsi="Cambria"/>
                <w:b w:val="0"/>
                <w:i w:val="0"/>
                <w:sz w:val="22"/>
              </w:rPr>
              <w:t>Policy on Habitual Late Attendance, Irregular Attendance, and Habitual Absenteeism</w:t>
            </w:r>
          </w:p>
        </w:tc>
        <w:tc>
          <w:tcPr>
            <w:tcW w:type="dxa" w:w="1020"/>
          </w:tcPr>
          <w:p>
            <w:pPr>
              <w:spacing w:after="40" w:before="40"/>
              <w:jc w:val="center"/>
            </w:pPr>
            <w:r/>
            <w:r>
              <w:rPr>
                <w:rFonts w:ascii="Cambria" w:hAnsi="Cambria"/>
                <w:b w:val="0"/>
                <w:i w:val="0"/>
                <w:sz w:val="22"/>
              </w:rPr>
              <w:t>310</w:t>
            </w:r>
          </w:p>
        </w:tc>
      </w:tr>
      <w:tr>
        <w:tc>
          <w:tcPr>
            <w:tcW w:type="dxa" w:w="850"/>
            <w:shd w:val="clear" w:color="auto" w:fill="F0F2F5"/>
          </w:tcPr>
          <w:p>
            <w:pPr>
              <w:spacing w:after="40" w:before="40"/>
              <w:jc w:val="center"/>
            </w:pPr>
            <w:r/>
            <w:r>
              <w:rPr>
                <w:rFonts w:ascii="Cambria" w:hAnsi="Cambria"/>
                <w:b w:val="0"/>
                <w:i w:val="0"/>
                <w:sz w:val="22"/>
              </w:rPr>
              <w:t>8</w:t>
            </w:r>
          </w:p>
        </w:tc>
        <w:tc>
          <w:tcPr>
            <w:tcW w:type="dxa" w:w="7541"/>
            <w:shd w:val="clear" w:color="auto" w:fill="F0F2F5"/>
          </w:tcPr>
          <w:p>
            <w:pPr>
              <w:spacing w:after="40" w:before="40"/>
            </w:pPr>
            <w:r/>
            <w:r>
              <w:rPr>
                <w:rFonts w:ascii="Cambria" w:hAnsi="Cambria"/>
                <w:b w:val="0"/>
                <w:i w:val="0"/>
                <w:sz w:val="22"/>
              </w:rPr>
              <w:t>Policy on Neglect of Work, Negligence in Duty, and Slowing Down of Work</w:t>
            </w:r>
          </w:p>
        </w:tc>
        <w:tc>
          <w:tcPr>
            <w:tcW w:type="dxa" w:w="1020"/>
            <w:shd w:val="clear" w:color="auto" w:fill="F0F2F5"/>
          </w:tcPr>
          <w:p>
            <w:pPr>
              <w:spacing w:after="40" w:before="40"/>
              <w:jc w:val="center"/>
            </w:pPr>
            <w:r/>
            <w:r>
              <w:rPr>
                <w:rFonts w:ascii="Cambria" w:hAnsi="Cambria"/>
                <w:b w:val="0"/>
                <w:i w:val="0"/>
                <w:sz w:val="22"/>
              </w:rPr>
              <w:t>312</w:t>
            </w:r>
          </w:p>
        </w:tc>
      </w:tr>
      <w:tr>
        <w:tc>
          <w:tcPr>
            <w:tcW w:type="dxa" w:w="850"/>
          </w:tcPr>
          <w:p>
            <w:pPr>
              <w:spacing w:after="40" w:before="40"/>
              <w:jc w:val="center"/>
            </w:pPr>
            <w:r/>
            <w:r>
              <w:rPr>
                <w:rFonts w:ascii="Cambria" w:hAnsi="Cambria"/>
                <w:b w:val="0"/>
                <w:i w:val="0"/>
                <w:sz w:val="22"/>
              </w:rPr>
              <w:t>9</w:t>
            </w:r>
          </w:p>
        </w:tc>
        <w:tc>
          <w:tcPr>
            <w:tcW w:type="dxa" w:w="7541"/>
          </w:tcPr>
          <w:p>
            <w:pPr>
              <w:spacing w:after="40" w:before="40"/>
            </w:pPr>
            <w:r/>
            <w:r>
              <w:rPr>
                <w:rFonts w:ascii="Cambria" w:hAnsi="Cambria"/>
                <w:b w:val="0"/>
                <w:i w:val="0"/>
                <w:sz w:val="22"/>
              </w:rPr>
              <w:t>Policy on Damage to University Property and Violation of Safety Measures</w:t>
            </w:r>
          </w:p>
        </w:tc>
        <w:tc>
          <w:tcPr>
            <w:tcW w:type="dxa" w:w="1020"/>
          </w:tcPr>
          <w:p>
            <w:pPr>
              <w:spacing w:after="40" w:before="40"/>
              <w:jc w:val="center"/>
            </w:pPr>
            <w:r/>
            <w:r>
              <w:rPr>
                <w:rFonts w:ascii="Cambria" w:hAnsi="Cambria"/>
                <w:b w:val="0"/>
                <w:i w:val="0"/>
                <w:sz w:val="22"/>
              </w:rPr>
              <w:t>313</w:t>
            </w:r>
          </w:p>
        </w:tc>
      </w:tr>
      <w:tr>
        <w:tc>
          <w:tcPr>
            <w:tcW w:type="dxa" w:w="850"/>
            <w:shd w:val="clear" w:color="auto" w:fill="F0F2F5"/>
          </w:tcPr>
          <w:p>
            <w:pPr>
              <w:spacing w:after="40" w:before="40"/>
              <w:jc w:val="center"/>
            </w:pPr>
            <w:r/>
            <w:r>
              <w:rPr>
                <w:rFonts w:ascii="Cambria" w:hAnsi="Cambria"/>
                <w:b w:val="0"/>
                <w:i w:val="0"/>
                <w:sz w:val="22"/>
              </w:rPr>
              <w:t>10</w:t>
            </w:r>
          </w:p>
        </w:tc>
        <w:tc>
          <w:tcPr>
            <w:tcW w:type="dxa" w:w="7541"/>
            <w:shd w:val="clear" w:color="auto" w:fill="F0F2F5"/>
          </w:tcPr>
          <w:p>
            <w:pPr>
              <w:spacing w:after="40" w:before="40"/>
            </w:pPr>
            <w:r/>
            <w:r>
              <w:rPr>
                <w:rFonts w:ascii="Cambria" w:hAnsi="Cambria"/>
                <w:b w:val="0"/>
                <w:i w:val="0"/>
                <w:sz w:val="22"/>
              </w:rPr>
              <w:t>Policy on Theft, Fraud, Misappropriation, and Dishonesty</w:t>
            </w:r>
          </w:p>
        </w:tc>
        <w:tc>
          <w:tcPr>
            <w:tcW w:type="dxa" w:w="1020"/>
            <w:shd w:val="clear" w:color="auto" w:fill="F0F2F5"/>
          </w:tcPr>
          <w:p>
            <w:pPr>
              <w:spacing w:after="40" w:before="40"/>
              <w:jc w:val="center"/>
            </w:pPr>
            <w:r/>
            <w:r>
              <w:rPr>
                <w:rFonts w:ascii="Cambria" w:hAnsi="Cambria"/>
                <w:b w:val="0"/>
                <w:i w:val="0"/>
                <w:sz w:val="22"/>
              </w:rPr>
              <w:t>315</w:t>
            </w:r>
          </w:p>
        </w:tc>
      </w:tr>
      <w:tr>
        <w:tc>
          <w:tcPr>
            <w:tcW w:type="dxa" w:w="850"/>
          </w:tcPr>
          <w:p>
            <w:pPr>
              <w:spacing w:after="40" w:before="40"/>
              <w:jc w:val="center"/>
            </w:pPr>
            <w:r/>
            <w:r>
              <w:rPr>
                <w:rFonts w:ascii="Cambria" w:hAnsi="Cambria"/>
                <w:b w:val="0"/>
                <w:i w:val="0"/>
                <w:sz w:val="22"/>
              </w:rPr>
              <w:t>11</w:t>
            </w:r>
          </w:p>
        </w:tc>
        <w:tc>
          <w:tcPr>
            <w:tcW w:type="dxa" w:w="7541"/>
          </w:tcPr>
          <w:p>
            <w:pPr>
              <w:spacing w:after="40" w:before="40"/>
            </w:pPr>
            <w:r/>
            <w:r>
              <w:rPr>
                <w:rFonts w:ascii="Cambria" w:hAnsi="Cambria"/>
                <w:b w:val="0"/>
                <w:i w:val="0"/>
                <w:sz w:val="22"/>
              </w:rPr>
              <w:t>Policy on Drunkenness, Riotous, Disorderly, or Indecent Behavior</w:t>
            </w:r>
          </w:p>
        </w:tc>
        <w:tc>
          <w:tcPr>
            <w:tcW w:type="dxa" w:w="1020"/>
          </w:tcPr>
          <w:p>
            <w:pPr>
              <w:spacing w:after="40" w:before="40"/>
              <w:jc w:val="center"/>
            </w:pPr>
            <w:r/>
            <w:r>
              <w:rPr>
                <w:rFonts w:ascii="Cambria" w:hAnsi="Cambria"/>
                <w:b w:val="0"/>
                <w:i w:val="0"/>
                <w:sz w:val="22"/>
              </w:rPr>
              <w:t>317</w:t>
            </w:r>
          </w:p>
        </w:tc>
      </w:tr>
      <w:tr>
        <w:tc>
          <w:tcPr>
            <w:tcW w:type="dxa" w:w="850"/>
            <w:shd w:val="clear" w:color="auto" w:fill="F0F2F5"/>
          </w:tcPr>
          <w:p>
            <w:pPr>
              <w:spacing w:after="40" w:before="40"/>
              <w:jc w:val="center"/>
            </w:pPr>
            <w:r/>
            <w:r>
              <w:rPr>
                <w:rFonts w:ascii="Cambria" w:hAnsi="Cambria"/>
                <w:b w:val="0"/>
                <w:i w:val="0"/>
                <w:sz w:val="22"/>
              </w:rPr>
              <w:t>12</w:t>
            </w:r>
          </w:p>
        </w:tc>
        <w:tc>
          <w:tcPr>
            <w:tcW w:type="dxa" w:w="7541"/>
            <w:shd w:val="clear" w:color="auto" w:fill="F0F2F5"/>
          </w:tcPr>
          <w:p>
            <w:pPr>
              <w:spacing w:after="40" w:before="40"/>
            </w:pPr>
            <w:r/>
            <w:r>
              <w:rPr>
                <w:rFonts w:ascii="Cambria" w:hAnsi="Cambria"/>
                <w:b w:val="0"/>
                <w:i w:val="0"/>
                <w:sz w:val="22"/>
              </w:rPr>
              <w:t>Policy on Gambling and Smoking Within University Premises</w:t>
            </w:r>
          </w:p>
        </w:tc>
        <w:tc>
          <w:tcPr>
            <w:tcW w:type="dxa" w:w="1020"/>
            <w:shd w:val="clear" w:color="auto" w:fill="F0F2F5"/>
          </w:tcPr>
          <w:p>
            <w:pPr>
              <w:spacing w:after="40" w:before="40"/>
              <w:jc w:val="center"/>
            </w:pPr>
            <w:r/>
            <w:r>
              <w:rPr>
                <w:rFonts w:ascii="Cambria" w:hAnsi="Cambria"/>
                <w:b w:val="0"/>
                <w:i w:val="0"/>
                <w:sz w:val="22"/>
              </w:rPr>
              <w:t>319</w:t>
            </w:r>
          </w:p>
        </w:tc>
      </w:tr>
      <w:tr>
        <w:tc>
          <w:tcPr>
            <w:tcW w:type="dxa" w:w="850"/>
          </w:tcPr>
          <w:p>
            <w:pPr>
              <w:spacing w:after="40" w:before="40"/>
              <w:jc w:val="center"/>
            </w:pPr>
            <w:r/>
            <w:r>
              <w:rPr>
                <w:rFonts w:ascii="Cambria" w:hAnsi="Cambria"/>
                <w:b w:val="0"/>
                <w:i w:val="0"/>
                <w:sz w:val="22"/>
              </w:rPr>
              <w:t>13</w:t>
            </w:r>
          </w:p>
        </w:tc>
        <w:tc>
          <w:tcPr>
            <w:tcW w:type="dxa" w:w="7541"/>
          </w:tcPr>
          <w:p>
            <w:pPr>
              <w:spacing w:after="40" w:before="40"/>
            </w:pPr>
            <w:r/>
            <w:r>
              <w:rPr>
                <w:rFonts w:ascii="Cambria" w:hAnsi="Cambria"/>
                <w:b w:val="0"/>
                <w:i w:val="0"/>
                <w:sz w:val="22"/>
              </w:rPr>
              <w:t>Policy on Unauthorized Collection of Money Within University Premises</w:t>
            </w:r>
          </w:p>
        </w:tc>
        <w:tc>
          <w:tcPr>
            <w:tcW w:type="dxa" w:w="1020"/>
          </w:tcPr>
          <w:p>
            <w:pPr>
              <w:spacing w:after="40" w:before="40"/>
              <w:jc w:val="center"/>
            </w:pPr>
            <w:r/>
            <w:r>
              <w:rPr>
                <w:rFonts w:ascii="Cambria" w:hAnsi="Cambria"/>
                <w:b w:val="0"/>
                <w:i w:val="0"/>
                <w:sz w:val="22"/>
              </w:rPr>
              <w:t>321</w:t>
            </w:r>
          </w:p>
        </w:tc>
      </w:tr>
      <w:tr>
        <w:tc>
          <w:tcPr>
            <w:tcW w:type="dxa" w:w="850"/>
            <w:shd w:val="clear" w:color="auto" w:fill="F0F2F5"/>
          </w:tcPr>
          <w:p>
            <w:pPr>
              <w:spacing w:after="40" w:before="40"/>
              <w:jc w:val="center"/>
            </w:pPr>
            <w:r/>
            <w:r>
              <w:rPr>
                <w:rFonts w:ascii="Cambria" w:hAnsi="Cambria"/>
                <w:b w:val="0"/>
                <w:i w:val="0"/>
                <w:sz w:val="22"/>
              </w:rPr>
              <w:t>14</w:t>
            </w:r>
          </w:p>
        </w:tc>
        <w:tc>
          <w:tcPr>
            <w:tcW w:type="dxa" w:w="7541"/>
            <w:shd w:val="clear" w:color="auto" w:fill="F0F2F5"/>
          </w:tcPr>
          <w:p>
            <w:pPr>
              <w:spacing w:after="40" w:before="40"/>
            </w:pPr>
            <w:r/>
            <w:r>
              <w:rPr>
                <w:rFonts w:ascii="Cambria" w:hAnsi="Cambria"/>
                <w:b w:val="0"/>
                <w:i w:val="0"/>
                <w:sz w:val="22"/>
              </w:rPr>
              <w:t>Policy on Sleeping While on Duty</w:t>
            </w:r>
          </w:p>
        </w:tc>
        <w:tc>
          <w:tcPr>
            <w:tcW w:type="dxa" w:w="1020"/>
            <w:shd w:val="clear" w:color="auto" w:fill="F0F2F5"/>
          </w:tcPr>
          <w:p>
            <w:pPr>
              <w:spacing w:after="40" w:before="40"/>
              <w:jc w:val="center"/>
            </w:pPr>
            <w:r/>
            <w:r>
              <w:rPr>
                <w:rFonts w:ascii="Cambria" w:hAnsi="Cambria"/>
                <w:b w:val="0"/>
                <w:i w:val="0"/>
                <w:sz w:val="22"/>
              </w:rPr>
              <w:t>323</w:t>
            </w:r>
          </w:p>
        </w:tc>
      </w:tr>
      <w:tr>
        <w:tc>
          <w:tcPr>
            <w:tcW w:type="dxa" w:w="850"/>
          </w:tcPr>
          <w:p>
            <w:pPr>
              <w:spacing w:after="40" w:before="40"/>
              <w:jc w:val="center"/>
            </w:pPr>
            <w:r/>
            <w:r>
              <w:rPr>
                <w:rFonts w:ascii="Cambria" w:hAnsi="Cambria"/>
                <w:b w:val="0"/>
                <w:i w:val="0"/>
                <w:sz w:val="22"/>
              </w:rPr>
              <w:t>15</w:t>
            </w:r>
          </w:p>
        </w:tc>
        <w:tc>
          <w:tcPr>
            <w:tcW w:type="dxa" w:w="7541"/>
          </w:tcPr>
          <w:p>
            <w:pPr>
              <w:spacing w:after="40" w:before="40"/>
            </w:pPr>
            <w:r/>
            <w:r>
              <w:rPr>
                <w:rFonts w:ascii="Cambria" w:hAnsi="Cambria"/>
                <w:b w:val="0"/>
                <w:i w:val="0"/>
                <w:sz w:val="22"/>
              </w:rPr>
              <w:t>Policy on Unauthorized Purchase or Sale of University Property</w:t>
            </w:r>
          </w:p>
        </w:tc>
        <w:tc>
          <w:tcPr>
            <w:tcW w:type="dxa" w:w="1020"/>
          </w:tcPr>
          <w:p>
            <w:pPr>
              <w:spacing w:after="40" w:before="40"/>
              <w:jc w:val="center"/>
            </w:pPr>
            <w:r/>
            <w:r>
              <w:rPr>
                <w:rFonts w:ascii="Cambria" w:hAnsi="Cambria"/>
                <w:b w:val="0"/>
                <w:i w:val="0"/>
                <w:sz w:val="22"/>
              </w:rPr>
              <w:t>325</w:t>
            </w:r>
          </w:p>
        </w:tc>
      </w:tr>
      <w:tr>
        <w:tc>
          <w:tcPr>
            <w:tcW w:type="dxa" w:w="850"/>
            <w:shd w:val="clear" w:color="auto" w:fill="F0F2F5"/>
          </w:tcPr>
          <w:p>
            <w:pPr>
              <w:spacing w:after="40" w:before="40"/>
              <w:jc w:val="center"/>
            </w:pPr>
            <w:r/>
            <w:r>
              <w:rPr>
                <w:rFonts w:ascii="Cambria" w:hAnsi="Cambria"/>
                <w:b w:val="0"/>
                <w:i w:val="0"/>
                <w:sz w:val="22"/>
              </w:rPr>
              <w:t>16</w:t>
            </w:r>
          </w:p>
        </w:tc>
        <w:tc>
          <w:tcPr>
            <w:tcW w:type="dxa" w:w="7541"/>
            <w:shd w:val="clear" w:color="auto" w:fill="F0F2F5"/>
          </w:tcPr>
          <w:p>
            <w:pPr>
              <w:spacing w:after="40" w:before="40"/>
            </w:pPr>
            <w:r/>
            <w:r>
              <w:rPr>
                <w:rFonts w:ascii="Cambria" w:hAnsi="Cambria"/>
                <w:b w:val="0"/>
                <w:i w:val="0"/>
                <w:sz w:val="22"/>
              </w:rPr>
              <w:t>Policy on Submission or Propagation of False Information About the University, Authorities, or Employees</w:t>
            </w:r>
          </w:p>
        </w:tc>
        <w:tc>
          <w:tcPr>
            <w:tcW w:type="dxa" w:w="1020"/>
            <w:shd w:val="clear" w:color="auto" w:fill="F0F2F5"/>
          </w:tcPr>
          <w:p>
            <w:pPr>
              <w:spacing w:after="40" w:before="40"/>
              <w:jc w:val="center"/>
            </w:pPr>
            <w:r/>
            <w:r>
              <w:rPr>
                <w:rFonts w:ascii="Cambria" w:hAnsi="Cambria"/>
                <w:b w:val="0"/>
                <w:i w:val="0"/>
                <w:sz w:val="22"/>
              </w:rPr>
              <w:t>327</w:t>
            </w:r>
          </w:p>
        </w:tc>
      </w:tr>
      <w:tr>
        <w:tc>
          <w:tcPr>
            <w:tcW w:type="dxa" w:w="850"/>
          </w:tcPr>
          <w:p>
            <w:pPr>
              <w:spacing w:after="40" w:before="40"/>
              <w:jc w:val="center"/>
            </w:pPr>
            <w:r/>
            <w:r>
              <w:rPr>
                <w:rFonts w:ascii="Cambria" w:hAnsi="Cambria"/>
                <w:b w:val="0"/>
                <w:i w:val="0"/>
                <w:sz w:val="22"/>
              </w:rPr>
              <w:t>17</w:t>
            </w:r>
          </w:p>
        </w:tc>
        <w:tc>
          <w:tcPr>
            <w:tcW w:type="dxa" w:w="7541"/>
          </w:tcPr>
          <w:p>
            <w:pPr>
              <w:spacing w:after="40" w:before="40"/>
            </w:pPr>
            <w:r/>
            <w:r>
              <w:rPr>
                <w:rFonts w:ascii="Cambria" w:hAnsi="Cambria"/>
                <w:b w:val="0"/>
                <w:i w:val="0"/>
                <w:sz w:val="22"/>
              </w:rPr>
              <w:t>Policy on Submission of Representations or Claims Without Following the Proper Channel</w:t>
            </w:r>
          </w:p>
        </w:tc>
        <w:tc>
          <w:tcPr>
            <w:tcW w:type="dxa" w:w="1020"/>
          </w:tcPr>
          <w:p>
            <w:pPr>
              <w:spacing w:after="40" w:before="40"/>
              <w:jc w:val="center"/>
            </w:pPr>
            <w:r/>
            <w:r>
              <w:rPr>
                <w:rFonts w:ascii="Cambria" w:hAnsi="Cambria"/>
                <w:b w:val="0"/>
                <w:i w:val="0"/>
                <w:sz w:val="22"/>
              </w:rPr>
              <w:t>329</w:t>
            </w:r>
          </w:p>
        </w:tc>
      </w:tr>
      <w:tr>
        <w:tc>
          <w:tcPr>
            <w:tcW w:type="dxa" w:w="850"/>
            <w:shd w:val="clear" w:color="auto" w:fill="F0F2F5"/>
          </w:tcPr>
          <w:p>
            <w:pPr>
              <w:spacing w:after="40" w:before="40"/>
              <w:jc w:val="center"/>
            </w:pPr>
            <w:r/>
            <w:r>
              <w:rPr>
                <w:rFonts w:ascii="Cambria" w:hAnsi="Cambria"/>
                <w:b w:val="0"/>
                <w:i w:val="0"/>
                <w:sz w:val="22"/>
              </w:rPr>
              <w:t>18</w:t>
            </w:r>
          </w:p>
        </w:tc>
        <w:tc>
          <w:tcPr>
            <w:tcW w:type="dxa" w:w="7541"/>
            <w:shd w:val="clear" w:color="auto" w:fill="F0F2F5"/>
          </w:tcPr>
          <w:p>
            <w:pPr>
              <w:spacing w:after="40" w:before="40"/>
            </w:pPr>
            <w:r/>
            <w:r>
              <w:rPr>
                <w:rFonts w:ascii="Cambria" w:hAnsi="Cambria"/>
                <w:b w:val="0"/>
                <w:i w:val="0"/>
                <w:sz w:val="22"/>
              </w:rPr>
              <w:t>Policy on Submission of False Representations to Outside Agencies Against University Authorities or Management</w:t>
            </w:r>
          </w:p>
        </w:tc>
        <w:tc>
          <w:tcPr>
            <w:tcW w:type="dxa" w:w="1020"/>
            <w:shd w:val="clear" w:color="auto" w:fill="F0F2F5"/>
          </w:tcPr>
          <w:p>
            <w:pPr>
              <w:spacing w:after="40" w:before="40"/>
              <w:jc w:val="center"/>
            </w:pPr>
            <w:r/>
            <w:r>
              <w:rPr>
                <w:rFonts w:ascii="Cambria" w:hAnsi="Cambria"/>
                <w:b w:val="0"/>
                <w:i w:val="0"/>
                <w:sz w:val="22"/>
              </w:rPr>
              <w:t>330</w:t>
            </w:r>
          </w:p>
        </w:tc>
      </w:tr>
      <w:tr>
        <w:tc>
          <w:tcPr>
            <w:tcW w:type="dxa" w:w="850"/>
          </w:tcPr>
          <w:p>
            <w:pPr>
              <w:spacing w:after="40" w:before="40"/>
              <w:jc w:val="center"/>
            </w:pPr>
            <w:r/>
            <w:r>
              <w:rPr>
                <w:rFonts w:ascii="Cambria" w:hAnsi="Cambria"/>
                <w:b w:val="0"/>
                <w:i w:val="0"/>
                <w:sz w:val="22"/>
              </w:rPr>
              <w:t>19</w:t>
            </w:r>
          </w:p>
        </w:tc>
        <w:tc>
          <w:tcPr>
            <w:tcW w:type="dxa" w:w="7541"/>
          </w:tcPr>
          <w:p>
            <w:pPr>
              <w:spacing w:after="40" w:before="40"/>
            </w:pPr>
            <w:r/>
            <w:r>
              <w:rPr>
                <w:rFonts w:ascii="Cambria" w:hAnsi="Cambria"/>
                <w:b w:val="0"/>
                <w:i w:val="0"/>
                <w:sz w:val="22"/>
              </w:rPr>
              <w:t>Policy on Submission of Employment Applications to Outside Agencies Without Prior Permission</w:t>
            </w:r>
          </w:p>
        </w:tc>
        <w:tc>
          <w:tcPr>
            <w:tcW w:type="dxa" w:w="1020"/>
          </w:tcPr>
          <w:p>
            <w:pPr>
              <w:spacing w:after="40" w:before="40"/>
              <w:jc w:val="center"/>
            </w:pPr>
            <w:r/>
            <w:r>
              <w:rPr>
                <w:rFonts w:ascii="Cambria" w:hAnsi="Cambria"/>
                <w:b w:val="0"/>
                <w:i w:val="0"/>
                <w:sz w:val="22"/>
              </w:rPr>
              <w:t>333</w:t>
            </w:r>
          </w:p>
        </w:tc>
      </w:tr>
      <w:tr>
        <w:tc>
          <w:tcPr>
            <w:tcW w:type="dxa" w:w="850"/>
            <w:shd w:val="clear" w:color="auto" w:fill="F0F2F5"/>
          </w:tcPr>
          <w:p>
            <w:pPr>
              <w:spacing w:after="40" w:before="40"/>
              <w:jc w:val="center"/>
            </w:pPr>
            <w:r/>
            <w:r>
              <w:rPr>
                <w:rFonts w:ascii="Cambria" w:hAnsi="Cambria"/>
                <w:b w:val="0"/>
                <w:i w:val="0"/>
                <w:sz w:val="22"/>
              </w:rPr>
              <w:t>20</w:t>
            </w:r>
          </w:p>
        </w:tc>
        <w:tc>
          <w:tcPr>
            <w:tcW w:type="dxa" w:w="7541"/>
            <w:shd w:val="clear" w:color="auto" w:fill="F0F2F5"/>
          </w:tcPr>
          <w:p>
            <w:pPr>
              <w:spacing w:after="40" w:before="40"/>
            </w:pPr>
            <w:r/>
            <w:r>
              <w:rPr>
                <w:rFonts w:ascii="Cambria" w:hAnsi="Cambria"/>
                <w:b w:val="0"/>
                <w:i w:val="0"/>
                <w:sz w:val="22"/>
              </w:rPr>
              <w:t>Policy on Use of Indecent Language, High Tenor, or Undue Arguments with Superiors</w:t>
            </w:r>
          </w:p>
        </w:tc>
        <w:tc>
          <w:tcPr>
            <w:tcW w:type="dxa" w:w="1020"/>
            <w:shd w:val="clear" w:color="auto" w:fill="F0F2F5"/>
          </w:tcPr>
          <w:p>
            <w:pPr>
              <w:spacing w:after="40" w:before="40"/>
              <w:jc w:val="center"/>
            </w:pPr>
            <w:r/>
            <w:r>
              <w:rPr>
                <w:rFonts w:ascii="Cambria" w:hAnsi="Cambria"/>
                <w:b w:val="0"/>
                <w:i w:val="0"/>
                <w:sz w:val="22"/>
              </w:rPr>
              <w:t>335</w:t>
            </w:r>
          </w:p>
        </w:tc>
      </w:tr>
      <w:tr>
        <w:tc>
          <w:tcPr>
            <w:tcW w:type="dxa" w:w="850"/>
          </w:tcPr>
          <w:p>
            <w:pPr>
              <w:spacing w:after="40" w:before="40"/>
              <w:jc w:val="center"/>
            </w:pPr>
            <w:r/>
            <w:r>
              <w:rPr>
                <w:rFonts w:ascii="Cambria" w:hAnsi="Cambria"/>
                <w:b w:val="0"/>
                <w:i w:val="0"/>
                <w:sz w:val="22"/>
              </w:rPr>
              <w:t>21</w:t>
            </w:r>
          </w:p>
        </w:tc>
        <w:tc>
          <w:tcPr>
            <w:tcW w:type="dxa" w:w="7541"/>
          </w:tcPr>
          <w:p>
            <w:pPr>
              <w:spacing w:after="40" w:before="40"/>
            </w:pPr>
            <w:r/>
            <w:r>
              <w:rPr>
                <w:rFonts w:ascii="Cambria" w:hAnsi="Cambria"/>
                <w:b w:val="0"/>
                <w:i w:val="0"/>
                <w:sz w:val="22"/>
              </w:rPr>
              <w:t>Policy on Unauthorized Absence from Appointed Place of Work</w:t>
            </w:r>
          </w:p>
        </w:tc>
        <w:tc>
          <w:tcPr>
            <w:tcW w:type="dxa" w:w="1020"/>
          </w:tcPr>
          <w:p>
            <w:pPr>
              <w:spacing w:after="40" w:before="40"/>
              <w:jc w:val="center"/>
            </w:pPr>
            <w:r/>
            <w:r>
              <w:rPr>
                <w:rFonts w:ascii="Cambria" w:hAnsi="Cambria"/>
                <w:b w:val="0"/>
                <w:i w:val="0"/>
                <w:sz w:val="22"/>
              </w:rPr>
              <w:t>337</w:t>
            </w:r>
          </w:p>
        </w:tc>
      </w:tr>
      <w:tr>
        <w:tc>
          <w:tcPr>
            <w:tcW w:type="dxa" w:w="850"/>
            <w:shd w:val="clear" w:color="auto" w:fill="F0F2F5"/>
          </w:tcPr>
          <w:p>
            <w:pPr>
              <w:spacing w:after="40" w:before="40"/>
              <w:jc w:val="center"/>
            </w:pPr>
            <w:r/>
            <w:r>
              <w:rPr>
                <w:rFonts w:ascii="Cambria" w:hAnsi="Cambria"/>
                <w:b w:val="0"/>
                <w:i w:val="0"/>
                <w:sz w:val="22"/>
              </w:rPr>
              <w:t>22</w:t>
            </w:r>
          </w:p>
        </w:tc>
        <w:tc>
          <w:tcPr>
            <w:tcW w:type="dxa" w:w="7541"/>
            <w:shd w:val="clear" w:color="auto" w:fill="F0F2F5"/>
          </w:tcPr>
          <w:p>
            <w:pPr>
              <w:spacing w:after="40" w:before="40"/>
            </w:pPr>
            <w:r/>
            <w:r>
              <w:rPr>
                <w:rFonts w:ascii="Cambria" w:hAnsi="Cambria"/>
                <w:b w:val="0"/>
                <w:i w:val="0"/>
                <w:sz w:val="22"/>
              </w:rPr>
              <w:t>Policy on Taking Up Outside Service or Establishing an Institution While on Leave</w:t>
            </w:r>
          </w:p>
        </w:tc>
        <w:tc>
          <w:tcPr>
            <w:tcW w:type="dxa" w:w="1020"/>
            <w:shd w:val="clear" w:color="auto" w:fill="F0F2F5"/>
          </w:tcPr>
          <w:p>
            <w:pPr>
              <w:spacing w:after="40" w:before="40"/>
              <w:jc w:val="center"/>
            </w:pPr>
            <w:r/>
            <w:r>
              <w:rPr>
                <w:rFonts w:ascii="Cambria" w:hAnsi="Cambria"/>
                <w:b w:val="0"/>
                <w:i w:val="0"/>
                <w:sz w:val="22"/>
              </w:rPr>
              <w:t>339</w:t>
            </w:r>
          </w:p>
        </w:tc>
      </w:tr>
      <w:tr>
        <w:tc>
          <w:tcPr>
            <w:tcW w:type="dxa" w:w="850"/>
          </w:tcPr>
          <w:p>
            <w:pPr>
              <w:spacing w:after="40" w:before="40"/>
              <w:jc w:val="center"/>
            </w:pPr>
            <w:r/>
            <w:r>
              <w:rPr>
                <w:rFonts w:ascii="Cambria" w:hAnsi="Cambria"/>
                <w:b w:val="0"/>
                <w:i w:val="0"/>
                <w:sz w:val="22"/>
              </w:rPr>
              <w:t>23</w:t>
            </w:r>
          </w:p>
        </w:tc>
        <w:tc>
          <w:tcPr>
            <w:tcW w:type="dxa" w:w="7541"/>
          </w:tcPr>
          <w:p>
            <w:pPr>
              <w:spacing w:after="40" w:before="40"/>
            </w:pPr>
            <w:r/>
            <w:r>
              <w:rPr>
                <w:rFonts w:ascii="Cambria" w:hAnsi="Cambria"/>
                <w:b w:val="0"/>
                <w:i w:val="0"/>
                <w:sz w:val="22"/>
              </w:rPr>
              <w:t>Policy on Commission of Acts Involving Criminal Offence or Moral Turpitude</w:t>
            </w:r>
          </w:p>
        </w:tc>
        <w:tc>
          <w:tcPr>
            <w:tcW w:type="dxa" w:w="1020"/>
          </w:tcPr>
          <w:p>
            <w:pPr>
              <w:spacing w:after="40" w:before="40"/>
              <w:jc w:val="center"/>
            </w:pPr>
            <w:r/>
            <w:r>
              <w:rPr>
                <w:rFonts w:ascii="Cambria" w:hAnsi="Cambria"/>
                <w:b w:val="0"/>
                <w:i w:val="0"/>
                <w:sz w:val="22"/>
              </w:rPr>
              <w:t>341</w:t>
            </w:r>
          </w:p>
        </w:tc>
      </w:tr>
      <w:tr>
        <w:tc>
          <w:tcPr>
            <w:tcW w:type="dxa" w:w="850"/>
            <w:shd w:val="clear" w:color="auto" w:fill="F0F2F5"/>
          </w:tcPr>
          <w:p>
            <w:pPr>
              <w:spacing w:after="40" w:before="40"/>
              <w:jc w:val="center"/>
            </w:pPr>
            <w:r/>
            <w:r>
              <w:rPr>
                <w:rFonts w:ascii="Cambria" w:hAnsi="Cambria"/>
                <w:b w:val="0"/>
                <w:i w:val="0"/>
                <w:sz w:val="22"/>
              </w:rPr>
              <w:t>24</w:t>
            </w:r>
          </w:p>
        </w:tc>
        <w:tc>
          <w:tcPr>
            <w:tcW w:type="dxa" w:w="7541"/>
            <w:shd w:val="clear" w:color="auto" w:fill="F0F2F5"/>
          </w:tcPr>
          <w:p>
            <w:pPr>
              <w:spacing w:after="40" w:before="40"/>
            </w:pPr>
            <w:r/>
            <w:r>
              <w:rPr>
                <w:rFonts w:ascii="Cambria" w:hAnsi="Cambria"/>
                <w:b w:val="0"/>
                <w:i w:val="0"/>
                <w:sz w:val="22"/>
              </w:rPr>
              <w:t>Policy on Abetment or Attempt of Any Act Amounting to Misconduct</w:t>
            </w:r>
          </w:p>
        </w:tc>
        <w:tc>
          <w:tcPr>
            <w:tcW w:type="dxa" w:w="1020"/>
            <w:shd w:val="clear" w:color="auto" w:fill="F0F2F5"/>
          </w:tcPr>
          <w:p>
            <w:pPr>
              <w:spacing w:after="40" w:before="40"/>
              <w:jc w:val="center"/>
            </w:pPr>
            <w:r/>
            <w:r>
              <w:rPr>
                <w:rFonts w:ascii="Cambria" w:hAnsi="Cambria"/>
                <w:b w:val="0"/>
                <w:i w:val="0"/>
                <w:sz w:val="22"/>
              </w:rPr>
              <w:t>344</w:t>
            </w:r>
          </w:p>
        </w:tc>
      </w:tr>
      <w:tr>
        <w:tc>
          <w:tcPr>
            <w:tcW w:type="dxa" w:w="850"/>
          </w:tcPr>
          <w:p>
            <w:pPr>
              <w:spacing w:after="40" w:before="40"/>
              <w:jc w:val="center"/>
            </w:pPr>
            <w:r/>
            <w:r>
              <w:rPr>
                <w:rFonts w:ascii="Cambria" w:hAnsi="Cambria"/>
                <w:b w:val="0"/>
                <w:i w:val="0"/>
                <w:sz w:val="22"/>
              </w:rPr>
              <w:t>25</w:t>
            </w:r>
          </w:p>
        </w:tc>
        <w:tc>
          <w:tcPr>
            <w:tcW w:type="dxa" w:w="7541"/>
          </w:tcPr>
          <w:p>
            <w:pPr>
              <w:spacing w:after="40" w:before="40"/>
            </w:pPr>
            <w:r/>
            <w:r>
              <w:rPr>
                <w:rFonts w:ascii="Cambria" w:hAnsi="Cambria"/>
                <w:b w:val="0"/>
                <w:i w:val="0"/>
                <w:sz w:val="22"/>
              </w:rPr>
              <w:t>Explanation: Definition and Scope of Sexual Harassment</w:t>
            </w:r>
          </w:p>
        </w:tc>
        <w:tc>
          <w:tcPr>
            <w:tcW w:type="dxa" w:w="1020"/>
          </w:tcPr>
          <w:p>
            <w:pPr>
              <w:spacing w:after="40" w:before="40"/>
              <w:jc w:val="center"/>
            </w:pPr>
            <w:r/>
            <w:r>
              <w:rPr>
                <w:rFonts w:ascii="Cambria" w:hAnsi="Cambria"/>
                <w:b w:val="0"/>
                <w:i w:val="0"/>
                <w:sz w:val="22"/>
              </w:rPr>
              <w:t>345</w:t>
            </w:r>
          </w:p>
        </w:tc>
      </w:tr>
      <w:tr>
        <w:tc>
          <w:tcPr>
            <w:tcW w:type="dxa" w:w="850"/>
            <w:shd w:val="clear" w:color="auto" w:fill="F0F2F5"/>
          </w:tcPr>
          <w:p>
            <w:pPr>
              <w:spacing w:after="40" w:before="40"/>
              <w:jc w:val="center"/>
            </w:pPr>
            <w:r/>
            <w:r>
              <w:rPr>
                <w:rFonts w:ascii="Cambria" w:hAnsi="Cambria"/>
                <w:b w:val="0"/>
                <w:i w:val="0"/>
                <w:sz w:val="22"/>
              </w:rPr>
              <w:t>26</w:t>
            </w:r>
          </w:p>
        </w:tc>
        <w:tc>
          <w:tcPr>
            <w:tcW w:type="dxa" w:w="7541"/>
            <w:shd w:val="clear" w:color="auto" w:fill="F0F2F5"/>
          </w:tcPr>
          <w:p>
            <w:pPr>
              <w:spacing w:after="40" w:before="40"/>
            </w:pPr>
            <w:r/>
            <w:r>
              <w:rPr>
                <w:rFonts w:ascii="Cambria" w:hAnsi="Cambria"/>
                <w:b w:val="0"/>
                <w:i w:val="0"/>
                <w:sz w:val="22"/>
              </w:rPr>
              <w:t>Policy on Consumption of Intoxicating Drinks and Drugs</w:t>
            </w:r>
          </w:p>
        </w:tc>
        <w:tc>
          <w:tcPr>
            <w:tcW w:type="dxa" w:w="1020"/>
            <w:shd w:val="clear" w:color="auto" w:fill="F0F2F5"/>
          </w:tcPr>
          <w:p>
            <w:pPr>
              <w:spacing w:after="40" w:before="40"/>
              <w:jc w:val="center"/>
            </w:pPr>
            <w:r/>
            <w:r>
              <w:rPr>
                <w:rFonts w:ascii="Cambria" w:hAnsi="Cambria"/>
                <w:b w:val="0"/>
                <w:i w:val="0"/>
                <w:sz w:val="22"/>
              </w:rPr>
              <w:t>347</w:t>
            </w:r>
          </w:p>
        </w:tc>
      </w:tr>
      <w:tr>
        <w:tc>
          <w:tcPr>
            <w:tcW w:type="dxa" w:w="850"/>
          </w:tcPr>
          <w:p>
            <w:pPr>
              <w:spacing w:after="40" w:before="40"/>
              <w:jc w:val="center"/>
            </w:pPr>
            <w:r/>
            <w:r>
              <w:rPr>
                <w:rFonts w:ascii="Cambria" w:hAnsi="Cambria"/>
                <w:b w:val="0"/>
                <w:i w:val="0"/>
                <w:sz w:val="22"/>
              </w:rPr>
              <w:t>27</w:t>
            </w:r>
          </w:p>
        </w:tc>
        <w:tc>
          <w:tcPr>
            <w:tcW w:type="dxa" w:w="7541"/>
          </w:tcPr>
          <w:p>
            <w:pPr>
              <w:spacing w:after="40" w:before="40"/>
            </w:pPr>
            <w:r/>
            <w:r>
              <w:rPr>
                <w:rFonts w:ascii="Cambria" w:hAnsi="Cambria"/>
                <w:b w:val="0"/>
                <w:i w:val="0"/>
                <w:sz w:val="22"/>
              </w:rPr>
              <w:t>68. References</w:t>
            </w:r>
          </w:p>
        </w:tc>
        <w:tc>
          <w:tcPr>
            <w:tcW w:type="dxa" w:w="1020"/>
          </w:tcPr>
          <w:p>
            <w:pPr>
              <w:spacing w:after="40" w:before="40"/>
              <w:jc w:val="center"/>
            </w:pPr>
            <w:r/>
            <w:r>
              <w:rPr>
                <w:rFonts w:ascii="Cambria" w:hAnsi="Cambria"/>
                <w:b w:val="0"/>
                <w:i w:val="0"/>
                <w:sz w:val="22"/>
              </w:rPr>
              <w:t>350</w:t>
            </w:r>
          </w:p>
        </w:tc>
      </w:tr>
    </w:tbl>
    <w:p>
      <w:r>
        <w:br w:type="page"/>
      </w:r>
    </w:p>
    <w:p>
      <w:pPr>
        <w:keepNext/>
        <w:spacing w:before="280" w:after="160"/>
      </w:pPr>
      <w:r>
        <w:rPr>
          <w:rFonts w:ascii="Cambria" w:hAnsi="Cambria"/>
          <w:b/>
          <w:color w:val="1F3A5F"/>
          <w:sz w:val="32"/>
        </w:rPr>
        <w:t>67. Misconduct</w:t>
      </w:r>
    </w:p>
    <w:p>
      <w:pPr>
        <w:jc w:val="both"/>
      </w:pPr>
      <w:r>
        <w:rPr>
          <w:rFonts w:ascii="Cambria" w:hAnsi="Cambria"/>
          <w:i/>
          <w:sz w:val="22"/>
        </w:rPr>
        <w:t>(Begins at source pg 303 / Screenshot (11491).png, immediately following Section 66 'Conduct Rules', which ended with 'Policy on Applications for Outside Employment' at the close of Part 3. Section 67 'Misconduct' is a new numbered chapter consisting of a sequence of named sub-policies, each following the same internal structure: Purpose, General Rule, Illustrative Acts, Disciplinary Consequences, Procedural Framework, and Policy Principles.)</w:t>
      </w:r>
    </w:p>
    <w:p>
      <w:pPr>
        <w:keepNext/>
        <w:spacing w:before="200" w:after="120"/>
      </w:pPr>
      <w:r>
        <w:rPr>
          <w:rFonts w:ascii="Cambria" w:hAnsi="Cambria"/>
          <w:b/>
          <w:color w:val="1F3A5F"/>
          <w:sz w:val="27"/>
        </w:rPr>
        <w:t>Policy on Furnishing False Information or Misrepresentation</w:t>
      </w:r>
    </w:p>
    <w:p>
      <w:r>
        <w:rPr>
          <w:rFonts w:ascii="Cambria" w:hAnsi="Cambria"/>
          <w:b/>
          <w:i w:val="0"/>
          <w:sz w:val="22"/>
        </w:rPr>
        <w:t>I. PURPOSE</w:t>
      </w:r>
    </w:p>
    <w:p>
      <w:pPr>
        <w:pStyle w:val="ListBullet"/>
        <w:spacing w:line="276" w:lineRule="auto"/>
        <w:ind w:left="510"/>
      </w:pPr>
      <w:r>
        <w:rPr>
          <w:rFonts w:ascii="Cambria" w:hAnsi="Cambria"/>
          <w:b w:val="0"/>
          <w:i w:val="0"/>
          <w:sz w:val="22"/>
        </w:rPr>
        <w:t>To uphold honesty, transparency, and integrity in all stages of employment — from recruitment to retirement.</w:t>
      </w:r>
    </w:p>
    <w:p>
      <w:pPr>
        <w:pStyle w:val="ListBullet"/>
        <w:spacing w:line="276" w:lineRule="auto"/>
        <w:ind w:left="510"/>
      </w:pPr>
      <w:r>
        <w:rPr>
          <w:rFonts w:ascii="Cambria" w:hAnsi="Cambria"/>
          <w:b w:val="0"/>
          <w:i w:val="0"/>
          <w:sz w:val="22"/>
        </w:rPr>
        <w:t>To define the consequences of false declarations, forged documents, or misrepresentation by any employee in connection with University service.</w:t>
      </w:r>
    </w:p>
    <w:p>
      <w:pPr>
        <w:pStyle w:val="ListBullet"/>
        <w:spacing w:line="276" w:lineRule="auto"/>
        <w:ind w:left="510"/>
      </w:pPr>
      <w:r>
        <w:rPr>
          <w:rFonts w:ascii="Cambria" w:hAnsi="Cambria"/>
          <w:b w:val="0"/>
          <w:i w:val="0"/>
          <w:sz w:val="22"/>
        </w:rPr>
        <w:t>To protect the institution from fraudulent or misleading employment practices.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Furnishing false, fabricated, or misleading information regarding one’s name, age, father’s name, qualification, experience, ability, or previous employment record, or any other information relevant to employment, at the time of appointment or during service, is strictly prohibited.</w:t>
            </w:r>
          </w:p>
        </w:tc>
      </w:tr>
      <w:tr>
        <w:tc>
          <w:tcPr>
            <w:tcW w:type="dxa" w:w="3685"/>
            <w:shd w:val="clear" w:color="auto" w:fill="F0F2F5"/>
          </w:tcPr>
          <w:p>
            <w:pPr>
              <w:spacing w:after="40" w:before="40"/>
            </w:pPr>
            <w:r/>
            <w:r>
              <w:rPr>
                <w:rFonts w:ascii="Cambria" w:hAnsi="Cambria"/>
                <w:b w:val="0"/>
                <w:i w:val="0"/>
                <w:sz w:val="22"/>
              </w:rPr>
              <w:t>Applicability</w:t>
            </w:r>
          </w:p>
        </w:tc>
        <w:tc>
          <w:tcPr>
            <w:tcW w:type="dxa" w:w="5726"/>
            <w:shd w:val="clear" w:color="auto" w:fill="F0F2F5"/>
          </w:tcPr>
          <w:p>
            <w:pPr>
              <w:spacing w:after="40" w:before="40"/>
            </w:pPr>
            <w:r/>
            <w:r>
              <w:rPr>
                <w:rFonts w:ascii="Cambria" w:hAnsi="Cambria"/>
                <w:b w:val="0"/>
                <w:i w:val="0"/>
                <w:sz w:val="22"/>
              </w:rPr>
              <w:t>This rule applies to all categories of employees — teaching, non-teaching, administrative, technical, temporary, and contractual.</w:t>
            </w:r>
          </w:p>
        </w:tc>
      </w:tr>
    </w:tbl>
    <w:p>
      <w:pPr>
        <w:spacing w:after="40"/>
      </w:pPr>
    </w:p>
    <w:p>
      <w:r>
        <w:rPr>
          <w:rFonts w:ascii="Cambria" w:hAnsi="Cambria"/>
          <w:b/>
          <w:i w:val="0"/>
          <w:sz w:val="22"/>
        </w:rPr>
        <w:t>2. FORMS OF MISREPRESENTATION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 of Misrepresentation</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Identity-related falsification</w:t>
            </w:r>
          </w:p>
        </w:tc>
        <w:tc>
          <w:tcPr>
            <w:tcW w:type="dxa" w:w="5726"/>
          </w:tcPr>
          <w:p>
            <w:pPr>
              <w:spacing w:after="40" w:before="40"/>
            </w:pPr>
            <w:r/>
            <w:r>
              <w:rPr>
                <w:rFonts w:ascii="Cambria" w:hAnsi="Cambria"/>
                <w:b w:val="0"/>
                <w:i w:val="0"/>
                <w:sz w:val="22"/>
              </w:rPr>
              <w:t>Submitting incorrect or forged information regarding name, date of birth, parentage, or address.</w:t>
            </w:r>
          </w:p>
        </w:tc>
      </w:tr>
      <w:tr>
        <w:tc>
          <w:tcPr>
            <w:tcW w:type="dxa" w:w="3685"/>
            <w:shd w:val="clear" w:color="auto" w:fill="F0F2F5"/>
          </w:tcPr>
          <w:p>
            <w:pPr>
              <w:spacing w:after="40" w:before="40"/>
            </w:pPr>
            <w:r/>
            <w:r>
              <w:rPr>
                <w:rFonts w:ascii="Cambria" w:hAnsi="Cambria"/>
                <w:b w:val="0"/>
                <w:i w:val="0"/>
                <w:sz w:val="22"/>
              </w:rPr>
              <w:t>Academic fraud</w:t>
            </w:r>
          </w:p>
        </w:tc>
        <w:tc>
          <w:tcPr>
            <w:tcW w:type="dxa" w:w="5726"/>
            <w:shd w:val="clear" w:color="auto" w:fill="F0F2F5"/>
          </w:tcPr>
          <w:p>
            <w:pPr>
              <w:spacing w:after="40" w:before="40"/>
            </w:pPr>
            <w:r/>
            <w:r>
              <w:rPr>
                <w:rFonts w:ascii="Cambria" w:hAnsi="Cambria"/>
                <w:b w:val="0"/>
                <w:i w:val="0"/>
                <w:sz w:val="22"/>
              </w:rPr>
              <w:t>Producing forged or altered mark sheets, degree certificates, or professional credentials.</w:t>
            </w:r>
          </w:p>
        </w:tc>
      </w:tr>
      <w:tr>
        <w:tc>
          <w:tcPr>
            <w:tcW w:type="dxa" w:w="3685"/>
          </w:tcPr>
          <w:p>
            <w:pPr>
              <w:spacing w:after="40" w:before="40"/>
            </w:pPr>
            <w:r/>
            <w:r>
              <w:rPr>
                <w:rFonts w:ascii="Cambria" w:hAnsi="Cambria"/>
                <w:b w:val="0"/>
                <w:i w:val="0"/>
                <w:sz w:val="22"/>
              </w:rPr>
              <w:t>Experience misstatement</w:t>
            </w:r>
          </w:p>
        </w:tc>
        <w:tc>
          <w:tcPr>
            <w:tcW w:type="dxa" w:w="5726"/>
          </w:tcPr>
          <w:p>
            <w:pPr>
              <w:spacing w:after="40" w:before="40"/>
            </w:pPr>
            <w:r/>
            <w:r>
              <w:rPr>
                <w:rFonts w:ascii="Cambria" w:hAnsi="Cambria"/>
                <w:b w:val="0"/>
                <w:i w:val="0"/>
                <w:sz w:val="22"/>
              </w:rPr>
              <w:t>Inflating duration or nature of previous employment, or providing false reference letters.</w:t>
            </w:r>
          </w:p>
        </w:tc>
      </w:tr>
      <w:tr>
        <w:tc>
          <w:tcPr>
            <w:tcW w:type="dxa" w:w="3685"/>
            <w:shd w:val="clear" w:color="auto" w:fill="F0F2F5"/>
          </w:tcPr>
          <w:p>
            <w:pPr>
              <w:spacing w:after="40" w:before="40"/>
            </w:pPr>
            <w:r/>
            <w:r>
              <w:rPr>
                <w:rFonts w:ascii="Cambria" w:hAnsi="Cambria"/>
                <w:b w:val="0"/>
                <w:i w:val="0"/>
                <w:sz w:val="22"/>
              </w:rPr>
              <w:t>Skill / ability misrepresentation</w:t>
            </w:r>
          </w:p>
        </w:tc>
        <w:tc>
          <w:tcPr>
            <w:tcW w:type="dxa" w:w="5726"/>
            <w:shd w:val="clear" w:color="auto" w:fill="F0F2F5"/>
          </w:tcPr>
          <w:p>
            <w:pPr>
              <w:spacing w:after="40" w:before="40"/>
            </w:pPr>
            <w:r/>
            <w:r>
              <w:rPr>
                <w:rFonts w:ascii="Cambria" w:hAnsi="Cambria"/>
                <w:b w:val="0"/>
                <w:i w:val="0"/>
                <w:sz w:val="22"/>
              </w:rPr>
              <w:t>Claiming technical or professional expertise that is unverified or false.</w:t>
            </w:r>
          </w:p>
        </w:tc>
      </w:tr>
      <w:tr>
        <w:tc>
          <w:tcPr>
            <w:tcW w:type="dxa" w:w="3685"/>
          </w:tcPr>
          <w:p>
            <w:pPr>
              <w:spacing w:after="40" w:before="40"/>
            </w:pPr>
            <w:r/>
            <w:r>
              <w:rPr>
                <w:rFonts w:ascii="Cambria" w:hAnsi="Cambria"/>
                <w:b w:val="0"/>
                <w:i w:val="0"/>
                <w:sz w:val="22"/>
              </w:rPr>
              <w:t>Service-related deception</w:t>
            </w:r>
          </w:p>
        </w:tc>
        <w:tc>
          <w:tcPr>
            <w:tcW w:type="dxa" w:w="5726"/>
          </w:tcPr>
          <w:p>
            <w:pPr>
              <w:spacing w:after="40" w:before="40"/>
            </w:pPr>
            <w:r/>
            <w:r>
              <w:rPr>
                <w:rFonts w:ascii="Cambria" w:hAnsi="Cambria"/>
                <w:b w:val="0"/>
                <w:i w:val="0"/>
                <w:sz w:val="22"/>
              </w:rPr>
              <w:t>Concealing previous termination, disciplinary action, or criminal record.</w:t>
            </w:r>
          </w:p>
        </w:tc>
      </w:tr>
      <w:tr>
        <w:tc>
          <w:tcPr>
            <w:tcW w:type="dxa" w:w="3685"/>
            <w:shd w:val="clear" w:color="auto" w:fill="F0F2F5"/>
          </w:tcPr>
          <w:p>
            <w:pPr>
              <w:spacing w:after="40" w:before="40"/>
            </w:pPr>
            <w:r/>
            <w:r>
              <w:rPr>
                <w:rFonts w:ascii="Cambria" w:hAnsi="Cambria"/>
                <w:b w:val="0"/>
                <w:i w:val="0"/>
                <w:sz w:val="22"/>
              </w:rPr>
              <w:t>In-service falsification</w:t>
            </w:r>
          </w:p>
        </w:tc>
        <w:tc>
          <w:tcPr>
            <w:tcW w:type="dxa" w:w="5726"/>
            <w:shd w:val="clear" w:color="auto" w:fill="F0F2F5"/>
          </w:tcPr>
          <w:p>
            <w:pPr>
              <w:spacing w:after="40" w:before="40"/>
            </w:pPr>
            <w:r/>
            <w:r>
              <w:rPr>
                <w:rFonts w:ascii="Cambria" w:hAnsi="Cambria"/>
                <w:b w:val="0"/>
                <w:i w:val="0"/>
                <w:sz w:val="22"/>
              </w:rPr>
              <w:t>Providing incorrect information during appraisal, promotion, or leave applications.</w:t>
            </w:r>
          </w:p>
        </w:tc>
      </w:tr>
    </w:tbl>
    <w:p>
      <w:pPr>
        <w:spacing w:after="40"/>
      </w:pPr>
    </w:p>
    <w:p>
      <w:r>
        <w:rPr>
          <w:rFonts w:ascii="Cambria" w:hAnsi="Cambria"/>
          <w:b/>
          <w:i w:val="0"/>
          <w:sz w:val="22"/>
        </w:rPr>
        <w:t>3. CONSEQUENCES AND PENALTIES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Stage of Discovery</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Before appointment confirmation</w:t>
            </w:r>
          </w:p>
        </w:tc>
        <w:tc>
          <w:tcPr>
            <w:tcW w:type="dxa" w:w="5726"/>
          </w:tcPr>
          <w:p>
            <w:pPr>
              <w:spacing w:after="40" w:before="40"/>
            </w:pPr>
            <w:r/>
            <w:r>
              <w:rPr>
                <w:rFonts w:ascii="Cambria" w:hAnsi="Cambria"/>
                <w:b w:val="0"/>
                <w:i w:val="0"/>
                <w:sz w:val="22"/>
              </w:rPr>
              <w:t>Cancellation of appointment offer or withdrawal of selection order.</w:t>
            </w:r>
          </w:p>
        </w:tc>
      </w:tr>
      <w:tr>
        <w:tc>
          <w:tcPr>
            <w:tcW w:type="dxa" w:w="3685"/>
            <w:shd w:val="clear" w:color="auto" w:fill="F0F2F5"/>
          </w:tcPr>
          <w:p>
            <w:pPr>
              <w:spacing w:after="40" w:before="40"/>
            </w:pPr>
            <w:r/>
            <w:r>
              <w:rPr>
                <w:rFonts w:ascii="Cambria" w:hAnsi="Cambria"/>
                <w:b w:val="0"/>
                <w:i w:val="0"/>
                <w:sz w:val="22"/>
              </w:rPr>
              <w:t>After joining but before confirmation</w:t>
            </w:r>
          </w:p>
        </w:tc>
        <w:tc>
          <w:tcPr>
            <w:tcW w:type="dxa" w:w="5726"/>
            <w:shd w:val="clear" w:color="auto" w:fill="F0F2F5"/>
          </w:tcPr>
          <w:p>
            <w:pPr>
              <w:spacing w:after="40" w:before="40"/>
            </w:pPr>
            <w:r/>
            <w:r>
              <w:rPr>
                <w:rFonts w:ascii="Cambria" w:hAnsi="Cambria"/>
                <w:b w:val="0"/>
                <w:i w:val="0"/>
                <w:sz w:val="22"/>
              </w:rPr>
              <w:t>Immediate termination of service without notice and forfeiture of salary and benefits.</w:t>
            </w:r>
          </w:p>
        </w:tc>
      </w:tr>
      <w:tr>
        <w:tc>
          <w:tcPr>
            <w:tcW w:type="dxa" w:w="3685"/>
          </w:tcPr>
          <w:p>
            <w:pPr>
              <w:spacing w:after="40" w:before="40"/>
            </w:pPr>
            <w:r/>
            <w:r>
              <w:rPr>
                <w:rFonts w:ascii="Cambria" w:hAnsi="Cambria"/>
                <w:b w:val="0"/>
                <w:i w:val="0"/>
                <w:sz w:val="22"/>
              </w:rPr>
              <w:t>After confirmation or during service</w:t>
            </w:r>
          </w:p>
        </w:tc>
        <w:tc>
          <w:tcPr>
            <w:tcW w:type="dxa" w:w="5726"/>
          </w:tcPr>
          <w:p>
            <w:pPr>
              <w:spacing w:after="40" w:before="40"/>
            </w:pPr>
            <w:r/>
            <w:r>
              <w:rPr>
                <w:rFonts w:ascii="Cambria" w:hAnsi="Cambria"/>
                <w:b w:val="0"/>
                <w:i w:val="0"/>
                <w:sz w:val="22"/>
              </w:rPr>
              <w:t>Major penalty — dismissal from service for misconduct involving moral turpitude and loss of trust.</w:t>
            </w:r>
          </w:p>
        </w:tc>
      </w:tr>
      <w:tr>
        <w:tc>
          <w:tcPr>
            <w:tcW w:type="dxa" w:w="3685"/>
            <w:shd w:val="clear" w:color="auto" w:fill="F0F2F5"/>
          </w:tcPr>
          <w:p>
            <w:pPr>
              <w:spacing w:after="40" w:before="40"/>
            </w:pPr>
            <w:r/>
            <w:r>
              <w:rPr>
                <w:rFonts w:ascii="Cambria" w:hAnsi="Cambria"/>
                <w:b w:val="0"/>
                <w:i w:val="0"/>
                <w:sz w:val="22"/>
              </w:rPr>
              <w:t>If discovered post-retirement</w:t>
            </w:r>
          </w:p>
        </w:tc>
        <w:tc>
          <w:tcPr>
            <w:tcW w:type="dxa" w:w="5726"/>
            <w:shd w:val="clear" w:color="auto" w:fill="F0F2F5"/>
          </w:tcPr>
          <w:p>
            <w:pPr>
              <w:spacing w:after="40" w:before="40"/>
            </w:pPr>
            <w:r/>
            <w:r>
              <w:rPr>
                <w:rFonts w:ascii="Cambria" w:hAnsi="Cambria"/>
                <w:b w:val="0"/>
                <w:i w:val="0"/>
                <w:sz w:val="22"/>
              </w:rPr>
              <w:t>The University reserves the right to withdraw pensionary or post-retirement benefits and initiate legal proceedings if fraud is proven.</w:t>
            </w:r>
          </w:p>
        </w:tc>
      </w:tr>
    </w:tbl>
    <w:p>
      <w:pPr>
        <w:spacing w:after="40"/>
      </w:pPr>
    </w:p>
    <w:p>
      <w:r>
        <w:rPr>
          <w:rFonts w:ascii="Cambria" w:hAnsi="Cambria"/>
          <w:b/>
          <w:i w:val="0"/>
          <w:sz w:val="22"/>
        </w:rPr>
        <w:t>4. PROCEDURAL REQUIREMENTS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Description</w:t>
            </w:r>
          </w:p>
        </w:tc>
      </w:tr>
      <w:tr>
        <w:tc>
          <w:tcPr>
            <w:tcW w:type="dxa" w:w="3685"/>
          </w:tcPr>
          <w:p>
            <w:pPr>
              <w:spacing w:after="40" w:before="40"/>
            </w:pPr>
            <w:r/>
            <w:r>
              <w:rPr>
                <w:rFonts w:ascii="Cambria" w:hAnsi="Cambria"/>
                <w:b w:val="0"/>
                <w:i w:val="0"/>
                <w:sz w:val="22"/>
              </w:rPr>
              <w:t>1. Verification Process</w:t>
            </w:r>
          </w:p>
        </w:tc>
        <w:tc>
          <w:tcPr>
            <w:tcW w:type="dxa" w:w="5726"/>
          </w:tcPr>
          <w:p>
            <w:pPr>
              <w:spacing w:after="40" w:before="40"/>
            </w:pPr>
            <w:r/>
            <w:r>
              <w:rPr>
                <w:rFonts w:ascii="Cambria" w:hAnsi="Cambria"/>
                <w:b w:val="0"/>
                <w:i w:val="0"/>
                <w:sz w:val="22"/>
              </w:rPr>
              <w:t>All documents submitted at the time of appointment shall be verified for authenticity by HR/Establishment section.</w:t>
            </w:r>
          </w:p>
        </w:tc>
      </w:tr>
      <w:tr>
        <w:tc>
          <w:tcPr>
            <w:tcW w:type="dxa" w:w="3685"/>
            <w:shd w:val="clear" w:color="auto" w:fill="F0F2F5"/>
          </w:tcPr>
          <w:p>
            <w:pPr>
              <w:spacing w:after="40" w:before="40"/>
            </w:pPr>
            <w:r/>
            <w:r>
              <w:rPr>
                <w:rFonts w:ascii="Cambria" w:hAnsi="Cambria"/>
                <w:b w:val="0"/>
                <w:i w:val="0"/>
                <w:sz w:val="22"/>
              </w:rPr>
              <w:t>2. Detection of Fraud</w:t>
            </w:r>
          </w:p>
        </w:tc>
        <w:tc>
          <w:tcPr>
            <w:tcW w:type="dxa" w:w="5726"/>
            <w:shd w:val="clear" w:color="auto" w:fill="F0F2F5"/>
          </w:tcPr>
          <w:p>
            <w:pPr>
              <w:spacing w:after="40" w:before="40"/>
            </w:pPr>
            <w:r/>
            <w:r>
              <w:rPr>
                <w:rFonts w:ascii="Cambria" w:hAnsi="Cambria"/>
                <w:b w:val="0"/>
                <w:i w:val="0"/>
                <w:sz w:val="22"/>
              </w:rPr>
              <w:t>On suspicion or discovery of falsification, the case shall be reported to the Registrar, who will initiate a preliminary inquiry.</w:t>
            </w:r>
          </w:p>
        </w:tc>
      </w:tr>
      <w:tr>
        <w:tc>
          <w:tcPr>
            <w:tcW w:type="dxa" w:w="3685"/>
          </w:tcPr>
          <w:p>
            <w:pPr>
              <w:spacing w:after="40" w:before="40"/>
            </w:pPr>
            <w:r/>
            <w:r>
              <w:rPr>
                <w:rFonts w:ascii="Cambria" w:hAnsi="Cambria"/>
                <w:b w:val="0"/>
                <w:i w:val="0"/>
                <w:sz w:val="22"/>
              </w:rPr>
              <w:t>3. Formal Action</w:t>
            </w:r>
          </w:p>
        </w:tc>
        <w:tc>
          <w:tcPr>
            <w:tcW w:type="dxa" w:w="5726"/>
          </w:tcPr>
          <w:p>
            <w:pPr>
              <w:spacing w:after="40" w:before="40"/>
            </w:pPr>
            <w:r/>
            <w:r>
              <w:rPr>
                <w:rFonts w:ascii="Cambria" w:hAnsi="Cambria"/>
                <w:b w:val="0"/>
                <w:i w:val="0"/>
                <w:sz w:val="22"/>
              </w:rPr>
              <w:t>The employee shall be given an opportunity to explain, failing which disciplinary proceedings will commence under the Conduct Rules.</w:t>
            </w:r>
          </w:p>
        </w:tc>
      </w:tr>
      <w:tr>
        <w:tc>
          <w:tcPr>
            <w:tcW w:type="dxa" w:w="3685"/>
            <w:shd w:val="clear" w:color="auto" w:fill="F0F2F5"/>
          </w:tcPr>
          <w:p>
            <w:pPr>
              <w:spacing w:after="40" w:before="40"/>
            </w:pPr>
            <w:r/>
            <w:r>
              <w:rPr>
                <w:rFonts w:ascii="Cambria" w:hAnsi="Cambria"/>
                <w:b w:val="0"/>
                <w:i w:val="0"/>
                <w:sz w:val="22"/>
              </w:rPr>
              <w:t>4. Legal Recourse</w:t>
            </w:r>
          </w:p>
        </w:tc>
        <w:tc>
          <w:tcPr>
            <w:tcW w:type="dxa" w:w="5726"/>
            <w:shd w:val="clear" w:color="auto" w:fill="F0F2F5"/>
          </w:tcPr>
          <w:p>
            <w:pPr>
              <w:spacing w:after="40" w:before="40"/>
            </w:pPr>
            <w:r/>
            <w:r>
              <w:rPr>
                <w:rFonts w:ascii="Cambria" w:hAnsi="Cambria"/>
                <w:b w:val="0"/>
                <w:i w:val="0"/>
                <w:sz w:val="22"/>
              </w:rPr>
              <w:t>In cases involving forged documents or impersonation, the University shall file a formal police complaint under relevant penal provisions.</w:t>
            </w:r>
          </w:p>
        </w:tc>
      </w:tr>
    </w:tbl>
    <w:p>
      <w:pPr>
        <w:spacing w:after="40"/>
      </w:pPr>
    </w:p>
    <w:p>
      <w:r>
        <w:rPr>
          <w:rFonts w:ascii="Cambria" w:hAnsi="Cambria"/>
          <w:b/>
          <w:i w:val="0"/>
          <w:sz w:val="22"/>
        </w:rPr>
        <w:t>5. IMPACT ON SERVICE RECORD</w:t>
      </w:r>
    </w:p>
    <w:p>
      <w:pPr>
        <w:pStyle w:val="ListBullet"/>
        <w:spacing w:line="276" w:lineRule="auto"/>
        <w:ind w:left="510"/>
      </w:pPr>
      <w:r>
        <w:rPr>
          <w:rFonts w:ascii="Cambria" w:hAnsi="Cambria"/>
          <w:b w:val="0"/>
          <w:i w:val="0"/>
          <w:sz w:val="22"/>
        </w:rPr>
        <w:t>Any confirmed instance of false information or document forgery shall:</w:t>
      </w:r>
    </w:p>
    <w:p>
      <w:pPr>
        <w:pStyle w:val="ListBullet2"/>
        <w:spacing w:line="276" w:lineRule="auto"/>
        <w:ind w:left="1020"/>
      </w:pPr>
      <w:r>
        <w:rPr>
          <w:rFonts w:ascii="Cambria" w:hAnsi="Cambria"/>
          <w:b w:val="0"/>
          <w:i w:val="0"/>
          <w:sz w:val="22"/>
        </w:rPr>
        <w:t>Result in deletion of the employee’s service from official records,</w:t>
      </w:r>
    </w:p>
    <w:p>
      <w:pPr>
        <w:pStyle w:val="ListBullet2"/>
        <w:spacing w:line="276" w:lineRule="auto"/>
        <w:ind w:left="1020"/>
      </w:pPr>
      <w:r>
        <w:rPr>
          <w:rFonts w:ascii="Cambria" w:hAnsi="Cambria"/>
          <w:b w:val="0"/>
          <w:i w:val="0"/>
          <w:sz w:val="22"/>
        </w:rPr>
        <w:t>Disqualify the individual from future employment in the University, and</w:t>
      </w:r>
    </w:p>
    <w:p>
      <w:pPr>
        <w:pStyle w:val="ListBullet2"/>
        <w:spacing w:line="276" w:lineRule="auto"/>
        <w:ind w:left="1020"/>
      </w:pPr>
      <w:r>
        <w:rPr>
          <w:rFonts w:ascii="Cambria" w:hAnsi="Cambria"/>
          <w:b w:val="0"/>
          <w:i w:val="0"/>
          <w:sz w:val="22"/>
        </w:rPr>
        <w:t>Lead to forfeiture of benefits, increments, and service continuity.</w:t>
      </w:r>
    </w:p>
    <w:p>
      <w:r>
        <w:rPr>
          <w:rFonts w:ascii="Cambria" w:hAnsi="Cambria"/>
          <w:b/>
          <w:i w:val="0"/>
          <w:sz w:val="22"/>
        </w:rPr>
        <w:t>6. POLICY PRINCIPLES</w:t>
      </w:r>
    </w:p>
    <w:p>
      <w:pPr>
        <w:pStyle w:val="ListBullet"/>
        <w:spacing w:line="276" w:lineRule="auto"/>
        <w:ind w:left="510"/>
      </w:pPr>
      <w:r>
        <w:rPr>
          <w:rFonts w:ascii="Cambria" w:hAnsi="Cambria"/>
          <w:b w:val="0"/>
          <w:i w:val="0"/>
          <w:sz w:val="22"/>
        </w:rPr>
        <w:t>Employment in the University is based on trust, merit, and verifiable credentials.</w:t>
      </w:r>
    </w:p>
    <w:p>
      <w:pPr>
        <w:pStyle w:val="ListBullet"/>
        <w:spacing w:line="276" w:lineRule="auto"/>
        <w:ind w:left="510"/>
      </w:pPr>
      <w:r>
        <w:rPr>
          <w:rFonts w:ascii="Cambria" w:hAnsi="Cambria"/>
          <w:b w:val="0"/>
          <w:i w:val="0"/>
          <w:sz w:val="22"/>
        </w:rPr>
        <w:t>Any form of deceit or misrepresentation undermines institutional integrity and is treated as gross misconduct.</w:t>
      </w:r>
    </w:p>
    <w:p>
      <w:pPr>
        <w:pStyle w:val="ListBullet"/>
        <w:spacing w:line="276" w:lineRule="auto"/>
        <w:ind w:left="510"/>
      </w:pPr>
      <w:r>
        <w:rPr>
          <w:rFonts w:ascii="Cambria" w:hAnsi="Cambria"/>
          <w:b w:val="0"/>
          <w:i w:val="0"/>
          <w:sz w:val="22"/>
        </w:rPr>
        <w:t>The University shall ensure rigorous verification at recruitment and throughout service tenure.</w:t>
      </w:r>
    </w:p>
    <w:p>
      <w:pPr>
        <w:pStyle w:val="ListBullet"/>
        <w:spacing w:line="276" w:lineRule="auto"/>
        <w:ind w:left="510"/>
      </w:pPr>
      <w:r>
        <w:rPr>
          <w:rFonts w:ascii="Cambria" w:hAnsi="Cambria"/>
          <w:b w:val="0"/>
          <w:i w:val="0"/>
          <w:sz w:val="22"/>
        </w:rPr>
        <w:t>The Board of Management (BoM) shall be the final authority for deciding on cases, interpretations, and appeals arising under this rule.</w:t>
      </w:r>
    </w:p>
    <w:p>
      <w:pPr>
        <w:keepNext/>
        <w:spacing w:before="200" w:after="120"/>
      </w:pPr>
      <w:r>
        <w:rPr>
          <w:rFonts w:ascii="Cambria" w:hAnsi="Cambria"/>
          <w:b/>
          <w:color w:val="1F3A5F"/>
          <w:sz w:val="27"/>
        </w:rPr>
        <w:t>Policy on Acts Prejudicial to the Interests of the Institution</w:t>
      </w:r>
    </w:p>
    <w:p>
      <w:r>
        <w:rPr>
          <w:rFonts w:ascii="Cambria" w:hAnsi="Cambria"/>
          <w:b/>
          <w:i w:val="0"/>
          <w:sz w:val="22"/>
        </w:rPr>
        <w:t>I. PURPOSE</w:t>
      </w:r>
    </w:p>
    <w:p>
      <w:pPr>
        <w:pStyle w:val="ListBullet"/>
        <w:spacing w:line="276" w:lineRule="auto"/>
        <w:ind w:left="510"/>
      </w:pPr>
      <w:r>
        <w:rPr>
          <w:rFonts w:ascii="Cambria" w:hAnsi="Cambria"/>
          <w:b w:val="0"/>
          <w:i w:val="0"/>
          <w:sz w:val="22"/>
        </w:rPr>
        <w:t>To preserve the reputation, integrity, and operational stability of the University by prohibiting any behavior or action that undermines its interests.</w:t>
      </w:r>
    </w:p>
    <w:p>
      <w:pPr>
        <w:pStyle w:val="ListBullet"/>
        <w:spacing w:line="276" w:lineRule="auto"/>
        <w:ind w:left="510"/>
      </w:pPr>
      <w:r>
        <w:rPr>
          <w:rFonts w:ascii="Cambria" w:hAnsi="Cambria"/>
          <w:b w:val="0"/>
          <w:i w:val="0"/>
          <w:sz w:val="22"/>
        </w:rPr>
        <w:t>To define what constitutes prejudicial conduct, and to outline the disciplinary consequences for such actions.</w:t>
      </w:r>
    </w:p>
    <w:p>
      <w:pPr>
        <w:pStyle w:val="ListBullet"/>
        <w:spacing w:line="276" w:lineRule="auto"/>
        <w:ind w:left="510"/>
      </w:pPr>
      <w:r>
        <w:rPr>
          <w:rFonts w:ascii="Cambria" w:hAnsi="Cambria"/>
          <w:b w:val="0"/>
          <w:i w:val="0"/>
          <w:sz w:val="22"/>
        </w:rPr>
        <w:t>To ensure that all employees demonstrate loyalty, responsibility, and professionalism in upholding the institutional mission and values.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act in any manner prejudicial to the interests of the University or its stakeholders, whether directly or indirectly, by conduct, communication, or association.</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forms of professional, personal, or public behavior that may harm the reputation, disrupt operations, or compromise the functioning of the University.</w:t>
            </w:r>
          </w:p>
        </w:tc>
      </w:tr>
      <w:tr>
        <w:tc>
          <w:tcPr>
            <w:tcW w:type="dxa" w:w="3685"/>
          </w:tcPr>
          <w:p>
            <w:pPr>
              <w:spacing w:after="40" w:before="40"/>
            </w:pPr>
            <w:r/>
            <w:r>
              <w:rPr>
                <w:rFonts w:ascii="Cambria" w:hAnsi="Cambria"/>
                <w:b w:val="0"/>
                <w:i w:val="0"/>
                <w:sz w:val="22"/>
              </w:rPr>
              <w:t>Binding Nature</w:t>
            </w:r>
          </w:p>
        </w:tc>
        <w:tc>
          <w:tcPr>
            <w:tcW w:type="dxa" w:w="5726"/>
          </w:tcPr>
          <w:p>
            <w:pPr>
              <w:spacing w:after="40" w:before="40"/>
            </w:pPr>
            <w:r/>
            <w:r>
              <w:rPr>
                <w:rFonts w:ascii="Cambria" w:hAnsi="Cambria"/>
                <w:b w:val="0"/>
                <w:i w:val="0"/>
                <w:sz w:val="22"/>
              </w:rPr>
              <w:t>The obligation to act in the University’s best interest extends throughout the employee’s service and, in certain cases, beyond employment where institutional data or reputation are concerned.</w:t>
            </w:r>
          </w:p>
        </w:tc>
      </w:tr>
    </w:tbl>
    <w:p>
      <w:pPr>
        <w:spacing w:after="40"/>
      </w:pPr>
    </w:p>
    <w:p>
      <w:r>
        <w:rPr>
          <w:rFonts w:ascii="Cambria" w:hAnsi="Cambria"/>
          <w:b/>
          <w:i w:val="0"/>
          <w:sz w:val="22"/>
        </w:rPr>
        <w:t>2. ILLUSTRATIVE ACTS CONSIDERED PREJUDICIAL</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Prohibited Actions</w:t>
            </w:r>
          </w:p>
        </w:tc>
      </w:tr>
      <w:tr>
        <w:tc>
          <w:tcPr>
            <w:tcW w:type="dxa" w:w="3685"/>
          </w:tcPr>
          <w:p>
            <w:pPr>
              <w:spacing w:after="40" w:before="40"/>
            </w:pPr>
            <w:r/>
            <w:r>
              <w:rPr>
                <w:rFonts w:ascii="Cambria" w:hAnsi="Cambria"/>
                <w:b w:val="0"/>
                <w:i w:val="0"/>
                <w:sz w:val="22"/>
              </w:rPr>
              <w:t>Professional Misconduct</w:t>
            </w:r>
          </w:p>
        </w:tc>
        <w:tc>
          <w:tcPr>
            <w:tcW w:type="dxa" w:w="5726"/>
          </w:tcPr>
          <w:p>
            <w:pPr>
              <w:spacing w:after="40" w:before="40"/>
            </w:pPr>
            <w:r/>
            <w:r>
              <w:rPr>
                <w:rFonts w:ascii="Cambria" w:hAnsi="Cambria"/>
                <w:b w:val="0"/>
                <w:i w:val="0"/>
                <w:sz w:val="22"/>
              </w:rPr>
              <w:t>Sharing confidential University information with external parties.</w:t>
            </w:r>
          </w:p>
        </w:tc>
      </w:tr>
    </w:tbl>
    <w:p>
      <w:pPr>
        <w:spacing w:after="40"/>
      </w:pPr>
    </w:p>
    <w:p>
      <w:pPr>
        <w:pStyle w:val="ListBullet"/>
        <w:spacing w:line="276" w:lineRule="auto"/>
        <w:ind w:left="510"/>
      </w:pPr>
      <w:r>
        <w:rPr>
          <w:rFonts w:ascii="Cambria" w:hAnsi="Cambria"/>
          <w:b w:val="0"/>
          <w:i w:val="0"/>
          <w:sz w:val="22"/>
        </w:rPr>
        <w:t>Misuse of institutional property, funds, or resources.</w:t>
      </w:r>
    </w:p>
    <w:p>
      <w:pPr>
        <w:pStyle w:val="ListBullet"/>
        <w:spacing w:line="276" w:lineRule="auto"/>
        <w:ind w:left="510"/>
      </w:pPr>
      <w:r>
        <w:rPr>
          <w:rFonts w:ascii="Cambria" w:hAnsi="Cambria"/>
          <w:b w:val="0"/>
          <w:i w:val="0"/>
          <w:sz w:val="22"/>
        </w:rPr>
        <w:t>Negligence leading to loss or damage of University assets.</w:t>
      </w:r>
    </w:p>
    <w:p>
      <w:pPr>
        <w:pStyle w:val="ListBullet"/>
        <w:spacing w:line="276" w:lineRule="auto"/>
        <w:ind w:left="510"/>
      </w:pPr>
      <w:r>
        <w:rPr>
          <w:rFonts w:ascii="Cambria" w:hAnsi="Cambria"/>
          <w:b w:val="0"/>
          <w:i w:val="0"/>
          <w:sz w:val="22"/>
        </w:rPr>
        <w:t>Undermining the authority of superiors or the governing body.</w:t>
      </w:r>
    </w:p>
    <w:p>
      <w:r>
        <w:rPr>
          <w:rFonts w:ascii="Cambria" w:hAnsi="Cambria"/>
          <w:b/>
          <w:i w:val="0"/>
          <w:sz w:val="22"/>
        </w:rPr>
        <w:t>Reputational Damage</w:t>
      </w:r>
    </w:p>
    <w:p>
      <w:pPr>
        <w:pStyle w:val="ListBullet"/>
        <w:spacing w:line="276" w:lineRule="auto"/>
        <w:ind w:left="510"/>
      </w:pPr>
      <w:r>
        <w:rPr>
          <w:rFonts w:ascii="Cambria" w:hAnsi="Cambria"/>
          <w:b w:val="0"/>
          <w:i w:val="0"/>
          <w:sz w:val="22"/>
        </w:rPr>
        <w:t>Making false or defamatory statements about the University in public, print, or social media.</w:t>
      </w:r>
    </w:p>
    <w:p>
      <w:pPr>
        <w:pStyle w:val="ListBullet"/>
        <w:spacing w:line="276" w:lineRule="auto"/>
        <w:ind w:left="510"/>
      </w:pPr>
      <w:r>
        <w:rPr>
          <w:rFonts w:ascii="Cambria" w:hAnsi="Cambria"/>
          <w:b w:val="0"/>
          <w:i w:val="0"/>
          <w:sz w:val="22"/>
        </w:rPr>
        <w:t>Associating the University’s name with unauthorized events, organizations, or controversies.</w:t>
      </w:r>
    </w:p>
    <w:p>
      <w:pPr>
        <w:pStyle w:val="ListBullet"/>
        <w:spacing w:line="276" w:lineRule="auto"/>
        <w:ind w:left="510"/>
      </w:pPr>
      <w:r>
        <w:rPr>
          <w:rFonts w:ascii="Cambria" w:hAnsi="Cambria"/>
          <w:b w:val="0"/>
          <w:i w:val="0"/>
          <w:sz w:val="22"/>
        </w:rPr>
        <w:t>Spreading misinformation that harms the University’s image.</w:t>
      </w:r>
    </w:p>
    <w:p>
      <w:r>
        <w:rPr>
          <w:rFonts w:ascii="Cambria" w:hAnsi="Cambria"/>
          <w:b/>
          <w:i w:val="0"/>
          <w:sz w:val="22"/>
        </w:rPr>
        <w:t>Conflict of Interest</w:t>
      </w:r>
    </w:p>
    <w:p>
      <w:pPr>
        <w:pStyle w:val="ListBullet"/>
        <w:spacing w:line="276" w:lineRule="auto"/>
        <w:ind w:left="510"/>
      </w:pPr>
      <w:r>
        <w:rPr>
          <w:rFonts w:ascii="Cambria" w:hAnsi="Cambria"/>
          <w:b w:val="0"/>
          <w:i w:val="0"/>
          <w:sz w:val="22"/>
        </w:rPr>
        <w:t>Engaging in activities or employment that conflict with official duties.</w:t>
      </w:r>
    </w:p>
    <w:p>
      <w:pPr>
        <w:pStyle w:val="ListBullet"/>
        <w:spacing w:line="276" w:lineRule="auto"/>
        <w:ind w:left="510"/>
      </w:pPr>
      <w:r>
        <w:rPr>
          <w:rFonts w:ascii="Cambria" w:hAnsi="Cambria"/>
          <w:b w:val="0"/>
          <w:i w:val="0"/>
          <w:sz w:val="22"/>
        </w:rPr>
        <w:t>Using University position or influence for personal or external benefit.</w:t>
      </w:r>
    </w:p>
    <w:p>
      <w:r>
        <w:rPr>
          <w:rFonts w:ascii="Cambria" w:hAnsi="Cambria"/>
          <w:b/>
          <w:i w:val="0"/>
          <w:sz w:val="22"/>
        </w:rPr>
        <w:t>Operational Disruption</w:t>
      </w:r>
    </w:p>
    <w:p>
      <w:pPr>
        <w:pStyle w:val="ListBullet"/>
        <w:spacing w:line="276" w:lineRule="auto"/>
        <w:ind w:left="510"/>
      </w:pPr>
      <w:r>
        <w:rPr>
          <w:rFonts w:ascii="Cambria" w:hAnsi="Cambria"/>
          <w:b w:val="0"/>
          <w:i w:val="0"/>
          <w:sz w:val="22"/>
        </w:rPr>
        <w:t>Inciting students or staff against the administration.</w:t>
      </w:r>
    </w:p>
    <w:p>
      <w:pPr>
        <w:pStyle w:val="ListBullet"/>
        <w:spacing w:line="276" w:lineRule="auto"/>
        <w:ind w:left="510"/>
      </w:pPr>
      <w:r>
        <w:rPr>
          <w:rFonts w:ascii="Cambria" w:hAnsi="Cambria"/>
          <w:b w:val="0"/>
          <w:i w:val="0"/>
          <w:sz w:val="22"/>
        </w:rPr>
        <w:t>Participating in or encouraging strikes, protests, or non-cooperation movements within the campus.</w:t>
      </w:r>
    </w:p>
    <w:p>
      <w:pPr>
        <w:pStyle w:val="ListBullet"/>
        <w:spacing w:line="276" w:lineRule="auto"/>
        <w:ind w:left="510"/>
      </w:pPr>
      <w:r>
        <w:rPr>
          <w:rFonts w:ascii="Cambria" w:hAnsi="Cambria"/>
          <w:b w:val="0"/>
          <w:i w:val="0"/>
          <w:sz w:val="22"/>
        </w:rPr>
        <w:t>Refusing to perform assigned duties without justification.</w:t>
      </w:r>
    </w:p>
    <w:p>
      <w:r>
        <w:rPr>
          <w:rFonts w:ascii="Cambria" w:hAnsi="Cambria"/>
          <w:b/>
          <w:i w:val="0"/>
          <w:sz w:val="22"/>
        </w:rPr>
        <w:t>3. DISCIPLINARY ACTIONS AND PENALTIES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Severity of Misconduct</w:t>
            </w:r>
          </w:p>
        </w:tc>
        <w:tc>
          <w:tcPr>
            <w:tcW w:type="dxa" w:w="5726"/>
            <w:shd w:val="clear" w:color="auto" w:fill="1F3A5F"/>
          </w:tcPr>
          <w:p>
            <w:pPr>
              <w:spacing w:after="40" w:before="40"/>
            </w:pPr>
            <w:r/>
            <w:r>
              <w:rPr>
                <w:rFonts w:ascii="Cambria" w:hAnsi="Cambria"/>
                <w:b/>
                <w:i w:val="0"/>
                <w:color w:val="FFFFFF"/>
                <w:sz w:val="22"/>
              </w:rPr>
              <w:t>Possible Disciplinary Measures</w:t>
            </w:r>
          </w:p>
        </w:tc>
      </w:tr>
      <w:tr>
        <w:tc>
          <w:tcPr>
            <w:tcW w:type="dxa" w:w="3685"/>
          </w:tcPr>
          <w:p>
            <w:pPr>
              <w:spacing w:after="40" w:before="40"/>
            </w:pPr>
            <w:r/>
            <w:r>
              <w:rPr>
                <w:rFonts w:ascii="Cambria" w:hAnsi="Cambria"/>
                <w:b w:val="0"/>
                <w:i w:val="0"/>
                <w:sz w:val="22"/>
              </w:rPr>
              <w:t>Minor Violations</w:t>
            </w:r>
          </w:p>
        </w:tc>
        <w:tc>
          <w:tcPr>
            <w:tcW w:type="dxa" w:w="5726"/>
          </w:tcPr>
          <w:p>
            <w:pPr>
              <w:spacing w:after="40" w:before="40"/>
            </w:pPr>
            <w:r/>
            <w:r>
              <w:rPr>
                <w:rFonts w:ascii="Cambria" w:hAnsi="Cambria"/>
                <w:b w:val="0"/>
                <w:i w:val="0"/>
                <w:sz w:val="22"/>
              </w:rPr>
              <w:t>Censure, written warning, or withholding of increments.</w:t>
            </w:r>
          </w:p>
        </w:tc>
      </w:tr>
    </w:tbl>
    <w:p>
      <w:pPr>
        <w:spacing w:after="40"/>
      </w:pPr>
    </w:p>
    <w:p>
      <w:r>
        <w:rPr>
          <w:rFonts w:ascii="Cambria" w:hAnsi="Cambria"/>
          <w:b/>
          <w:i w:val="0"/>
          <w:sz w:val="22"/>
        </w:rPr>
        <w:t>Major Violations</w:t>
      </w:r>
    </w:p>
    <w:p>
      <w:pPr>
        <w:pStyle w:val="ListBullet"/>
        <w:spacing w:line="276" w:lineRule="auto"/>
        <w:ind w:left="510"/>
      </w:pPr>
      <w:r>
        <w:rPr>
          <w:rFonts w:ascii="Cambria" w:hAnsi="Cambria"/>
          <w:b w:val="0"/>
          <w:i w:val="0"/>
          <w:sz w:val="22"/>
        </w:rPr>
        <w:t>Suspension pending inquiry.</w:t>
      </w:r>
    </w:p>
    <w:p>
      <w:pPr>
        <w:pStyle w:val="ListBullet"/>
        <w:spacing w:line="276" w:lineRule="auto"/>
        <w:ind w:left="510"/>
      </w:pPr>
      <w:r>
        <w:rPr>
          <w:rFonts w:ascii="Cambria" w:hAnsi="Cambria"/>
          <w:b w:val="0"/>
          <w:i w:val="0"/>
          <w:sz w:val="22"/>
        </w:rPr>
        <w:t>Reduction in rank or pay scale.</w:t>
      </w:r>
    </w:p>
    <w:p>
      <w:pPr>
        <w:pStyle w:val="ListBullet"/>
        <w:spacing w:line="276" w:lineRule="auto"/>
        <w:ind w:left="510"/>
      </w:pPr>
      <w:r>
        <w:rPr>
          <w:rFonts w:ascii="Cambria" w:hAnsi="Cambria"/>
          <w:b w:val="0"/>
          <w:i w:val="0"/>
          <w:sz w:val="22"/>
        </w:rPr>
        <w:t>Compulsory retirement.</w:t>
      </w:r>
    </w:p>
    <w:p>
      <w:pPr>
        <w:pStyle w:val="ListBullet"/>
        <w:spacing w:line="276" w:lineRule="auto"/>
        <w:ind w:left="510"/>
      </w:pPr>
      <w:r>
        <w:rPr>
          <w:rFonts w:ascii="Cambria" w:hAnsi="Cambria"/>
          <w:b w:val="0"/>
          <w:i w:val="0"/>
          <w:sz w:val="22"/>
        </w:rPr>
        <w:t>Removal or dismissal from service.</w:t>
      </w:r>
    </w:p>
    <w:p>
      <w:r>
        <w:rPr>
          <w:rFonts w:ascii="Cambria" w:hAnsi="Cambria"/>
          <w:b/>
          <w:i w:val="0"/>
          <w:sz w:val="22"/>
        </w:rPr>
        <w:t>Legal Violations</w:t>
      </w:r>
    </w:p>
    <w:p>
      <w:pPr>
        <w:pStyle w:val="ListBullet"/>
        <w:spacing w:line="276" w:lineRule="auto"/>
        <w:ind w:left="510"/>
      </w:pPr>
      <w:r>
        <w:rPr>
          <w:rFonts w:ascii="Cambria" w:hAnsi="Cambria"/>
          <w:b w:val="0"/>
          <w:i w:val="0"/>
          <w:sz w:val="22"/>
        </w:rPr>
        <w:t>Institution of legal proceedings under applicable civil or criminal laws.</w:t>
      </w:r>
    </w:p>
    <w:p>
      <w:pPr>
        <w:pStyle w:val="ListBullet"/>
        <w:spacing w:line="276" w:lineRule="auto"/>
        <w:ind w:left="510"/>
      </w:pPr>
      <w:r>
        <w:rPr>
          <w:rFonts w:ascii="Cambria" w:hAnsi="Cambria"/>
          <w:b w:val="0"/>
          <w:i w:val="0"/>
          <w:sz w:val="22"/>
        </w:rPr>
        <w:t>Recovery of losses caused to the University.</w:t>
      </w: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1. Detection / Reporting</w:t>
            </w:r>
          </w:p>
        </w:tc>
        <w:tc>
          <w:tcPr>
            <w:tcW w:type="dxa" w:w="5726"/>
          </w:tcPr>
          <w:p>
            <w:pPr>
              <w:spacing w:after="40" w:before="40"/>
            </w:pPr>
            <w:r/>
            <w:r>
              <w:rPr>
                <w:rFonts w:ascii="Cambria" w:hAnsi="Cambria"/>
                <w:b w:val="0"/>
                <w:i w:val="0"/>
                <w:sz w:val="22"/>
              </w:rPr>
              <w:t>Any suspected act prejudicial to University interests must be reported in writing to the Head of Institution or Registrar.</w:t>
            </w:r>
          </w:p>
        </w:tc>
      </w:tr>
      <w:tr>
        <w:tc>
          <w:tcPr>
            <w:tcW w:type="dxa" w:w="3685"/>
            <w:shd w:val="clear" w:color="auto" w:fill="F0F2F5"/>
          </w:tcPr>
          <w:p>
            <w:pPr>
              <w:spacing w:after="40" w:before="40"/>
            </w:pPr>
            <w:r/>
            <w:r>
              <w:rPr>
                <w:rFonts w:ascii="Cambria" w:hAnsi="Cambria"/>
                <w:b w:val="0"/>
                <w:i w:val="0"/>
                <w:sz w:val="22"/>
              </w:rPr>
              <w:t>2. Preliminary Review</w:t>
            </w:r>
          </w:p>
        </w:tc>
        <w:tc>
          <w:tcPr>
            <w:tcW w:type="dxa" w:w="5726"/>
            <w:shd w:val="clear" w:color="auto" w:fill="F0F2F5"/>
          </w:tcPr>
          <w:p>
            <w:pPr>
              <w:spacing w:after="40" w:before="40"/>
            </w:pPr>
            <w:r/>
            <w:r>
              <w:rPr>
                <w:rFonts w:ascii="Cambria" w:hAnsi="Cambria"/>
                <w:b w:val="0"/>
                <w:i w:val="0"/>
                <w:sz w:val="22"/>
              </w:rPr>
              <w:t>The competent authority may initiate a fact-finding inquiry to assess the nature and impact of the act.</w:t>
            </w:r>
          </w:p>
        </w:tc>
      </w:tr>
      <w:tr>
        <w:tc>
          <w:tcPr>
            <w:tcW w:type="dxa" w:w="3685"/>
          </w:tcPr>
          <w:p>
            <w:pPr>
              <w:spacing w:after="40" w:before="40"/>
            </w:pPr>
            <w:r/>
            <w:r>
              <w:rPr>
                <w:rFonts w:ascii="Cambria" w:hAnsi="Cambria"/>
                <w:b w:val="0"/>
                <w:i w:val="0"/>
                <w:sz w:val="22"/>
              </w:rPr>
              <w:t>3. Formal Inquiry</w:t>
            </w:r>
          </w:p>
        </w:tc>
        <w:tc>
          <w:tcPr>
            <w:tcW w:type="dxa" w:w="5726"/>
          </w:tcPr>
          <w:p>
            <w:pPr>
              <w:spacing w:after="40" w:before="40"/>
            </w:pPr>
            <w:r/>
            <w:r>
              <w:rPr>
                <w:rFonts w:ascii="Cambria" w:hAnsi="Cambria"/>
                <w:b w:val="0"/>
                <w:i w:val="0"/>
                <w:sz w:val="22"/>
              </w:rPr>
              <w:t>If prima facie evidence exists, a disciplinary inquiry shall be conducted, ensuring the employee’s right to respond.</w:t>
            </w:r>
          </w:p>
        </w:tc>
      </w:tr>
      <w:tr>
        <w:tc>
          <w:tcPr>
            <w:tcW w:type="dxa" w:w="3685"/>
            <w:shd w:val="clear" w:color="auto" w:fill="F0F2F5"/>
          </w:tcPr>
          <w:p>
            <w:pPr>
              <w:spacing w:after="40" w:before="40"/>
            </w:pPr>
            <w:r/>
            <w:r>
              <w:rPr>
                <w:rFonts w:ascii="Cambria" w:hAnsi="Cambria"/>
                <w:b w:val="0"/>
                <w:i w:val="0"/>
                <w:sz w:val="22"/>
              </w:rPr>
              <w:t>4. Final Decision</w:t>
            </w:r>
          </w:p>
        </w:tc>
        <w:tc>
          <w:tcPr>
            <w:tcW w:type="dxa" w:w="5726"/>
            <w:shd w:val="clear" w:color="auto" w:fill="F0F2F5"/>
          </w:tcPr>
          <w:p>
            <w:pPr>
              <w:spacing w:after="40" w:before="40"/>
            </w:pPr>
            <w:r/>
            <w:r>
              <w:rPr>
                <w:rFonts w:ascii="Cambria" w:hAnsi="Cambria"/>
                <w:b w:val="0"/>
                <w:i w:val="0"/>
                <w:sz w:val="22"/>
              </w:rPr>
              <w:t>Based on inquiry findings, penalties will be imposed by the Vice Chancellor or Board of Management, depending on severity.</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Every employee serves as a representative and custodian of the University’s mission and reputation.</w:t>
      </w:r>
    </w:p>
    <w:p>
      <w:pPr>
        <w:pStyle w:val="ListBullet"/>
        <w:spacing w:line="276" w:lineRule="auto"/>
        <w:ind w:left="510"/>
      </w:pPr>
      <w:r>
        <w:rPr>
          <w:rFonts w:ascii="Cambria" w:hAnsi="Cambria"/>
          <w:b w:val="0"/>
          <w:i w:val="0"/>
          <w:sz w:val="22"/>
        </w:rPr>
        <w:t>Loyalty to the institution is a fundamental condition of service.</w:t>
      </w:r>
    </w:p>
    <w:p>
      <w:pPr>
        <w:pStyle w:val="ListBullet"/>
        <w:spacing w:line="276" w:lineRule="auto"/>
        <w:ind w:left="510"/>
      </w:pPr>
      <w:r>
        <w:rPr>
          <w:rFonts w:ascii="Cambria" w:hAnsi="Cambria"/>
          <w:b w:val="0"/>
          <w:i w:val="0"/>
          <w:sz w:val="22"/>
        </w:rPr>
        <w:t>Actions that harm institutional trust, credibility, or operational harmony constitute gross misconduct.</w:t>
      </w:r>
    </w:p>
    <w:p>
      <w:pPr>
        <w:pStyle w:val="ListBullet"/>
        <w:spacing w:line="276" w:lineRule="auto"/>
        <w:ind w:left="510"/>
      </w:pPr>
      <w:r>
        <w:rPr>
          <w:rFonts w:ascii="Cambria" w:hAnsi="Cambria"/>
          <w:b w:val="0"/>
          <w:i w:val="0"/>
          <w:sz w:val="22"/>
        </w:rPr>
        <w:t>Preventive vigilance and ethical conduct are expected at all levels to protect institutional interests.</w:t>
      </w:r>
    </w:p>
    <w:p>
      <w:pPr>
        <w:pStyle w:val="ListBullet"/>
        <w:spacing w:line="276" w:lineRule="auto"/>
        <w:ind w:left="510"/>
      </w:pPr>
      <w:r>
        <w:rPr>
          <w:rFonts w:ascii="Cambria" w:hAnsi="Cambria"/>
          <w:b w:val="0"/>
          <w:i w:val="0"/>
          <w:sz w:val="22"/>
        </w:rPr>
        <w:t>The Board of Management (BoM) is the final authority in determining whether an act is prejudicial and deciding the appropriate disciplinary measure.</w:t>
      </w:r>
    </w:p>
    <w:p>
      <w:pPr>
        <w:keepNext/>
        <w:spacing w:before="200" w:after="120"/>
      </w:pPr>
      <w:r>
        <w:rPr>
          <w:rFonts w:ascii="Cambria" w:hAnsi="Cambria"/>
          <w:b/>
          <w:color w:val="1F3A5F"/>
          <w:sz w:val="27"/>
        </w:rPr>
        <w:t>Policy on Willful Insubordination or Disobedience to Superiors</w:t>
      </w:r>
    </w:p>
    <w:p>
      <w:r>
        <w:rPr>
          <w:rFonts w:ascii="Cambria" w:hAnsi="Cambria"/>
          <w:b/>
          <w:i w:val="0"/>
          <w:sz w:val="22"/>
        </w:rPr>
        <w:t>I. PURPOSE</w:t>
      </w:r>
    </w:p>
    <w:p>
      <w:pPr>
        <w:pStyle w:val="ListBullet"/>
        <w:spacing w:line="276" w:lineRule="auto"/>
        <w:ind w:left="510"/>
      </w:pPr>
      <w:r>
        <w:rPr>
          <w:rFonts w:ascii="Cambria" w:hAnsi="Cambria"/>
          <w:b w:val="0"/>
          <w:i w:val="0"/>
          <w:sz w:val="22"/>
        </w:rPr>
        <w:t>To ensure a disciplined, respectful, and efficient work environment where the chain of command is maintained.</w:t>
      </w:r>
    </w:p>
    <w:p>
      <w:pPr>
        <w:pStyle w:val="ListBullet"/>
        <w:spacing w:line="276" w:lineRule="auto"/>
        <w:ind w:left="510"/>
      </w:pPr>
      <w:r>
        <w:rPr>
          <w:rFonts w:ascii="Cambria" w:hAnsi="Cambria"/>
          <w:b w:val="0"/>
          <w:i w:val="0"/>
          <w:sz w:val="22"/>
        </w:rPr>
        <w:t>To define willful insubordination and disobedience as acts of gross misconduct that undermine the authority and effective functioning of the University.</w:t>
      </w:r>
    </w:p>
    <w:p>
      <w:pPr>
        <w:pStyle w:val="ListBullet"/>
        <w:spacing w:line="276" w:lineRule="auto"/>
        <w:ind w:left="510"/>
      </w:pPr>
      <w:r>
        <w:rPr>
          <w:rFonts w:ascii="Cambria" w:hAnsi="Cambria"/>
          <w:b w:val="0"/>
          <w:i w:val="0"/>
          <w:sz w:val="22"/>
        </w:rPr>
        <w:t>To preserve a culture of professionalism, accountability, and mutual respect among all employees.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Willful insubordination or disobedience, whether individually or in concert with others, to lawful and reasonable orders of a superior shall be treated as a serious breach of discipline and gross misconduct.</w:t>
            </w:r>
          </w:p>
        </w:tc>
      </w:tr>
      <w:tr>
        <w:tc>
          <w:tcPr>
            <w:tcW w:type="dxa" w:w="3685"/>
            <w:shd w:val="clear" w:color="auto" w:fill="F0F2F5"/>
          </w:tcPr>
          <w:p>
            <w:pPr>
              <w:spacing w:after="40" w:before="40"/>
            </w:pPr>
            <w:r/>
            <w:r>
              <w:rPr>
                <w:rFonts w:ascii="Cambria" w:hAnsi="Cambria"/>
                <w:b w:val="0"/>
                <w:i w:val="0"/>
                <w:sz w:val="22"/>
              </w:rPr>
              <w:t>Definition</w:t>
            </w:r>
          </w:p>
        </w:tc>
        <w:tc>
          <w:tcPr>
            <w:tcW w:type="dxa" w:w="5726"/>
            <w:shd w:val="clear" w:color="auto" w:fill="F0F2F5"/>
          </w:tcPr>
          <w:p>
            <w:pPr>
              <w:spacing w:after="40" w:before="40"/>
            </w:pPr>
            <w:r/>
            <w:r>
              <w:rPr>
                <w:rFonts w:ascii="Cambria" w:hAnsi="Cambria"/>
                <w:b w:val="0"/>
                <w:i w:val="0"/>
                <w:sz w:val="22"/>
              </w:rPr>
              <w:t>Willful insubordination means a deliberate refusal, defiance, or failure to comply with legitimate instructions, directions, or orders issued by a superior officer in the course of official duties.</w:t>
            </w:r>
          </w:p>
        </w:tc>
      </w:tr>
      <w:tr>
        <w:tc>
          <w:tcPr>
            <w:tcW w:type="dxa" w:w="3685"/>
          </w:tcPr>
          <w:p>
            <w:pPr>
              <w:spacing w:after="40" w:before="40"/>
            </w:pPr>
            <w:r/>
            <w:r>
              <w:rPr>
                <w:rFonts w:ascii="Cambria" w:hAnsi="Cambria"/>
                <w:b w:val="0"/>
                <w:i w:val="0"/>
                <w:sz w:val="22"/>
              </w:rPr>
              <w:t>Scope</w:t>
            </w:r>
          </w:p>
        </w:tc>
        <w:tc>
          <w:tcPr>
            <w:tcW w:type="dxa" w:w="5726"/>
          </w:tcPr>
          <w:p>
            <w:pPr>
              <w:spacing w:after="40" w:before="40"/>
            </w:pPr>
            <w:r/>
            <w:r>
              <w:rPr>
                <w:rFonts w:ascii="Cambria" w:hAnsi="Cambria"/>
                <w:b w:val="0"/>
                <w:i w:val="0"/>
                <w:sz w:val="22"/>
              </w:rPr>
              <w:t>Applies to all categories of employees — teaching, non-teaching, administrative, and technical staff — in all departments and offices of the University.</w:t>
            </w:r>
          </w:p>
        </w:tc>
      </w:tr>
    </w:tbl>
    <w:p>
      <w:pPr>
        <w:spacing w:after="40"/>
      </w:pPr>
    </w:p>
    <w:p>
      <w:r>
        <w:rPr>
          <w:rFonts w:ascii="Cambria" w:hAnsi="Cambria"/>
          <w:b/>
          <w:i w:val="0"/>
          <w:sz w:val="22"/>
        </w:rPr>
        <w:t>2. ILLUSTRATIVE ACTS OF INSUBORDINATION OR DISOBEDIENCE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Direct Disobedience</w:t>
            </w:r>
          </w:p>
        </w:tc>
        <w:tc>
          <w:tcPr>
            <w:tcW w:type="dxa" w:w="5726"/>
          </w:tcPr>
          <w:p>
            <w:pPr>
              <w:spacing w:after="40" w:before="40"/>
            </w:pPr>
            <w:r/>
            <w:r>
              <w:rPr>
                <w:rFonts w:ascii="Cambria" w:hAnsi="Cambria"/>
                <w:b w:val="0"/>
                <w:i w:val="0"/>
                <w:sz w:val="22"/>
              </w:rPr>
              <w:t>Refusal to perform assigned duties without justification.</w:t>
            </w:r>
          </w:p>
        </w:tc>
      </w:tr>
    </w:tbl>
    <w:p>
      <w:pPr>
        <w:spacing w:after="40"/>
      </w:pPr>
    </w:p>
    <w:p>
      <w:pPr>
        <w:pStyle w:val="ListBullet"/>
        <w:spacing w:line="276" w:lineRule="auto"/>
        <w:ind w:left="510"/>
      </w:pPr>
      <w:r>
        <w:rPr>
          <w:rFonts w:ascii="Cambria" w:hAnsi="Cambria"/>
          <w:b w:val="0"/>
          <w:i w:val="0"/>
          <w:sz w:val="22"/>
        </w:rPr>
        <w:t>Ignoring written or verbal orders issued by the Head of Department or superior authority.</w:t>
      </w:r>
    </w:p>
    <w:p>
      <w:r>
        <w:rPr>
          <w:rFonts w:ascii="Cambria" w:hAnsi="Cambria"/>
          <w:b/>
          <w:i w:val="0"/>
          <w:sz w:val="22"/>
        </w:rPr>
        <w:t>Defiance or Non-Cooperation</w:t>
      </w:r>
    </w:p>
    <w:p>
      <w:pPr>
        <w:pStyle w:val="ListBullet"/>
        <w:spacing w:line="276" w:lineRule="auto"/>
        <w:ind w:left="510"/>
      </w:pPr>
      <w:r>
        <w:rPr>
          <w:rFonts w:ascii="Cambria" w:hAnsi="Cambria"/>
          <w:b w:val="0"/>
          <w:i w:val="0"/>
          <w:sz w:val="22"/>
        </w:rPr>
        <w:t>Showing open defiance or disrespect toward superiors.</w:t>
      </w:r>
    </w:p>
    <w:p>
      <w:pPr>
        <w:pStyle w:val="ListBullet"/>
        <w:spacing w:line="276" w:lineRule="auto"/>
        <w:ind w:left="510"/>
      </w:pPr>
      <w:r>
        <w:rPr>
          <w:rFonts w:ascii="Cambria" w:hAnsi="Cambria"/>
          <w:b w:val="0"/>
          <w:i w:val="0"/>
          <w:sz w:val="22"/>
        </w:rPr>
        <w:t>Deliberately delaying compliance or acting contrary to explicit instructions.</w:t>
      </w:r>
    </w:p>
    <w:p>
      <w:r>
        <w:rPr>
          <w:rFonts w:ascii="Cambria" w:hAnsi="Cambria"/>
          <w:b/>
          <w:i w:val="0"/>
          <w:sz w:val="22"/>
        </w:rPr>
        <w:t>Disruptive Conduct</w:t>
      </w:r>
    </w:p>
    <w:p>
      <w:pPr>
        <w:pStyle w:val="ListBullet"/>
        <w:spacing w:line="276" w:lineRule="auto"/>
        <w:ind w:left="510"/>
      </w:pPr>
      <w:r>
        <w:rPr>
          <w:rFonts w:ascii="Cambria" w:hAnsi="Cambria"/>
          <w:b w:val="0"/>
          <w:i w:val="0"/>
          <w:sz w:val="22"/>
        </w:rPr>
        <w:t>Influencing others to disregard lawful orders or administrative directions.</w:t>
      </w:r>
    </w:p>
    <w:p>
      <w:pPr>
        <w:pStyle w:val="ListBullet"/>
        <w:spacing w:line="276" w:lineRule="auto"/>
        <w:ind w:left="510"/>
      </w:pPr>
      <w:r>
        <w:rPr>
          <w:rFonts w:ascii="Cambria" w:hAnsi="Cambria"/>
          <w:b w:val="0"/>
          <w:i w:val="0"/>
          <w:sz w:val="22"/>
        </w:rPr>
        <w:t>Collective refusal to follow instructions or participate in assigned institutional activities.</w:t>
      </w:r>
    </w:p>
    <w:p>
      <w:r>
        <w:rPr>
          <w:rFonts w:ascii="Cambria" w:hAnsi="Cambria"/>
          <w:b/>
          <w:i w:val="0"/>
          <w:sz w:val="22"/>
        </w:rPr>
        <w:t>Verbal or Behavioral Misconduct</w:t>
      </w:r>
    </w:p>
    <w:p>
      <w:pPr>
        <w:pStyle w:val="ListBullet"/>
        <w:spacing w:line="276" w:lineRule="auto"/>
        <w:ind w:left="510"/>
      </w:pPr>
      <w:r>
        <w:rPr>
          <w:rFonts w:ascii="Cambria" w:hAnsi="Cambria"/>
          <w:b w:val="0"/>
          <w:i w:val="0"/>
          <w:sz w:val="22"/>
        </w:rPr>
        <w:t>Using disrespectful, abusive, or confrontational language toward a superior.</w:t>
      </w:r>
    </w:p>
    <w:p>
      <w:pPr>
        <w:pStyle w:val="ListBullet"/>
        <w:spacing w:line="276" w:lineRule="auto"/>
        <w:ind w:left="510"/>
      </w:pPr>
      <w:r>
        <w:rPr>
          <w:rFonts w:ascii="Cambria" w:hAnsi="Cambria"/>
          <w:b w:val="0"/>
          <w:i w:val="0"/>
          <w:sz w:val="22"/>
        </w:rPr>
        <w:t>Exhibiting hostile attitude or creating an environment of non-cooperation.</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Severity of Misconduct</w:t>
            </w:r>
          </w:p>
        </w:tc>
        <w:tc>
          <w:tcPr>
            <w:tcW w:type="dxa" w:w="5726"/>
            <w:shd w:val="clear" w:color="auto" w:fill="1F3A5F"/>
          </w:tcPr>
          <w:p>
            <w:pPr>
              <w:spacing w:after="40" w:before="40"/>
            </w:pPr>
            <w:r/>
            <w:r>
              <w:rPr>
                <w:rFonts w:ascii="Cambria" w:hAnsi="Cambria"/>
                <w:b/>
                <w:i w:val="0"/>
                <w:color w:val="FFFFFF"/>
                <w:sz w:val="22"/>
              </w:rPr>
              <w:t>Possible Penalties</w:t>
            </w:r>
          </w:p>
        </w:tc>
      </w:tr>
      <w:tr>
        <w:tc>
          <w:tcPr>
            <w:tcW w:type="dxa" w:w="3685"/>
          </w:tcPr>
          <w:p>
            <w:pPr>
              <w:spacing w:after="40" w:before="40"/>
            </w:pPr>
            <w:r/>
            <w:r>
              <w:rPr>
                <w:rFonts w:ascii="Cambria" w:hAnsi="Cambria"/>
                <w:b w:val="0"/>
                <w:i w:val="0"/>
                <w:sz w:val="22"/>
              </w:rPr>
              <w:t>First or minor instance</w:t>
            </w:r>
          </w:p>
        </w:tc>
        <w:tc>
          <w:tcPr>
            <w:tcW w:type="dxa" w:w="5726"/>
          </w:tcPr>
          <w:p>
            <w:pPr>
              <w:spacing w:after="40" w:before="40"/>
            </w:pPr>
            <w:r/>
            <w:r>
              <w:rPr>
                <w:rFonts w:ascii="Cambria" w:hAnsi="Cambria"/>
                <w:b w:val="0"/>
                <w:i w:val="0"/>
                <w:sz w:val="22"/>
              </w:rPr>
              <w:t>Written warning or censure.</w:t>
            </w:r>
          </w:p>
        </w:tc>
      </w:tr>
      <w:tr>
        <w:tc>
          <w:tcPr>
            <w:tcW w:type="dxa" w:w="3685"/>
            <w:shd w:val="clear" w:color="auto" w:fill="F0F2F5"/>
          </w:tcPr>
          <w:p>
            <w:pPr>
              <w:spacing w:after="40" w:before="40"/>
            </w:pPr>
            <w:r/>
            <w:r>
              <w:rPr>
                <w:rFonts w:ascii="Cambria" w:hAnsi="Cambria"/>
                <w:b w:val="0"/>
                <w:i w:val="0"/>
                <w:sz w:val="22"/>
              </w:rPr>
              <w:t>Repeated or deliberate refusal</w:t>
            </w:r>
          </w:p>
        </w:tc>
        <w:tc>
          <w:tcPr>
            <w:tcW w:type="dxa" w:w="5726"/>
            <w:shd w:val="clear" w:color="auto" w:fill="F0F2F5"/>
          </w:tcPr>
          <w:p>
            <w:pPr>
              <w:spacing w:after="40" w:before="40"/>
            </w:pPr>
            <w:r/>
            <w:r>
              <w:rPr>
                <w:rFonts w:ascii="Cambria" w:hAnsi="Cambria"/>
                <w:b w:val="0"/>
                <w:i w:val="0"/>
                <w:sz w:val="22"/>
              </w:rPr>
              <w:t>Withholding of increment, suspension, or reduction in rank.</w:t>
            </w:r>
          </w:p>
        </w:tc>
      </w:tr>
      <w:tr>
        <w:tc>
          <w:tcPr>
            <w:tcW w:type="dxa" w:w="3685"/>
          </w:tcPr>
          <w:p>
            <w:pPr>
              <w:spacing w:after="40" w:before="40"/>
            </w:pPr>
            <w:r/>
            <w:r>
              <w:rPr>
                <w:rFonts w:ascii="Cambria" w:hAnsi="Cambria"/>
                <w:b w:val="0"/>
                <w:i w:val="0"/>
                <w:sz w:val="22"/>
              </w:rPr>
              <w:t>Grave or collective insubordination</w:t>
            </w:r>
          </w:p>
        </w:tc>
        <w:tc>
          <w:tcPr>
            <w:tcW w:type="dxa" w:w="5726"/>
          </w:tcPr>
          <w:p>
            <w:pPr>
              <w:spacing w:after="40" w:before="40"/>
            </w:pPr>
            <w:r/>
            <w:r>
              <w:rPr>
                <w:rFonts w:ascii="Cambria" w:hAnsi="Cambria"/>
                <w:b w:val="0"/>
                <w:i w:val="0"/>
                <w:sz w:val="22"/>
              </w:rPr>
              <w:t>Major penalty — compulsory retirement, removal, or dismissal from service.</w:t>
            </w:r>
          </w:p>
        </w:tc>
      </w:tr>
      <w:tr>
        <w:tc>
          <w:tcPr>
            <w:tcW w:type="dxa" w:w="3685"/>
            <w:shd w:val="clear" w:color="auto" w:fill="F0F2F5"/>
          </w:tcPr>
          <w:p>
            <w:pPr>
              <w:spacing w:after="40" w:before="40"/>
            </w:pPr>
            <w:r/>
            <w:r>
              <w:rPr>
                <w:rFonts w:ascii="Cambria" w:hAnsi="Cambria"/>
                <w:b w:val="0"/>
                <w:i w:val="0"/>
                <w:sz w:val="22"/>
              </w:rPr>
              <w:t>Acts involving threat or intimidation</w:t>
            </w:r>
          </w:p>
        </w:tc>
        <w:tc>
          <w:tcPr>
            <w:tcW w:type="dxa" w:w="5726"/>
            <w:shd w:val="clear" w:color="auto" w:fill="F0F2F5"/>
          </w:tcPr>
          <w:p>
            <w:pPr>
              <w:spacing w:after="40" w:before="40"/>
            </w:pPr>
            <w:r/>
            <w:r>
              <w:rPr>
                <w:rFonts w:ascii="Cambria" w:hAnsi="Cambria"/>
                <w:b w:val="0"/>
                <w:i w:val="0"/>
                <w:sz w:val="22"/>
              </w:rPr>
              <w:t>Immediate suspension pending inquiry, followed by termination of service if proved.</w:t>
            </w:r>
          </w:p>
        </w:tc>
      </w:tr>
    </w:tbl>
    <w:p>
      <w:pPr>
        <w:spacing w:after="40"/>
      </w:pP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The superior officer shall report the act of insubordination in writing to the Head of Institution / Registrar with evidence or witness statements.</w:t>
            </w:r>
          </w:p>
        </w:tc>
      </w:tr>
      <w:tr>
        <w:tc>
          <w:tcPr>
            <w:tcW w:type="dxa" w:w="3685"/>
            <w:shd w:val="clear" w:color="auto" w:fill="F0F2F5"/>
          </w:tcPr>
          <w:p>
            <w:pPr>
              <w:spacing w:after="40" w:before="40"/>
            </w:pPr>
            <w:r/>
            <w:r>
              <w:rPr>
                <w:rFonts w:ascii="Cambria" w:hAnsi="Cambria"/>
                <w:b w:val="0"/>
                <w:i w:val="0"/>
                <w:sz w:val="22"/>
              </w:rPr>
              <w:t>2. Preliminary Review</w:t>
            </w:r>
          </w:p>
        </w:tc>
        <w:tc>
          <w:tcPr>
            <w:tcW w:type="dxa" w:w="5726"/>
            <w:shd w:val="clear" w:color="auto" w:fill="F0F2F5"/>
          </w:tcPr>
          <w:p>
            <w:pPr>
              <w:spacing w:after="40" w:before="40"/>
            </w:pPr>
            <w:r/>
            <w:r>
              <w:rPr>
                <w:rFonts w:ascii="Cambria" w:hAnsi="Cambria"/>
                <w:b w:val="0"/>
                <w:i w:val="0"/>
                <w:sz w:val="22"/>
              </w:rPr>
              <w:t>The competent authority shall conduct a preliminary inquiry to verify facts and assess severity.</w:t>
            </w:r>
          </w:p>
        </w:tc>
      </w:tr>
      <w:tr>
        <w:tc>
          <w:tcPr>
            <w:tcW w:type="dxa" w:w="3685"/>
          </w:tcPr>
          <w:p>
            <w:pPr>
              <w:spacing w:after="40" w:before="40"/>
            </w:pPr>
            <w:r/>
            <w:r>
              <w:rPr>
                <w:rFonts w:ascii="Cambria" w:hAnsi="Cambria"/>
                <w:b w:val="0"/>
                <w:i w:val="0"/>
                <w:sz w:val="22"/>
              </w:rPr>
              <w:t>3. Formal Disciplinary Inquiry</w:t>
            </w:r>
          </w:p>
        </w:tc>
        <w:tc>
          <w:tcPr>
            <w:tcW w:type="dxa" w:w="5726"/>
          </w:tcPr>
          <w:p>
            <w:pPr>
              <w:spacing w:after="40" w:before="40"/>
            </w:pPr>
            <w:r/>
            <w:r>
              <w:rPr>
                <w:rFonts w:ascii="Cambria" w:hAnsi="Cambria"/>
                <w:b w:val="0"/>
                <w:i w:val="0"/>
                <w:sz w:val="22"/>
              </w:rPr>
              <w:t>The employee shall be issued a show-cause notice and given an opportunity to explain his/her conduct.</w:t>
            </w:r>
          </w:p>
        </w:tc>
      </w:tr>
      <w:tr>
        <w:tc>
          <w:tcPr>
            <w:tcW w:type="dxa" w:w="3685"/>
            <w:shd w:val="clear" w:color="auto" w:fill="F0F2F5"/>
          </w:tcPr>
          <w:p>
            <w:pPr>
              <w:spacing w:after="40" w:before="40"/>
            </w:pPr>
            <w:r/>
            <w:r>
              <w:rPr>
                <w:rFonts w:ascii="Cambria" w:hAnsi="Cambria"/>
                <w:b w:val="0"/>
                <w:i w:val="0"/>
                <w:sz w:val="22"/>
              </w:rPr>
              <w:t>4. Final Action</w:t>
            </w:r>
          </w:p>
        </w:tc>
        <w:tc>
          <w:tcPr>
            <w:tcW w:type="dxa" w:w="5726"/>
            <w:shd w:val="clear" w:color="auto" w:fill="F0F2F5"/>
          </w:tcPr>
          <w:p>
            <w:pPr>
              <w:spacing w:after="40" w:before="40"/>
            </w:pPr>
            <w:r/>
            <w:r>
              <w:rPr>
                <w:rFonts w:ascii="Cambria" w:hAnsi="Cambria"/>
                <w:b w:val="0"/>
                <w:i w:val="0"/>
                <w:sz w:val="22"/>
              </w:rPr>
              <w:t>Based on inquiry findings, the Vice Chancellor or Board of Management (BoM) shall decide on the penalty to be imposed.</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Respect for hierarchy and compliance with lawful orders is fundamental to University governance.</w:t>
      </w:r>
    </w:p>
    <w:p>
      <w:pPr>
        <w:pStyle w:val="ListBullet"/>
        <w:spacing w:line="276" w:lineRule="auto"/>
        <w:ind w:left="510"/>
      </w:pPr>
      <w:r>
        <w:rPr>
          <w:rFonts w:ascii="Cambria" w:hAnsi="Cambria"/>
          <w:b w:val="0"/>
          <w:i w:val="0"/>
          <w:sz w:val="22"/>
        </w:rPr>
        <w:t>Constructive disagreement may be expressed professionally and respectfully, but deliberate defiance is unacceptable.</w:t>
      </w:r>
    </w:p>
    <w:p>
      <w:pPr>
        <w:pStyle w:val="ListBullet"/>
        <w:spacing w:line="276" w:lineRule="auto"/>
        <w:ind w:left="510"/>
      </w:pPr>
      <w:r>
        <w:rPr>
          <w:rFonts w:ascii="Cambria" w:hAnsi="Cambria"/>
          <w:b w:val="0"/>
          <w:i w:val="0"/>
          <w:sz w:val="22"/>
        </w:rPr>
        <w:t>Insubordination, particularly when organized or deliberate, is considered gross misconduct.</w:t>
      </w:r>
    </w:p>
    <w:p>
      <w:pPr>
        <w:pStyle w:val="ListBullet"/>
        <w:spacing w:line="276" w:lineRule="auto"/>
        <w:ind w:left="510"/>
      </w:pPr>
      <w:r>
        <w:rPr>
          <w:rFonts w:ascii="Cambria" w:hAnsi="Cambria"/>
          <w:b w:val="0"/>
          <w:i w:val="0"/>
          <w:sz w:val="22"/>
        </w:rPr>
        <w:t>The University recognizes only lawful and reasonable orders as binding — employees cannot be penalized for refusing unlawful or unethical instructions.</w:t>
      </w:r>
    </w:p>
    <w:p>
      <w:pPr>
        <w:pStyle w:val="ListBullet"/>
        <w:spacing w:line="276" w:lineRule="auto"/>
        <w:ind w:left="510"/>
      </w:pPr>
      <w:r>
        <w:rPr>
          <w:rFonts w:ascii="Cambria" w:hAnsi="Cambria"/>
          <w:b w:val="0"/>
          <w:i w:val="0"/>
          <w:sz w:val="22"/>
        </w:rPr>
        <w:t>The Board of Management (BoM) shall act as the final authority in interpretation, appeal, and disciplinary decision-making under this rule.</w:t>
      </w:r>
    </w:p>
    <w:p>
      <w:pPr>
        <w:keepNext/>
        <w:spacing w:before="200" w:after="120"/>
      </w:pPr>
      <w:r>
        <w:rPr>
          <w:rFonts w:ascii="Cambria" w:hAnsi="Cambria"/>
          <w:b/>
          <w:color w:val="1F3A5F"/>
          <w:sz w:val="27"/>
        </w:rPr>
        <w:t>Policy on Defiance of Orders, Disrespectful Communication, and Improper Correspondence with Higher Authorities</w:t>
      </w:r>
    </w:p>
    <w:p>
      <w:r>
        <w:rPr>
          <w:rFonts w:ascii="Cambria" w:hAnsi="Cambria"/>
          <w:b/>
          <w:i w:val="0"/>
          <w:sz w:val="22"/>
        </w:rPr>
        <w:t>I. PURPOSE</w:t>
      </w:r>
    </w:p>
    <w:p>
      <w:pPr>
        <w:pStyle w:val="ListBullet"/>
        <w:spacing w:line="276" w:lineRule="auto"/>
        <w:ind w:left="510"/>
      </w:pPr>
      <w:r>
        <w:rPr>
          <w:rFonts w:ascii="Cambria" w:hAnsi="Cambria"/>
          <w:b w:val="0"/>
          <w:i w:val="0"/>
          <w:sz w:val="22"/>
        </w:rPr>
        <w:t>To uphold the discipline, decorum, and institutional hierarchy essential for smooth academic and administrative functioning.</w:t>
      </w:r>
    </w:p>
    <w:p>
      <w:pPr>
        <w:pStyle w:val="ListBullet"/>
        <w:spacing w:line="276" w:lineRule="auto"/>
        <w:ind w:left="510"/>
      </w:pPr>
      <w:r>
        <w:rPr>
          <w:rFonts w:ascii="Cambria" w:hAnsi="Cambria"/>
          <w:b w:val="0"/>
          <w:i w:val="0"/>
          <w:sz w:val="22"/>
        </w:rPr>
        <w:t>To prohibit defiance of lawful orders and disrespectful communication with senior officials.</w:t>
      </w:r>
    </w:p>
    <w:p>
      <w:pPr>
        <w:pStyle w:val="ListBullet"/>
        <w:spacing w:line="276" w:lineRule="auto"/>
        <w:ind w:left="510"/>
      </w:pPr>
      <w:r>
        <w:rPr>
          <w:rFonts w:ascii="Cambria" w:hAnsi="Cambria"/>
          <w:b w:val="0"/>
          <w:i w:val="0"/>
          <w:sz w:val="22"/>
        </w:rPr>
        <w:t>To define clear boundaries of professional correspondence and tone in official communication with higher authorities.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Any act of defiance of lawful orders or directions issued by higher authorities, or writing of letters, representations, or communications in a disrespectful, accusatory, or insubordinate tone, constitutes gross misconduct.</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employees — academic, administrative, technical, and contractual — at all levels of the University.</w:t>
            </w:r>
          </w:p>
        </w:tc>
      </w:tr>
      <w:tr>
        <w:tc>
          <w:tcPr>
            <w:tcW w:type="dxa" w:w="3685"/>
          </w:tcPr>
          <w:p>
            <w:pPr>
              <w:spacing w:after="40" w:before="40"/>
            </w:pPr>
            <w:r/>
            <w:r>
              <w:rPr>
                <w:rFonts w:ascii="Cambria" w:hAnsi="Cambria"/>
                <w:b w:val="0"/>
                <w:i w:val="0"/>
                <w:sz w:val="22"/>
              </w:rPr>
              <w:t>Expectation</w:t>
            </w:r>
          </w:p>
        </w:tc>
        <w:tc>
          <w:tcPr>
            <w:tcW w:type="dxa" w:w="5726"/>
          </w:tcPr>
          <w:p>
            <w:pPr>
              <w:spacing w:after="40" w:before="40"/>
            </w:pPr>
            <w:r/>
            <w:r>
              <w:rPr>
                <w:rFonts w:ascii="Cambria" w:hAnsi="Cambria"/>
                <w:b w:val="0"/>
                <w:i w:val="0"/>
                <w:sz w:val="22"/>
              </w:rPr>
              <w:t>All employees shall maintain professional tone, language, and courtesy while addressing superiors in verbal or written communication, even in matters of disagreement or grievance.</w:t>
            </w:r>
          </w:p>
        </w:tc>
      </w:tr>
    </w:tbl>
    <w:p>
      <w:pPr>
        <w:spacing w:after="40"/>
      </w:pP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Defiance of Orders</w:t>
            </w:r>
          </w:p>
        </w:tc>
        <w:tc>
          <w:tcPr>
            <w:tcW w:type="dxa" w:w="5726"/>
          </w:tcPr>
          <w:p>
            <w:pPr>
              <w:spacing w:after="40" w:before="40"/>
            </w:pPr>
            <w:r/>
            <w:r>
              <w:rPr>
                <w:rFonts w:ascii="Cambria" w:hAnsi="Cambria"/>
                <w:b w:val="0"/>
                <w:i w:val="0"/>
                <w:sz w:val="22"/>
              </w:rPr>
              <w:t>Refusal to follow instructions or directions from Head of Department, Registrar, or higher authority.</w:t>
            </w:r>
          </w:p>
        </w:tc>
      </w:tr>
    </w:tbl>
    <w:p>
      <w:pPr>
        <w:spacing w:after="40"/>
      </w:pPr>
    </w:p>
    <w:p>
      <w:pPr>
        <w:pStyle w:val="ListBullet"/>
        <w:spacing w:line="276" w:lineRule="auto"/>
        <w:ind w:left="510"/>
      </w:pPr>
      <w:r>
        <w:rPr>
          <w:rFonts w:ascii="Cambria" w:hAnsi="Cambria"/>
          <w:b w:val="0"/>
          <w:i w:val="0"/>
          <w:sz w:val="22"/>
        </w:rPr>
        <w:t>Deliberate delay or omission in carrying out assigned work.</w:t>
      </w:r>
    </w:p>
    <w:p>
      <w:pPr>
        <w:pStyle w:val="ListBullet"/>
        <w:spacing w:line="276" w:lineRule="auto"/>
        <w:ind w:left="510"/>
      </w:pPr>
      <w:r>
        <w:rPr>
          <w:rFonts w:ascii="Cambria" w:hAnsi="Cambria"/>
          <w:b w:val="0"/>
          <w:i w:val="0"/>
          <w:sz w:val="22"/>
        </w:rPr>
        <w:t>Publicly questioning or disobeying official circulars, office orders, or administrative decisions.</w:t>
      </w:r>
    </w:p>
    <w:p>
      <w:r>
        <w:rPr>
          <w:rFonts w:ascii="Cambria" w:hAnsi="Cambria"/>
          <w:b/>
          <w:i w:val="0"/>
          <w:sz w:val="22"/>
        </w:rPr>
        <w:t>Disrespectful Communication</w:t>
      </w:r>
    </w:p>
    <w:p>
      <w:pPr>
        <w:pStyle w:val="ListBullet"/>
        <w:spacing w:line="276" w:lineRule="auto"/>
        <w:ind w:left="510"/>
      </w:pPr>
      <w:r>
        <w:rPr>
          <w:rFonts w:ascii="Cambria" w:hAnsi="Cambria"/>
          <w:b w:val="0"/>
          <w:i w:val="0"/>
          <w:sz w:val="22"/>
        </w:rPr>
        <w:t>Writing letters, emails, or notes with insulting, threatening, or sarcastic language addressed to higher authorities.</w:t>
      </w:r>
    </w:p>
    <w:p>
      <w:pPr>
        <w:pStyle w:val="ListBullet"/>
        <w:spacing w:line="276" w:lineRule="auto"/>
        <w:ind w:left="510"/>
      </w:pPr>
      <w:r>
        <w:rPr>
          <w:rFonts w:ascii="Cambria" w:hAnsi="Cambria"/>
          <w:b w:val="0"/>
          <w:i w:val="0"/>
          <w:sz w:val="22"/>
        </w:rPr>
        <w:t>Using high tone or derogatory remarks questioning the authority, integrity, or competence of superiors.</w:t>
      </w:r>
    </w:p>
    <w:p>
      <w:pPr>
        <w:pStyle w:val="ListBullet"/>
        <w:spacing w:line="276" w:lineRule="auto"/>
        <w:ind w:left="510"/>
      </w:pPr>
      <w:r>
        <w:rPr>
          <w:rFonts w:ascii="Cambria" w:hAnsi="Cambria"/>
          <w:b w:val="0"/>
          <w:i w:val="0"/>
          <w:sz w:val="22"/>
        </w:rPr>
        <w:t>Circulating offensive or inflammatory communications among staff or on social media regarding institutional policies or decisions.</w:t>
      </w:r>
    </w:p>
    <w:p>
      <w:r>
        <w:rPr>
          <w:rFonts w:ascii="Cambria" w:hAnsi="Cambria"/>
          <w:b/>
          <w:i w:val="0"/>
          <w:sz w:val="22"/>
        </w:rPr>
        <w:t>Indirect Defiance</w:t>
      </w:r>
    </w:p>
    <w:p>
      <w:pPr>
        <w:pStyle w:val="ListBullet"/>
        <w:spacing w:line="276" w:lineRule="auto"/>
        <w:ind w:left="510"/>
      </w:pPr>
      <w:r>
        <w:rPr>
          <w:rFonts w:ascii="Cambria" w:hAnsi="Cambria"/>
          <w:b w:val="0"/>
          <w:i w:val="0"/>
          <w:sz w:val="22"/>
        </w:rPr>
        <w:t>Influencing others to disregard instructions.</w:t>
      </w:r>
    </w:p>
    <w:p>
      <w:pPr>
        <w:pStyle w:val="ListBullet"/>
        <w:spacing w:line="276" w:lineRule="auto"/>
        <w:ind w:left="510"/>
      </w:pPr>
      <w:r>
        <w:rPr>
          <w:rFonts w:ascii="Cambria" w:hAnsi="Cambria"/>
          <w:b w:val="0"/>
          <w:i w:val="0"/>
          <w:sz w:val="22"/>
        </w:rPr>
        <w:t>Displaying passive resistance or non-cooperation in implementing approved policies.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Misconduct</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Minor defiance or isolated incident</w:t>
            </w:r>
          </w:p>
        </w:tc>
        <w:tc>
          <w:tcPr>
            <w:tcW w:type="dxa" w:w="5726"/>
          </w:tcPr>
          <w:p>
            <w:pPr>
              <w:spacing w:after="40" w:before="40"/>
            </w:pPr>
            <w:r/>
            <w:r>
              <w:rPr>
                <w:rFonts w:ascii="Cambria" w:hAnsi="Cambria"/>
                <w:b w:val="0"/>
                <w:i w:val="0"/>
                <w:sz w:val="22"/>
              </w:rPr>
              <w:t>Written warning or censure; counseling by the Head of Institution.</w:t>
            </w:r>
          </w:p>
        </w:tc>
      </w:tr>
      <w:tr>
        <w:tc>
          <w:tcPr>
            <w:tcW w:type="dxa" w:w="3685"/>
            <w:shd w:val="clear" w:color="auto" w:fill="F0F2F5"/>
          </w:tcPr>
          <w:p>
            <w:pPr>
              <w:spacing w:after="40" w:before="40"/>
            </w:pPr>
            <w:r/>
            <w:r>
              <w:rPr>
                <w:rFonts w:ascii="Cambria" w:hAnsi="Cambria"/>
                <w:b w:val="0"/>
                <w:i w:val="0"/>
                <w:sz w:val="22"/>
              </w:rPr>
              <w:t>Repeated or deliberate defiance</w:t>
            </w:r>
          </w:p>
        </w:tc>
        <w:tc>
          <w:tcPr>
            <w:tcW w:type="dxa" w:w="5726"/>
            <w:shd w:val="clear" w:color="auto" w:fill="F0F2F5"/>
          </w:tcPr>
          <w:p>
            <w:pPr>
              <w:spacing w:after="40" w:before="40"/>
            </w:pPr>
            <w:r/>
            <w:r>
              <w:rPr>
                <w:rFonts w:ascii="Cambria" w:hAnsi="Cambria"/>
                <w:b w:val="0"/>
                <w:i w:val="0"/>
                <w:sz w:val="22"/>
              </w:rPr>
              <w:t>Suspension, withholding of increment, or reduction in responsibilities.</w:t>
            </w:r>
          </w:p>
        </w:tc>
      </w:tr>
      <w:tr>
        <w:tc>
          <w:tcPr>
            <w:tcW w:type="dxa" w:w="3685"/>
          </w:tcPr>
          <w:p>
            <w:pPr>
              <w:spacing w:after="40" w:before="40"/>
            </w:pPr>
            <w:r/>
            <w:r>
              <w:rPr>
                <w:rFonts w:ascii="Cambria" w:hAnsi="Cambria"/>
                <w:b w:val="0"/>
                <w:i w:val="0"/>
                <w:sz w:val="22"/>
              </w:rPr>
              <w:t>Serious insubordination or disrespectful communication</w:t>
            </w:r>
          </w:p>
        </w:tc>
        <w:tc>
          <w:tcPr>
            <w:tcW w:type="dxa" w:w="5726"/>
          </w:tcPr>
          <w:p>
            <w:pPr>
              <w:spacing w:after="40" w:before="40"/>
            </w:pPr>
            <w:r/>
            <w:r>
              <w:rPr>
                <w:rFonts w:ascii="Cambria" w:hAnsi="Cambria"/>
                <w:b w:val="0"/>
                <w:i w:val="0"/>
                <w:sz w:val="22"/>
              </w:rPr>
              <w:t>Major penalty — reduction in rank, compulsory retirement, or dismissal from service.</w:t>
            </w:r>
          </w:p>
        </w:tc>
      </w:tr>
      <w:tr>
        <w:tc>
          <w:tcPr>
            <w:tcW w:type="dxa" w:w="3685"/>
            <w:shd w:val="clear" w:color="auto" w:fill="F0F2F5"/>
          </w:tcPr>
          <w:p>
            <w:pPr>
              <w:spacing w:after="40" w:before="40"/>
            </w:pPr>
            <w:r/>
            <w:r>
              <w:rPr>
                <w:rFonts w:ascii="Cambria" w:hAnsi="Cambria"/>
                <w:b w:val="0"/>
                <w:i w:val="0"/>
                <w:sz w:val="22"/>
              </w:rPr>
              <w:t>Public defamation or written communication harming the University’s reputation</w:t>
            </w:r>
          </w:p>
        </w:tc>
        <w:tc>
          <w:tcPr>
            <w:tcW w:type="dxa" w:w="5726"/>
            <w:shd w:val="clear" w:color="auto" w:fill="F0F2F5"/>
          </w:tcPr>
          <w:p>
            <w:pPr>
              <w:spacing w:after="40" w:before="40"/>
            </w:pPr>
            <w:r/>
            <w:r>
              <w:rPr>
                <w:rFonts w:ascii="Cambria" w:hAnsi="Cambria"/>
                <w:b w:val="0"/>
                <w:i w:val="0"/>
                <w:sz w:val="22"/>
              </w:rPr>
              <w:t>Immediate suspension pending inquiry, followed by major disciplinary action.</w:t>
            </w:r>
          </w:p>
        </w:tc>
      </w:tr>
    </w:tbl>
    <w:p>
      <w:pPr>
        <w:spacing w:after="40"/>
      </w:pP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The superior officer shall submit a written report with documentary evidence (letters, emails, memos, etc.) to the competent authority.</w:t>
            </w:r>
          </w:p>
        </w:tc>
      </w:tr>
      <w:tr>
        <w:tc>
          <w:tcPr>
            <w:tcW w:type="dxa" w:w="3685"/>
            <w:shd w:val="clear" w:color="auto" w:fill="F0F2F5"/>
          </w:tcPr>
          <w:p>
            <w:pPr>
              <w:spacing w:after="40" w:before="40"/>
            </w:pPr>
            <w:r/>
            <w:r>
              <w:rPr>
                <w:rFonts w:ascii="Cambria" w:hAnsi="Cambria"/>
                <w:b w:val="0"/>
                <w:i w:val="0"/>
                <w:sz w:val="22"/>
              </w:rPr>
              <w:t>2. Preliminary Review</w:t>
            </w:r>
          </w:p>
        </w:tc>
        <w:tc>
          <w:tcPr>
            <w:tcW w:type="dxa" w:w="5726"/>
            <w:shd w:val="clear" w:color="auto" w:fill="F0F2F5"/>
          </w:tcPr>
          <w:p>
            <w:pPr>
              <w:spacing w:after="40" w:before="40"/>
            </w:pPr>
            <w:r/>
            <w:r>
              <w:rPr>
                <w:rFonts w:ascii="Cambria" w:hAnsi="Cambria"/>
                <w:b w:val="0"/>
                <w:i w:val="0"/>
                <w:sz w:val="22"/>
              </w:rPr>
              <w:t>The Registrar / Vice Chancellor shall evaluate the incident and decide whether it warrants a formal inquiry.</w:t>
            </w:r>
          </w:p>
        </w:tc>
      </w:tr>
      <w:tr>
        <w:tc>
          <w:tcPr>
            <w:tcW w:type="dxa" w:w="3685"/>
          </w:tcPr>
          <w:p>
            <w:pPr>
              <w:spacing w:after="40" w:before="40"/>
            </w:pPr>
            <w:r/>
            <w:r>
              <w:rPr>
                <w:rFonts w:ascii="Cambria" w:hAnsi="Cambria"/>
                <w:b w:val="0"/>
                <w:i w:val="0"/>
                <w:sz w:val="22"/>
              </w:rPr>
              <w:t>3. Formal Inquiry</w:t>
            </w:r>
          </w:p>
        </w:tc>
        <w:tc>
          <w:tcPr>
            <w:tcW w:type="dxa" w:w="5726"/>
          </w:tcPr>
          <w:p>
            <w:pPr>
              <w:spacing w:after="40" w:before="40"/>
            </w:pPr>
            <w:r/>
            <w:r>
              <w:rPr>
                <w:rFonts w:ascii="Cambria" w:hAnsi="Cambria"/>
                <w:b w:val="0"/>
                <w:i w:val="0"/>
                <w:sz w:val="22"/>
              </w:rPr>
              <w:t>The concerned employee shall be issued a show-cause notice and given the opportunity to explain or apologize for the conduct.</w:t>
            </w:r>
          </w:p>
        </w:tc>
      </w:tr>
      <w:tr>
        <w:tc>
          <w:tcPr>
            <w:tcW w:type="dxa" w:w="3685"/>
            <w:shd w:val="clear" w:color="auto" w:fill="F0F2F5"/>
          </w:tcPr>
          <w:p>
            <w:pPr>
              <w:spacing w:after="40" w:before="40"/>
            </w:pPr>
            <w:r/>
            <w:r>
              <w:rPr>
                <w:rFonts w:ascii="Cambria" w:hAnsi="Cambria"/>
                <w:b w:val="0"/>
                <w:i w:val="0"/>
                <w:sz w:val="22"/>
              </w:rPr>
              <w:t>4. Final Decision</w:t>
            </w:r>
          </w:p>
        </w:tc>
        <w:tc>
          <w:tcPr>
            <w:tcW w:type="dxa" w:w="5726"/>
            <w:shd w:val="clear" w:color="auto" w:fill="F0F2F5"/>
          </w:tcPr>
          <w:p>
            <w:pPr>
              <w:spacing w:after="40" w:before="40"/>
            </w:pPr>
            <w:r/>
            <w:r>
              <w:rPr>
                <w:rFonts w:ascii="Cambria" w:hAnsi="Cambria"/>
                <w:b w:val="0"/>
                <w:i w:val="0"/>
                <w:sz w:val="22"/>
              </w:rPr>
              <w:t>Based on the findings, the competent authority shall impose appropriate penalties as per the Conduct and Discipline Rules.</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The University expects all employees to respect institutional hierarchy and follow lawful and reasonable directions from superiors.</w:t>
      </w:r>
    </w:p>
    <w:p>
      <w:pPr>
        <w:pStyle w:val="ListBullet"/>
        <w:spacing w:line="276" w:lineRule="auto"/>
        <w:ind w:left="510"/>
      </w:pPr>
      <w:r>
        <w:rPr>
          <w:rFonts w:ascii="Cambria" w:hAnsi="Cambria"/>
          <w:b w:val="0"/>
          <w:i w:val="0"/>
          <w:sz w:val="22"/>
        </w:rPr>
        <w:t>Constructive disagreement or representation must be expressed in measured, courteous, and written form through proper channels.</w:t>
      </w:r>
    </w:p>
    <w:p>
      <w:pPr>
        <w:pStyle w:val="ListBullet"/>
        <w:spacing w:line="276" w:lineRule="auto"/>
        <w:ind w:left="510"/>
      </w:pPr>
      <w:r>
        <w:rPr>
          <w:rFonts w:ascii="Cambria" w:hAnsi="Cambria"/>
          <w:b w:val="0"/>
          <w:i w:val="0"/>
          <w:sz w:val="22"/>
        </w:rPr>
        <w:t>The use of disrespectful tone, accusatory language, or defiant communication is incompatible with the professional ethos of an academic institution.</w:t>
      </w:r>
    </w:p>
    <w:p>
      <w:pPr>
        <w:pStyle w:val="ListBullet"/>
        <w:spacing w:line="276" w:lineRule="auto"/>
        <w:ind w:left="510"/>
      </w:pPr>
      <w:r>
        <w:rPr>
          <w:rFonts w:ascii="Cambria" w:hAnsi="Cambria"/>
          <w:b w:val="0"/>
          <w:i w:val="0"/>
          <w:sz w:val="22"/>
        </w:rPr>
        <w:t>Persistent defiance or rude correspondence constitutes gross misconduct and erodes institutional harmony.</w:t>
      </w:r>
    </w:p>
    <w:p>
      <w:pPr>
        <w:pStyle w:val="ListBullet"/>
        <w:spacing w:line="276" w:lineRule="auto"/>
        <w:ind w:left="510"/>
      </w:pPr>
      <w:r>
        <w:rPr>
          <w:rFonts w:ascii="Cambria" w:hAnsi="Cambria"/>
          <w:b w:val="0"/>
          <w:i w:val="0"/>
          <w:sz w:val="22"/>
        </w:rPr>
        <w:t>The Board of Management (BoM) shall be the final authority for interpretation, appeals, and disciplinary decisions under this policy.</w:t>
      </w:r>
    </w:p>
    <w:p>
      <w:pPr>
        <w:keepNext/>
        <w:spacing w:before="200" w:after="120"/>
      </w:pPr>
      <w:r>
        <w:rPr>
          <w:rFonts w:ascii="Cambria" w:hAnsi="Cambria"/>
          <w:b/>
          <w:color w:val="1F3A5F"/>
          <w:sz w:val="27"/>
        </w:rPr>
        <w:t>Policy on Unauthorized Absence and Overstaying Sanctioned Leave</w:t>
      </w:r>
    </w:p>
    <w:p>
      <w:r>
        <w:rPr>
          <w:rFonts w:ascii="Cambria" w:hAnsi="Cambria"/>
          <w:b/>
          <w:i w:val="0"/>
          <w:sz w:val="22"/>
        </w:rPr>
        <w:t>I. PURPOSE</w:t>
      </w:r>
    </w:p>
    <w:p>
      <w:pPr>
        <w:pStyle w:val="ListBullet"/>
        <w:spacing w:line="276" w:lineRule="auto"/>
        <w:ind w:left="510"/>
      </w:pPr>
      <w:r>
        <w:rPr>
          <w:rFonts w:ascii="Cambria" w:hAnsi="Cambria"/>
          <w:b w:val="0"/>
          <w:i w:val="0"/>
          <w:sz w:val="22"/>
        </w:rPr>
        <w:t>To maintain discipline, accountability, and institutional efficiency through regular attendance of all employees.</w:t>
      </w:r>
    </w:p>
    <w:p>
      <w:pPr>
        <w:pStyle w:val="ListBullet"/>
        <w:spacing w:line="276" w:lineRule="auto"/>
        <w:ind w:left="510"/>
      </w:pPr>
      <w:r>
        <w:rPr>
          <w:rFonts w:ascii="Cambria" w:hAnsi="Cambria"/>
          <w:b w:val="0"/>
          <w:i w:val="0"/>
          <w:sz w:val="22"/>
        </w:rPr>
        <w:t>To define unauthorized absence and overstaying sanctioned leave as acts of misconduct that disrupt the functioning of the University.</w:t>
      </w:r>
    </w:p>
    <w:p>
      <w:pPr>
        <w:pStyle w:val="ListBullet"/>
        <w:spacing w:line="276" w:lineRule="auto"/>
        <w:ind w:left="510"/>
      </w:pPr>
      <w:r>
        <w:rPr>
          <w:rFonts w:ascii="Cambria" w:hAnsi="Cambria"/>
          <w:b w:val="0"/>
          <w:i w:val="0"/>
          <w:sz w:val="22"/>
        </w:rPr>
        <w:t>To ensure that every employee adheres to the leave approval process and provides timely intimation of absence with valid justification.</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Absence from duty without prior sanction of leave, or overstaying the period of sanctioned leave for more than four consecutive days without satisfactory cause or explanation, constitutes serious misconduct.</w:t>
            </w:r>
          </w:p>
        </w:tc>
      </w:tr>
      <w:tr>
        <w:tc>
          <w:tcPr>
            <w:tcW w:type="dxa" w:w="3685"/>
            <w:shd w:val="clear" w:color="auto" w:fill="F0F2F5"/>
          </w:tcPr>
          <w:p>
            <w:pPr>
              <w:spacing w:after="40" w:before="40"/>
            </w:pPr>
            <w:r/>
            <w:r>
              <w:rPr>
                <w:rFonts w:ascii="Cambria" w:hAnsi="Cambria"/>
                <w:b w:val="0"/>
                <w:i w:val="0"/>
                <w:sz w:val="22"/>
              </w:rPr>
              <w:t>Responsibility</w:t>
            </w:r>
          </w:p>
        </w:tc>
        <w:tc>
          <w:tcPr>
            <w:tcW w:type="dxa" w:w="5726"/>
            <w:shd w:val="clear" w:color="auto" w:fill="F0F2F5"/>
          </w:tcPr>
          <w:p>
            <w:pPr>
              <w:spacing w:after="40" w:before="40"/>
            </w:pPr>
            <w:r/>
            <w:r>
              <w:rPr>
                <w:rFonts w:ascii="Cambria" w:hAnsi="Cambria"/>
                <w:b w:val="0"/>
                <w:i w:val="0"/>
                <w:sz w:val="22"/>
              </w:rPr>
              <w:t>Every employee must ensure that their leave application is duly approved by the competent authority before availing leave. In case of unavoidable absence, they must inform the Head of Department or Registrar immediately and provide medical or supporting documents.</w:t>
            </w:r>
          </w:p>
        </w:tc>
      </w:tr>
      <w:tr>
        <w:tc>
          <w:tcPr>
            <w:tcW w:type="dxa" w:w="3685"/>
          </w:tcPr>
          <w:p>
            <w:pPr>
              <w:spacing w:after="40" w:before="40"/>
            </w:pPr>
            <w:r/>
            <w:r>
              <w:rPr>
                <w:rFonts w:ascii="Cambria" w:hAnsi="Cambria"/>
                <w:b w:val="0"/>
                <w:i w:val="0"/>
                <w:sz w:val="22"/>
              </w:rPr>
              <w:t>Scope</w:t>
            </w:r>
          </w:p>
        </w:tc>
        <w:tc>
          <w:tcPr>
            <w:tcW w:type="dxa" w:w="5726"/>
          </w:tcPr>
          <w:p>
            <w:pPr>
              <w:spacing w:after="40" w:before="40"/>
            </w:pPr>
            <w:r/>
            <w:r>
              <w:rPr>
                <w:rFonts w:ascii="Cambria" w:hAnsi="Cambria"/>
                <w:b w:val="0"/>
                <w:i w:val="0"/>
                <w:sz w:val="22"/>
              </w:rPr>
              <w:t>This rule applies to all employees, including teaching, non-teaching, technical, administrative, contractual, and project-based staff.</w:t>
            </w:r>
          </w:p>
        </w:tc>
      </w:tr>
    </w:tbl>
    <w:p>
      <w:pPr>
        <w:spacing w:after="40"/>
      </w:pPr>
    </w:p>
    <w:p>
      <w:r>
        <w:rPr>
          <w:rFonts w:ascii="Cambria" w:hAnsi="Cambria"/>
          <w:b/>
          <w:i w:val="0"/>
          <w:sz w:val="22"/>
        </w:rPr>
        <w:t>2. ILLUSTRATIVE CASES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Unauthorized Absence</w:t>
            </w:r>
          </w:p>
        </w:tc>
      </w:tr>
      <w:tr>
        <w:tc>
          <w:tcPr>
            <w:tcW w:type="dxa" w:w="3685"/>
          </w:tcPr>
          <w:p>
            <w:pPr>
              <w:spacing w:after="40" w:before="40"/>
            </w:pPr>
            <w:r/>
            <w:r>
              <w:rPr>
                <w:rFonts w:ascii="Cambria" w:hAnsi="Cambria"/>
                <w:b w:val="0"/>
                <w:i w:val="0"/>
                <w:sz w:val="22"/>
              </w:rPr>
              <w:t>Without Leave Approval</w:t>
            </w:r>
          </w:p>
        </w:tc>
        <w:tc>
          <w:tcPr>
            <w:tcW w:type="dxa" w:w="5726"/>
          </w:tcPr>
          <w:p>
            <w:pPr>
              <w:spacing w:after="40" w:before="40"/>
            </w:pPr>
            <w:r/>
            <w:r>
              <w:rPr>
                <w:rFonts w:ascii="Cambria" w:hAnsi="Cambria"/>
                <w:b w:val="0"/>
                <w:i w:val="0"/>
                <w:sz w:val="22"/>
              </w:rPr>
              <w:t>Remaining absent from duty without applying for leave.</w:t>
            </w:r>
          </w:p>
        </w:tc>
      </w:tr>
    </w:tbl>
    <w:p>
      <w:pPr>
        <w:spacing w:after="40"/>
      </w:pPr>
    </w:p>
    <w:p>
      <w:pPr>
        <w:pStyle w:val="ListBullet"/>
        <w:spacing w:line="276" w:lineRule="auto"/>
        <w:ind w:left="510"/>
      </w:pPr>
      <w:r>
        <w:rPr>
          <w:rFonts w:ascii="Cambria" w:hAnsi="Cambria"/>
          <w:b w:val="0"/>
          <w:i w:val="0"/>
          <w:sz w:val="22"/>
        </w:rPr>
        <w:t>Proceeding on leave before it is sanctioned.</w:t>
      </w:r>
    </w:p>
    <w:p>
      <w:r>
        <w:rPr>
          <w:rFonts w:ascii="Cambria" w:hAnsi="Cambria"/>
          <w:b/>
          <w:i w:val="0"/>
          <w:sz w:val="22"/>
        </w:rPr>
        <w:t>Overstaying Leave</w:t>
      </w:r>
    </w:p>
    <w:p>
      <w:pPr>
        <w:pStyle w:val="ListBullet"/>
        <w:spacing w:line="276" w:lineRule="auto"/>
        <w:ind w:left="510"/>
      </w:pPr>
      <w:r>
        <w:rPr>
          <w:rFonts w:ascii="Cambria" w:hAnsi="Cambria"/>
          <w:b w:val="0"/>
          <w:i w:val="0"/>
          <w:sz w:val="22"/>
        </w:rPr>
        <w:t>Failing to report back after expiry of sanctioned leave for four or more consecutive days without valid reason.</w:t>
      </w:r>
    </w:p>
    <w:p>
      <w:pPr>
        <w:pStyle w:val="ListBullet"/>
        <w:spacing w:line="276" w:lineRule="auto"/>
        <w:ind w:left="510"/>
      </w:pPr>
      <w:r>
        <w:rPr>
          <w:rFonts w:ascii="Cambria" w:hAnsi="Cambria"/>
          <w:b w:val="0"/>
          <w:i w:val="0"/>
          <w:sz w:val="22"/>
        </w:rPr>
        <w:t>Extending personal or medical leave without written approval.</w:t>
      </w:r>
    </w:p>
    <w:p>
      <w:r>
        <w:rPr>
          <w:rFonts w:ascii="Cambria" w:hAnsi="Cambria"/>
          <w:b/>
          <w:i w:val="0"/>
          <w:sz w:val="22"/>
        </w:rPr>
        <w:t>Failure to Communicate</w:t>
      </w:r>
    </w:p>
    <w:p>
      <w:pPr>
        <w:pStyle w:val="ListBullet"/>
        <w:spacing w:line="276" w:lineRule="auto"/>
        <w:ind w:left="510"/>
      </w:pPr>
      <w:r>
        <w:rPr>
          <w:rFonts w:ascii="Cambria" w:hAnsi="Cambria"/>
          <w:b w:val="0"/>
          <w:i w:val="0"/>
          <w:sz w:val="22"/>
        </w:rPr>
        <w:t>Not informing the department during emergency absence.</w:t>
      </w:r>
    </w:p>
    <w:p>
      <w:pPr>
        <w:pStyle w:val="ListBullet"/>
        <w:spacing w:line="276" w:lineRule="auto"/>
        <w:ind w:left="510"/>
      </w:pPr>
      <w:r>
        <w:rPr>
          <w:rFonts w:ascii="Cambria" w:hAnsi="Cambria"/>
          <w:b w:val="0"/>
          <w:i w:val="0"/>
          <w:sz w:val="22"/>
        </w:rPr>
        <w:t>Ignoring official communications or reminders to rejoin duty.</w:t>
      </w:r>
    </w:p>
    <w:p>
      <w:r>
        <w:rPr>
          <w:rFonts w:ascii="Cambria" w:hAnsi="Cambria"/>
          <w:b/>
          <w:i w:val="0"/>
          <w:sz w:val="22"/>
        </w:rPr>
        <w:t>Pattern of Negligence</w:t>
      </w:r>
    </w:p>
    <w:p>
      <w:pPr>
        <w:pStyle w:val="ListBullet"/>
        <w:spacing w:line="276" w:lineRule="auto"/>
        <w:ind w:left="510"/>
      </w:pPr>
      <w:r>
        <w:rPr>
          <w:rFonts w:ascii="Cambria" w:hAnsi="Cambria"/>
          <w:b w:val="0"/>
          <w:i w:val="0"/>
          <w:sz w:val="22"/>
        </w:rPr>
        <w:t>Frequently remaining absent without intimation.</w:t>
      </w:r>
    </w:p>
    <w:p>
      <w:pPr>
        <w:pStyle w:val="ListBullet"/>
        <w:spacing w:line="276" w:lineRule="auto"/>
        <w:ind w:left="510"/>
      </w:pPr>
      <w:r>
        <w:rPr>
          <w:rFonts w:ascii="Cambria" w:hAnsi="Cambria"/>
          <w:b w:val="0"/>
          <w:i w:val="0"/>
          <w:sz w:val="22"/>
        </w:rPr>
        <w:t>Using leave privileges irresponsibly, causing disruption in academic or administrative duties.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 of Misconduct</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Absence of 1–4 days without approval</w:t>
            </w:r>
          </w:p>
        </w:tc>
        <w:tc>
          <w:tcPr>
            <w:tcW w:type="dxa" w:w="5726"/>
          </w:tcPr>
          <w:p>
            <w:pPr>
              <w:spacing w:after="40" w:before="40"/>
            </w:pPr>
            <w:r/>
            <w:r>
              <w:rPr>
                <w:rFonts w:ascii="Cambria" w:hAnsi="Cambria"/>
                <w:b w:val="0"/>
                <w:i w:val="0"/>
                <w:sz w:val="22"/>
              </w:rPr>
              <w:t>Written warning or censure.</w:t>
            </w:r>
          </w:p>
        </w:tc>
      </w:tr>
      <w:tr>
        <w:tc>
          <w:tcPr>
            <w:tcW w:type="dxa" w:w="3685"/>
            <w:shd w:val="clear" w:color="auto" w:fill="F0F2F5"/>
          </w:tcPr>
          <w:p>
            <w:pPr>
              <w:spacing w:after="40" w:before="40"/>
            </w:pPr>
            <w:r/>
            <w:r>
              <w:rPr>
                <w:rFonts w:ascii="Cambria" w:hAnsi="Cambria"/>
                <w:b w:val="0"/>
                <w:i w:val="0"/>
                <w:sz w:val="22"/>
              </w:rPr>
              <w:t>Overstaying sanctioned leave beyond 4 consecutive days</w:t>
            </w:r>
          </w:p>
        </w:tc>
        <w:tc>
          <w:tcPr>
            <w:tcW w:type="dxa" w:w="5726"/>
            <w:shd w:val="clear" w:color="auto" w:fill="F0F2F5"/>
          </w:tcPr>
          <w:p>
            <w:pPr>
              <w:spacing w:after="40" w:before="40"/>
            </w:pPr>
            <w:r/>
            <w:r>
              <w:rPr>
                <w:rFonts w:ascii="Cambria" w:hAnsi="Cambria"/>
                <w:b w:val="0"/>
                <w:i w:val="0"/>
                <w:sz w:val="22"/>
              </w:rPr>
              <w:t>Suspension of pay for the absent period, and entry of misconduct in service record.</w:t>
            </w:r>
          </w:p>
        </w:tc>
      </w:tr>
      <w:tr>
        <w:tc>
          <w:tcPr>
            <w:tcW w:type="dxa" w:w="3685"/>
          </w:tcPr>
          <w:p>
            <w:pPr>
              <w:spacing w:after="40" w:before="40"/>
            </w:pPr>
            <w:r/>
            <w:r>
              <w:rPr>
                <w:rFonts w:ascii="Cambria" w:hAnsi="Cambria"/>
                <w:b w:val="0"/>
                <w:i w:val="0"/>
                <w:sz w:val="22"/>
              </w:rPr>
              <w:t>Absence exceeding 10 consecutive days without intimation</w:t>
            </w:r>
          </w:p>
        </w:tc>
        <w:tc>
          <w:tcPr>
            <w:tcW w:type="dxa" w:w="5726"/>
          </w:tcPr>
          <w:p>
            <w:pPr>
              <w:spacing w:after="40" w:before="40"/>
            </w:pPr>
            <w:r/>
            <w:r>
              <w:rPr>
                <w:rFonts w:ascii="Cambria" w:hAnsi="Cambria"/>
                <w:b w:val="0"/>
                <w:i w:val="0"/>
                <w:sz w:val="22"/>
              </w:rPr>
              <w:t>Initiation of disciplinary proceedings; may lead to termination of service under “willful absence.”</w:t>
            </w:r>
          </w:p>
        </w:tc>
      </w:tr>
      <w:tr>
        <w:tc>
          <w:tcPr>
            <w:tcW w:type="dxa" w:w="3685"/>
            <w:shd w:val="clear" w:color="auto" w:fill="F0F2F5"/>
          </w:tcPr>
          <w:p>
            <w:pPr>
              <w:spacing w:after="40" w:before="40"/>
            </w:pPr>
            <w:r/>
            <w:r>
              <w:rPr>
                <w:rFonts w:ascii="Cambria" w:hAnsi="Cambria"/>
                <w:b w:val="0"/>
                <w:i w:val="0"/>
                <w:sz w:val="22"/>
              </w:rPr>
              <w:t>Absence beyond 30 days without communication</w:t>
            </w:r>
          </w:p>
        </w:tc>
        <w:tc>
          <w:tcPr>
            <w:tcW w:type="dxa" w:w="5726"/>
            <w:shd w:val="clear" w:color="auto" w:fill="F0F2F5"/>
          </w:tcPr>
          <w:p>
            <w:pPr>
              <w:spacing w:after="40" w:before="40"/>
            </w:pPr>
            <w:r/>
            <w:r>
              <w:rPr>
                <w:rFonts w:ascii="Cambria" w:hAnsi="Cambria"/>
                <w:b w:val="0"/>
                <w:i w:val="0"/>
                <w:sz w:val="22"/>
              </w:rPr>
              <w:t>Employee shall be deemed to have voluntarily abandoned employment, and his/her name will be struck off the rolls.</w:t>
            </w:r>
          </w:p>
        </w:tc>
      </w:tr>
    </w:tbl>
    <w:p>
      <w:pPr>
        <w:spacing w:after="40"/>
      </w:pP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1. Detection</w:t>
            </w:r>
          </w:p>
        </w:tc>
        <w:tc>
          <w:tcPr>
            <w:tcW w:type="dxa" w:w="5726"/>
          </w:tcPr>
          <w:p>
            <w:pPr>
              <w:spacing w:after="40" w:before="40"/>
            </w:pPr>
            <w:r/>
            <w:r>
              <w:rPr>
                <w:rFonts w:ascii="Cambria" w:hAnsi="Cambria"/>
                <w:b w:val="0"/>
                <w:i w:val="0"/>
                <w:sz w:val="22"/>
              </w:rPr>
              <w:t>The Head of Department or Registrar reports unauthorized absence to the competent authority with attendance records.</w:t>
            </w:r>
          </w:p>
        </w:tc>
      </w:tr>
      <w:tr>
        <w:tc>
          <w:tcPr>
            <w:tcW w:type="dxa" w:w="3685"/>
            <w:shd w:val="clear" w:color="auto" w:fill="F0F2F5"/>
          </w:tcPr>
          <w:p>
            <w:pPr>
              <w:spacing w:after="40" w:before="40"/>
            </w:pPr>
            <w:r/>
            <w:r>
              <w:rPr>
                <w:rFonts w:ascii="Cambria" w:hAnsi="Cambria"/>
                <w:b w:val="0"/>
                <w:i w:val="0"/>
                <w:sz w:val="22"/>
              </w:rPr>
              <w:t>2. Notice to Employee</w:t>
            </w:r>
          </w:p>
        </w:tc>
        <w:tc>
          <w:tcPr>
            <w:tcW w:type="dxa" w:w="5726"/>
            <w:shd w:val="clear" w:color="auto" w:fill="F0F2F5"/>
          </w:tcPr>
          <w:p>
            <w:pPr>
              <w:spacing w:after="40" w:before="40"/>
            </w:pPr>
            <w:r/>
            <w:r>
              <w:rPr>
                <w:rFonts w:ascii="Cambria" w:hAnsi="Cambria"/>
                <w:b w:val="0"/>
                <w:i w:val="0"/>
                <w:sz w:val="22"/>
              </w:rPr>
              <w:t>A show-cause notice is issued directing the employee to explain the reason for absence within a specified period (usually 7 days).</w:t>
            </w:r>
          </w:p>
        </w:tc>
      </w:tr>
      <w:tr>
        <w:tc>
          <w:tcPr>
            <w:tcW w:type="dxa" w:w="3685"/>
          </w:tcPr>
          <w:p>
            <w:pPr>
              <w:spacing w:after="40" w:before="40"/>
            </w:pPr>
            <w:r/>
            <w:r>
              <w:rPr>
                <w:rFonts w:ascii="Cambria" w:hAnsi="Cambria"/>
                <w:b w:val="0"/>
                <w:i w:val="0"/>
                <w:sz w:val="22"/>
              </w:rPr>
              <w:t>3. Inquiry</w:t>
            </w:r>
          </w:p>
        </w:tc>
        <w:tc>
          <w:tcPr>
            <w:tcW w:type="dxa" w:w="5726"/>
          </w:tcPr>
          <w:p>
            <w:pPr>
              <w:spacing w:after="40" w:before="40"/>
            </w:pPr>
            <w:r/>
            <w:r>
              <w:rPr>
                <w:rFonts w:ascii="Cambria" w:hAnsi="Cambria"/>
                <w:b w:val="0"/>
                <w:i w:val="0"/>
                <w:sz w:val="22"/>
              </w:rPr>
              <w:t>If no satisfactory explanation is received, a disciplinary inquiry may be initiated.</w:t>
            </w:r>
          </w:p>
        </w:tc>
      </w:tr>
      <w:tr>
        <w:tc>
          <w:tcPr>
            <w:tcW w:type="dxa" w:w="3685"/>
            <w:shd w:val="clear" w:color="auto" w:fill="F0F2F5"/>
          </w:tcPr>
          <w:p>
            <w:pPr>
              <w:spacing w:after="40" w:before="40"/>
            </w:pPr>
            <w:r/>
            <w:r>
              <w:rPr>
                <w:rFonts w:ascii="Cambria" w:hAnsi="Cambria"/>
                <w:b w:val="0"/>
                <w:i w:val="0"/>
                <w:sz w:val="22"/>
              </w:rPr>
              <w:t>4. Decision</w:t>
            </w:r>
          </w:p>
        </w:tc>
        <w:tc>
          <w:tcPr>
            <w:tcW w:type="dxa" w:w="5726"/>
            <w:shd w:val="clear" w:color="auto" w:fill="F0F2F5"/>
          </w:tcPr>
          <w:p>
            <w:pPr>
              <w:spacing w:after="40" w:before="40"/>
            </w:pPr>
            <w:r/>
            <w:r>
              <w:rPr>
                <w:rFonts w:ascii="Cambria" w:hAnsi="Cambria"/>
                <w:b w:val="0"/>
                <w:i w:val="0"/>
                <w:sz w:val="22"/>
              </w:rPr>
              <w:t>Based on the inquiry outcome, the Vice Chancellor or Board of Management (BoM) decides the penalty — ranging from warning to dismissal.</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Regular attendance and punctuality are integral duties of every University employee.</w:t>
      </w:r>
    </w:p>
    <w:p>
      <w:pPr>
        <w:pStyle w:val="ListBullet"/>
        <w:spacing w:line="276" w:lineRule="auto"/>
        <w:ind w:left="510"/>
      </w:pPr>
      <w:r>
        <w:rPr>
          <w:rFonts w:ascii="Cambria" w:hAnsi="Cambria"/>
          <w:b w:val="0"/>
          <w:i w:val="0"/>
          <w:sz w:val="22"/>
        </w:rPr>
        <w:t>Absence without permission disrupts the functioning of departments, affects students, and damages institutional reputation.</w:t>
      </w:r>
    </w:p>
    <w:p>
      <w:pPr>
        <w:pStyle w:val="ListBullet"/>
        <w:spacing w:line="276" w:lineRule="auto"/>
        <w:ind w:left="510"/>
      </w:pPr>
      <w:r>
        <w:rPr>
          <w:rFonts w:ascii="Cambria" w:hAnsi="Cambria"/>
          <w:b w:val="0"/>
          <w:i w:val="0"/>
          <w:sz w:val="22"/>
        </w:rPr>
        <w:t>Emergencies or medical issues must be promptly communicated and documented.</w:t>
      </w:r>
    </w:p>
    <w:p>
      <w:pPr>
        <w:pStyle w:val="ListBullet"/>
        <w:spacing w:line="276" w:lineRule="auto"/>
        <w:ind w:left="510"/>
      </w:pPr>
      <w:r>
        <w:rPr>
          <w:rFonts w:ascii="Cambria" w:hAnsi="Cambria"/>
          <w:b w:val="0"/>
          <w:i w:val="0"/>
          <w:sz w:val="22"/>
        </w:rPr>
        <w:t>The period of unauthorized absence will be treated as “dies non” — not counting for pay, increment, leave, or service benefits.</w:t>
      </w:r>
    </w:p>
    <w:p>
      <w:pPr>
        <w:pStyle w:val="ListBullet"/>
        <w:spacing w:line="276" w:lineRule="auto"/>
        <w:ind w:left="510"/>
      </w:pPr>
      <w:r>
        <w:rPr>
          <w:rFonts w:ascii="Cambria" w:hAnsi="Cambria"/>
          <w:b w:val="0"/>
          <w:i w:val="0"/>
          <w:sz w:val="22"/>
        </w:rPr>
        <w:t>The Board of Management’s decision on interpretation and disciplinary measures shall be final and binding.</w:t>
      </w:r>
    </w:p>
    <w:p>
      <w:pPr>
        <w:keepNext/>
        <w:spacing w:before="200" w:after="120"/>
      </w:pPr>
      <w:r>
        <w:rPr>
          <w:rFonts w:ascii="Cambria" w:hAnsi="Cambria"/>
          <w:b/>
          <w:color w:val="1F3A5F"/>
          <w:sz w:val="27"/>
        </w:rPr>
        <w:t>Policy on Habitual Late Attendance, Irregular Attendance, and Habitual Absenteeism</w:t>
      </w:r>
    </w:p>
    <w:p>
      <w:r>
        <w:rPr>
          <w:rFonts w:ascii="Cambria" w:hAnsi="Cambria"/>
          <w:b/>
          <w:i w:val="0"/>
          <w:sz w:val="22"/>
        </w:rPr>
        <w:t>I. PURPOSE</w:t>
      </w:r>
    </w:p>
    <w:p>
      <w:pPr>
        <w:pStyle w:val="ListBullet"/>
        <w:spacing w:line="276" w:lineRule="auto"/>
        <w:ind w:left="510"/>
      </w:pPr>
      <w:r>
        <w:rPr>
          <w:rFonts w:ascii="Cambria" w:hAnsi="Cambria"/>
          <w:b w:val="0"/>
          <w:i w:val="0"/>
          <w:sz w:val="22"/>
        </w:rPr>
        <w:t>To ensure punctuality, discipline, and reliability in the functioning of all academic and administrative units.</w:t>
      </w:r>
    </w:p>
    <w:p>
      <w:pPr>
        <w:pStyle w:val="ListBullet"/>
        <w:spacing w:line="276" w:lineRule="auto"/>
        <w:ind w:left="510"/>
      </w:pPr>
      <w:r>
        <w:rPr>
          <w:rFonts w:ascii="Cambria" w:hAnsi="Cambria"/>
          <w:b w:val="0"/>
          <w:i w:val="0"/>
          <w:sz w:val="22"/>
        </w:rPr>
        <w:t>To address and correct instances of repeated late reporting, irregular attendance, and habitual absenteeism that affect institutional efficiency and student learning.</w:t>
      </w:r>
    </w:p>
    <w:p>
      <w:pPr>
        <w:pStyle w:val="ListBullet"/>
        <w:spacing w:line="276" w:lineRule="auto"/>
        <w:ind w:left="510"/>
      </w:pPr>
      <w:r>
        <w:rPr>
          <w:rFonts w:ascii="Cambria" w:hAnsi="Cambria"/>
          <w:b w:val="0"/>
          <w:i w:val="0"/>
          <w:sz w:val="22"/>
        </w:rPr>
        <w:t>To establish a fair and transparent procedure for monitoring attendance and enforcing accountability among all employees.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Habitual late attendance means repeated or frequent arrival after the scheduled reporting time without valid reason. Habitual absenteeism refers to repeated absence from duty without proper sanction or justification, even for short durations.</w:t>
            </w:r>
          </w:p>
        </w:tc>
      </w:tr>
      <w:tr>
        <w:tc>
          <w:tcPr>
            <w:tcW w:type="dxa" w:w="3685"/>
            <w:shd w:val="clear" w:color="auto" w:fill="F0F2F5"/>
          </w:tcPr>
          <w:p>
            <w:pPr>
              <w:spacing w:after="40" w:before="40"/>
            </w:pPr>
            <w:r/>
            <w:r>
              <w:rPr>
                <w:rFonts w:ascii="Cambria" w:hAnsi="Cambria"/>
                <w:b w:val="0"/>
                <w:i w:val="0"/>
                <w:sz w:val="22"/>
              </w:rPr>
              <w:t>Prohibition</w:t>
            </w:r>
          </w:p>
        </w:tc>
        <w:tc>
          <w:tcPr>
            <w:tcW w:type="dxa" w:w="5726"/>
            <w:shd w:val="clear" w:color="auto" w:fill="F0F2F5"/>
          </w:tcPr>
          <w:p>
            <w:pPr>
              <w:spacing w:after="40" w:before="40"/>
            </w:pPr>
            <w:r/>
            <w:r>
              <w:rPr>
                <w:rFonts w:ascii="Cambria" w:hAnsi="Cambria"/>
                <w:b w:val="0"/>
                <w:i w:val="0"/>
                <w:sz w:val="22"/>
              </w:rPr>
              <w:t>Repeated lateness, irregular attendance, or absenteeism, whether with or without prior intimation, shall constitute misconduct under University Service and Conduct Rules.</w:t>
            </w:r>
          </w:p>
        </w:tc>
      </w:tr>
      <w:tr>
        <w:tc>
          <w:tcPr>
            <w:tcW w:type="dxa" w:w="3685"/>
          </w:tcPr>
          <w:p>
            <w:pPr>
              <w:spacing w:after="40" w:before="40"/>
            </w:pPr>
            <w:r/>
            <w:r>
              <w:rPr>
                <w:rFonts w:ascii="Cambria" w:hAnsi="Cambria"/>
                <w:b w:val="0"/>
                <w:i w:val="0"/>
                <w:sz w:val="22"/>
              </w:rPr>
              <w:t>Scope</w:t>
            </w:r>
          </w:p>
        </w:tc>
        <w:tc>
          <w:tcPr>
            <w:tcW w:type="dxa" w:w="5726"/>
          </w:tcPr>
          <w:p>
            <w:pPr>
              <w:spacing w:after="40" w:before="40"/>
            </w:pPr>
            <w:r/>
            <w:r>
              <w:rPr>
                <w:rFonts w:ascii="Cambria" w:hAnsi="Cambria"/>
                <w:b w:val="0"/>
                <w:i w:val="0"/>
                <w:sz w:val="22"/>
              </w:rPr>
              <w:t>This rule applies to all teaching, non-teaching, administrative, and technical staff, including employees on probation, contract, or regular appointment.</w:t>
            </w:r>
          </w:p>
        </w:tc>
      </w:tr>
    </w:tbl>
    <w:p>
      <w:pPr>
        <w:spacing w:after="40"/>
      </w:pPr>
    </w:p>
    <w:p>
      <w:r>
        <w:rPr>
          <w:rFonts w:ascii="Cambria" w:hAnsi="Cambria"/>
          <w:b/>
          <w:i w:val="0"/>
          <w:sz w:val="22"/>
        </w:rPr>
        <w:t>2. ILLUSTRATIVE CASES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Habitual Late Attendance</w:t>
            </w:r>
          </w:p>
        </w:tc>
        <w:tc>
          <w:tcPr>
            <w:tcW w:type="dxa" w:w="5726"/>
          </w:tcPr>
          <w:p>
            <w:pPr>
              <w:spacing w:after="40" w:before="40"/>
            </w:pPr>
            <w:r/>
            <w:r>
              <w:rPr>
                <w:rFonts w:ascii="Cambria" w:hAnsi="Cambria"/>
                <w:b w:val="0"/>
                <w:i w:val="0"/>
                <w:sz w:val="22"/>
              </w:rPr>
              <w:t>Reporting late on three or more occasions in a month without valid cause.</w:t>
            </w:r>
          </w:p>
        </w:tc>
      </w:tr>
    </w:tbl>
    <w:p>
      <w:pPr>
        <w:spacing w:after="40"/>
      </w:pPr>
    </w:p>
    <w:p>
      <w:pPr>
        <w:pStyle w:val="ListBullet"/>
        <w:spacing w:line="276" w:lineRule="auto"/>
        <w:ind w:left="510"/>
      </w:pPr>
      <w:r>
        <w:rPr>
          <w:rFonts w:ascii="Cambria" w:hAnsi="Cambria"/>
          <w:b w:val="0"/>
          <w:i w:val="0"/>
          <w:sz w:val="22"/>
        </w:rPr>
        <w:t>Arriving after commencement of classes or office hours repeatedly despite reminders.</w:t>
      </w:r>
    </w:p>
    <w:p>
      <w:r>
        <w:rPr>
          <w:rFonts w:ascii="Cambria" w:hAnsi="Cambria"/>
          <w:b/>
          <w:i w:val="0"/>
          <w:sz w:val="22"/>
        </w:rPr>
        <w:t>Irregular Attendance</w:t>
      </w:r>
    </w:p>
    <w:p>
      <w:pPr>
        <w:pStyle w:val="ListBullet"/>
        <w:spacing w:line="276" w:lineRule="auto"/>
        <w:ind w:left="510"/>
      </w:pPr>
      <w:r>
        <w:rPr>
          <w:rFonts w:ascii="Cambria" w:hAnsi="Cambria"/>
          <w:b w:val="0"/>
          <w:i w:val="0"/>
          <w:sz w:val="22"/>
        </w:rPr>
        <w:t>Frequently signing attendance registers at irregular intervals.</w:t>
      </w:r>
    </w:p>
    <w:p>
      <w:pPr>
        <w:pStyle w:val="ListBullet"/>
        <w:spacing w:line="276" w:lineRule="auto"/>
        <w:ind w:left="510"/>
      </w:pPr>
      <w:r>
        <w:rPr>
          <w:rFonts w:ascii="Cambria" w:hAnsi="Cambria"/>
          <w:b w:val="0"/>
          <w:i w:val="0"/>
          <w:sz w:val="22"/>
        </w:rPr>
        <w:t>Leaving the workplace early without permission.</w:t>
      </w:r>
    </w:p>
    <w:p>
      <w:pPr>
        <w:pStyle w:val="ListBullet"/>
        <w:spacing w:line="276" w:lineRule="auto"/>
        <w:ind w:left="510"/>
      </w:pPr>
      <w:r>
        <w:rPr>
          <w:rFonts w:ascii="Cambria" w:hAnsi="Cambria"/>
          <w:b w:val="0"/>
          <w:i w:val="0"/>
          <w:sz w:val="22"/>
        </w:rPr>
        <w:t>Failing to complete the minimum required working hours.</w:t>
      </w:r>
    </w:p>
    <w:p>
      <w:r>
        <w:rPr>
          <w:rFonts w:ascii="Cambria" w:hAnsi="Cambria"/>
          <w:b/>
          <w:i w:val="0"/>
          <w:sz w:val="22"/>
        </w:rPr>
        <w:t>Habitual Absenteeism</w:t>
      </w:r>
    </w:p>
    <w:p>
      <w:pPr>
        <w:pStyle w:val="ListBullet"/>
        <w:spacing w:line="276" w:lineRule="auto"/>
        <w:ind w:left="510"/>
      </w:pPr>
      <w:r>
        <w:rPr>
          <w:rFonts w:ascii="Cambria" w:hAnsi="Cambria"/>
          <w:b w:val="0"/>
          <w:i w:val="0"/>
          <w:sz w:val="22"/>
        </w:rPr>
        <w:t>Frequently availing short or casual leaves without proper planning.</w:t>
      </w:r>
    </w:p>
    <w:p>
      <w:pPr>
        <w:pStyle w:val="ListBullet"/>
        <w:spacing w:line="276" w:lineRule="auto"/>
        <w:ind w:left="510"/>
      </w:pPr>
      <w:r>
        <w:rPr>
          <w:rFonts w:ascii="Cambria" w:hAnsi="Cambria"/>
          <w:b w:val="0"/>
          <w:i w:val="0"/>
          <w:sz w:val="22"/>
        </w:rPr>
        <w:t>Repeatedly being absent on important institutional days (e.g., examinations, meetings, events).</w:t>
      </w:r>
    </w:p>
    <w:p>
      <w:pPr>
        <w:pStyle w:val="ListBullet"/>
        <w:spacing w:line="276" w:lineRule="auto"/>
        <w:ind w:left="510"/>
      </w:pPr>
      <w:r>
        <w:rPr>
          <w:rFonts w:ascii="Cambria" w:hAnsi="Cambria"/>
          <w:b w:val="0"/>
          <w:i w:val="0"/>
          <w:sz w:val="22"/>
        </w:rPr>
        <w:t>Exhibiting a pattern of absence around weekends or holidays.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Level of Misconduct</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First instance</w:t>
            </w:r>
          </w:p>
        </w:tc>
        <w:tc>
          <w:tcPr>
            <w:tcW w:type="dxa" w:w="5726"/>
          </w:tcPr>
          <w:p>
            <w:pPr>
              <w:spacing w:after="40" w:before="40"/>
            </w:pPr>
            <w:r/>
            <w:r>
              <w:rPr>
                <w:rFonts w:ascii="Cambria" w:hAnsi="Cambria"/>
                <w:b w:val="0"/>
                <w:i w:val="0"/>
                <w:sz w:val="22"/>
              </w:rPr>
              <w:t>Oral or written warning by the Head of the Department.</w:t>
            </w:r>
          </w:p>
        </w:tc>
      </w:tr>
      <w:tr>
        <w:tc>
          <w:tcPr>
            <w:tcW w:type="dxa" w:w="3685"/>
            <w:shd w:val="clear" w:color="auto" w:fill="F0F2F5"/>
          </w:tcPr>
          <w:p>
            <w:pPr>
              <w:spacing w:after="40" w:before="40"/>
            </w:pPr>
            <w:r/>
            <w:r>
              <w:rPr>
                <w:rFonts w:ascii="Cambria" w:hAnsi="Cambria"/>
                <w:b w:val="0"/>
                <w:i w:val="0"/>
                <w:sz w:val="22"/>
              </w:rPr>
              <w:t>Repeated lateness (3 instances per quarter)</w:t>
            </w:r>
          </w:p>
        </w:tc>
        <w:tc>
          <w:tcPr>
            <w:tcW w:type="dxa" w:w="5726"/>
            <w:shd w:val="clear" w:color="auto" w:fill="F0F2F5"/>
          </w:tcPr>
          <w:p>
            <w:pPr>
              <w:spacing w:after="40" w:before="40"/>
            </w:pPr>
            <w:r/>
            <w:r>
              <w:rPr>
                <w:rFonts w:ascii="Cambria" w:hAnsi="Cambria"/>
                <w:b w:val="0"/>
                <w:i w:val="0"/>
                <w:sz w:val="22"/>
              </w:rPr>
              <w:t>One day of casual leave forfeited for every three late attendances. (As per existing institutional norms.)</w:t>
            </w:r>
          </w:p>
        </w:tc>
      </w:tr>
      <w:tr>
        <w:tc>
          <w:tcPr>
            <w:tcW w:type="dxa" w:w="3685"/>
          </w:tcPr>
          <w:p>
            <w:pPr>
              <w:spacing w:after="40" w:before="40"/>
            </w:pPr>
            <w:r/>
            <w:r>
              <w:rPr>
                <w:rFonts w:ascii="Cambria" w:hAnsi="Cambria"/>
                <w:b w:val="0"/>
                <w:i w:val="0"/>
                <w:sz w:val="22"/>
              </w:rPr>
              <w:t>Persistent irregularity</w:t>
            </w:r>
          </w:p>
        </w:tc>
        <w:tc>
          <w:tcPr>
            <w:tcW w:type="dxa" w:w="5726"/>
          </w:tcPr>
          <w:p>
            <w:pPr>
              <w:spacing w:after="40" w:before="40"/>
            </w:pPr>
            <w:r/>
            <w:r>
              <w:rPr>
                <w:rFonts w:ascii="Cambria" w:hAnsi="Cambria"/>
                <w:b w:val="0"/>
                <w:i w:val="0"/>
                <w:sz w:val="22"/>
              </w:rPr>
              <w:t>Written censure and withholding of increment or temporary suspension.</w:t>
            </w:r>
          </w:p>
        </w:tc>
      </w:tr>
      <w:tr>
        <w:tc>
          <w:tcPr>
            <w:tcW w:type="dxa" w:w="3685"/>
            <w:shd w:val="clear" w:color="auto" w:fill="F0F2F5"/>
          </w:tcPr>
          <w:p>
            <w:pPr>
              <w:spacing w:after="40" w:before="40"/>
            </w:pPr>
            <w:r/>
            <w:r>
              <w:rPr>
                <w:rFonts w:ascii="Cambria" w:hAnsi="Cambria"/>
                <w:b w:val="0"/>
                <w:i w:val="0"/>
                <w:sz w:val="22"/>
              </w:rPr>
              <w:t>Chronic absenteeism (beyond 10% working days per semester)</w:t>
            </w:r>
          </w:p>
        </w:tc>
        <w:tc>
          <w:tcPr>
            <w:tcW w:type="dxa" w:w="5726"/>
            <w:shd w:val="clear" w:color="auto" w:fill="F0F2F5"/>
          </w:tcPr>
          <w:p>
            <w:pPr>
              <w:spacing w:after="40" w:before="40"/>
            </w:pPr>
            <w:r/>
            <w:r>
              <w:rPr>
                <w:rFonts w:ascii="Cambria" w:hAnsi="Cambria"/>
                <w:b w:val="0"/>
                <w:i w:val="0"/>
                <w:sz w:val="22"/>
              </w:rPr>
              <w:t>Formal disciplinary inquiry, possible reduction in rank, suspension, or termination.</w:t>
            </w:r>
          </w:p>
        </w:tc>
      </w:tr>
      <w:tr>
        <w:tc>
          <w:tcPr>
            <w:tcW w:type="dxa" w:w="3685"/>
          </w:tcPr>
          <w:p>
            <w:pPr>
              <w:spacing w:after="40" w:before="40"/>
            </w:pPr>
            <w:r/>
            <w:r>
              <w:rPr>
                <w:rFonts w:ascii="Cambria" w:hAnsi="Cambria"/>
                <w:b w:val="0"/>
                <w:i w:val="0"/>
                <w:sz w:val="22"/>
              </w:rPr>
              <w:t>Absence without information exceeding 10 consecutive days</w:t>
            </w:r>
          </w:p>
        </w:tc>
        <w:tc>
          <w:tcPr>
            <w:tcW w:type="dxa" w:w="5726"/>
          </w:tcPr>
          <w:p>
            <w:pPr>
              <w:spacing w:after="40" w:before="40"/>
            </w:pPr>
            <w:r/>
            <w:r>
              <w:rPr>
                <w:rFonts w:ascii="Cambria" w:hAnsi="Cambria"/>
                <w:b w:val="0"/>
                <w:i w:val="0"/>
                <w:sz w:val="22"/>
              </w:rPr>
              <w:t>Treated as abandonment of service and removal from rolls after due process.</w:t>
            </w:r>
          </w:p>
        </w:tc>
      </w:tr>
    </w:tbl>
    <w:p>
      <w:pPr>
        <w:spacing w:after="40"/>
      </w:pPr>
    </w:p>
    <w:p>
      <w:r>
        <w:rPr>
          <w:rFonts w:ascii="Cambria" w:hAnsi="Cambria"/>
          <w:b/>
          <w:i w:val="0"/>
          <w:sz w:val="22"/>
        </w:rPr>
        <w:t>4. MONITORING AND RECORD KEEPING</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Responsibility</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Heads of Departments / Section Officers</w:t>
            </w:r>
          </w:p>
        </w:tc>
        <w:tc>
          <w:tcPr>
            <w:tcW w:type="dxa" w:w="5726"/>
          </w:tcPr>
          <w:p>
            <w:pPr>
              <w:spacing w:after="40" w:before="40"/>
            </w:pPr>
            <w:r/>
            <w:r>
              <w:rPr>
                <w:rFonts w:ascii="Cambria" w:hAnsi="Cambria"/>
                <w:b w:val="0"/>
                <w:i w:val="0"/>
                <w:sz w:val="22"/>
              </w:rPr>
              <w:t>Maintain daily attendance registers, biometric or digital logs, and report habitual irregularities monthly to the Registrar.</w:t>
            </w:r>
          </w:p>
        </w:tc>
      </w:tr>
      <w:tr>
        <w:tc>
          <w:tcPr>
            <w:tcW w:type="dxa" w:w="3685"/>
            <w:shd w:val="clear" w:color="auto" w:fill="F0F2F5"/>
          </w:tcPr>
          <w:p>
            <w:pPr>
              <w:spacing w:after="40" w:before="40"/>
            </w:pPr>
            <w:r/>
            <w:r>
              <w:rPr>
                <w:rFonts w:ascii="Cambria" w:hAnsi="Cambria"/>
                <w:b w:val="0"/>
                <w:i w:val="0"/>
                <w:sz w:val="22"/>
              </w:rPr>
              <w:t>Registrar / HR Department</w:t>
            </w:r>
          </w:p>
        </w:tc>
        <w:tc>
          <w:tcPr>
            <w:tcW w:type="dxa" w:w="5726"/>
            <w:shd w:val="clear" w:color="auto" w:fill="F0F2F5"/>
          </w:tcPr>
          <w:p>
            <w:pPr>
              <w:spacing w:after="40" w:before="40"/>
            </w:pPr>
            <w:r/>
            <w:r>
              <w:rPr>
                <w:rFonts w:ascii="Cambria" w:hAnsi="Cambria"/>
                <w:b w:val="0"/>
                <w:i w:val="0"/>
                <w:sz w:val="22"/>
              </w:rPr>
              <w:t>Review attendance data and issue notices to employees with unsatisfactory attendance records.</w:t>
            </w:r>
          </w:p>
        </w:tc>
      </w:tr>
      <w:tr>
        <w:tc>
          <w:tcPr>
            <w:tcW w:type="dxa" w:w="3685"/>
          </w:tcPr>
          <w:p>
            <w:pPr>
              <w:spacing w:after="40" w:before="40"/>
            </w:pPr>
            <w:r/>
            <w:r>
              <w:rPr>
                <w:rFonts w:ascii="Cambria" w:hAnsi="Cambria"/>
                <w:b w:val="0"/>
                <w:i w:val="0"/>
                <w:sz w:val="22"/>
              </w:rPr>
              <w:t>IQAC / Audit Committee</w:t>
            </w:r>
          </w:p>
        </w:tc>
        <w:tc>
          <w:tcPr>
            <w:tcW w:type="dxa" w:w="5726"/>
          </w:tcPr>
          <w:p>
            <w:pPr>
              <w:spacing w:after="40" w:before="40"/>
            </w:pPr>
            <w:r/>
            <w:r>
              <w:rPr>
                <w:rFonts w:ascii="Cambria" w:hAnsi="Cambria"/>
                <w:b w:val="0"/>
                <w:i w:val="0"/>
                <w:sz w:val="22"/>
              </w:rPr>
              <w:t>Include attendance and punctuality as part of the annual performance and compliance audit.</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Regular attendance is a core professional responsibility and reflects commitment to institutional duties.</w:t>
      </w:r>
    </w:p>
    <w:p>
      <w:pPr>
        <w:pStyle w:val="ListBullet"/>
        <w:spacing w:line="276" w:lineRule="auto"/>
        <w:ind w:left="510"/>
      </w:pPr>
      <w:r>
        <w:rPr>
          <w:rFonts w:ascii="Cambria" w:hAnsi="Cambria"/>
          <w:b w:val="0"/>
          <w:i w:val="0"/>
          <w:sz w:val="22"/>
        </w:rPr>
        <w:t>Occasional delay due to valid reasons may be condoned if properly reported and documented.</w:t>
      </w:r>
    </w:p>
    <w:p>
      <w:pPr>
        <w:pStyle w:val="ListBullet"/>
        <w:spacing w:line="276" w:lineRule="auto"/>
        <w:ind w:left="510"/>
      </w:pPr>
      <w:r>
        <w:rPr>
          <w:rFonts w:ascii="Cambria" w:hAnsi="Cambria"/>
          <w:b w:val="0"/>
          <w:i w:val="0"/>
          <w:sz w:val="22"/>
        </w:rPr>
        <w:t>Habitual lateness and absenteeism disrupt teamwork, student instruction, and operational planning.</w:t>
      </w:r>
    </w:p>
    <w:p>
      <w:pPr>
        <w:pStyle w:val="ListBullet"/>
        <w:spacing w:line="276" w:lineRule="auto"/>
        <w:ind w:left="510"/>
      </w:pPr>
      <w:r>
        <w:rPr>
          <w:rFonts w:ascii="Cambria" w:hAnsi="Cambria"/>
          <w:b w:val="0"/>
          <w:i w:val="0"/>
          <w:sz w:val="22"/>
        </w:rPr>
        <w:t>Disciplinary actions will be progressive, starting with warnings and escalating to penalties for repeated violations.</w:t>
      </w:r>
    </w:p>
    <w:p>
      <w:pPr>
        <w:pStyle w:val="ListBullet"/>
        <w:spacing w:line="276" w:lineRule="auto"/>
        <w:ind w:left="510"/>
      </w:pPr>
      <w:r>
        <w:rPr>
          <w:rFonts w:ascii="Cambria" w:hAnsi="Cambria"/>
          <w:b w:val="0"/>
          <w:i w:val="0"/>
          <w:sz w:val="22"/>
        </w:rPr>
        <w:t>Attendance compliance will be linked to performance appraisal, annual increments, and promotion eligibility.</w:t>
      </w:r>
    </w:p>
    <w:p>
      <w:pPr>
        <w:pStyle w:val="ListBullet"/>
        <w:spacing w:line="276" w:lineRule="auto"/>
        <w:ind w:left="510"/>
      </w:pPr>
      <w:r>
        <w:rPr>
          <w:rFonts w:ascii="Cambria" w:hAnsi="Cambria"/>
          <w:b w:val="0"/>
          <w:i w:val="0"/>
          <w:sz w:val="22"/>
        </w:rPr>
        <w:t>The Board of Management’s (BoM) interpretation and final decision in all attendance-related disciplinary matters shall be binding.</w:t>
      </w:r>
    </w:p>
    <w:p>
      <w:pPr>
        <w:keepNext/>
        <w:spacing w:before="200" w:after="120"/>
      </w:pPr>
      <w:r>
        <w:rPr>
          <w:rFonts w:ascii="Cambria" w:hAnsi="Cambria"/>
          <w:b/>
          <w:color w:val="1F3A5F"/>
          <w:sz w:val="27"/>
        </w:rPr>
        <w:t>Policy on Neglect of Work, Negligence in Duty, and Slowing Down of Work</w:t>
      </w:r>
    </w:p>
    <w:p>
      <w:r>
        <w:rPr>
          <w:rFonts w:ascii="Cambria" w:hAnsi="Cambria"/>
          <w:b/>
          <w:i w:val="0"/>
          <w:sz w:val="22"/>
        </w:rPr>
        <w:t>I. PURPOSE</w:t>
      </w:r>
    </w:p>
    <w:p>
      <w:pPr>
        <w:pStyle w:val="ListBullet"/>
        <w:spacing w:line="276" w:lineRule="auto"/>
        <w:ind w:left="510"/>
      </w:pPr>
      <w:r>
        <w:rPr>
          <w:rFonts w:ascii="Cambria" w:hAnsi="Cambria"/>
          <w:b w:val="0"/>
          <w:i w:val="0"/>
          <w:sz w:val="22"/>
        </w:rPr>
        <w:t>To uphold a culture of professional responsibility, efficiency, and accountability in all academic and administrative functions of the University.</w:t>
      </w:r>
    </w:p>
    <w:p>
      <w:pPr>
        <w:pStyle w:val="ListBullet"/>
        <w:spacing w:line="276" w:lineRule="auto"/>
        <w:ind w:left="510"/>
      </w:pPr>
      <w:r>
        <w:rPr>
          <w:rFonts w:ascii="Cambria" w:hAnsi="Cambria"/>
          <w:b w:val="0"/>
          <w:i w:val="0"/>
          <w:sz w:val="22"/>
        </w:rPr>
        <w:t>To define and address instances of negligence, careless conduct, deliberate delay, or slowing down of work, which undermine productivity and institutional integrity.</w:t>
      </w:r>
    </w:p>
    <w:p>
      <w:pPr>
        <w:pStyle w:val="ListBullet"/>
        <w:spacing w:line="276" w:lineRule="auto"/>
        <w:ind w:left="510"/>
      </w:pPr>
      <w:r>
        <w:rPr>
          <w:rFonts w:ascii="Cambria" w:hAnsi="Cambria"/>
          <w:b w:val="0"/>
          <w:i w:val="0"/>
          <w:sz w:val="22"/>
        </w:rPr>
        <w:t>To ensure that all employees perform their duties with due diligence, timeliness, and sincerity.</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“Neglect of work” or “negligence in duty” means failure to perform assigned duties effectively, responsibly, and within the prescribed time, whether by deliberate omission, carelessness, or willful disregard. “Lingering or slowing down of work” refers to deliberate reduction in output, efficiency, or cooperation in carrying out official tasks.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categories of employees — teaching, non-teaching, administrative, technical, and contractual.</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Negligence or indifference in official duties, whether partial or total, intentional or habitual, is considered gross misconduct under the University’s Service and Conduct Rules.</w:t>
            </w:r>
          </w:p>
        </w:tc>
      </w:tr>
    </w:tbl>
    <w:p>
      <w:pPr>
        <w:spacing w:after="40"/>
      </w:pP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Neglect or Negligence</w:t>
            </w:r>
          </w:p>
        </w:tc>
      </w:tr>
      <w:tr>
        <w:tc>
          <w:tcPr>
            <w:tcW w:type="dxa" w:w="3685"/>
          </w:tcPr>
          <w:p>
            <w:pPr>
              <w:spacing w:after="40" w:before="40"/>
            </w:pPr>
            <w:r/>
            <w:r>
              <w:rPr>
                <w:rFonts w:ascii="Cambria" w:hAnsi="Cambria"/>
                <w:b w:val="0"/>
                <w:i w:val="0"/>
                <w:sz w:val="22"/>
              </w:rPr>
              <w:t>Academic Staff</w:t>
            </w:r>
          </w:p>
        </w:tc>
        <w:tc>
          <w:tcPr>
            <w:tcW w:type="dxa" w:w="5726"/>
          </w:tcPr>
          <w:p>
            <w:pPr>
              <w:spacing w:after="40" w:before="40"/>
            </w:pPr>
            <w:r/>
            <w:r>
              <w:rPr>
                <w:rFonts w:ascii="Cambria" w:hAnsi="Cambria"/>
                <w:b w:val="0"/>
                <w:i w:val="0"/>
                <w:sz w:val="22"/>
              </w:rPr>
              <w:t>Failure to complete syllabus or evaluation work within the schedule.</w:t>
            </w:r>
          </w:p>
        </w:tc>
      </w:tr>
    </w:tbl>
    <w:p>
      <w:pPr>
        <w:spacing w:after="40"/>
      </w:pPr>
    </w:p>
    <w:p>
      <w:pPr>
        <w:pStyle w:val="ListBullet"/>
        <w:spacing w:line="276" w:lineRule="auto"/>
        <w:ind w:left="510"/>
      </w:pPr>
      <w:r>
        <w:rPr>
          <w:rFonts w:ascii="Cambria" w:hAnsi="Cambria"/>
          <w:b w:val="0"/>
          <w:i w:val="0"/>
          <w:sz w:val="22"/>
        </w:rPr>
        <w:t>Ignoring students’ academic or disciplinary needs.</w:t>
      </w:r>
    </w:p>
    <w:p>
      <w:pPr>
        <w:pStyle w:val="ListBullet"/>
        <w:spacing w:line="276" w:lineRule="auto"/>
        <w:ind w:left="510"/>
      </w:pPr>
      <w:r>
        <w:rPr>
          <w:rFonts w:ascii="Cambria" w:hAnsi="Cambria"/>
          <w:b w:val="0"/>
          <w:i w:val="0"/>
          <w:sz w:val="22"/>
        </w:rPr>
        <w:t>Failure to attend meetings, invigilation, or examination duties.</w:t>
      </w:r>
    </w:p>
    <w:p>
      <w:r>
        <w:rPr>
          <w:rFonts w:ascii="Cambria" w:hAnsi="Cambria"/>
          <w:b/>
          <w:i w:val="0"/>
          <w:sz w:val="22"/>
        </w:rPr>
        <w:t>Administrative Staff</w:t>
      </w:r>
    </w:p>
    <w:p>
      <w:pPr>
        <w:pStyle w:val="ListBullet"/>
        <w:spacing w:line="276" w:lineRule="auto"/>
        <w:ind w:left="510"/>
      </w:pPr>
      <w:r>
        <w:rPr>
          <w:rFonts w:ascii="Cambria" w:hAnsi="Cambria"/>
          <w:b w:val="0"/>
          <w:i w:val="0"/>
          <w:sz w:val="22"/>
        </w:rPr>
        <w:t>Delay in processing official files or approvals.</w:t>
      </w:r>
    </w:p>
    <w:p>
      <w:pPr>
        <w:pStyle w:val="ListBullet"/>
        <w:spacing w:line="276" w:lineRule="auto"/>
        <w:ind w:left="510"/>
      </w:pPr>
      <w:r>
        <w:rPr>
          <w:rFonts w:ascii="Cambria" w:hAnsi="Cambria"/>
          <w:b w:val="0"/>
          <w:i w:val="0"/>
          <w:sz w:val="22"/>
        </w:rPr>
        <w:t>Failure to maintain records, accounts, or correspondence properly.</w:t>
      </w:r>
    </w:p>
    <w:p>
      <w:pPr>
        <w:pStyle w:val="ListBullet"/>
        <w:spacing w:line="276" w:lineRule="auto"/>
        <w:ind w:left="510"/>
      </w:pPr>
      <w:r>
        <w:rPr>
          <w:rFonts w:ascii="Cambria" w:hAnsi="Cambria"/>
          <w:b w:val="0"/>
          <w:i w:val="0"/>
          <w:sz w:val="22"/>
        </w:rPr>
        <w:t>Neglect in implementing orders or instructions from competent authorities.</w:t>
      </w:r>
    </w:p>
    <w:p>
      <w:r>
        <w:rPr>
          <w:rFonts w:ascii="Cambria" w:hAnsi="Cambria"/>
          <w:b/>
          <w:i w:val="0"/>
          <w:sz w:val="22"/>
        </w:rPr>
        <w:t>Technical / Support Staff</w:t>
      </w:r>
    </w:p>
    <w:p>
      <w:pPr>
        <w:pStyle w:val="ListBullet"/>
        <w:spacing w:line="276" w:lineRule="auto"/>
        <w:ind w:left="510"/>
      </w:pPr>
      <w:r>
        <w:rPr>
          <w:rFonts w:ascii="Cambria" w:hAnsi="Cambria"/>
          <w:b w:val="0"/>
          <w:i w:val="0"/>
          <w:sz w:val="22"/>
        </w:rPr>
        <w:t>Carelessness in handling laboratory, workshop, or equipment.</w:t>
      </w:r>
    </w:p>
    <w:p>
      <w:pPr>
        <w:pStyle w:val="ListBullet"/>
        <w:spacing w:line="276" w:lineRule="auto"/>
        <w:ind w:left="510"/>
      </w:pPr>
      <w:r>
        <w:rPr>
          <w:rFonts w:ascii="Cambria" w:hAnsi="Cambria"/>
          <w:b w:val="0"/>
          <w:i w:val="0"/>
          <w:sz w:val="22"/>
        </w:rPr>
        <w:t>Failure to maintain or repair instruments leading to academic loss.</w:t>
      </w:r>
    </w:p>
    <w:p>
      <w:pPr>
        <w:pStyle w:val="ListBullet"/>
        <w:spacing w:line="276" w:lineRule="auto"/>
        <w:ind w:left="510"/>
      </w:pPr>
      <w:r>
        <w:rPr>
          <w:rFonts w:ascii="Cambria" w:hAnsi="Cambria"/>
          <w:b w:val="0"/>
          <w:i w:val="0"/>
          <w:sz w:val="22"/>
        </w:rPr>
        <w:t>Deliberate slowing down of assigned duties or disobedience of supervisors.</w:t>
      </w:r>
    </w:p>
    <w:p>
      <w:r>
        <w:rPr>
          <w:rFonts w:ascii="Cambria" w:hAnsi="Cambria"/>
          <w:b/>
          <w:i w:val="0"/>
          <w:sz w:val="22"/>
        </w:rPr>
        <w:t>General Negligence</w:t>
      </w:r>
    </w:p>
    <w:p>
      <w:pPr>
        <w:pStyle w:val="ListBullet"/>
        <w:spacing w:line="276" w:lineRule="auto"/>
        <w:ind w:left="510"/>
      </w:pPr>
      <w:r>
        <w:rPr>
          <w:rFonts w:ascii="Cambria" w:hAnsi="Cambria"/>
          <w:b w:val="0"/>
          <w:i w:val="0"/>
          <w:sz w:val="22"/>
        </w:rPr>
        <w:t>Repeated failure to meet deadlines.</w:t>
      </w:r>
    </w:p>
    <w:p>
      <w:pPr>
        <w:pStyle w:val="ListBullet"/>
        <w:spacing w:line="276" w:lineRule="auto"/>
        <w:ind w:left="510"/>
      </w:pPr>
      <w:r>
        <w:rPr>
          <w:rFonts w:ascii="Cambria" w:hAnsi="Cambria"/>
          <w:b w:val="0"/>
          <w:i w:val="0"/>
          <w:sz w:val="22"/>
        </w:rPr>
        <w:t>Careless execution of work leading to loss, error, or safety hazard.</w:t>
      </w:r>
    </w:p>
    <w:p>
      <w:pPr>
        <w:pStyle w:val="ListBullet"/>
        <w:spacing w:line="276" w:lineRule="auto"/>
        <w:ind w:left="510"/>
      </w:pPr>
      <w:r>
        <w:rPr>
          <w:rFonts w:ascii="Cambria" w:hAnsi="Cambria"/>
          <w:b w:val="0"/>
          <w:i w:val="0"/>
          <w:sz w:val="22"/>
        </w:rPr>
        <w:t>Indifference to assigned responsibilities or avoidance of duties during office hours.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Negligence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Minor negligence or isolated lapse</w:t>
            </w:r>
          </w:p>
        </w:tc>
        <w:tc>
          <w:tcPr>
            <w:tcW w:type="dxa" w:w="5726"/>
          </w:tcPr>
          <w:p>
            <w:pPr>
              <w:spacing w:after="40" w:before="40"/>
            </w:pPr>
            <w:r/>
            <w:r>
              <w:rPr>
                <w:rFonts w:ascii="Cambria" w:hAnsi="Cambria"/>
                <w:b w:val="0"/>
                <w:i w:val="0"/>
                <w:sz w:val="22"/>
              </w:rPr>
              <w:t>Verbal or written warning; counseling by Head of Department.</w:t>
            </w:r>
          </w:p>
        </w:tc>
      </w:tr>
      <w:tr>
        <w:tc>
          <w:tcPr>
            <w:tcW w:type="dxa" w:w="3685"/>
            <w:shd w:val="clear" w:color="auto" w:fill="F0F2F5"/>
          </w:tcPr>
          <w:p>
            <w:pPr>
              <w:spacing w:after="40" w:before="40"/>
            </w:pPr>
            <w:r/>
            <w:r>
              <w:rPr>
                <w:rFonts w:ascii="Cambria" w:hAnsi="Cambria"/>
                <w:b w:val="0"/>
                <w:i w:val="0"/>
                <w:sz w:val="22"/>
              </w:rPr>
              <w:t>Repeated or habitual negligence</w:t>
            </w:r>
          </w:p>
        </w:tc>
        <w:tc>
          <w:tcPr>
            <w:tcW w:type="dxa" w:w="5726"/>
            <w:shd w:val="clear" w:color="auto" w:fill="F0F2F5"/>
          </w:tcPr>
          <w:p>
            <w:pPr>
              <w:spacing w:after="40" w:before="40"/>
            </w:pPr>
            <w:r/>
            <w:r>
              <w:rPr>
                <w:rFonts w:ascii="Cambria" w:hAnsi="Cambria"/>
                <w:b w:val="0"/>
                <w:i w:val="0"/>
                <w:sz w:val="22"/>
              </w:rPr>
              <w:t>Withholding of increment, censure, or short suspension.</w:t>
            </w:r>
          </w:p>
        </w:tc>
      </w:tr>
      <w:tr>
        <w:tc>
          <w:tcPr>
            <w:tcW w:type="dxa" w:w="3685"/>
          </w:tcPr>
          <w:p>
            <w:pPr>
              <w:spacing w:after="40" w:before="40"/>
            </w:pPr>
            <w:r/>
            <w:r>
              <w:rPr>
                <w:rFonts w:ascii="Cambria" w:hAnsi="Cambria"/>
                <w:b w:val="0"/>
                <w:i w:val="0"/>
                <w:sz w:val="22"/>
              </w:rPr>
              <w:t>Deliberate neglect or slowing down of work</w:t>
            </w:r>
          </w:p>
        </w:tc>
        <w:tc>
          <w:tcPr>
            <w:tcW w:type="dxa" w:w="5726"/>
          </w:tcPr>
          <w:p>
            <w:pPr>
              <w:spacing w:after="40" w:before="40"/>
            </w:pPr>
            <w:r/>
            <w:r>
              <w:rPr>
                <w:rFonts w:ascii="Cambria" w:hAnsi="Cambria"/>
                <w:b w:val="0"/>
                <w:i w:val="0"/>
                <w:sz w:val="22"/>
              </w:rPr>
              <w:t>Major penalty — reduction in rank, compulsory retirement, or dismissal.</w:t>
            </w:r>
          </w:p>
        </w:tc>
      </w:tr>
      <w:tr>
        <w:tc>
          <w:tcPr>
            <w:tcW w:type="dxa" w:w="3685"/>
            <w:shd w:val="clear" w:color="auto" w:fill="F0F2F5"/>
          </w:tcPr>
          <w:p>
            <w:pPr>
              <w:spacing w:after="40" w:before="40"/>
            </w:pPr>
            <w:r/>
            <w:r>
              <w:rPr>
                <w:rFonts w:ascii="Cambria" w:hAnsi="Cambria"/>
                <w:b w:val="0"/>
                <w:i w:val="0"/>
                <w:sz w:val="22"/>
              </w:rPr>
              <w:t>Negligence causing loss to University</w:t>
            </w:r>
          </w:p>
        </w:tc>
        <w:tc>
          <w:tcPr>
            <w:tcW w:type="dxa" w:w="5726"/>
            <w:shd w:val="clear" w:color="auto" w:fill="F0F2F5"/>
          </w:tcPr>
          <w:p>
            <w:pPr>
              <w:spacing w:after="40" w:before="40"/>
            </w:pPr>
            <w:r/>
            <w:r>
              <w:rPr>
                <w:rFonts w:ascii="Cambria" w:hAnsi="Cambria"/>
                <w:b w:val="0"/>
                <w:i w:val="0"/>
                <w:sz w:val="22"/>
              </w:rPr>
              <w:t>Recovery of financial loss plus disciplinary action as per rules.</w:t>
            </w:r>
          </w:p>
        </w:tc>
      </w:tr>
    </w:tbl>
    <w:p>
      <w:pPr>
        <w:spacing w:after="40"/>
      </w:pP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Head of the Institution / Department reports instances of neglect or slow performance with supporting documentation (e.g., delays, reports, complaints).</w:t>
            </w:r>
          </w:p>
        </w:tc>
      </w:tr>
      <w:tr>
        <w:tc>
          <w:tcPr>
            <w:tcW w:type="dxa" w:w="3685"/>
            <w:shd w:val="clear" w:color="auto" w:fill="F0F2F5"/>
          </w:tcPr>
          <w:p>
            <w:pPr>
              <w:spacing w:after="40" w:before="40"/>
            </w:pPr>
            <w:r/>
            <w:r>
              <w:rPr>
                <w:rFonts w:ascii="Cambria" w:hAnsi="Cambria"/>
                <w:b w:val="0"/>
                <w:i w:val="0"/>
                <w:sz w:val="22"/>
              </w:rPr>
              <w:t>2. Notice to Employee</w:t>
            </w:r>
          </w:p>
        </w:tc>
        <w:tc>
          <w:tcPr>
            <w:tcW w:type="dxa" w:w="5726"/>
            <w:shd w:val="clear" w:color="auto" w:fill="F0F2F5"/>
          </w:tcPr>
          <w:p>
            <w:pPr>
              <w:spacing w:after="40" w:before="40"/>
            </w:pPr>
            <w:r/>
            <w:r>
              <w:rPr>
                <w:rFonts w:ascii="Cambria" w:hAnsi="Cambria"/>
                <w:b w:val="0"/>
                <w:i w:val="0"/>
                <w:sz w:val="22"/>
              </w:rPr>
              <w:t>A show-cause notice is issued, seeking written explanation within a specified period.</w:t>
            </w:r>
          </w:p>
        </w:tc>
      </w:tr>
      <w:tr>
        <w:tc>
          <w:tcPr>
            <w:tcW w:type="dxa" w:w="3685"/>
          </w:tcPr>
          <w:p>
            <w:pPr>
              <w:spacing w:after="40" w:before="40"/>
            </w:pPr>
            <w:r/>
            <w:r>
              <w:rPr>
                <w:rFonts w:ascii="Cambria" w:hAnsi="Cambria"/>
                <w:b w:val="0"/>
                <w:i w:val="0"/>
                <w:sz w:val="22"/>
              </w:rPr>
              <w:t>3. Inquiry</w:t>
            </w:r>
          </w:p>
        </w:tc>
        <w:tc>
          <w:tcPr>
            <w:tcW w:type="dxa" w:w="5726"/>
          </w:tcPr>
          <w:p>
            <w:pPr>
              <w:spacing w:after="40" w:before="40"/>
            </w:pPr>
            <w:r/>
            <w:r>
              <w:rPr>
                <w:rFonts w:ascii="Cambria" w:hAnsi="Cambria"/>
                <w:b w:val="0"/>
                <w:i w:val="0"/>
                <w:sz w:val="22"/>
              </w:rPr>
              <w:t>If negligence is substantiated, a formal disciplinary inquiry is conducted.</w:t>
            </w:r>
          </w:p>
        </w:tc>
      </w:tr>
      <w:tr>
        <w:tc>
          <w:tcPr>
            <w:tcW w:type="dxa" w:w="3685"/>
            <w:shd w:val="clear" w:color="auto" w:fill="F0F2F5"/>
          </w:tcPr>
          <w:p>
            <w:pPr>
              <w:spacing w:after="40" w:before="40"/>
            </w:pPr>
            <w:r/>
            <w:r>
              <w:rPr>
                <w:rFonts w:ascii="Cambria" w:hAnsi="Cambria"/>
                <w:b w:val="0"/>
                <w:i w:val="0"/>
                <w:sz w:val="22"/>
              </w:rPr>
              <w:t>4. Action by Competent Authority</w:t>
            </w:r>
          </w:p>
        </w:tc>
        <w:tc>
          <w:tcPr>
            <w:tcW w:type="dxa" w:w="5726"/>
            <w:shd w:val="clear" w:color="auto" w:fill="F0F2F5"/>
          </w:tcPr>
          <w:p>
            <w:pPr>
              <w:spacing w:after="40" w:before="40"/>
            </w:pPr>
            <w:r/>
            <w:r>
              <w:rPr>
                <w:rFonts w:ascii="Cambria" w:hAnsi="Cambria"/>
                <w:b w:val="0"/>
                <w:i w:val="0"/>
                <w:sz w:val="22"/>
              </w:rPr>
              <w:t>Based on findings, the Vice Chancellor may impose appropriate penalty; appeals may lie with the Board of Management (BoM).</w:t>
            </w:r>
          </w:p>
        </w:tc>
      </w:tr>
    </w:tbl>
    <w:p>
      <w:pPr>
        <w:spacing w:after="40"/>
      </w:pPr>
    </w:p>
    <w:p>
      <w:r>
        <w:rPr>
          <w:rFonts w:ascii="Cambria" w:hAnsi="Cambria"/>
          <w:b/>
          <w:i w:val="0"/>
          <w:sz w:val="22"/>
        </w:rPr>
        <w:t>5. POLICY PRINCIPLES</w:t>
      </w:r>
    </w:p>
    <w:p>
      <w:pPr>
        <w:pStyle w:val="ListBullet"/>
        <w:spacing w:line="276" w:lineRule="auto"/>
        <w:ind w:left="510"/>
      </w:pPr>
      <w:r>
        <w:rPr>
          <w:rFonts w:ascii="Cambria" w:hAnsi="Cambria"/>
          <w:b w:val="0"/>
          <w:i w:val="0"/>
          <w:sz w:val="22"/>
        </w:rPr>
        <w:t>Every employee has a duty of care toward their assigned role and responsibilities.</w:t>
      </w:r>
    </w:p>
    <w:p>
      <w:pPr>
        <w:pStyle w:val="ListBullet"/>
        <w:spacing w:line="276" w:lineRule="auto"/>
        <w:ind w:left="510"/>
      </w:pPr>
      <w:r>
        <w:rPr>
          <w:rFonts w:ascii="Cambria" w:hAnsi="Cambria"/>
          <w:b w:val="0"/>
          <w:i w:val="0"/>
          <w:sz w:val="22"/>
        </w:rPr>
        <w:t>Negligence or lack of diligence undermines institutional credibility and adversely affects students, research, and administration.</w:t>
      </w:r>
    </w:p>
    <w:p>
      <w:pPr>
        <w:pStyle w:val="ListBullet"/>
        <w:spacing w:line="276" w:lineRule="auto"/>
        <w:ind w:left="510"/>
      </w:pPr>
      <w:r>
        <w:rPr>
          <w:rFonts w:ascii="Cambria" w:hAnsi="Cambria"/>
          <w:b w:val="0"/>
          <w:i w:val="0"/>
          <w:sz w:val="22"/>
        </w:rPr>
        <w:t>“Lingering” or “slowing down” work—whether individually or collectively—is deemed as industrial indiscipline and subject to strict disciplinary action.</w:t>
      </w:r>
    </w:p>
    <w:p>
      <w:pPr>
        <w:pStyle w:val="ListBullet"/>
        <w:spacing w:line="276" w:lineRule="auto"/>
        <w:ind w:left="510"/>
      </w:pPr>
      <w:r>
        <w:rPr>
          <w:rFonts w:ascii="Cambria" w:hAnsi="Cambria"/>
          <w:b w:val="0"/>
          <w:i w:val="0"/>
          <w:sz w:val="22"/>
        </w:rPr>
        <w:t>Accountability for delays, errors, or omissions must be traceable through performance reports and departmental audits.</w:t>
      </w:r>
    </w:p>
    <w:p>
      <w:pPr>
        <w:pStyle w:val="ListBullet"/>
        <w:spacing w:line="276" w:lineRule="auto"/>
        <w:ind w:left="510"/>
      </w:pPr>
      <w:r>
        <w:rPr>
          <w:rFonts w:ascii="Cambria" w:hAnsi="Cambria"/>
          <w:b w:val="0"/>
          <w:i w:val="0"/>
          <w:sz w:val="22"/>
        </w:rPr>
        <w:t>The Board of Management’s decision on interpretation and final disciplinary measures shall be binding and conclusive.</w:t>
      </w:r>
    </w:p>
    <w:p>
      <w:pPr>
        <w:keepNext/>
        <w:spacing w:before="200" w:after="120"/>
      </w:pPr>
      <w:r>
        <w:rPr>
          <w:rFonts w:ascii="Cambria" w:hAnsi="Cambria"/>
          <w:b/>
          <w:color w:val="1F3A5F"/>
          <w:sz w:val="27"/>
        </w:rPr>
        <w:t>Policy on Damage to University Property and Violation of Safety Measures</w:t>
      </w:r>
    </w:p>
    <w:p>
      <w:r>
        <w:rPr>
          <w:rFonts w:ascii="Cambria" w:hAnsi="Cambria"/>
          <w:b/>
          <w:i w:val="0"/>
          <w:sz w:val="22"/>
        </w:rPr>
        <w:t>I. PURPOSE</w:t>
      </w:r>
    </w:p>
    <w:p>
      <w:pPr>
        <w:pStyle w:val="ListBullet"/>
        <w:spacing w:line="276" w:lineRule="auto"/>
        <w:ind w:left="510"/>
      </w:pPr>
      <w:r>
        <w:rPr>
          <w:rFonts w:ascii="Cambria" w:hAnsi="Cambria"/>
          <w:b w:val="0"/>
          <w:i w:val="0"/>
          <w:sz w:val="22"/>
        </w:rPr>
        <w:t>To ensure the protection, preservation, and responsible use of all University property and infrastructure.</w:t>
      </w:r>
    </w:p>
    <w:p>
      <w:pPr>
        <w:pStyle w:val="ListBullet"/>
        <w:spacing w:line="276" w:lineRule="auto"/>
        <w:ind w:left="510"/>
      </w:pPr>
      <w:r>
        <w:rPr>
          <w:rFonts w:ascii="Cambria" w:hAnsi="Cambria"/>
          <w:b w:val="0"/>
          <w:i w:val="0"/>
          <w:sz w:val="22"/>
        </w:rPr>
        <w:t>To promote a culture of safety awareness and accountability among employees in the handling of institutional assets and equipment.</w:t>
      </w:r>
    </w:p>
    <w:p>
      <w:pPr>
        <w:pStyle w:val="ListBullet"/>
        <w:spacing w:line="276" w:lineRule="auto"/>
        <w:ind w:left="510"/>
      </w:pPr>
      <w:r>
        <w:rPr>
          <w:rFonts w:ascii="Cambria" w:hAnsi="Cambria"/>
          <w:b w:val="0"/>
          <w:i w:val="0"/>
          <w:sz w:val="22"/>
        </w:rPr>
        <w:t>To define and address acts of negligence, misuse, damage, or interference with safety mechanisms as serious misconduct warranting disciplinary action.</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Damage to property includes any act of negligence, misuse, destruction, or unauthorized tampering with movable or immovable assets belonging to the University. Disregard for safety measures refers to careless or intentional violation of safety norms, operating instructions, or procedures established for protecting personnel and property.</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categories of University employees — teaching, non-teaching, administrative, technical, contractual, and project-based.</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Any act leading to loss, damage, alteration, or endangerment of University assets, or interference with safety devices or procedures, is strictly prohibited and shall constitute gross misconduct.</w:t>
            </w:r>
          </w:p>
        </w:tc>
      </w:tr>
    </w:tbl>
    <w:p>
      <w:pPr>
        <w:spacing w:after="40"/>
      </w:pP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Prohibited Conduct</w:t>
            </w:r>
          </w:p>
        </w:tc>
      </w:tr>
      <w:tr>
        <w:tc>
          <w:tcPr>
            <w:tcW w:type="dxa" w:w="3685"/>
          </w:tcPr>
          <w:p>
            <w:pPr>
              <w:spacing w:after="40" w:before="40"/>
            </w:pPr>
            <w:r/>
            <w:r>
              <w:rPr>
                <w:rFonts w:ascii="Cambria" w:hAnsi="Cambria"/>
                <w:b w:val="0"/>
                <w:i w:val="0"/>
                <w:sz w:val="22"/>
              </w:rPr>
              <w:t>Damage to Property</w:t>
            </w:r>
          </w:p>
        </w:tc>
        <w:tc>
          <w:tcPr>
            <w:tcW w:type="dxa" w:w="5726"/>
          </w:tcPr>
          <w:p>
            <w:pPr>
              <w:spacing w:after="40" w:before="40"/>
            </w:pPr>
            <w:r/>
            <w:r>
              <w:rPr>
                <w:rFonts w:ascii="Cambria" w:hAnsi="Cambria"/>
                <w:b w:val="0"/>
                <w:i w:val="0"/>
                <w:sz w:val="22"/>
              </w:rPr>
              <w:t>Willful or negligent damage to furniture, laboratory equipment, computers, vehicles, or infrastructure.</w:t>
            </w:r>
          </w:p>
        </w:tc>
      </w:tr>
    </w:tbl>
    <w:p>
      <w:pPr>
        <w:spacing w:after="40"/>
      </w:pPr>
    </w:p>
    <w:p>
      <w:pPr>
        <w:pStyle w:val="ListBullet"/>
        <w:spacing w:line="276" w:lineRule="auto"/>
        <w:ind w:left="510"/>
      </w:pPr>
      <w:r>
        <w:rPr>
          <w:rFonts w:ascii="Cambria" w:hAnsi="Cambria"/>
          <w:b w:val="0"/>
          <w:i w:val="0"/>
          <w:sz w:val="22"/>
        </w:rPr>
        <w:t>Vandalism, graffiti, or defacement of University buildings or signage.</w:t>
      </w:r>
    </w:p>
    <w:p>
      <w:pPr>
        <w:pStyle w:val="ListBullet"/>
        <w:spacing w:line="276" w:lineRule="auto"/>
        <w:ind w:left="510"/>
      </w:pPr>
      <w:r>
        <w:rPr>
          <w:rFonts w:ascii="Cambria" w:hAnsi="Cambria"/>
          <w:b w:val="0"/>
          <w:i w:val="0"/>
          <w:sz w:val="22"/>
        </w:rPr>
        <w:t>Misuse or wastage of institutional resources (electricity, water, office supplies, etc.).</w:t>
      </w:r>
    </w:p>
    <w:p>
      <w:r>
        <w:rPr>
          <w:rFonts w:ascii="Cambria" w:hAnsi="Cambria"/>
          <w:b/>
          <w:i w:val="0"/>
          <w:sz w:val="22"/>
        </w:rPr>
        <w:t>Tampering and Interference</w:t>
      </w:r>
    </w:p>
    <w:p>
      <w:pPr>
        <w:pStyle w:val="ListBullet"/>
        <w:spacing w:line="276" w:lineRule="auto"/>
        <w:ind w:left="510"/>
      </w:pPr>
      <w:r>
        <w:rPr>
          <w:rFonts w:ascii="Cambria" w:hAnsi="Cambria"/>
          <w:b w:val="0"/>
          <w:i w:val="0"/>
          <w:sz w:val="22"/>
        </w:rPr>
        <w:t>Unauthorized repair, adjustment, or modification of machinery or instruments.</w:t>
      </w:r>
    </w:p>
    <w:p>
      <w:pPr>
        <w:pStyle w:val="ListBullet"/>
        <w:spacing w:line="276" w:lineRule="auto"/>
        <w:ind w:left="510"/>
      </w:pPr>
      <w:r>
        <w:rPr>
          <w:rFonts w:ascii="Cambria" w:hAnsi="Cambria"/>
          <w:b w:val="0"/>
          <w:i w:val="0"/>
          <w:sz w:val="22"/>
        </w:rPr>
        <w:t>Interfering with fire alarms, extinguishers, emergency exits, or electrical panels.</w:t>
      </w:r>
    </w:p>
    <w:p>
      <w:pPr>
        <w:pStyle w:val="ListBullet"/>
        <w:spacing w:line="276" w:lineRule="auto"/>
        <w:ind w:left="510"/>
      </w:pPr>
      <w:r>
        <w:rPr>
          <w:rFonts w:ascii="Cambria" w:hAnsi="Cambria"/>
          <w:b w:val="0"/>
          <w:i w:val="0"/>
          <w:sz w:val="22"/>
        </w:rPr>
        <w:t>Disabling or bypassing security systems, cameras, or access control devices.</w:t>
      </w:r>
    </w:p>
    <w:p>
      <w:r>
        <w:rPr>
          <w:rFonts w:ascii="Cambria" w:hAnsi="Cambria"/>
          <w:b/>
          <w:i w:val="0"/>
          <w:sz w:val="22"/>
        </w:rPr>
        <w:t>Disregard for Safety</w:t>
      </w:r>
    </w:p>
    <w:p>
      <w:pPr>
        <w:pStyle w:val="ListBullet"/>
        <w:spacing w:line="276" w:lineRule="auto"/>
        <w:ind w:left="510"/>
      </w:pPr>
      <w:r>
        <w:rPr>
          <w:rFonts w:ascii="Cambria" w:hAnsi="Cambria"/>
          <w:b w:val="0"/>
          <w:i w:val="0"/>
          <w:sz w:val="22"/>
        </w:rPr>
        <w:t>Ignoring safety instructions while using laboratories, workshops, or electrical/mechanical systems.</w:t>
      </w:r>
    </w:p>
    <w:p>
      <w:pPr>
        <w:pStyle w:val="ListBullet"/>
        <w:spacing w:line="276" w:lineRule="auto"/>
        <w:ind w:left="510"/>
      </w:pPr>
      <w:r>
        <w:rPr>
          <w:rFonts w:ascii="Cambria" w:hAnsi="Cambria"/>
          <w:b w:val="0"/>
          <w:i w:val="0"/>
          <w:sz w:val="22"/>
        </w:rPr>
        <w:t>Failure to wear protective gear or follow safety protocols.</w:t>
      </w:r>
    </w:p>
    <w:p>
      <w:pPr>
        <w:pStyle w:val="ListBullet"/>
        <w:spacing w:line="276" w:lineRule="auto"/>
        <w:ind w:left="510"/>
      </w:pPr>
      <w:r>
        <w:rPr>
          <w:rFonts w:ascii="Cambria" w:hAnsi="Cambria"/>
          <w:b w:val="0"/>
          <w:i w:val="0"/>
          <w:sz w:val="22"/>
        </w:rPr>
        <w:t>Leaving hazardous materials unsecured or improperly disposing of them.</w:t>
      </w:r>
    </w:p>
    <w:p>
      <w:r>
        <w:rPr>
          <w:rFonts w:ascii="Cambria" w:hAnsi="Cambria"/>
          <w:b/>
          <w:i w:val="0"/>
          <w:sz w:val="22"/>
        </w:rPr>
        <w:t>Administrative Negligence</w:t>
      </w:r>
    </w:p>
    <w:p>
      <w:pPr>
        <w:pStyle w:val="ListBullet"/>
        <w:spacing w:line="276" w:lineRule="auto"/>
        <w:ind w:left="510"/>
      </w:pPr>
      <w:r>
        <w:rPr>
          <w:rFonts w:ascii="Cambria" w:hAnsi="Cambria"/>
          <w:b w:val="0"/>
          <w:i w:val="0"/>
          <w:sz w:val="22"/>
        </w:rPr>
        <w:t>Failing to report damaged or malfunctioning safety equipment.</w:t>
      </w:r>
    </w:p>
    <w:p>
      <w:pPr>
        <w:pStyle w:val="ListBullet"/>
        <w:spacing w:line="276" w:lineRule="auto"/>
        <w:ind w:left="510"/>
      </w:pPr>
      <w:r>
        <w:rPr>
          <w:rFonts w:ascii="Cambria" w:hAnsi="Cambria"/>
          <w:b w:val="0"/>
          <w:i w:val="0"/>
          <w:sz w:val="22"/>
        </w:rPr>
        <w:t>Permitting unsafe work practices under supervision.</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Minor Negligence (accidental damage)</w:t>
            </w:r>
          </w:p>
        </w:tc>
        <w:tc>
          <w:tcPr>
            <w:tcW w:type="dxa" w:w="5726"/>
          </w:tcPr>
          <w:p>
            <w:pPr>
              <w:spacing w:after="40" w:before="40"/>
            </w:pPr>
            <w:r/>
            <w:r>
              <w:rPr>
                <w:rFonts w:ascii="Cambria" w:hAnsi="Cambria"/>
                <w:b w:val="0"/>
                <w:i w:val="0"/>
                <w:sz w:val="22"/>
              </w:rPr>
              <w:t>Written warning and recovery of actual cost from salary.</w:t>
            </w:r>
          </w:p>
        </w:tc>
      </w:tr>
      <w:tr>
        <w:tc>
          <w:tcPr>
            <w:tcW w:type="dxa" w:w="3685"/>
            <w:shd w:val="clear" w:color="auto" w:fill="F0F2F5"/>
          </w:tcPr>
          <w:p>
            <w:pPr>
              <w:spacing w:after="40" w:before="40"/>
            </w:pPr>
            <w:r/>
            <w:r>
              <w:rPr>
                <w:rFonts w:ascii="Cambria" w:hAnsi="Cambria"/>
                <w:b w:val="0"/>
                <w:i w:val="0"/>
                <w:sz w:val="22"/>
              </w:rPr>
              <w:t>Negligence causing material damage</w:t>
            </w:r>
          </w:p>
        </w:tc>
        <w:tc>
          <w:tcPr>
            <w:tcW w:type="dxa" w:w="5726"/>
            <w:shd w:val="clear" w:color="auto" w:fill="F0F2F5"/>
          </w:tcPr>
          <w:p>
            <w:pPr>
              <w:spacing w:after="40" w:before="40"/>
            </w:pPr>
            <w:r/>
            <w:r>
              <w:rPr>
                <w:rFonts w:ascii="Cambria" w:hAnsi="Cambria"/>
                <w:b w:val="0"/>
                <w:i w:val="0"/>
                <w:sz w:val="22"/>
              </w:rPr>
              <w:t>Suspension pending inquiry, recovery of loss, and withholding of increments.</w:t>
            </w:r>
          </w:p>
        </w:tc>
      </w:tr>
      <w:tr>
        <w:tc>
          <w:tcPr>
            <w:tcW w:type="dxa" w:w="3685"/>
          </w:tcPr>
          <w:p>
            <w:pPr>
              <w:spacing w:after="40" w:before="40"/>
            </w:pPr>
            <w:r/>
            <w:r>
              <w:rPr>
                <w:rFonts w:ascii="Cambria" w:hAnsi="Cambria"/>
                <w:b w:val="0"/>
                <w:i w:val="0"/>
                <w:sz w:val="22"/>
              </w:rPr>
              <w:t>Willful damage or tampering with safety devices</w:t>
            </w:r>
          </w:p>
        </w:tc>
        <w:tc>
          <w:tcPr>
            <w:tcW w:type="dxa" w:w="5726"/>
          </w:tcPr>
          <w:p>
            <w:pPr>
              <w:spacing w:after="40" w:before="40"/>
            </w:pPr>
            <w:r/>
            <w:r>
              <w:rPr>
                <w:rFonts w:ascii="Cambria" w:hAnsi="Cambria"/>
                <w:b w:val="0"/>
                <w:i w:val="0"/>
                <w:sz w:val="22"/>
              </w:rPr>
              <w:t>Major penalty — reduction in rank, compulsory retirement, or dismissal from service.</w:t>
            </w:r>
          </w:p>
        </w:tc>
      </w:tr>
      <w:tr>
        <w:tc>
          <w:tcPr>
            <w:tcW w:type="dxa" w:w="3685"/>
            <w:shd w:val="clear" w:color="auto" w:fill="F0F2F5"/>
          </w:tcPr>
          <w:p>
            <w:pPr>
              <w:spacing w:after="40" w:before="40"/>
            </w:pPr>
            <w:r/>
            <w:r>
              <w:rPr>
                <w:rFonts w:ascii="Cambria" w:hAnsi="Cambria"/>
                <w:b w:val="0"/>
                <w:i w:val="0"/>
                <w:sz w:val="22"/>
              </w:rPr>
              <w:t>Endangering life or safety of others</w:t>
            </w:r>
          </w:p>
        </w:tc>
        <w:tc>
          <w:tcPr>
            <w:tcW w:type="dxa" w:w="5726"/>
            <w:shd w:val="clear" w:color="auto" w:fill="F0F2F5"/>
          </w:tcPr>
          <w:p>
            <w:pPr>
              <w:spacing w:after="40" w:before="40"/>
            </w:pPr>
            <w:r/>
            <w:r>
              <w:rPr>
                <w:rFonts w:ascii="Cambria" w:hAnsi="Cambria"/>
                <w:b w:val="0"/>
                <w:i w:val="0"/>
                <w:sz w:val="22"/>
              </w:rPr>
              <w:t>Immediate suspension and initiation of disciplinary and/or legal proceedings.</w:t>
            </w:r>
          </w:p>
        </w:tc>
      </w:tr>
    </w:tbl>
    <w:p>
      <w:pPr>
        <w:spacing w:after="40"/>
      </w:pPr>
    </w:p>
    <w:p>
      <w:r>
        <w:rPr>
          <w:rFonts w:ascii="Cambria" w:hAnsi="Cambria"/>
          <w:b/>
          <w:i w:val="0"/>
          <w:sz w:val="22"/>
        </w:rPr>
        <w:t>4. REPORTING AND INVESTIGATION PROCEDURE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Any instance of property damage or safety breach shall be immediately reported to the Head of Department or Registrar.</w:t>
            </w:r>
          </w:p>
        </w:tc>
      </w:tr>
      <w:tr>
        <w:tc>
          <w:tcPr>
            <w:tcW w:type="dxa" w:w="3685"/>
            <w:shd w:val="clear" w:color="auto" w:fill="F0F2F5"/>
          </w:tcPr>
          <w:p>
            <w:pPr>
              <w:spacing w:after="40" w:before="40"/>
            </w:pPr>
            <w:r/>
            <w:r>
              <w:rPr>
                <w:rFonts w:ascii="Cambria" w:hAnsi="Cambria"/>
                <w:b w:val="0"/>
                <w:i w:val="0"/>
                <w:sz w:val="22"/>
              </w:rPr>
              <w:t>2. Inspection</w:t>
            </w:r>
          </w:p>
        </w:tc>
        <w:tc>
          <w:tcPr>
            <w:tcW w:type="dxa" w:w="5726"/>
            <w:shd w:val="clear" w:color="auto" w:fill="F0F2F5"/>
          </w:tcPr>
          <w:p>
            <w:pPr>
              <w:spacing w:after="40" w:before="40"/>
            </w:pPr>
            <w:r/>
            <w:r>
              <w:rPr>
                <w:rFonts w:ascii="Cambria" w:hAnsi="Cambria"/>
                <w:b w:val="0"/>
                <w:i w:val="0"/>
                <w:sz w:val="22"/>
              </w:rPr>
              <w:t>The Maintenance Officer or Safety Committee shall assess the extent of damage and determine cause (accidental or deliberate).</w:t>
            </w:r>
          </w:p>
        </w:tc>
      </w:tr>
      <w:tr>
        <w:tc>
          <w:tcPr>
            <w:tcW w:type="dxa" w:w="3685"/>
          </w:tcPr>
          <w:p>
            <w:pPr>
              <w:spacing w:after="40" w:before="40"/>
            </w:pPr>
            <w:r/>
            <w:r>
              <w:rPr>
                <w:rFonts w:ascii="Cambria" w:hAnsi="Cambria"/>
                <w:b w:val="0"/>
                <w:i w:val="0"/>
                <w:sz w:val="22"/>
              </w:rPr>
              <w:t>3. Inquiry</w:t>
            </w:r>
          </w:p>
        </w:tc>
        <w:tc>
          <w:tcPr>
            <w:tcW w:type="dxa" w:w="5726"/>
          </w:tcPr>
          <w:p>
            <w:pPr>
              <w:spacing w:after="40" w:before="40"/>
            </w:pPr>
            <w:r/>
            <w:r>
              <w:rPr>
                <w:rFonts w:ascii="Cambria" w:hAnsi="Cambria"/>
                <w:b w:val="0"/>
                <w:i w:val="0"/>
                <w:sz w:val="22"/>
              </w:rPr>
              <w:t>If willful damage or negligence is suspected, a disciplinary inquiry shall be initiated.</w:t>
            </w:r>
          </w:p>
        </w:tc>
      </w:tr>
      <w:tr>
        <w:tc>
          <w:tcPr>
            <w:tcW w:type="dxa" w:w="3685"/>
            <w:shd w:val="clear" w:color="auto" w:fill="F0F2F5"/>
          </w:tcPr>
          <w:p>
            <w:pPr>
              <w:spacing w:after="40" w:before="40"/>
            </w:pPr>
            <w:r/>
            <w:r>
              <w:rPr>
                <w:rFonts w:ascii="Cambria" w:hAnsi="Cambria"/>
                <w:b w:val="0"/>
                <w:i w:val="0"/>
                <w:sz w:val="22"/>
              </w:rPr>
              <w:t>4. Action</w:t>
            </w:r>
          </w:p>
        </w:tc>
        <w:tc>
          <w:tcPr>
            <w:tcW w:type="dxa" w:w="5726"/>
            <w:shd w:val="clear" w:color="auto" w:fill="F0F2F5"/>
          </w:tcPr>
          <w:p>
            <w:pPr>
              <w:spacing w:after="40" w:before="40"/>
            </w:pPr>
            <w:r/>
            <w:r>
              <w:rPr>
                <w:rFonts w:ascii="Cambria" w:hAnsi="Cambria"/>
                <w:b w:val="0"/>
                <w:i w:val="0"/>
                <w:sz w:val="22"/>
              </w:rPr>
              <w:t>The Vice Chancellor may impose penalties; appeals lie with the Board of Management (BoM).</w:t>
            </w:r>
          </w:p>
        </w:tc>
      </w:tr>
    </w:tbl>
    <w:p>
      <w:pPr>
        <w:spacing w:after="40"/>
      </w:pPr>
    </w:p>
    <w:p>
      <w:r>
        <w:rPr>
          <w:rFonts w:ascii="Cambria" w:hAnsi="Cambria"/>
          <w:b/>
          <w:i w:val="0"/>
          <w:sz w:val="22"/>
        </w:rPr>
        <w:t>5. SAFETY AND PREVENTIVE MEASURES</w:t>
      </w:r>
    </w:p>
    <w:p>
      <w:pPr>
        <w:pStyle w:val="ListBullet"/>
        <w:spacing w:line="276" w:lineRule="auto"/>
        <w:ind w:left="510"/>
      </w:pPr>
      <w:r>
        <w:rPr>
          <w:rFonts w:ascii="Cambria" w:hAnsi="Cambria"/>
          <w:b w:val="0"/>
          <w:i w:val="0"/>
          <w:sz w:val="22"/>
        </w:rPr>
        <w:t>All employees must adhere strictly to Safety Manuals, Laboratory Protocols, Fire Safety Rules, and Equipment Handling Guidelines.</w:t>
      </w:r>
    </w:p>
    <w:p>
      <w:pPr>
        <w:pStyle w:val="ListBullet"/>
        <w:spacing w:line="276" w:lineRule="auto"/>
        <w:ind w:left="510"/>
      </w:pPr>
      <w:r>
        <w:rPr>
          <w:rFonts w:ascii="Cambria" w:hAnsi="Cambria"/>
          <w:b w:val="0"/>
          <w:i w:val="0"/>
          <w:sz w:val="22"/>
        </w:rPr>
        <w:t>The University will conduct periodic safety audits, drills, and training programs to ensure awareness and preparedness.</w:t>
      </w:r>
    </w:p>
    <w:p>
      <w:pPr>
        <w:pStyle w:val="ListBullet"/>
        <w:spacing w:line="276" w:lineRule="auto"/>
        <w:ind w:left="510"/>
      </w:pPr>
      <w:r>
        <w:rPr>
          <w:rFonts w:ascii="Cambria" w:hAnsi="Cambria"/>
          <w:b w:val="0"/>
          <w:i w:val="0"/>
          <w:sz w:val="22"/>
        </w:rPr>
        <w:t>Employees are responsible for reporting hazards or equipment faults immediately to the competent authority.</w:t>
      </w:r>
    </w:p>
    <w:p>
      <w:pPr>
        <w:pStyle w:val="ListBullet"/>
        <w:spacing w:line="276" w:lineRule="auto"/>
        <w:ind w:left="510"/>
      </w:pPr>
      <w:r>
        <w:rPr>
          <w:rFonts w:ascii="Cambria" w:hAnsi="Cambria"/>
          <w:b w:val="0"/>
          <w:i w:val="0"/>
          <w:sz w:val="22"/>
        </w:rPr>
        <w:t>Neglecting to report such risks shall itself be treated as a form of negligence.</w:t>
      </w:r>
    </w:p>
    <w:p>
      <w:r>
        <w:rPr>
          <w:rFonts w:ascii="Cambria" w:hAnsi="Cambria"/>
          <w:b/>
          <w:i w:val="0"/>
          <w:sz w:val="22"/>
        </w:rPr>
        <w:t>6. POLICY PRINCIPLES</w:t>
      </w:r>
    </w:p>
    <w:p>
      <w:pPr>
        <w:pStyle w:val="ListBullet"/>
        <w:spacing w:line="276" w:lineRule="auto"/>
        <w:ind w:left="510"/>
      </w:pPr>
      <w:r>
        <w:rPr>
          <w:rFonts w:ascii="Cambria" w:hAnsi="Cambria"/>
          <w:b w:val="0"/>
          <w:i w:val="0"/>
          <w:sz w:val="22"/>
        </w:rPr>
        <w:t>Institutional assets are public property held in trust for academic and societal purposes.</w:t>
      </w:r>
    </w:p>
    <w:p>
      <w:pPr>
        <w:pStyle w:val="ListBullet"/>
        <w:spacing w:line="276" w:lineRule="auto"/>
        <w:ind w:left="510"/>
      </w:pPr>
      <w:r>
        <w:rPr>
          <w:rFonts w:ascii="Cambria" w:hAnsi="Cambria"/>
          <w:b w:val="0"/>
          <w:i w:val="0"/>
          <w:sz w:val="22"/>
        </w:rPr>
        <w:t>Every employee bears a fiduciary responsibility to safeguard the same.</w:t>
      </w:r>
    </w:p>
    <w:p>
      <w:pPr>
        <w:pStyle w:val="ListBullet"/>
        <w:spacing w:line="276" w:lineRule="auto"/>
        <w:ind w:left="510"/>
      </w:pPr>
      <w:r>
        <w:rPr>
          <w:rFonts w:ascii="Cambria" w:hAnsi="Cambria"/>
          <w:b w:val="0"/>
          <w:i w:val="0"/>
          <w:sz w:val="22"/>
        </w:rPr>
        <w:t>Any act that endangers life, safety, or property violates the core values of the University.</w:t>
      </w:r>
    </w:p>
    <w:p>
      <w:pPr>
        <w:pStyle w:val="ListBullet"/>
        <w:spacing w:line="276" w:lineRule="auto"/>
        <w:ind w:left="510"/>
      </w:pPr>
      <w:r>
        <w:rPr>
          <w:rFonts w:ascii="Cambria" w:hAnsi="Cambria"/>
          <w:b w:val="0"/>
          <w:i w:val="0"/>
          <w:sz w:val="22"/>
        </w:rPr>
        <w:t>Financial recovery for damages shall not preclude disciplinary action for misconduct.</w:t>
      </w:r>
    </w:p>
    <w:p>
      <w:pPr>
        <w:pStyle w:val="ListBullet"/>
        <w:spacing w:line="276" w:lineRule="auto"/>
        <w:ind w:left="510"/>
      </w:pPr>
      <w:r>
        <w:rPr>
          <w:rFonts w:ascii="Cambria" w:hAnsi="Cambria"/>
          <w:b w:val="0"/>
          <w:i w:val="0"/>
          <w:sz w:val="22"/>
        </w:rPr>
        <w:t>The decision of the Board of Management (BoM) in all such cases shall be final and binding.</w:t>
      </w:r>
    </w:p>
    <w:p>
      <w:pPr>
        <w:keepNext/>
        <w:spacing w:before="200" w:after="120"/>
      </w:pPr>
      <w:r>
        <w:rPr>
          <w:rFonts w:ascii="Cambria" w:hAnsi="Cambria"/>
          <w:b/>
          <w:color w:val="1F3A5F"/>
          <w:sz w:val="27"/>
        </w:rPr>
        <w:t>Policy on Theft, Fraud, Misappropriation, and Dishonesty</w:t>
      </w:r>
    </w:p>
    <w:p>
      <w:r>
        <w:rPr>
          <w:rFonts w:ascii="Cambria" w:hAnsi="Cambria"/>
          <w:b/>
          <w:i w:val="0"/>
          <w:sz w:val="22"/>
        </w:rPr>
        <w:t>I. PURPOSE</w:t>
      </w:r>
    </w:p>
    <w:p>
      <w:pPr>
        <w:pStyle w:val="ListBullet"/>
        <w:spacing w:line="276" w:lineRule="auto"/>
        <w:ind w:left="510"/>
      </w:pPr>
      <w:r>
        <w:rPr>
          <w:rFonts w:ascii="Cambria" w:hAnsi="Cambria"/>
          <w:b w:val="0"/>
          <w:i w:val="0"/>
          <w:sz w:val="22"/>
        </w:rPr>
        <w:t>To safeguard the financial integrity, property, and reputation of the University.</w:t>
      </w:r>
    </w:p>
    <w:p>
      <w:pPr>
        <w:pStyle w:val="ListBullet"/>
        <w:spacing w:line="276" w:lineRule="auto"/>
        <w:ind w:left="510"/>
      </w:pPr>
      <w:r>
        <w:rPr>
          <w:rFonts w:ascii="Cambria" w:hAnsi="Cambria"/>
          <w:b w:val="0"/>
          <w:i w:val="0"/>
          <w:sz w:val="22"/>
        </w:rPr>
        <w:t>To establish clear norms for preventing and addressing theft, fraud, misappropriation of funds, and any form of dishonest or deceitful conduct by employees.</w:t>
      </w:r>
    </w:p>
    <w:p>
      <w:pPr>
        <w:pStyle w:val="ListBullet"/>
        <w:spacing w:line="276" w:lineRule="auto"/>
        <w:ind w:left="510"/>
      </w:pPr>
      <w:r>
        <w:rPr>
          <w:rFonts w:ascii="Cambria" w:hAnsi="Cambria"/>
          <w:b w:val="0"/>
          <w:i w:val="0"/>
          <w:sz w:val="22"/>
        </w:rPr>
        <w:t>To ensure that all employees act with trust, accountability, and ethical responsibility in handling institutional assets and information.</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Any act involving theft, fraud, falsification, forgery, misappropriation, breach of trust, or dishonest behavior in relation to University funds, property, or official work constitutes gross misconduct. This includes acts directed against the University, its employees, or any person on University premises.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University employees — teaching, non-teaching, administrative, technical, contractual, and project-based.</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Employees are strictly prohibited from engaging in any activity that involves misuse, embezzlement, or misrepresentation of University property, funds, or confidential information. Such acts will attract major disciplinary and legal consequences.</w:t>
            </w:r>
          </w:p>
        </w:tc>
      </w:tr>
    </w:tbl>
    <w:p>
      <w:pPr>
        <w:spacing w:after="40"/>
      </w:pP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Offences</w:t>
            </w:r>
          </w:p>
        </w:tc>
      </w:tr>
      <w:tr>
        <w:tc>
          <w:tcPr>
            <w:tcW w:type="dxa" w:w="3685"/>
          </w:tcPr>
          <w:p>
            <w:pPr>
              <w:spacing w:after="40" w:before="40"/>
            </w:pPr>
            <w:r/>
            <w:r>
              <w:rPr>
                <w:rFonts w:ascii="Cambria" w:hAnsi="Cambria"/>
                <w:b w:val="0"/>
                <w:i w:val="0"/>
                <w:sz w:val="22"/>
              </w:rPr>
              <w:t>Theft and Misappropriation</w:t>
            </w:r>
          </w:p>
        </w:tc>
        <w:tc>
          <w:tcPr>
            <w:tcW w:type="dxa" w:w="5726"/>
          </w:tcPr>
          <w:p>
            <w:pPr>
              <w:spacing w:after="40" w:before="40"/>
            </w:pPr>
            <w:r/>
            <w:r>
              <w:rPr>
                <w:rFonts w:ascii="Cambria" w:hAnsi="Cambria"/>
                <w:b w:val="0"/>
                <w:i w:val="0"/>
                <w:sz w:val="22"/>
              </w:rPr>
              <w:t>Stealing or unauthorized removal of University property, materials, or funds.</w:t>
            </w:r>
          </w:p>
        </w:tc>
      </w:tr>
    </w:tbl>
    <w:p>
      <w:pPr>
        <w:spacing w:after="40"/>
      </w:pPr>
    </w:p>
    <w:p>
      <w:pPr>
        <w:pStyle w:val="ListBullet"/>
        <w:spacing w:line="276" w:lineRule="auto"/>
        <w:ind w:left="510"/>
      </w:pPr>
      <w:r>
        <w:rPr>
          <w:rFonts w:ascii="Cambria" w:hAnsi="Cambria"/>
          <w:b w:val="0"/>
          <w:i w:val="0"/>
          <w:sz w:val="22"/>
        </w:rPr>
        <w:t>Misusing institutional resources (vehicles, equipment, materials, software) for personal gain.</w:t>
      </w:r>
    </w:p>
    <w:p>
      <w:pPr>
        <w:pStyle w:val="ListBullet"/>
        <w:spacing w:line="276" w:lineRule="auto"/>
        <w:ind w:left="510"/>
      </w:pPr>
      <w:r>
        <w:rPr>
          <w:rFonts w:ascii="Cambria" w:hAnsi="Cambria"/>
          <w:b w:val="0"/>
          <w:i w:val="0"/>
          <w:sz w:val="22"/>
        </w:rPr>
        <w:t>Diverting or tampering with University assets, grants, or funds entrusted for academic or research purposes.</w:t>
      </w:r>
    </w:p>
    <w:p>
      <w:r>
        <w:rPr>
          <w:rFonts w:ascii="Cambria" w:hAnsi="Cambria"/>
          <w:b/>
          <w:i w:val="0"/>
          <w:sz w:val="22"/>
        </w:rPr>
        <w:t>Fraudulent Conduct</w:t>
      </w:r>
    </w:p>
    <w:p>
      <w:pPr>
        <w:pStyle w:val="ListBullet"/>
        <w:spacing w:line="276" w:lineRule="auto"/>
        <w:ind w:left="510"/>
      </w:pPr>
      <w:r>
        <w:rPr>
          <w:rFonts w:ascii="Cambria" w:hAnsi="Cambria"/>
          <w:b w:val="0"/>
          <w:i w:val="0"/>
          <w:sz w:val="22"/>
        </w:rPr>
        <w:t>Forging documents, bills, vouchers, or attendance records.</w:t>
      </w:r>
    </w:p>
    <w:p>
      <w:pPr>
        <w:pStyle w:val="ListBullet"/>
        <w:spacing w:line="276" w:lineRule="auto"/>
        <w:ind w:left="510"/>
      </w:pPr>
      <w:r>
        <w:rPr>
          <w:rFonts w:ascii="Cambria" w:hAnsi="Cambria"/>
          <w:b w:val="0"/>
          <w:i w:val="0"/>
          <w:sz w:val="22"/>
        </w:rPr>
        <w:t>Submitting false claims for travel, reimbursement, or allowances.</w:t>
      </w:r>
    </w:p>
    <w:p>
      <w:pPr>
        <w:pStyle w:val="ListBullet"/>
        <w:spacing w:line="276" w:lineRule="auto"/>
        <w:ind w:left="510"/>
      </w:pPr>
      <w:r>
        <w:rPr>
          <w:rFonts w:ascii="Cambria" w:hAnsi="Cambria"/>
          <w:b w:val="0"/>
          <w:i w:val="0"/>
          <w:sz w:val="22"/>
        </w:rPr>
        <w:t>Manipulating data or financial records to gain undue advantage.</w:t>
      </w:r>
    </w:p>
    <w:p>
      <w:r>
        <w:rPr>
          <w:rFonts w:ascii="Cambria" w:hAnsi="Cambria"/>
          <w:b/>
          <w:i w:val="0"/>
          <w:sz w:val="22"/>
        </w:rPr>
        <w:t>Dishonesty / Breach of Trust</w:t>
      </w:r>
    </w:p>
    <w:p>
      <w:pPr>
        <w:pStyle w:val="ListBullet"/>
        <w:spacing w:line="276" w:lineRule="auto"/>
        <w:ind w:left="510"/>
      </w:pPr>
      <w:r>
        <w:rPr>
          <w:rFonts w:ascii="Cambria" w:hAnsi="Cambria"/>
          <w:b w:val="0"/>
          <w:i w:val="0"/>
          <w:sz w:val="22"/>
        </w:rPr>
        <w:t>Concealment or distortion of facts in financial or administrative dealings.</w:t>
      </w:r>
    </w:p>
    <w:p>
      <w:pPr>
        <w:pStyle w:val="ListBullet"/>
        <w:spacing w:line="276" w:lineRule="auto"/>
        <w:ind w:left="510"/>
      </w:pPr>
      <w:r>
        <w:rPr>
          <w:rFonts w:ascii="Cambria" w:hAnsi="Cambria"/>
          <w:b w:val="0"/>
          <w:i w:val="0"/>
          <w:sz w:val="22"/>
        </w:rPr>
        <w:t>Collusion with vendors or outsiders for personal gain.</w:t>
      </w:r>
    </w:p>
    <w:p>
      <w:pPr>
        <w:pStyle w:val="ListBullet"/>
        <w:spacing w:line="276" w:lineRule="auto"/>
        <w:ind w:left="510"/>
      </w:pPr>
      <w:r>
        <w:rPr>
          <w:rFonts w:ascii="Cambria" w:hAnsi="Cambria"/>
          <w:b w:val="0"/>
          <w:i w:val="0"/>
          <w:sz w:val="22"/>
        </w:rPr>
        <w:t>Unauthorized disclosure or use of confidential institutional information.</w:t>
      </w:r>
    </w:p>
    <w:p>
      <w:r>
        <w:rPr>
          <w:rFonts w:ascii="Cambria" w:hAnsi="Cambria"/>
          <w:b/>
          <w:i w:val="0"/>
          <w:sz w:val="22"/>
        </w:rPr>
        <w:t>Damage to Property or Work</w:t>
      </w:r>
    </w:p>
    <w:p>
      <w:pPr>
        <w:pStyle w:val="ListBullet"/>
        <w:spacing w:line="276" w:lineRule="auto"/>
        <w:ind w:left="510"/>
      </w:pPr>
      <w:r>
        <w:rPr>
          <w:rFonts w:ascii="Cambria" w:hAnsi="Cambria"/>
          <w:b w:val="0"/>
          <w:i w:val="0"/>
          <w:sz w:val="22"/>
        </w:rPr>
        <w:t>Deliberate damage, sabotage, or manipulation of University property, records, or systems.</w:t>
      </w:r>
    </w:p>
    <w:p>
      <w:pPr>
        <w:pStyle w:val="ListBullet"/>
        <w:spacing w:line="276" w:lineRule="auto"/>
        <w:ind w:left="510"/>
      </w:pPr>
      <w:r>
        <w:rPr>
          <w:rFonts w:ascii="Cambria" w:hAnsi="Cambria"/>
          <w:b w:val="0"/>
          <w:i w:val="0"/>
          <w:sz w:val="22"/>
        </w:rPr>
        <w:t>Assisting or abetting another employee in committing such acts.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 Legal Action</w:t>
            </w:r>
          </w:p>
        </w:tc>
      </w:tr>
      <w:tr>
        <w:tc>
          <w:tcPr>
            <w:tcW w:type="dxa" w:w="3685"/>
          </w:tcPr>
          <w:p>
            <w:pPr>
              <w:spacing w:after="40" w:before="40"/>
            </w:pPr>
            <w:r/>
            <w:r>
              <w:rPr>
                <w:rFonts w:ascii="Cambria" w:hAnsi="Cambria"/>
                <w:b w:val="0"/>
                <w:i w:val="0"/>
                <w:sz w:val="22"/>
              </w:rPr>
              <w:t>Minor irregularity (first-time, unintentional)</w:t>
            </w:r>
          </w:p>
        </w:tc>
        <w:tc>
          <w:tcPr>
            <w:tcW w:type="dxa" w:w="5726"/>
          </w:tcPr>
          <w:p>
            <w:pPr>
              <w:spacing w:after="40" w:before="40"/>
            </w:pPr>
            <w:r/>
            <w:r>
              <w:rPr>
                <w:rFonts w:ascii="Cambria" w:hAnsi="Cambria"/>
                <w:b w:val="0"/>
                <w:i w:val="0"/>
                <w:sz w:val="22"/>
              </w:rPr>
              <w:t>Written warning, recovery of loss, and mandatory counseling.</w:t>
            </w:r>
          </w:p>
        </w:tc>
      </w:tr>
      <w:tr>
        <w:tc>
          <w:tcPr>
            <w:tcW w:type="dxa" w:w="3685"/>
            <w:shd w:val="clear" w:color="auto" w:fill="F0F2F5"/>
          </w:tcPr>
          <w:p>
            <w:pPr>
              <w:spacing w:after="40" w:before="40"/>
            </w:pPr>
            <w:r/>
            <w:r>
              <w:rPr>
                <w:rFonts w:ascii="Cambria" w:hAnsi="Cambria"/>
                <w:b w:val="0"/>
                <w:i w:val="0"/>
                <w:sz w:val="22"/>
              </w:rPr>
              <w:t>Intentional or repeated misconduct</w:t>
            </w:r>
          </w:p>
        </w:tc>
        <w:tc>
          <w:tcPr>
            <w:tcW w:type="dxa" w:w="5726"/>
            <w:shd w:val="clear" w:color="auto" w:fill="F0F2F5"/>
          </w:tcPr>
          <w:p>
            <w:pPr>
              <w:spacing w:after="40" w:before="40"/>
            </w:pPr>
            <w:r/>
            <w:r>
              <w:rPr>
                <w:rFonts w:ascii="Cambria" w:hAnsi="Cambria"/>
                <w:b w:val="0"/>
                <w:i w:val="0"/>
                <w:sz w:val="22"/>
              </w:rPr>
              <w:t>Suspension pending inquiry and recovery of financial loss from salary or benefits.</w:t>
            </w:r>
          </w:p>
        </w:tc>
      </w:tr>
      <w:tr>
        <w:tc>
          <w:tcPr>
            <w:tcW w:type="dxa" w:w="3685"/>
          </w:tcPr>
          <w:p>
            <w:pPr>
              <w:spacing w:after="40" w:before="40"/>
            </w:pPr>
            <w:r/>
            <w:r>
              <w:rPr>
                <w:rFonts w:ascii="Cambria" w:hAnsi="Cambria"/>
                <w:b w:val="0"/>
                <w:i w:val="0"/>
                <w:sz w:val="22"/>
              </w:rPr>
              <w:t>Proven theft, fraud, or misappropriation</w:t>
            </w:r>
          </w:p>
        </w:tc>
        <w:tc>
          <w:tcPr>
            <w:tcW w:type="dxa" w:w="5726"/>
          </w:tcPr>
          <w:p>
            <w:pPr>
              <w:spacing w:after="40" w:before="40"/>
            </w:pPr>
            <w:r/>
            <w:r>
              <w:rPr>
                <w:rFonts w:ascii="Cambria" w:hAnsi="Cambria"/>
                <w:b w:val="0"/>
                <w:i w:val="0"/>
                <w:sz w:val="22"/>
              </w:rPr>
              <w:t>Major penalty — dismissal from service, forfeiture of benefits, and initiation of criminal proceedings under relevant laws.</w:t>
            </w:r>
          </w:p>
        </w:tc>
      </w:tr>
      <w:tr>
        <w:tc>
          <w:tcPr>
            <w:tcW w:type="dxa" w:w="3685"/>
            <w:shd w:val="clear" w:color="auto" w:fill="F0F2F5"/>
          </w:tcPr>
          <w:p>
            <w:pPr>
              <w:spacing w:after="40" w:before="40"/>
            </w:pPr>
            <w:r/>
            <w:r>
              <w:rPr>
                <w:rFonts w:ascii="Cambria" w:hAnsi="Cambria"/>
                <w:b w:val="0"/>
                <w:i w:val="0"/>
                <w:sz w:val="22"/>
              </w:rPr>
              <w:t>Collusion or aiding such acts</w:t>
            </w:r>
          </w:p>
        </w:tc>
        <w:tc>
          <w:tcPr>
            <w:tcW w:type="dxa" w:w="5726"/>
            <w:shd w:val="clear" w:color="auto" w:fill="F0F2F5"/>
          </w:tcPr>
          <w:p>
            <w:pPr>
              <w:spacing w:after="40" w:before="40"/>
            </w:pPr>
            <w:r/>
            <w:r>
              <w:rPr>
                <w:rFonts w:ascii="Cambria" w:hAnsi="Cambria"/>
                <w:b w:val="0"/>
                <w:i w:val="0"/>
                <w:sz w:val="22"/>
              </w:rPr>
              <w:t>Same penalty as the principal offender.</w:t>
            </w:r>
          </w:p>
        </w:tc>
      </w:tr>
    </w:tbl>
    <w:p>
      <w:pPr>
        <w:spacing w:after="40"/>
      </w:pPr>
    </w:p>
    <w:p>
      <w:r>
        <w:rPr>
          <w:rFonts w:ascii="Cambria" w:hAnsi="Cambria"/>
          <w:b/>
          <w:i w:val="0"/>
          <w:sz w:val="22"/>
        </w:rPr>
        <w:t>4. INVESTIGATION AND PROCEDURE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Process</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Any instance of theft, fraud, or misappropriation must be immediately reported to the Registrar / Finance Officer and the Vice Chancellor.</w:t>
            </w:r>
          </w:p>
        </w:tc>
      </w:tr>
      <w:tr>
        <w:tc>
          <w:tcPr>
            <w:tcW w:type="dxa" w:w="3685"/>
            <w:shd w:val="clear" w:color="auto" w:fill="F0F2F5"/>
          </w:tcPr>
          <w:p>
            <w:pPr>
              <w:spacing w:after="40" w:before="40"/>
            </w:pPr>
            <w:r/>
            <w:r>
              <w:rPr>
                <w:rFonts w:ascii="Cambria" w:hAnsi="Cambria"/>
                <w:b w:val="0"/>
                <w:i w:val="0"/>
                <w:sz w:val="22"/>
              </w:rPr>
              <w:t>2. Preliminary Inquiry</w:t>
            </w:r>
          </w:p>
        </w:tc>
        <w:tc>
          <w:tcPr>
            <w:tcW w:type="dxa" w:w="5726"/>
            <w:shd w:val="clear" w:color="auto" w:fill="F0F2F5"/>
          </w:tcPr>
          <w:p>
            <w:pPr>
              <w:spacing w:after="40" w:before="40"/>
            </w:pPr>
            <w:r/>
            <w:r>
              <w:rPr>
                <w:rFonts w:ascii="Cambria" w:hAnsi="Cambria"/>
                <w:b w:val="0"/>
                <w:i w:val="0"/>
                <w:sz w:val="22"/>
              </w:rPr>
              <w:t>Conducted by a committee constituted by the Vice Chancellor, including a Finance Officer, Administrative Officer, and one senior faculty member.</w:t>
            </w:r>
          </w:p>
        </w:tc>
      </w:tr>
      <w:tr>
        <w:tc>
          <w:tcPr>
            <w:tcW w:type="dxa" w:w="3685"/>
          </w:tcPr>
          <w:p>
            <w:pPr>
              <w:spacing w:after="40" w:before="40"/>
            </w:pPr>
            <w:r/>
            <w:r>
              <w:rPr>
                <w:rFonts w:ascii="Cambria" w:hAnsi="Cambria"/>
                <w:b w:val="0"/>
                <w:i w:val="0"/>
                <w:sz w:val="22"/>
              </w:rPr>
              <w:t>3. Suspension</w:t>
            </w:r>
          </w:p>
        </w:tc>
        <w:tc>
          <w:tcPr>
            <w:tcW w:type="dxa" w:w="5726"/>
          </w:tcPr>
          <w:p>
            <w:pPr>
              <w:spacing w:after="40" w:before="40"/>
            </w:pPr>
            <w:r/>
            <w:r>
              <w:rPr>
                <w:rFonts w:ascii="Cambria" w:hAnsi="Cambria"/>
                <w:b w:val="0"/>
                <w:i w:val="0"/>
                <w:sz w:val="22"/>
              </w:rPr>
              <w:t>The employee may placed under suspension pending detailed inquiry.</w:t>
            </w:r>
          </w:p>
        </w:tc>
      </w:tr>
      <w:tr>
        <w:tc>
          <w:tcPr>
            <w:tcW w:type="dxa" w:w="3685"/>
            <w:shd w:val="clear" w:color="auto" w:fill="F0F2F5"/>
          </w:tcPr>
          <w:p>
            <w:pPr>
              <w:spacing w:after="40" w:before="40"/>
            </w:pPr>
            <w:r/>
            <w:r>
              <w:rPr>
                <w:rFonts w:ascii="Cambria" w:hAnsi="Cambria"/>
                <w:b w:val="0"/>
                <w:i w:val="0"/>
                <w:sz w:val="22"/>
              </w:rPr>
              <w:t>4. Formal Inquiry</w:t>
            </w:r>
          </w:p>
        </w:tc>
        <w:tc>
          <w:tcPr>
            <w:tcW w:type="dxa" w:w="5726"/>
            <w:shd w:val="clear" w:color="auto" w:fill="F0F2F5"/>
          </w:tcPr>
          <w:p>
            <w:pPr>
              <w:spacing w:after="40" w:before="40"/>
            </w:pPr>
            <w:r/>
            <w:r>
              <w:rPr>
                <w:rFonts w:ascii="Cambria" w:hAnsi="Cambria"/>
                <w:b w:val="0"/>
                <w:i w:val="0"/>
                <w:sz w:val="22"/>
              </w:rPr>
              <w:t>Evidence shall be recorded, and the employee shall be given a reasonable opportunity to present his/her defense.</w:t>
            </w:r>
          </w:p>
        </w:tc>
      </w:tr>
      <w:tr>
        <w:tc>
          <w:tcPr>
            <w:tcW w:type="dxa" w:w="3685"/>
          </w:tcPr>
          <w:p>
            <w:pPr>
              <w:spacing w:after="40" w:before="40"/>
            </w:pPr>
            <w:r/>
            <w:r>
              <w:rPr>
                <w:rFonts w:ascii="Cambria" w:hAnsi="Cambria"/>
                <w:b w:val="0"/>
                <w:i w:val="0"/>
                <w:sz w:val="22"/>
              </w:rPr>
              <w:t>5. Action</w:t>
            </w:r>
          </w:p>
        </w:tc>
        <w:tc>
          <w:tcPr>
            <w:tcW w:type="dxa" w:w="5726"/>
          </w:tcPr>
          <w:p>
            <w:pPr>
              <w:spacing w:after="40" w:before="40"/>
            </w:pPr>
            <w:r/>
            <w:r>
              <w:rPr>
                <w:rFonts w:ascii="Cambria" w:hAnsi="Cambria"/>
                <w:b w:val="0"/>
                <w:i w:val="0"/>
                <w:sz w:val="22"/>
              </w:rPr>
              <w:t>The Vice Chancellor, after examining the inquiry report, may impose a penalty; appeals shall lie with the Board of Management (BoM).</w:t>
            </w:r>
          </w:p>
        </w:tc>
      </w:tr>
    </w:tbl>
    <w:p>
      <w:pPr>
        <w:spacing w:after="40"/>
      </w:pPr>
    </w:p>
    <w:p>
      <w:r>
        <w:rPr>
          <w:rFonts w:ascii="Cambria" w:hAnsi="Cambria"/>
          <w:b/>
          <w:i w:val="0"/>
          <w:sz w:val="22"/>
        </w:rPr>
        <w:t>5. FINANCIAL AND LEGAL PROVISIONS</w:t>
      </w:r>
    </w:p>
    <w:p>
      <w:pPr>
        <w:pStyle w:val="ListBullet"/>
        <w:spacing w:line="276" w:lineRule="auto"/>
        <w:ind w:left="510"/>
      </w:pPr>
      <w:r>
        <w:rPr>
          <w:rFonts w:ascii="Cambria" w:hAnsi="Cambria"/>
          <w:b w:val="0"/>
          <w:i w:val="0"/>
          <w:sz w:val="22"/>
        </w:rPr>
        <w:t>All financial losses due to employee misconduct shall be recovered in full, including interest and damages where applicable.</w:t>
      </w:r>
    </w:p>
    <w:p>
      <w:pPr>
        <w:pStyle w:val="ListBullet"/>
        <w:spacing w:line="276" w:lineRule="auto"/>
        <w:ind w:left="510"/>
      </w:pPr>
      <w:r>
        <w:rPr>
          <w:rFonts w:ascii="Cambria" w:hAnsi="Cambria"/>
          <w:b w:val="0"/>
          <w:i w:val="0"/>
          <w:sz w:val="22"/>
        </w:rPr>
        <w:t>Proven acts of theft, embezzlement, or fraud will lead to criminal prosecution under the Indian Penal Code (IPC) and related laws.</w:t>
      </w:r>
    </w:p>
    <w:p>
      <w:pPr>
        <w:pStyle w:val="ListBullet"/>
        <w:spacing w:line="276" w:lineRule="auto"/>
        <w:ind w:left="510"/>
      </w:pPr>
      <w:r>
        <w:rPr>
          <w:rFonts w:ascii="Cambria" w:hAnsi="Cambria"/>
          <w:b w:val="0"/>
          <w:i w:val="0"/>
          <w:sz w:val="22"/>
        </w:rPr>
        <w:t>The University reserves the right to freeze accounts, withhold dues, and seize property or materials pending investigation.</w:t>
      </w:r>
    </w:p>
    <w:p>
      <w:pPr>
        <w:pStyle w:val="ListBullet"/>
        <w:spacing w:line="276" w:lineRule="auto"/>
        <w:ind w:left="510"/>
      </w:pPr>
      <w:r>
        <w:rPr>
          <w:rFonts w:ascii="Cambria" w:hAnsi="Cambria"/>
          <w:b w:val="0"/>
          <w:i w:val="0"/>
          <w:sz w:val="22"/>
        </w:rPr>
        <w:t>Dismissal on grounds of dishonesty shall render the employee ineligible for re-employment in any University or allied institution.</w:t>
      </w:r>
    </w:p>
    <w:p>
      <w:r>
        <w:rPr>
          <w:rFonts w:ascii="Cambria" w:hAnsi="Cambria"/>
          <w:b/>
          <w:i w:val="0"/>
          <w:sz w:val="22"/>
        </w:rPr>
        <w:t>6. ETHICAL PRINCIPLES AND INSTITUTIONAL EXPECTATIONS</w:t>
      </w:r>
    </w:p>
    <w:p>
      <w:pPr>
        <w:pStyle w:val="ListBullet"/>
        <w:spacing w:line="276" w:lineRule="auto"/>
        <w:ind w:left="510"/>
      </w:pPr>
      <w:r>
        <w:rPr>
          <w:rFonts w:ascii="Cambria" w:hAnsi="Cambria"/>
          <w:b w:val="0"/>
          <w:i w:val="0"/>
          <w:sz w:val="22"/>
        </w:rPr>
        <w:t>Employees are entrusted with University property and resources as custodians, not owners.</w:t>
      </w:r>
    </w:p>
    <w:p>
      <w:pPr>
        <w:pStyle w:val="ListBullet"/>
        <w:spacing w:line="276" w:lineRule="auto"/>
        <w:ind w:left="510"/>
      </w:pPr>
      <w:r>
        <w:rPr>
          <w:rFonts w:ascii="Cambria" w:hAnsi="Cambria"/>
          <w:b w:val="0"/>
          <w:i w:val="0"/>
          <w:sz w:val="22"/>
        </w:rPr>
        <w:t>Maintaining financial transparency, honesty, and professional ethics is a non-negotiable requirement of service.</w:t>
      </w:r>
    </w:p>
    <w:p>
      <w:pPr>
        <w:pStyle w:val="ListBullet"/>
        <w:spacing w:line="276" w:lineRule="auto"/>
        <w:ind w:left="510"/>
      </w:pPr>
      <w:r>
        <w:rPr>
          <w:rFonts w:ascii="Cambria" w:hAnsi="Cambria"/>
          <w:b w:val="0"/>
          <w:i w:val="0"/>
          <w:sz w:val="22"/>
        </w:rPr>
        <w:t>Any deviation undermines institutional trust and the academic mission.</w:t>
      </w:r>
    </w:p>
    <w:p>
      <w:pPr>
        <w:pStyle w:val="ListBullet"/>
        <w:spacing w:line="276" w:lineRule="auto"/>
        <w:ind w:left="510"/>
      </w:pPr>
      <w:r>
        <w:rPr>
          <w:rFonts w:ascii="Cambria" w:hAnsi="Cambria"/>
          <w:b w:val="0"/>
          <w:i w:val="0"/>
          <w:sz w:val="22"/>
        </w:rPr>
        <w:t>All faculty and staff must immediately report any observed or suspected act of theft, fraud, or malpractice to the competent authority.</w:t>
      </w:r>
    </w:p>
    <w:p>
      <w:pPr>
        <w:pStyle w:val="ListBullet"/>
        <w:spacing w:line="276" w:lineRule="auto"/>
        <w:ind w:left="510"/>
      </w:pPr>
      <w:r>
        <w:rPr>
          <w:rFonts w:ascii="Cambria" w:hAnsi="Cambria"/>
          <w:b w:val="0"/>
          <w:i w:val="0"/>
          <w:sz w:val="22"/>
        </w:rPr>
        <w:t>The Board of Management’s decision in all such matters shall be final and binding.</w:t>
      </w:r>
    </w:p>
    <w:p>
      <w:pPr>
        <w:keepNext/>
        <w:spacing w:before="200" w:after="120"/>
      </w:pPr>
      <w:r>
        <w:rPr>
          <w:rFonts w:ascii="Cambria" w:hAnsi="Cambria"/>
          <w:b/>
          <w:color w:val="1F3A5F"/>
          <w:sz w:val="27"/>
        </w:rPr>
        <w:t>Policy on Drunkenness, Riotous, Disorderly, or Indecent Behavior</w:t>
      </w:r>
    </w:p>
    <w:p>
      <w:r>
        <w:rPr>
          <w:rFonts w:ascii="Cambria" w:hAnsi="Cambria"/>
          <w:b/>
          <w:i w:val="0"/>
          <w:sz w:val="22"/>
        </w:rPr>
        <w:t>I. PURPOSE</w:t>
      </w:r>
    </w:p>
    <w:p>
      <w:pPr>
        <w:pStyle w:val="ListBullet"/>
        <w:spacing w:line="276" w:lineRule="auto"/>
        <w:ind w:left="510"/>
      </w:pPr>
      <w:r>
        <w:rPr>
          <w:rFonts w:ascii="Cambria" w:hAnsi="Cambria"/>
          <w:b w:val="0"/>
          <w:i w:val="0"/>
          <w:sz w:val="22"/>
        </w:rPr>
        <w:t>To uphold the principles of professional ethics, personal responsibility, and institutional dignity among all employees.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“Drunkenness” refers to the consumption of alcohol or intoxicating substances resulting in impaired behavior, judgment, or performance during working hours or while on University premises. “Riotous, disorderly, or indecent behavior” includes fighting, abusive language, aggressive conduct, or public indecency, whether within or outside the institution, if such conduct is connected with University employment or reputation.</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employees of the University — teaching, non-teaching, administrative, technical, and contractual — during and outside working hours if conduct affects institutional image.</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Any act of intoxication, violence, indecent exposure, or disorderly behavior on or off University premises, when connected to employment, shall be treated as gross misconduct.</w:t>
            </w:r>
          </w:p>
        </w:tc>
      </w:tr>
    </w:tbl>
    <w:p>
      <w:pPr>
        <w:spacing w:after="40"/>
      </w:pP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Prohibited Conduct</w:t>
            </w:r>
          </w:p>
        </w:tc>
      </w:tr>
      <w:tr>
        <w:tc>
          <w:tcPr>
            <w:tcW w:type="dxa" w:w="3685"/>
          </w:tcPr>
          <w:p>
            <w:pPr>
              <w:spacing w:after="40" w:before="40"/>
            </w:pPr>
            <w:r/>
            <w:r>
              <w:rPr>
                <w:rFonts w:ascii="Cambria" w:hAnsi="Cambria"/>
                <w:b w:val="0"/>
                <w:i w:val="0"/>
                <w:sz w:val="22"/>
              </w:rPr>
              <w:t>Drunkenness</w:t>
            </w:r>
          </w:p>
        </w:tc>
        <w:tc>
          <w:tcPr>
            <w:tcW w:type="dxa" w:w="5726"/>
          </w:tcPr>
          <w:p>
            <w:pPr>
              <w:spacing w:after="40" w:before="40"/>
            </w:pPr>
            <w:r/>
            <w:r>
              <w:rPr>
                <w:rFonts w:ascii="Cambria" w:hAnsi="Cambria"/>
                <w:b w:val="0"/>
                <w:i w:val="0"/>
                <w:sz w:val="22"/>
              </w:rPr>
              <w:t>Reporting to duty under the influence of alcohol or intoxicants.</w:t>
            </w:r>
          </w:p>
        </w:tc>
      </w:tr>
    </w:tbl>
    <w:p>
      <w:pPr>
        <w:spacing w:after="40"/>
      </w:pPr>
    </w:p>
    <w:p>
      <w:pPr>
        <w:pStyle w:val="ListBullet"/>
        <w:spacing w:line="276" w:lineRule="auto"/>
        <w:ind w:left="510"/>
      </w:pPr>
      <w:r>
        <w:rPr>
          <w:rFonts w:ascii="Cambria" w:hAnsi="Cambria"/>
          <w:b w:val="0"/>
          <w:i w:val="0"/>
          <w:sz w:val="22"/>
        </w:rPr>
        <w:t>Consuming liquor or prohibited substances within the campus or during University functions, tours, or official travel.</w:t>
      </w:r>
    </w:p>
    <w:p>
      <w:pPr>
        <w:pStyle w:val="ListBullet"/>
        <w:spacing w:line="276" w:lineRule="auto"/>
        <w:ind w:left="510"/>
      </w:pPr>
      <w:r>
        <w:rPr>
          <w:rFonts w:ascii="Cambria" w:hAnsi="Cambria"/>
          <w:b w:val="0"/>
          <w:i w:val="0"/>
          <w:sz w:val="22"/>
        </w:rPr>
        <w:t>Possession or distribution of alcohol or narcotics in the premises.</w:t>
      </w:r>
    </w:p>
    <w:p>
      <w:r>
        <w:rPr>
          <w:rFonts w:ascii="Cambria" w:hAnsi="Cambria"/>
          <w:b/>
          <w:i w:val="0"/>
          <w:sz w:val="22"/>
        </w:rPr>
        <w:t>Riotous / Disorderly Behavior</w:t>
      </w:r>
    </w:p>
    <w:p>
      <w:pPr>
        <w:pStyle w:val="ListBullet"/>
        <w:spacing w:line="276" w:lineRule="auto"/>
        <w:ind w:left="510"/>
      </w:pPr>
      <w:r>
        <w:rPr>
          <w:rFonts w:ascii="Cambria" w:hAnsi="Cambria"/>
          <w:b w:val="0"/>
          <w:i w:val="0"/>
          <w:sz w:val="22"/>
        </w:rPr>
        <w:t>Quarreling, fighting, or engaging in physical altercations with colleagues, students, or superiors.</w:t>
      </w:r>
    </w:p>
    <w:p>
      <w:pPr>
        <w:pStyle w:val="ListBullet"/>
        <w:spacing w:line="276" w:lineRule="auto"/>
        <w:ind w:left="510"/>
      </w:pPr>
      <w:r>
        <w:rPr>
          <w:rFonts w:ascii="Cambria" w:hAnsi="Cambria"/>
          <w:b w:val="0"/>
          <w:i w:val="0"/>
          <w:sz w:val="22"/>
        </w:rPr>
        <w:t>Using abusive or threatening language towards staff or students.</w:t>
      </w:r>
    </w:p>
    <w:p>
      <w:pPr>
        <w:pStyle w:val="ListBullet"/>
        <w:spacing w:line="276" w:lineRule="auto"/>
        <w:ind w:left="510"/>
      </w:pPr>
      <w:r>
        <w:rPr>
          <w:rFonts w:ascii="Cambria" w:hAnsi="Cambria"/>
          <w:b w:val="0"/>
          <w:i w:val="0"/>
          <w:sz w:val="22"/>
        </w:rPr>
        <w:t>Creating nuisance or disturbing peace in classrooms, offices, laboratories, or hostels.</w:t>
      </w:r>
    </w:p>
    <w:p>
      <w:r>
        <w:rPr>
          <w:rFonts w:ascii="Cambria" w:hAnsi="Cambria"/>
          <w:b/>
          <w:i w:val="0"/>
          <w:sz w:val="22"/>
        </w:rPr>
        <w:t>Indecent Conduct</w:t>
      </w:r>
    </w:p>
    <w:p>
      <w:pPr>
        <w:pStyle w:val="ListBullet"/>
        <w:spacing w:line="276" w:lineRule="auto"/>
        <w:ind w:left="510"/>
      </w:pPr>
      <w:r>
        <w:rPr>
          <w:rFonts w:ascii="Cambria" w:hAnsi="Cambria"/>
          <w:b w:val="0"/>
          <w:i w:val="0"/>
          <w:sz w:val="22"/>
        </w:rPr>
        <w:t>Displaying obscene gestures, language, or behavior.</w:t>
      </w:r>
    </w:p>
    <w:p>
      <w:pPr>
        <w:pStyle w:val="ListBullet"/>
        <w:spacing w:line="276" w:lineRule="auto"/>
        <w:ind w:left="510"/>
      </w:pPr>
      <w:r>
        <w:rPr>
          <w:rFonts w:ascii="Cambria" w:hAnsi="Cambria"/>
          <w:b w:val="0"/>
          <w:i w:val="0"/>
          <w:sz w:val="22"/>
        </w:rPr>
        <w:t>Harassing or intimidating others through verbal or physical misconduct.</w:t>
      </w:r>
    </w:p>
    <w:p>
      <w:pPr>
        <w:pStyle w:val="ListBullet"/>
        <w:spacing w:line="276" w:lineRule="auto"/>
        <w:ind w:left="510"/>
      </w:pPr>
      <w:r>
        <w:rPr>
          <w:rFonts w:ascii="Cambria" w:hAnsi="Cambria"/>
          <w:b w:val="0"/>
          <w:i w:val="0"/>
          <w:sz w:val="22"/>
        </w:rPr>
        <w:t>Participating in public acts (inside or outside campus) that damage the dignity or public image of the University.</w:t>
      </w:r>
    </w:p>
    <w:p>
      <w:r>
        <w:rPr>
          <w:rFonts w:ascii="Cambria" w:hAnsi="Cambria"/>
          <w:b/>
          <w:i w:val="0"/>
          <w:sz w:val="22"/>
        </w:rPr>
        <w:t>Off-campus Misconduct</w:t>
      </w:r>
    </w:p>
    <w:p>
      <w:pPr>
        <w:pStyle w:val="ListBullet"/>
        <w:spacing w:line="276" w:lineRule="auto"/>
        <w:ind w:left="510"/>
      </w:pPr>
      <w:r>
        <w:rPr>
          <w:rFonts w:ascii="Cambria" w:hAnsi="Cambria"/>
          <w:b w:val="0"/>
          <w:i w:val="0"/>
          <w:sz w:val="22"/>
        </w:rPr>
        <w:t>Behavior outside the premises that adversely reflects upon the University (e.g., intoxicated driving during official travel, public disorder in institutional gatherings).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First instance (minor misconduct)</w:t>
            </w:r>
          </w:p>
        </w:tc>
        <w:tc>
          <w:tcPr>
            <w:tcW w:type="dxa" w:w="5726"/>
          </w:tcPr>
          <w:p>
            <w:pPr>
              <w:spacing w:after="40" w:before="40"/>
            </w:pPr>
            <w:r/>
            <w:r>
              <w:rPr>
                <w:rFonts w:ascii="Cambria" w:hAnsi="Cambria"/>
                <w:b w:val="0"/>
                <w:i w:val="0"/>
                <w:sz w:val="22"/>
              </w:rPr>
              <w:t>Written warning, counseling, and possible suspension without pay up to 3 days.</w:t>
            </w:r>
          </w:p>
        </w:tc>
      </w:tr>
      <w:tr>
        <w:tc>
          <w:tcPr>
            <w:tcW w:type="dxa" w:w="3685"/>
            <w:shd w:val="clear" w:color="auto" w:fill="F0F2F5"/>
          </w:tcPr>
          <w:p>
            <w:pPr>
              <w:spacing w:after="40" w:before="40"/>
            </w:pPr>
            <w:r/>
            <w:r>
              <w:rPr>
                <w:rFonts w:ascii="Cambria" w:hAnsi="Cambria"/>
                <w:b w:val="0"/>
                <w:i w:val="0"/>
                <w:sz w:val="22"/>
              </w:rPr>
              <w:t>Repeated drunkenness or disorderly behavior</w:t>
            </w:r>
          </w:p>
        </w:tc>
        <w:tc>
          <w:tcPr>
            <w:tcW w:type="dxa" w:w="5726"/>
            <w:shd w:val="clear" w:color="auto" w:fill="F0F2F5"/>
          </w:tcPr>
          <w:p>
            <w:pPr>
              <w:spacing w:after="40" w:before="40"/>
            </w:pPr>
            <w:r/>
            <w:r>
              <w:rPr>
                <w:rFonts w:ascii="Cambria" w:hAnsi="Cambria"/>
                <w:b w:val="0"/>
                <w:i w:val="0"/>
                <w:sz w:val="22"/>
              </w:rPr>
              <w:t>Suspension pending disciplinary inquiry; possible withholding of increment or reduction in rank.</w:t>
            </w:r>
          </w:p>
        </w:tc>
      </w:tr>
      <w:tr>
        <w:tc>
          <w:tcPr>
            <w:tcW w:type="dxa" w:w="3685"/>
          </w:tcPr>
          <w:p>
            <w:pPr>
              <w:spacing w:after="40" w:before="40"/>
            </w:pPr>
            <w:r/>
            <w:r>
              <w:rPr>
                <w:rFonts w:ascii="Cambria" w:hAnsi="Cambria"/>
                <w:b w:val="0"/>
                <w:i w:val="0"/>
                <w:sz w:val="22"/>
              </w:rPr>
              <w:t>Severe or violent behavior (fighting, public indecency, or intoxication on duty)</w:t>
            </w:r>
          </w:p>
        </w:tc>
        <w:tc>
          <w:tcPr>
            <w:tcW w:type="dxa" w:w="5726"/>
          </w:tcPr>
          <w:p>
            <w:pPr>
              <w:spacing w:after="40" w:before="40"/>
            </w:pPr>
            <w:r/>
            <w:r>
              <w:rPr>
                <w:rFonts w:ascii="Cambria" w:hAnsi="Cambria"/>
                <w:b w:val="0"/>
                <w:i w:val="0"/>
                <w:sz w:val="22"/>
              </w:rPr>
              <w:t>Major penalty — dismissal from service, forfeiture of benefits, and reporting to law enforcement authorities if applicable.</w:t>
            </w:r>
          </w:p>
        </w:tc>
      </w:tr>
    </w:tbl>
    <w:p>
      <w:pPr>
        <w:spacing w:after="40"/>
      </w:pPr>
    </w:p>
    <w:p>
      <w:r>
        <w:rPr>
          <w:rFonts w:ascii="Cambria" w:hAnsi="Cambria"/>
          <w:b/>
          <w:i w:val="0"/>
          <w:sz w:val="22"/>
        </w:rPr>
        <w:t>4. INVESTIGATION AND PROCEDURE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Process</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Any incident must be reported immediately to the Registrar / Head of Institution with witness statements and preliminary details.</w:t>
            </w:r>
          </w:p>
        </w:tc>
      </w:tr>
      <w:tr>
        <w:tc>
          <w:tcPr>
            <w:tcW w:type="dxa" w:w="3685"/>
            <w:shd w:val="clear" w:color="auto" w:fill="F0F2F5"/>
          </w:tcPr>
          <w:p>
            <w:pPr>
              <w:spacing w:after="40" w:before="40"/>
            </w:pPr>
            <w:r/>
            <w:r>
              <w:rPr>
                <w:rFonts w:ascii="Cambria" w:hAnsi="Cambria"/>
                <w:b w:val="0"/>
                <w:i w:val="0"/>
                <w:sz w:val="22"/>
              </w:rPr>
              <w:t>2. Suspension (if warranted)</w:t>
            </w:r>
          </w:p>
        </w:tc>
        <w:tc>
          <w:tcPr>
            <w:tcW w:type="dxa" w:w="5726"/>
            <w:shd w:val="clear" w:color="auto" w:fill="F0F2F5"/>
          </w:tcPr>
          <w:p>
            <w:pPr>
              <w:spacing w:after="40" w:before="40"/>
            </w:pPr>
            <w:r/>
            <w:r>
              <w:rPr>
                <w:rFonts w:ascii="Cambria" w:hAnsi="Cambria"/>
                <w:b w:val="0"/>
                <w:i w:val="0"/>
                <w:sz w:val="22"/>
              </w:rPr>
              <w:t>The Vice Chancellor may place the employee under suspension pending inquiry.</w:t>
            </w:r>
          </w:p>
        </w:tc>
      </w:tr>
      <w:tr>
        <w:tc>
          <w:tcPr>
            <w:tcW w:type="dxa" w:w="3685"/>
          </w:tcPr>
          <w:p>
            <w:pPr>
              <w:spacing w:after="40" w:before="40"/>
            </w:pPr>
            <w:r/>
            <w:r>
              <w:rPr>
                <w:rFonts w:ascii="Cambria" w:hAnsi="Cambria"/>
                <w:b w:val="0"/>
                <w:i w:val="0"/>
                <w:sz w:val="22"/>
              </w:rPr>
              <w:t>3. Inquiry</w:t>
            </w:r>
          </w:p>
        </w:tc>
        <w:tc>
          <w:tcPr>
            <w:tcW w:type="dxa" w:w="5726"/>
          </w:tcPr>
          <w:p>
            <w:pPr>
              <w:spacing w:after="40" w:before="40"/>
            </w:pPr>
            <w:r/>
            <w:r>
              <w:rPr>
                <w:rFonts w:ascii="Cambria" w:hAnsi="Cambria"/>
                <w:b w:val="0"/>
                <w:i w:val="0"/>
                <w:sz w:val="22"/>
              </w:rPr>
              <w:t>A Disciplinary Committee shall conduct a fair hearing, allowing the employee to explain or defend his/her conduct.</w:t>
            </w:r>
          </w:p>
        </w:tc>
      </w:tr>
      <w:tr>
        <w:tc>
          <w:tcPr>
            <w:tcW w:type="dxa" w:w="3685"/>
            <w:shd w:val="clear" w:color="auto" w:fill="F0F2F5"/>
          </w:tcPr>
          <w:p>
            <w:pPr>
              <w:spacing w:after="40" w:before="40"/>
            </w:pPr>
            <w:r/>
            <w:r>
              <w:rPr>
                <w:rFonts w:ascii="Cambria" w:hAnsi="Cambria"/>
                <w:b w:val="0"/>
                <w:i w:val="0"/>
                <w:sz w:val="22"/>
              </w:rPr>
              <w:t>4. Final Action</w:t>
            </w:r>
          </w:p>
        </w:tc>
        <w:tc>
          <w:tcPr>
            <w:tcW w:type="dxa" w:w="5726"/>
            <w:shd w:val="clear" w:color="auto" w:fill="F0F2F5"/>
          </w:tcPr>
          <w:p>
            <w:pPr>
              <w:spacing w:after="40" w:before="40"/>
            </w:pPr>
            <w:r/>
            <w:r>
              <w:rPr>
                <w:rFonts w:ascii="Cambria" w:hAnsi="Cambria"/>
                <w:b w:val="0"/>
                <w:i w:val="0"/>
                <w:sz w:val="22"/>
              </w:rPr>
              <w:t>Based on findings, disciplinary measures shall be imposed. Appeal lies with the Board of Management (BoM).</w:t>
            </w:r>
          </w:p>
        </w:tc>
      </w:tr>
    </w:tbl>
    <w:p>
      <w:pPr>
        <w:spacing w:after="40"/>
      </w:pPr>
    </w:p>
    <w:p>
      <w:r>
        <w:rPr>
          <w:rFonts w:ascii="Cambria" w:hAnsi="Cambria"/>
          <w:b/>
          <w:i w:val="0"/>
          <w:sz w:val="22"/>
        </w:rPr>
        <w:t>5. CONDUCT AND REHABILITATION PROVISIONS</w:t>
      </w:r>
    </w:p>
    <w:p>
      <w:pPr>
        <w:pStyle w:val="ListBullet"/>
        <w:spacing w:line="276" w:lineRule="auto"/>
        <w:ind w:left="510"/>
      </w:pPr>
      <w:r>
        <w:rPr>
          <w:rFonts w:ascii="Cambria" w:hAnsi="Cambria"/>
          <w:b w:val="0"/>
          <w:i w:val="0"/>
          <w:sz w:val="22"/>
        </w:rPr>
        <w:t>The University may, at its discretion, refer first-time offenders for counseling, rehabilitation, or medical assistance, particularly in cases of substance abuse.</w:t>
      </w:r>
    </w:p>
    <w:p>
      <w:pPr>
        <w:pStyle w:val="ListBullet"/>
        <w:spacing w:line="276" w:lineRule="auto"/>
        <w:ind w:left="510"/>
      </w:pPr>
      <w:r>
        <w:rPr>
          <w:rFonts w:ascii="Cambria" w:hAnsi="Cambria"/>
          <w:b w:val="0"/>
          <w:i w:val="0"/>
          <w:sz w:val="22"/>
        </w:rPr>
        <w:t>However, recurrence after warning or counseling shall be treated as willful misconduct and attract major penalties.</w:t>
      </w:r>
    </w:p>
    <w:p>
      <w:pPr>
        <w:pStyle w:val="ListBullet"/>
        <w:spacing w:line="276" w:lineRule="auto"/>
        <w:ind w:left="510"/>
      </w:pPr>
      <w:r>
        <w:rPr>
          <w:rFonts w:ascii="Cambria" w:hAnsi="Cambria"/>
          <w:b w:val="0"/>
          <w:i w:val="0"/>
          <w:sz w:val="22"/>
        </w:rPr>
        <w:t>Employees must report if they are under medication or treatment that may impair their ability to perform duties safely.</w:t>
      </w: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 is committed to maintaining a drug-free and violence-free campus.</w:t>
      </w:r>
    </w:p>
    <w:p>
      <w:pPr>
        <w:pStyle w:val="ListBullet"/>
        <w:spacing w:line="276" w:lineRule="auto"/>
        <w:ind w:left="510"/>
      </w:pPr>
      <w:r>
        <w:rPr>
          <w:rFonts w:ascii="Cambria" w:hAnsi="Cambria"/>
          <w:b w:val="0"/>
          <w:i w:val="0"/>
          <w:sz w:val="22"/>
        </w:rPr>
        <w:t>Every employee is expected to demonstrate self-control, respect, and professionalism at all times.</w:t>
      </w:r>
    </w:p>
    <w:p>
      <w:pPr>
        <w:pStyle w:val="ListBullet"/>
        <w:spacing w:line="276" w:lineRule="auto"/>
        <w:ind w:left="510"/>
      </w:pPr>
      <w:r>
        <w:rPr>
          <w:rFonts w:ascii="Cambria" w:hAnsi="Cambria"/>
          <w:b w:val="0"/>
          <w:i w:val="0"/>
          <w:sz w:val="22"/>
        </w:rPr>
        <w:t>Misconduct arising from drunkenness or disorderly behavior undermines institutional discipline, safety, and public trust.</w:t>
      </w:r>
    </w:p>
    <w:p>
      <w:pPr>
        <w:pStyle w:val="ListBullet"/>
        <w:spacing w:line="276" w:lineRule="auto"/>
        <w:ind w:left="510"/>
      </w:pPr>
      <w:r>
        <w:rPr>
          <w:rFonts w:ascii="Cambria" w:hAnsi="Cambria"/>
          <w:b w:val="0"/>
          <w:i w:val="0"/>
          <w:sz w:val="22"/>
        </w:rPr>
        <w:t>Disciplinary actions will be proportionate, documented, and legally compliant, with due process followed.</w:t>
      </w:r>
    </w:p>
    <w:p>
      <w:pPr>
        <w:pStyle w:val="ListBullet"/>
        <w:spacing w:line="276" w:lineRule="auto"/>
        <w:ind w:left="510"/>
      </w:pPr>
      <w:r>
        <w:rPr>
          <w:rFonts w:ascii="Cambria" w:hAnsi="Cambria"/>
          <w:b w:val="0"/>
          <w:i w:val="0"/>
          <w:sz w:val="22"/>
        </w:rPr>
        <w:t>The Board of Management’s decision in all such cases shall be final and binding.</w:t>
      </w:r>
    </w:p>
    <w:p>
      <w:pPr>
        <w:keepNext/>
        <w:spacing w:before="200" w:after="120"/>
      </w:pPr>
      <w:r>
        <w:rPr>
          <w:rFonts w:ascii="Cambria" w:hAnsi="Cambria"/>
          <w:b/>
          <w:color w:val="1F3A5F"/>
          <w:sz w:val="27"/>
        </w:rPr>
        <w:t>Policy on Gambling and Smoking Within University Premises</w:t>
      </w:r>
    </w:p>
    <w:p>
      <w:r>
        <w:rPr>
          <w:rFonts w:ascii="Cambria" w:hAnsi="Cambria"/>
          <w:b/>
          <w:i w:val="0"/>
          <w:sz w:val="22"/>
        </w:rPr>
        <w:t>I. PURPOSE</w:t>
      </w:r>
    </w:p>
    <w:p>
      <w:pPr>
        <w:pStyle w:val="ListBullet"/>
        <w:spacing w:line="276" w:lineRule="auto"/>
        <w:ind w:left="510"/>
      </w:pPr>
      <w:r>
        <w:rPr>
          <w:rFonts w:ascii="Cambria" w:hAnsi="Cambria"/>
          <w:b w:val="0"/>
          <w:i w:val="0"/>
          <w:sz w:val="22"/>
        </w:rPr>
        <w:t>To maintain a healthy, disciplined, and lawful environment within the University campus.</w:t>
      </w:r>
    </w:p>
    <w:p>
      <w:pPr>
        <w:pStyle w:val="ListBullet"/>
        <w:spacing w:line="276" w:lineRule="auto"/>
        <w:ind w:left="510"/>
      </w:pPr>
      <w:r>
        <w:rPr>
          <w:rFonts w:ascii="Cambria" w:hAnsi="Cambria"/>
          <w:b w:val="0"/>
          <w:i w:val="0"/>
          <w:sz w:val="22"/>
        </w:rPr>
        <w:t>To prohibit all forms of gambling, betting, and smoking activities that are detrimental to health, professionalism, and institutional decorum.</w:t>
      </w:r>
    </w:p>
    <w:p>
      <w:pPr>
        <w:pStyle w:val="ListBullet"/>
        <w:spacing w:line="276" w:lineRule="auto"/>
        <w:ind w:left="510"/>
      </w:pPr>
      <w:r>
        <w:rPr>
          <w:rFonts w:ascii="Cambria" w:hAnsi="Cambria"/>
          <w:b w:val="0"/>
          <w:i w:val="0"/>
          <w:sz w:val="22"/>
        </w:rPr>
        <w:t>To uphold the principles of clean campus initiatives, aligning with national and state public health laws and the Tobacco Control Act (COTPA, 2003).</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Gambling includes betting or wagering in any form, use of cards, dice, or electronic devices for monetary or material gain, whether in public or private within University premises.</w:t>
            </w:r>
          </w:p>
        </w:tc>
      </w:tr>
    </w:tbl>
    <w:p>
      <w:pPr>
        <w:spacing w:after="40"/>
      </w:pPr>
    </w:p>
    <w:p>
      <w:pPr>
        <w:pStyle w:val="ListBullet"/>
        <w:spacing w:line="276" w:lineRule="auto"/>
        <w:ind w:left="510"/>
      </w:pPr>
      <w:r>
        <w:rPr>
          <w:rFonts w:ascii="Cambria" w:hAnsi="Cambria"/>
          <w:b w:val="0"/>
          <w:i w:val="0"/>
          <w:sz w:val="22"/>
        </w:rPr>
        <w:t>Smoking refers to the use of cigarettes, cigars, e-cigarettes, or any form of tobacco or nicotine-based products within the institution or its boundaries.</w:t>
      </w:r>
    </w:p>
    <w:p>
      <w:r>
        <w:rPr>
          <w:rFonts w:ascii="Cambria" w:hAnsi="Cambria"/>
          <w:b/>
          <w:i w:val="0"/>
          <w:sz w:val="22"/>
        </w:rPr>
        <w:t>Scope</w:t>
      </w:r>
    </w:p>
    <w:p>
      <w:pPr>
        <w:pStyle w:val="ListBullet"/>
        <w:spacing w:line="276" w:lineRule="auto"/>
        <w:ind w:left="510"/>
      </w:pPr>
      <w:r>
        <w:rPr>
          <w:rFonts w:ascii="Cambria" w:hAnsi="Cambria"/>
          <w:b w:val="0"/>
          <w:i w:val="0"/>
          <w:sz w:val="22"/>
        </w:rPr>
        <w:t>Applies to all teaching, non-teaching, technical, contractual, and student employees of the University and any person within the campus.</w:t>
      </w:r>
    </w:p>
    <w:p>
      <w:r>
        <w:rPr>
          <w:rFonts w:ascii="Cambria" w:hAnsi="Cambria"/>
          <w:b/>
          <w:i w:val="0"/>
          <w:sz w:val="22"/>
        </w:rPr>
        <w:t>Prohibition</w:t>
      </w:r>
    </w:p>
    <w:p>
      <w:pPr>
        <w:pStyle w:val="ListBullet"/>
        <w:spacing w:line="276" w:lineRule="auto"/>
        <w:ind w:left="510"/>
      </w:pPr>
      <w:r>
        <w:rPr>
          <w:rFonts w:ascii="Cambria" w:hAnsi="Cambria"/>
          <w:b w:val="0"/>
          <w:i w:val="0"/>
          <w:sz w:val="22"/>
        </w:rPr>
        <w:t>Gambling, betting, or smoking in any form or location within the University premises is strictly prohibited. Violations will be treated as gross misconduct and punishable under University Service and Conduct Rules.</w:t>
      </w:r>
    </w:p>
    <w:p>
      <w:r>
        <w:rPr>
          <w:rFonts w:ascii="Cambria" w:hAnsi="Cambria"/>
          <w:b/>
          <w:i w:val="0"/>
          <w:sz w:val="22"/>
        </w:rPr>
        <w:t>2. ILLUSTRATIVE ACTS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Prohibited Conduct</w:t>
            </w:r>
          </w:p>
        </w:tc>
      </w:tr>
      <w:tr>
        <w:tc>
          <w:tcPr>
            <w:tcW w:type="dxa" w:w="3685"/>
          </w:tcPr>
          <w:p>
            <w:pPr>
              <w:spacing w:after="40" w:before="40"/>
            </w:pPr>
            <w:r/>
            <w:r>
              <w:rPr>
                <w:rFonts w:ascii="Cambria" w:hAnsi="Cambria"/>
                <w:b w:val="0"/>
                <w:i w:val="0"/>
                <w:sz w:val="22"/>
              </w:rPr>
              <w:t>Gambling / Betting</w:t>
            </w:r>
          </w:p>
        </w:tc>
        <w:tc>
          <w:tcPr>
            <w:tcW w:type="dxa" w:w="5726"/>
          </w:tcPr>
          <w:p>
            <w:pPr>
              <w:spacing w:after="40" w:before="40"/>
            </w:pPr>
            <w:r/>
            <w:r>
              <w:rPr>
                <w:rFonts w:ascii="Cambria" w:hAnsi="Cambria"/>
                <w:b w:val="0"/>
                <w:i w:val="0"/>
                <w:sz w:val="22"/>
              </w:rPr>
              <w:t>Playing cards or similar games for stakes in cash or kind.</w:t>
            </w:r>
          </w:p>
        </w:tc>
      </w:tr>
    </w:tbl>
    <w:p>
      <w:pPr>
        <w:spacing w:after="40"/>
      </w:pPr>
    </w:p>
    <w:p>
      <w:pPr>
        <w:pStyle w:val="ListBullet"/>
        <w:spacing w:line="276" w:lineRule="auto"/>
        <w:ind w:left="510"/>
      </w:pPr>
      <w:r>
        <w:rPr>
          <w:rFonts w:ascii="Cambria" w:hAnsi="Cambria"/>
          <w:b w:val="0"/>
          <w:i w:val="0"/>
          <w:sz w:val="22"/>
        </w:rPr>
        <w:t>Organizing or participating in betting activities (including digital or online gambling) within the campus.</w:t>
      </w:r>
    </w:p>
    <w:p>
      <w:pPr>
        <w:pStyle w:val="ListBullet"/>
        <w:spacing w:line="276" w:lineRule="auto"/>
        <w:ind w:left="510"/>
      </w:pPr>
      <w:r>
        <w:rPr>
          <w:rFonts w:ascii="Cambria" w:hAnsi="Cambria"/>
          <w:b w:val="0"/>
          <w:i w:val="0"/>
          <w:sz w:val="22"/>
        </w:rPr>
        <w:t>Using University premises, hostels, or facilities for gambling-related activities.</w:t>
      </w:r>
    </w:p>
    <w:p>
      <w:r>
        <w:rPr>
          <w:rFonts w:ascii="Cambria" w:hAnsi="Cambria"/>
          <w:b/>
          <w:i w:val="0"/>
          <w:sz w:val="22"/>
        </w:rPr>
        <w:t>Smoking / Tobacco Use</w:t>
      </w:r>
    </w:p>
    <w:p>
      <w:pPr>
        <w:pStyle w:val="ListBullet"/>
        <w:spacing w:line="276" w:lineRule="auto"/>
        <w:ind w:left="510"/>
      </w:pPr>
      <w:r>
        <w:rPr>
          <w:rFonts w:ascii="Cambria" w:hAnsi="Cambria"/>
          <w:b w:val="0"/>
          <w:i w:val="0"/>
          <w:sz w:val="22"/>
        </w:rPr>
        <w:t>Smoking in classrooms, laboratories, corridors, hostels, or any area of the campus.</w:t>
      </w:r>
    </w:p>
    <w:p>
      <w:pPr>
        <w:pStyle w:val="ListBullet"/>
        <w:spacing w:line="276" w:lineRule="auto"/>
        <w:ind w:left="510"/>
      </w:pPr>
      <w:r>
        <w:rPr>
          <w:rFonts w:ascii="Cambria" w:hAnsi="Cambria"/>
          <w:b w:val="0"/>
          <w:i w:val="0"/>
          <w:sz w:val="22"/>
        </w:rPr>
        <w:t>Using or possessing tobacco or nicotine-based products (including e-cigarettes, hookah, etc.) on University property.</w:t>
      </w:r>
    </w:p>
    <w:p>
      <w:pPr>
        <w:pStyle w:val="ListBullet"/>
        <w:spacing w:line="276" w:lineRule="auto"/>
        <w:ind w:left="510"/>
      </w:pPr>
      <w:r>
        <w:rPr>
          <w:rFonts w:ascii="Cambria" w:hAnsi="Cambria"/>
          <w:b w:val="0"/>
          <w:i w:val="0"/>
          <w:sz w:val="22"/>
        </w:rPr>
        <w:t>Encouraging or supplying tobacco products to others within the institution.</w:t>
      </w:r>
    </w:p>
    <w:p>
      <w:r>
        <w:rPr>
          <w:rFonts w:ascii="Cambria" w:hAnsi="Cambria"/>
          <w:b/>
          <w:i w:val="0"/>
          <w:sz w:val="22"/>
        </w:rPr>
        <w:t>Associated Misconduct</w:t>
      </w:r>
    </w:p>
    <w:p>
      <w:pPr>
        <w:pStyle w:val="ListBullet"/>
        <w:spacing w:line="276" w:lineRule="auto"/>
        <w:ind w:left="510"/>
      </w:pPr>
      <w:r>
        <w:rPr>
          <w:rFonts w:ascii="Cambria" w:hAnsi="Cambria"/>
          <w:b w:val="0"/>
          <w:i w:val="0"/>
          <w:sz w:val="22"/>
        </w:rPr>
        <w:t>Permitting others to gamble or smoke within one’s area of supervision.</w:t>
      </w:r>
    </w:p>
    <w:p>
      <w:pPr>
        <w:pStyle w:val="ListBullet"/>
        <w:spacing w:line="276" w:lineRule="auto"/>
        <w:ind w:left="510"/>
      </w:pPr>
      <w:r>
        <w:rPr>
          <w:rFonts w:ascii="Cambria" w:hAnsi="Cambria"/>
          <w:b w:val="0"/>
          <w:i w:val="0"/>
          <w:sz w:val="22"/>
        </w:rPr>
        <w:t>Ignoring or failing to report violations of this rule to competent authorities.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First violation</w:t>
            </w:r>
          </w:p>
        </w:tc>
        <w:tc>
          <w:tcPr>
            <w:tcW w:type="dxa" w:w="5726"/>
          </w:tcPr>
          <w:p>
            <w:pPr>
              <w:spacing w:after="40" w:before="40"/>
            </w:pPr>
            <w:r/>
            <w:r>
              <w:rPr>
                <w:rFonts w:ascii="Cambria" w:hAnsi="Cambria"/>
                <w:b w:val="0"/>
                <w:i w:val="0"/>
                <w:sz w:val="22"/>
              </w:rPr>
              <w:t>Written warning and mandatory attendance in an awareness/counseling session on conduct and campus discipline.</w:t>
            </w:r>
          </w:p>
        </w:tc>
      </w:tr>
      <w:tr>
        <w:tc>
          <w:tcPr>
            <w:tcW w:type="dxa" w:w="3685"/>
            <w:shd w:val="clear" w:color="auto" w:fill="F0F2F5"/>
          </w:tcPr>
          <w:p>
            <w:pPr>
              <w:spacing w:after="40" w:before="40"/>
            </w:pPr>
            <w:r/>
            <w:r>
              <w:rPr>
                <w:rFonts w:ascii="Cambria" w:hAnsi="Cambria"/>
                <w:b w:val="0"/>
                <w:i w:val="0"/>
                <w:sz w:val="22"/>
              </w:rPr>
              <w:t>Repeated violation</w:t>
            </w:r>
          </w:p>
        </w:tc>
        <w:tc>
          <w:tcPr>
            <w:tcW w:type="dxa" w:w="5726"/>
            <w:shd w:val="clear" w:color="auto" w:fill="F0F2F5"/>
          </w:tcPr>
          <w:p>
            <w:pPr>
              <w:spacing w:after="40" w:before="40"/>
            </w:pPr>
            <w:r/>
            <w:r>
              <w:rPr>
                <w:rFonts w:ascii="Cambria" w:hAnsi="Cambria"/>
                <w:b w:val="0"/>
                <w:i w:val="0"/>
                <w:sz w:val="22"/>
              </w:rPr>
              <w:t>Monetary fine, withholding of increment, or temporary suspension depending on severity.</w:t>
            </w:r>
          </w:p>
        </w:tc>
      </w:tr>
      <w:tr>
        <w:tc>
          <w:tcPr>
            <w:tcW w:type="dxa" w:w="3685"/>
          </w:tcPr>
          <w:p>
            <w:pPr>
              <w:spacing w:after="40" w:before="40"/>
            </w:pPr>
            <w:r/>
            <w:r>
              <w:rPr>
                <w:rFonts w:ascii="Cambria" w:hAnsi="Cambria"/>
                <w:b w:val="0"/>
                <w:i w:val="0"/>
                <w:sz w:val="22"/>
              </w:rPr>
              <w:t>Organizing or promoting gambling / persistent smoking</w:t>
            </w:r>
          </w:p>
        </w:tc>
        <w:tc>
          <w:tcPr>
            <w:tcW w:type="dxa" w:w="5726"/>
          </w:tcPr>
          <w:p>
            <w:pPr>
              <w:spacing w:after="40" w:before="40"/>
            </w:pPr>
            <w:r/>
            <w:r>
              <w:rPr>
                <w:rFonts w:ascii="Cambria" w:hAnsi="Cambria"/>
                <w:b w:val="0"/>
                <w:i w:val="0"/>
                <w:sz w:val="22"/>
              </w:rPr>
              <w:t>Major penalty — suspension, compulsory retirement, or dismissal from service after due inquiry.</w:t>
            </w:r>
          </w:p>
        </w:tc>
      </w:tr>
    </w:tbl>
    <w:p>
      <w:pPr>
        <w:spacing w:after="40"/>
      </w:pPr>
    </w:p>
    <w:p>
      <w:r>
        <w:rPr>
          <w:rFonts w:ascii="Cambria" w:hAnsi="Cambria"/>
          <w:b/>
          <w:i w:val="0"/>
          <w:sz w:val="22"/>
        </w:rPr>
        <w:t>4. ENFORCEMENT AND MONITORING</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Responsible Authority</w:t>
            </w:r>
          </w:p>
        </w:tc>
        <w:tc>
          <w:tcPr>
            <w:tcW w:type="dxa" w:w="5726"/>
            <w:shd w:val="clear" w:color="auto" w:fill="1F3A5F"/>
          </w:tcPr>
          <w:p>
            <w:pPr>
              <w:spacing w:after="40" w:before="40"/>
            </w:pPr>
            <w:r/>
            <w:r>
              <w:rPr>
                <w:rFonts w:ascii="Cambria" w:hAnsi="Cambria"/>
                <w:b/>
                <w:i w:val="0"/>
                <w:color w:val="FFFFFF"/>
                <w:sz w:val="22"/>
              </w:rPr>
              <w:t>Duties</w:t>
            </w:r>
          </w:p>
        </w:tc>
      </w:tr>
      <w:tr>
        <w:tc>
          <w:tcPr>
            <w:tcW w:type="dxa" w:w="3685"/>
          </w:tcPr>
          <w:p>
            <w:pPr>
              <w:spacing w:after="40" w:before="40"/>
            </w:pPr>
            <w:r/>
            <w:r>
              <w:rPr>
                <w:rFonts w:ascii="Cambria" w:hAnsi="Cambria"/>
                <w:b w:val="0"/>
                <w:i w:val="0"/>
                <w:sz w:val="22"/>
              </w:rPr>
              <w:t>Heads of Departments / Section Officers</w:t>
            </w:r>
          </w:p>
        </w:tc>
        <w:tc>
          <w:tcPr>
            <w:tcW w:type="dxa" w:w="5726"/>
          </w:tcPr>
          <w:p>
            <w:pPr>
              <w:spacing w:after="40" w:before="40"/>
            </w:pPr>
            <w:r/>
            <w:r>
              <w:rPr>
                <w:rFonts w:ascii="Cambria" w:hAnsi="Cambria"/>
                <w:b w:val="0"/>
                <w:i w:val="0"/>
                <w:sz w:val="22"/>
              </w:rPr>
              <w:t>Ensure strict compliance within academic and administrative blocks.</w:t>
            </w:r>
          </w:p>
        </w:tc>
      </w:tr>
      <w:tr>
        <w:tc>
          <w:tcPr>
            <w:tcW w:type="dxa" w:w="3685"/>
            <w:shd w:val="clear" w:color="auto" w:fill="F0F2F5"/>
          </w:tcPr>
          <w:p>
            <w:pPr>
              <w:spacing w:after="40" w:before="40"/>
            </w:pPr>
            <w:r/>
            <w:r>
              <w:rPr>
                <w:rFonts w:ascii="Cambria" w:hAnsi="Cambria"/>
                <w:b w:val="0"/>
                <w:i w:val="0"/>
                <w:sz w:val="22"/>
              </w:rPr>
              <w:t>Estate and Security Officer</w:t>
            </w:r>
          </w:p>
        </w:tc>
        <w:tc>
          <w:tcPr>
            <w:tcW w:type="dxa" w:w="5726"/>
            <w:shd w:val="clear" w:color="auto" w:fill="F0F2F5"/>
          </w:tcPr>
          <w:p>
            <w:pPr>
              <w:spacing w:after="40" w:before="40"/>
            </w:pPr>
            <w:r/>
            <w:r>
              <w:rPr>
                <w:rFonts w:ascii="Cambria" w:hAnsi="Cambria"/>
                <w:b w:val="0"/>
                <w:i w:val="0"/>
                <w:sz w:val="22"/>
              </w:rPr>
              <w:t>Conduct periodic inspections and report violations to the Registrar.</w:t>
            </w:r>
          </w:p>
        </w:tc>
      </w:tr>
      <w:tr>
        <w:tc>
          <w:tcPr>
            <w:tcW w:type="dxa" w:w="3685"/>
          </w:tcPr>
          <w:p>
            <w:pPr>
              <w:spacing w:after="40" w:before="40"/>
            </w:pPr>
            <w:r/>
            <w:r>
              <w:rPr>
                <w:rFonts w:ascii="Cambria" w:hAnsi="Cambria"/>
                <w:b w:val="0"/>
                <w:i w:val="0"/>
                <w:sz w:val="22"/>
              </w:rPr>
              <w:t>Registrar / Disciplinary Committee</w:t>
            </w:r>
          </w:p>
        </w:tc>
        <w:tc>
          <w:tcPr>
            <w:tcW w:type="dxa" w:w="5726"/>
          </w:tcPr>
          <w:p>
            <w:pPr>
              <w:spacing w:after="40" w:before="40"/>
            </w:pPr>
            <w:r/>
            <w:r>
              <w:rPr>
                <w:rFonts w:ascii="Cambria" w:hAnsi="Cambria"/>
                <w:b w:val="0"/>
                <w:i w:val="0"/>
                <w:sz w:val="22"/>
              </w:rPr>
              <w:t>Investigate and initiate disciplinary proceedings in accordance with institutional rules.</w:t>
            </w:r>
          </w:p>
        </w:tc>
      </w:tr>
      <w:tr>
        <w:tc>
          <w:tcPr>
            <w:tcW w:type="dxa" w:w="3685"/>
            <w:shd w:val="clear" w:color="auto" w:fill="F0F2F5"/>
          </w:tcPr>
          <w:p>
            <w:pPr>
              <w:spacing w:after="40" w:before="40"/>
            </w:pPr>
            <w:r/>
            <w:r>
              <w:rPr>
                <w:rFonts w:ascii="Cambria" w:hAnsi="Cambria"/>
                <w:b w:val="0"/>
                <w:i w:val="0"/>
                <w:sz w:val="22"/>
              </w:rPr>
              <w:t>Health and Safety Committee</w:t>
            </w:r>
          </w:p>
        </w:tc>
        <w:tc>
          <w:tcPr>
            <w:tcW w:type="dxa" w:w="5726"/>
            <w:shd w:val="clear" w:color="auto" w:fill="F0F2F5"/>
          </w:tcPr>
          <w:p>
            <w:pPr>
              <w:spacing w:after="40" w:before="40"/>
            </w:pPr>
            <w:r/>
            <w:r>
              <w:rPr>
                <w:rFonts w:ascii="Cambria" w:hAnsi="Cambria"/>
                <w:b w:val="0"/>
                <w:i w:val="0"/>
                <w:sz w:val="22"/>
              </w:rPr>
              <w:t>Organize periodic awareness programs on the ill-effects of smoking, gambling, and substance abuse.</w:t>
            </w:r>
          </w:p>
        </w:tc>
      </w:tr>
    </w:tbl>
    <w:p>
      <w:pPr>
        <w:spacing w:after="40"/>
      </w:pPr>
    </w:p>
    <w:p>
      <w:r>
        <w:rPr>
          <w:rFonts w:ascii="Cambria" w:hAnsi="Cambria"/>
          <w:b/>
          <w:i w:val="0"/>
          <w:sz w:val="22"/>
        </w:rPr>
        <w:t>5. COMPLIANCE WITH LAW AND INSTITUTIONAL POLICY</w:t>
      </w:r>
    </w:p>
    <w:p>
      <w:pPr>
        <w:pStyle w:val="ListBullet"/>
        <w:spacing w:line="276" w:lineRule="auto"/>
        <w:ind w:left="510"/>
      </w:pPr>
      <w:r>
        <w:rPr>
          <w:rFonts w:ascii="Cambria" w:hAnsi="Cambria"/>
          <w:b w:val="0"/>
          <w:i w:val="0"/>
          <w:sz w:val="22"/>
        </w:rPr>
        <w:t>The University campus is declared a “No-Smoking Zone” under Section 4 of COTPA, 2003; violations are punishable under law.</w:t>
      </w:r>
    </w:p>
    <w:p>
      <w:pPr>
        <w:pStyle w:val="ListBullet"/>
        <w:spacing w:line="276" w:lineRule="auto"/>
        <w:ind w:left="510"/>
      </w:pPr>
      <w:r>
        <w:rPr>
          <w:rFonts w:ascii="Cambria" w:hAnsi="Cambria"/>
          <w:b w:val="0"/>
          <w:i w:val="0"/>
          <w:sz w:val="22"/>
        </w:rPr>
        <w:t>Gambling is prohibited under the Public Gambling Act, 1867, and state-specific enactments.</w:t>
      </w:r>
    </w:p>
    <w:p>
      <w:pPr>
        <w:pStyle w:val="ListBullet"/>
        <w:spacing w:line="276" w:lineRule="auto"/>
        <w:ind w:left="510"/>
      </w:pPr>
      <w:r>
        <w:rPr>
          <w:rFonts w:ascii="Cambria" w:hAnsi="Cambria"/>
          <w:b w:val="0"/>
          <w:i w:val="0"/>
          <w:sz w:val="22"/>
        </w:rPr>
        <w:t>All employees are expected to maintain personal discipline and contribute to the creation of a safe, addiction-free, and ethical workplace.</w:t>
      </w:r>
    </w:p>
    <w:p>
      <w:pPr>
        <w:pStyle w:val="ListBullet"/>
        <w:spacing w:line="276" w:lineRule="auto"/>
        <w:ind w:left="510"/>
      </w:pPr>
      <w:r>
        <w:rPr>
          <w:rFonts w:ascii="Cambria" w:hAnsi="Cambria"/>
          <w:b w:val="0"/>
          <w:i w:val="0"/>
          <w:sz w:val="22"/>
        </w:rPr>
        <w:t>Posters, boards, and digital signages declaring “NO GAMBLING / NO SMOKING ZONE” shall be prominently displayed.</w:t>
      </w: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 promotes a clean, healthy, and responsible campus culture in line with national public health missions.</w:t>
      </w:r>
    </w:p>
    <w:p>
      <w:pPr>
        <w:pStyle w:val="ListBullet"/>
        <w:spacing w:line="276" w:lineRule="auto"/>
        <w:ind w:left="510"/>
      </w:pPr>
      <w:r>
        <w:rPr>
          <w:rFonts w:ascii="Cambria" w:hAnsi="Cambria"/>
          <w:b w:val="0"/>
          <w:i w:val="0"/>
          <w:sz w:val="22"/>
        </w:rPr>
        <w:t>Acts of gambling or smoking represent not only personal misconduct but also public indiscipline, setting a poor example for students.</w:t>
      </w:r>
    </w:p>
    <w:p>
      <w:pPr>
        <w:pStyle w:val="ListBullet"/>
        <w:spacing w:line="276" w:lineRule="auto"/>
        <w:ind w:left="510"/>
      </w:pPr>
      <w:r>
        <w:rPr>
          <w:rFonts w:ascii="Cambria" w:hAnsi="Cambria"/>
          <w:b w:val="0"/>
          <w:i w:val="0"/>
          <w:sz w:val="22"/>
        </w:rPr>
        <w:t>Supervisory staff must take immediate corrective action upon observing any violation.</w:t>
      </w:r>
    </w:p>
    <w:p>
      <w:pPr>
        <w:pStyle w:val="ListBullet"/>
        <w:spacing w:line="276" w:lineRule="auto"/>
        <w:ind w:left="510"/>
      </w:pPr>
      <w:r>
        <w:rPr>
          <w:rFonts w:ascii="Cambria" w:hAnsi="Cambria"/>
          <w:b w:val="0"/>
          <w:i w:val="0"/>
          <w:sz w:val="22"/>
        </w:rPr>
        <w:t>The decision of the Board of Management (BoM) in all cases of disciplinary action or appeal shall be final and binding.</w:t>
      </w:r>
    </w:p>
    <w:p>
      <w:pPr>
        <w:keepNext/>
        <w:spacing w:before="200" w:after="120"/>
      </w:pPr>
      <w:r>
        <w:rPr>
          <w:rFonts w:ascii="Cambria" w:hAnsi="Cambria"/>
          <w:b/>
          <w:color w:val="1F3A5F"/>
          <w:sz w:val="27"/>
        </w:rPr>
        <w:t>Policy on Unauthorized Collection of Money Within University Premises</w:t>
      </w:r>
    </w:p>
    <w:p>
      <w:r>
        <w:rPr>
          <w:rFonts w:ascii="Cambria" w:hAnsi="Cambria"/>
          <w:b/>
          <w:i w:val="0"/>
          <w:sz w:val="22"/>
        </w:rPr>
        <w:t>I. PURPOSE</w:t>
      </w:r>
    </w:p>
    <w:p>
      <w:pPr>
        <w:pStyle w:val="ListBullet"/>
        <w:spacing w:line="276" w:lineRule="auto"/>
        <w:ind w:left="510"/>
      </w:pPr>
      <w:r>
        <w:rPr>
          <w:rFonts w:ascii="Cambria" w:hAnsi="Cambria"/>
          <w:b w:val="0"/>
          <w:i w:val="0"/>
          <w:sz w:val="22"/>
        </w:rPr>
        <w:t>To ensure financial transparency, accountability, and ethical conduct in all monetary activities conducted within the University.</w:t>
      </w:r>
    </w:p>
    <w:p>
      <w:pPr>
        <w:pStyle w:val="ListBullet"/>
        <w:spacing w:line="276" w:lineRule="auto"/>
        <w:ind w:left="510"/>
      </w:pPr>
      <w:r>
        <w:rPr>
          <w:rFonts w:ascii="Cambria" w:hAnsi="Cambria"/>
          <w:b w:val="0"/>
          <w:i w:val="0"/>
          <w:sz w:val="22"/>
        </w:rPr>
        <w:t>To prohibit any unauthorized collection of money, fees, or donations by employees, students, or groups without the prior approval of the competent authority.</w:t>
      </w:r>
    </w:p>
    <w:p>
      <w:pPr>
        <w:pStyle w:val="ListBullet"/>
        <w:spacing w:line="276" w:lineRule="auto"/>
        <w:ind w:left="510"/>
      </w:pPr>
      <w:r>
        <w:rPr>
          <w:rFonts w:ascii="Cambria" w:hAnsi="Cambria"/>
          <w:b w:val="0"/>
          <w:i w:val="0"/>
          <w:sz w:val="22"/>
        </w:rPr>
        <w:t>To prevent misuse of institutional name, reputation, or resources for personal, political, or unofficial financial purposes.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Unauthorized collection refers to any form of solicitation, fundraising, contribution drive, or money collection — in cash or kind — conducted without the explicit written approval of the competent authority. It includes donations, subscriptions, event contributions, or collection for private, social, or political purposes within the campus.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employees (teaching, non-teaching, technical, and administrative) and extends to students, associations, or third parties operating within University premises.</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or group shall collect or authorize the collection of money or material within the premises of the University without prior written sanction from the Vice Chancellor or Registrar.</w:t>
            </w:r>
          </w:p>
        </w:tc>
      </w:tr>
    </w:tbl>
    <w:p>
      <w:pPr>
        <w:spacing w:after="40"/>
      </w:pP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Unauthorized Collections</w:t>
            </w:r>
          </w:p>
        </w:tc>
      </w:tr>
      <w:tr>
        <w:tc>
          <w:tcPr>
            <w:tcW w:type="dxa" w:w="3685"/>
          </w:tcPr>
          <w:p>
            <w:pPr>
              <w:spacing w:after="40" w:before="40"/>
            </w:pPr>
            <w:r/>
            <w:r>
              <w:rPr>
                <w:rFonts w:ascii="Cambria" w:hAnsi="Cambria"/>
                <w:b w:val="0"/>
                <w:i w:val="0"/>
                <w:sz w:val="22"/>
              </w:rPr>
              <w:t>Individual Collection</w:t>
            </w:r>
          </w:p>
        </w:tc>
        <w:tc>
          <w:tcPr>
            <w:tcW w:type="dxa" w:w="5726"/>
          </w:tcPr>
          <w:p>
            <w:pPr>
              <w:spacing w:after="40" w:before="40"/>
            </w:pPr>
            <w:r/>
            <w:r>
              <w:rPr>
                <w:rFonts w:ascii="Cambria" w:hAnsi="Cambria"/>
                <w:b w:val="0"/>
                <w:i w:val="0"/>
                <w:sz w:val="22"/>
              </w:rPr>
              <w:t>Collecting funds from colleagues or students for personal, social, or external organizational events without permission.</w:t>
            </w:r>
          </w:p>
        </w:tc>
      </w:tr>
    </w:tbl>
    <w:p>
      <w:pPr>
        <w:spacing w:after="40"/>
      </w:pPr>
    </w:p>
    <w:p>
      <w:pPr>
        <w:pStyle w:val="ListBullet"/>
        <w:spacing w:line="276" w:lineRule="auto"/>
        <w:ind w:left="510"/>
      </w:pPr>
      <w:r>
        <w:rPr>
          <w:rFonts w:ascii="Cambria" w:hAnsi="Cambria"/>
          <w:b w:val="0"/>
          <w:i w:val="0"/>
          <w:sz w:val="22"/>
        </w:rPr>
        <w:t>Soliciting contributions for gifts, celebrations, or welfare schemes without formal approval.</w:t>
      </w:r>
    </w:p>
    <w:p>
      <w:r>
        <w:rPr>
          <w:rFonts w:ascii="Cambria" w:hAnsi="Cambria"/>
          <w:b/>
          <w:i w:val="0"/>
          <w:sz w:val="22"/>
        </w:rPr>
        <w:t>Group or Departmental Collection</w:t>
      </w:r>
    </w:p>
    <w:p>
      <w:pPr>
        <w:pStyle w:val="ListBullet"/>
        <w:spacing w:line="276" w:lineRule="auto"/>
        <w:ind w:left="510"/>
      </w:pPr>
      <w:r>
        <w:rPr>
          <w:rFonts w:ascii="Cambria" w:hAnsi="Cambria"/>
          <w:b w:val="0"/>
          <w:i w:val="0"/>
          <w:sz w:val="22"/>
        </w:rPr>
        <w:t>Organizing departmental fundraising or fee drives without authorization.</w:t>
      </w:r>
    </w:p>
    <w:p>
      <w:pPr>
        <w:pStyle w:val="ListBullet"/>
        <w:spacing w:line="276" w:lineRule="auto"/>
        <w:ind w:left="510"/>
      </w:pPr>
      <w:r>
        <w:rPr>
          <w:rFonts w:ascii="Cambria" w:hAnsi="Cambria"/>
          <w:b w:val="0"/>
          <w:i w:val="0"/>
          <w:sz w:val="22"/>
        </w:rPr>
        <w:t>Collecting seminar or workshop registration fees directly without routing through official University accounts.</w:t>
      </w:r>
    </w:p>
    <w:p>
      <w:r>
        <w:rPr>
          <w:rFonts w:ascii="Cambria" w:hAnsi="Cambria"/>
          <w:b/>
          <w:i w:val="0"/>
          <w:sz w:val="22"/>
        </w:rPr>
        <w:t>External or Third-Party Solicitation</w:t>
      </w:r>
    </w:p>
    <w:p>
      <w:pPr>
        <w:pStyle w:val="ListBullet"/>
        <w:spacing w:line="276" w:lineRule="auto"/>
        <w:ind w:left="510"/>
      </w:pPr>
      <w:r>
        <w:rPr>
          <w:rFonts w:ascii="Cambria" w:hAnsi="Cambria"/>
          <w:b w:val="0"/>
          <w:i w:val="0"/>
          <w:sz w:val="22"/>
        </w:rPr>
        <w:t>Allowing outsiders or vendors to collect money within University premises.</w:t>
      </w:r>
    </w:p>
    <w:p>
      <w:pPr>
        <w:pStyle w:val="ListBullet"/>
        <w:spacing w:line="276" w:lineRule="auto"/>
        <w:ind w:left="510"/>
      </w:pPr>
      <w:r>
        <w:rPr>
          <w:rFonts w:ascii="Cambria" w:hAnsi="Cambria"/>
          <w:b w:val="0"/>
          <w:i w:val="0"/>
          <w:sz w:val="22"/>
        </w:rPr>
        <w:t>Organizing charity drives or product sales in the University’s name without competent approval.</w:t>
      </w:r>
    </w:p>
    <w:p>
      <w:r>
        <w:rPr>
          <w:rFonts w:ascii="Cambria" w:hAnsi="Cambria"/>
          <w:b/>
          <w:i w:val="0"/>
          <w:sz w:val="22"/>
        </w:rPr>
        <w:t>3. PERMISSIBLE COLLECTIONS (WITH PRIOR APPROVAL)</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Permitted Activity</w:t>
            </w:r>
          </w:p>
        </w:tc>
        <w:tc>
          <w:tcPr>
            <w:tcW w:type="dxa" w:w="5726"/>
            <w:shd w:val="clear" w:color="auto" w:fill="1F3A5F"/>
          </w:tcPr>
          <w:p>
            <w:pPr>
              <w:spacing w:after="40" w:before="40"/>
            </w:pPr>
            <w:r/>
            <w:r>
              <w:rPr>
                <w:rFonts w:ascii="Cambria" w:hAnsi="Cambria"/>
                <w:b/>
                <w:i w:val="0"/>
                <w:color w:val="FFFFFF"/>
                <w:sz w:val="22"/>
              </w:rPr>
              <w:t>Approval Required From</w:t>
            </w:r>
          </w:p>
        </w:tc>
      </w:tr>
      <w:tr>
        <w:tc>
          <w:tcPr>
            <w:tcW w:type="dxa" w:w="3685"/>
          </w:tcPr>
          <w:p>
            <w:pPr>
              <w:spacing w:after="40" w:before="40"/>
            </w:pPr>
            <w:r/>
            <w:r>
              <w:rPr>
                <w:rFonts w:ascii="Cambria" w:hAnsi="Cambria"/>
                <w:b w:val="0"/>
                <w:i w:val="0"/>
                <w:sz w:val="22"/>
              </w:rPr>
              <w:t>Institutional events, seminars, or workshops with registration fees</w:t>
            </w:r>
          </w:p>
        </w:tc>
        <w:tc>
          <w:tcPr>
            <w:tcW w:type="dxa" w:w="5726"/>
          </w:tcPr>
          <w:p>
            <w:pPr>
              <w:spacing w:after="40" w:before="40"/>
            </w:pPr>
            <w:r/>
            <w:r>
              <w:rPr>
                <w:rFonts w:ascii="Cambria" w:hAnsi="Cambria"/>
                <w:b w:val="0"/>
                <w:i w:val="0"/>
                <w:sz w:val="22"/>
              </w:rPr>
              <w:t>Registrar / Finance Officer</w:t>
            </w:r>
          </w:p>
        </w:tc>
      </w:tr>
      <w:tr>
        <w:tc>
          <w:tcPr>
            <w:tcW w:type="dxa" w:w="3685"/>
            <w:shd w:val="clear" w:color="auto" w:fill="F0F2F5"/>
          </w:tcPr>
          <w:p>
            <w:pPr>
              <w:spacing w:after="40" w:before="40"/>
            </w:pPr>
            <w:r/>
            <w:r>
              <w:rPr>
                <w:rFonts w:ascii="Cambria" w:hAnsi="Cambria"/>
                <w:b w:val="0"/>
                <w:i w:val="0"/>
                <w:sz w:val="22"/>
              </w:rPr>
              <w:t>Authorized student activities under NSS, NCC, or cultural bodies</w:t>
            </w:r>
          </w:p>
        </w:tc>
        <w:tc>
          <w:tcPr>
            <w:tcW w:type="dxa" w:w="5726"/>
            <w:shd w:val="clear" w:color="auto" w:fill="F0F2F5"/>
          </w:tcPr>
          <w:p>
            <w:pPr>
              <w:spacing w:after="40" w:before="40"/>
            </w:pPr>
            <w:r/>
            <w:r>
              <w:rPr>
                <w:rFonts w:ascii="Cambria" w:hAnsi="Cambria"/>
                <w:b w:val="0"/>
                <w:i w:val="0"/>
                <w:sz w:val="22"/>
              </w:rPr>
              <w:t>Dean (Student Affairs)</w:t>
            </w:r>
          </w:p>
        </w:tc>
      </w:tr>
      <w:tr>
        <w:tc>
          <w:tcPr>
            <w:tcW w:type="dxa" w:w="3685"/>
          </w:tcPr>
          <w:p>
            <w:pPr>
              <w:spacing w:after="40" w:before="40"/>
            </w:pPr>
            <w:r/>
            <w:r>
              <w:rPr>
                <w:rFonts w:ascii="Cambria" w:hAnsi="Cambria"/>
                <w:b w:val="0"/>
                <w:i w:val="0"/>
                <w:sz w:val="22"/>
              </w:rPr>
              <w:t>Recognized welfare or relief fund collections (e.g., government relief funds)</w:t>
            </w:r>
          </w:p>
        </w:tc>
        <w:tc>
          <w:tcPr>
            <w:tcW w:type="dxa" w:w="5726"/>
          </w:tcPr>
          <w:p>
            <w:pPr>
              <w:spacing w:after="40" w:before="40"/>
            </w:pPr>
            <w:r/>
            <w:r>
              <w:rPr>
                <w:rFonts w:ascii="Cambria" w:hAnsi="Cambria"/>
                <w:b w:val="0"/>
                <w:i w:val="0"/>
                <w:sz w:val="22"/>
              </w:rPr>
              <w:t>Vice Chancellor / Board of Management</w:t>
            </w:r>
          </w:p>
        </w:tc>
      </w:tr>
      <w:tr>
        <w:tc>
          <w:tcPr>
            <w:tcW w:type="dxa" w:w="3685"/>
            <w:shd w:val="clear" w:color="auto" w:fill="F0F2F5"/>
          </w:tcPr>
          <w:p>
            <w:pPr>
              <w:spacing w:after="40" w:before="40"/>
            </w:pPr>
            <w:r/>
            <w:r>
              <w:rPr>
                <w:rFonts w:ascii="Cambria" w:hAnsi="Cambria"/>
                <w:b w:val="0"/>
                <w:i w:val="0"/>
                <w:sz w:val="22"/>
              </w:rPr>
              <w:t>Alumni or departmental fundraisers (officially recorded)</w:t>
            </w:r>
          </w:p>
        </w:tc>
        <w:tc>
          <w:tcPr>
            <w:tcW w:type="dxa" w:w="5726"/>
            <w:shd w:val="clear" w:color="auto" w:fill="F0F2F5"/>
          </w:tcPr>
          <w:p>
            <w:pPr>
              <w:spacing w:after="40" w:before="40"/>
            </w:pPr>
            <w:r/>
            <w:r>
              <w:rPr>
                <w:rFonts w:ascii="Cambria" w:hAnsi="Cambria"/>
                <w:b w:val="0"/>
                <w:i w:val="0"/>
                <w:sz w:val="22"/>
              </w:rPr>
              <w:t>Registrar and Finance Committee</w:t>
            </w:r>
          </w:p>
        </w:tc>
      </w:tr>
    </w:tbl>
    <w:p>
      <w:pPr>
        <w:spacing w:after="40"/>
      </w:pPr>
    </w:p>
    <w:p>
      <w:pPr>
        <w:jc w:val="both"/>
      </w:pPr>
      <w:r>
        <w:rPr>
          <w:rFonts w:ascii="Cambria" w:hAnsi="Cambria"/>
          <w:i/>
          <w:sz w:val="22"/>
        </w:rPr>
        <w:t>All approved collections must be routed through official University bank accounts and supported by proper receipts and audit records.</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First instance (minor, non-monetary intent)</w:t>
            </w:r>
          </w:p>
        </w:tc>
        <w:tc>
          <w:tcPr>
            <w:tcW w:type="dxa" w:w="5726"/>
          </w:tcPr>
          <w:p>
            <w:pPr>
              <w:spacing w:after="40" w:before="40"/>
            </w:pPr>
            <w:r/>
            <w:r>
              <w:rPr>
                <w:rFonts w:ascii="Cambria" w:hAnsi="Cambria"/>
                <w:b w:val="0"/>
                <w:i w:val="0"/>
                <w:sz w:val="22"/>
              </w:rPr>
              <w:t>Written warning and refund of collected amount.</w:t>
            </w:r>
          </w:p>
        </w:tc>
      </w:tr>
      <w:tr>
        <w:tc>
          <w:tcPr>
            <w:tcW w:type="dxa" w:w="3685"/>
            <w:shd w:val="clear" w:color="auto" w:fill="F0F2F5"/>
          </w:tcPr>
          <w:p>
            <w:pPr>
              <w:spacing w:after="40" w:before="40"/>
            </w:pPr>
            <w:r/>
            <w:r>
              <w:rPr>
                <w:rFonts w:ascii="Cambria" w:hAnsi="Cambria"/>
                <w:b w:val="0"/>
                <w:i w:val="0"/>
                <w:sz w:val="22"/>
              </w:rPr>
              <w:t>Collection for personal or unapproved purposes</w:t>
            </w:r>
          </w:p>
        </w:tc>
        <w:tc>
          <w:tcPr>
            <w:tcW w:type="dxa" w:w="5726"/>
            <w:shd w:val="clear" w:color="auto" w:fill="F0F2F5"/>
          </w:tcPr>
          <w:p>
            <w:pPr>
              <w:spacing w:after="40" w:before="40"/>
            </w:pPr>
            <w:r/>
            <w:r>
              <w:rPr>
                <w:rFonts w:ascii="Cambria" w:hAnsi="Cambria"/>
                <w:b w:val="0"/>
                <w:i w:val="0"/>
                <w:sz w:val="22"/>
              </w:rPr>
              <w:t>Suspension pending inquiry and recovery of collected funds.</w:t>
            </w:r>
          </w:p>
        </w:tc>
      </w:tr>
      <w:tr>
        <w:tc>
          <w:tcPr>
            <w:tcW w:type="dxa" w:w="3685"/>
          </w:tcPr>
          <w:p>
            <w:pPr>
              <w:spacing w:after="40" w:before="40"/>
            </w:pPr>
            <w:r/>
            <w:r>
              <w:rPr>
                <w:rFonts w:ascii="Cambria" w:hAnsi="Cambria"/>
                <w:b w:val="0"/>
                <w:i w:val="0"/>
                <w:sz w:val="22"/>
              </w:rPr>
              <w:t>Repeated or fraudulent collection</w:t>
            </w:r>
          </w:p>
        </w:tc>
        <w:tc>
          <w:tcPr>
            <w:tcW w:type="dxa" w:w="5726"/>
          </w:tcPr>
          <w:p>
            <w:pPr>
              <w:spacing w:after="40" w:before="40"/>
            </w:pPr>
            <w:r/>
            <w:r>
              <w:rPr>
                <w:rFonts w:ascii="Cambria" w:hAnsi="Cambria"/>
                <w:b w:val="0"/>
                <w:i w:val="0"/>
                <w:sz w:val="22"/>
              </w:rPr>
              <w:t>Major penalty — reduction in rank, dismissal, or criminal proceedings depending on the severity.</w:t>
            </w:r>
          </w:p>
        </w:tc>
      </w:tr>
    </w:tbl>
    <w:p>
      <w:pPr>
        <w:spacing w:after="40"/>
      </w:pPr>
    </w:p>
    <w:p>
      <w:r>
        <w:rPr>
          <w:rFonts w:ascii="Cambria" w:hAnsi="Cambria"/>
          <w:b/>
          <w:i w:val="0"/>
          <w:sz w:val="22"/>
        </w:rPr>
        <w:t>5.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Application</w:t>
            </w:r>
          </w:p>
        </w:tc>
        <w:tc>
          <w:tcPr>
            <w:tcW w:type="dxa" w:w="5726"/>
          </w:tcPr>
          <w:p>
            <w:pPr>
              <w:spacing w:after="40" w:before="40"/>
            </w:pPr>
            <w:r/>
            <w:r>
              <w:rPr>
                <w:rFonts w:ascii="Cambria" w:hAnsi="Cambria"/>
                <w:b w:val="0"/>
                <w:i w:val="0"/>
                <w:sz w:val="22"/>
              </w:rPr>
              <w:t>Proposals for any monetary collection must be submitted in writing to the Registrar / Vice Chancellor stating purpose, duration, amount, and utilization plan.</w:t>
            </w:r>
          </w:p>
        </w:tc>
      </w:tr>
      <w:tr>
        <w:tc>
          <w:tcPr>
            <w:tcW w:type="dxa" w:w="3685"/>
            <w:shd w:val="clear" w:color="auto" w:fill="F0F2F5"/>
          </w:tcPr>
          <w:p>
            <w:pPr>
              <w:spacing w:after="40" w:before="40"/>
            </w:pPr>
            <w:r/>
            <w:r>
              <w:rPr>
                <w:rFonts w:ascii="Cambria" w:hAnsi="Cambria"/>
                <w:b w:val="0"/>
                <w:i w:val="0"/>
                <w:sz w:val="22"/>
              </w:rPr>
              <w:t>2. Scrutiny and Approval</w:t>
            </w:r>
          </w:p>
        </w:tc>
        <w:tc>
          <w:tcPr>
            <w:tcW w:type="dxa" w:w="5726"/>
            <w:shd w:val="clear" w:color="auto" w:fill="F0F2F5"/>
          </w:tcPr>
          <w:p>
            <w:pPr>
              <w:spacing w:after="40" w:before="40"/>
            </w:pPr>
            <w:r/>
            <w:r>
              <w:rPr>
                <w:rFonts w:ascii="Cambria" w:hAnsi="Cambria"/>
                <w:b w:val="0"/>
                <w:i w:val="0"/>
                <w:sz w:val="22"/>
              </w:rPr>
              <w:t>The competent authority will review compliance with institutional and financial norms before approval.</w:t>
            </w:r>
          </w:p>
        </w:tc>
      </w:tr>
      <w:tr>
        <w:tc>
          <w:tcPr>
            <w:tcW w:type="dxa" w:w="3685"/>
          </w:tcPr>
          <w:p>
            <w:pPr>
              <w:spacing w:after="40" w:before="40"/>
            </w:pPr>
            <w:r/>
            <w:r>
              <w:rPr>
                <w:rFonts w:ascii="Cambria" w:hAnsi="Cambria"/>
                <w:b w:val="0"/>
                <w:i w:val="0"/>
                <w:sz w:val="22"/>
              </w:rPr>
              <w:t>3. Record Keeping</w:t>
            </w:r>
          </w:p>
        </w:tc>
        <w:tc>
          <w:tcPr>
            <w:tcW w:type="dxa" w:w="5726"/>
          </w:tcPr>
          <w:p>
            <w:pPr>
              <w:spacing w:after="40" w:before="40"/>
            </w:pPr>
            <w:r/>
            <w:r>
              <w:rPr>
                <w:rFonts w:ascii="Cambria" w:hAnsi="Cambria"/>
                <w:b w:val="0"/>
                <w:i w:val="0"/>
                <w:sz w:val="22"/>
              </w:rPr>
              <w:t>All collections shall be documented with receipt books, donor lists, and expenditure statements, subject to internal audit.</w:t>
            </w:r>
          </w:p>
        </w:tc>
      </w:tr>
      <w:tr>
        <w:tc>
          <w:tcPr>
            <w:tcW w:type="dxa" w:w="3685"/>
            <w:shd w:val="clear" w:color="auto" w:fill="F0F2F5"/>
          </w:tcPr>
          <w:p>
            <w:pPr>
              <w:spacing w:after="40" w:before="40"/>
            </w:pPr>
            <w:r/>
            <w:r>
              <w:rPr>
                <w:rFonts w:ascii="Cambria" w:hAnsi="Cambria"/>
                <w:b w:val="0"/>
                <w:i w:val="0"/>
                <w:sz w:val="22"/>
              </w:rPr>
              <w:t>4. Violation Handling</w:t>
            </w:r>
          </w:p>
        </w:tc>
        <w:tc>
          <w:tcPr>
            <w:tcW w:type="dxa" w:w="5726"/>
            <w:shd w:val="clear" w:color="auto" w:fill="F0F2F5"/>
          </w:tcPr>
          <w:p>
            <w:pPr>
              <w:spacing w:after="40" w:before="40"/>
            </w:pPr>
            <w:r/>
            <w:r>
              <w:rPr>
                <w:rFonts w:ascii="Cambria" w:hAnsi="Cambria"/>
                <w:b w:val="0"/>
                <w:i w:val="0"/>
                <w:sz w:val="22"/>
              </w:rPr>
              <w:t>Any unauthorized collection discovered shall be immediately reported to the Disciplinary Committee for inquiry and action.</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University’s financial reputation and credibility must be safeguarded against unauthorized monetary activities.</w:t>
      </w:r>
    </w:p>
    <w:p>
      <w:pPr>
        <w:pStyle w:val="ListBullet"/>
        <w:spacing w:line="276" w:lineRule="auto"/>
        <w:ind w:left="510"/>
      </w:pPr>
      <w:r>
        <w:rPr>
          <w:rFonts w:ascii="Cambria" w:hAnsi="Cambria"/>
          <w:b w:val="0"/>
          <w:i w:val="0"/>
          <w:sz w:val="22"/>
        </w:rPr>
        <w:t>No individual or group shall use the University’s name or resources to solicit funds for private benefit.</w:t>
      </w:r>
    </w:p>
    <w:p>
      <w:pPr>
        <w:pStyle w:val="ListBullet"/>
        <w:spacing w:line="276" w:lineRule="auto"/>
        <w:ind w:left="510"/>
      </w:pPr>
      <w:r>
        <w:rPr>
          <w:rFonts w:ascii="Cambria" w:hAnsi="Cambria"/>
          <w:b w:val="0"/>
          <w:i w:val="0"/>
          <w:sz w:val="22"/>
        </w:rPr>
        <w:t>Transparency in fund handling ensures protection from misappropriation, fraud, or reputational damage.</w:t>
      </w:r>
    </w:p>
    <w:p>
      <w:pPr>
        <w:pStyle w:val="ListBullet"/>
        <w:spacing w:line="276" w:lineRule="auto"/>
        <w:ind w:left="510"/>
      </w:pPr>
      <w:r>
        <w:rPr>
          <w:rFonts w:ascii="Cambria" w:hAnsi="Cambria"/>
          <w:b w:val="0"/>
          <w:i w:val="0"/>
          <w:sz w:val="22"/>
        </w:rPr>
        <w:t>Violations of this policy constitute gross misconduct and may invite disciplinary and legal action.</w:t>
      </w:r>
    </w:p>
    <w:p>
      <w:pPr>
        <w:pStyle w:val="ListBullet"/>
        <w:spacing w:line="276" w:lineRule="auto"/>
        <w:ind w:left="510"/>
      </w:pPr>
      <w:r>
        <w:rPr>
          <w:rFonts w:ascii="Cambria" w:hAnsi="Cambria"/>
          <w:b w:val="0"/>
          <w:i w:val="0"/>
          <w:sz w:val="22"/>
        </w:rPr>
        <w:t>The decision of the Board of Management (BoM) regarding interpretation or appeal shall be final and binding.</w:t>
      </w:r>
    </w:p>
    <w:p>
      <w:pPr>
        <w:keepNext/>
        <w:spacing w:before="200" w:after="120"/>
      </w:pPr>
      <w:r>
        <w:rPr>
          <w:rFonts w:ascii="Cambria" w:hAnsi="Cambria"/>
          <w:b/>
          <w:color w:val="1F3A5F"/>
          <w:sz w:val="27"/>
        </w:rPr>
        <w:t>Policy on Sleeping While on Duty</w:t>
      </w:r>
    </w:p>
    <w:p>
      <w:r>
        <w:rPr>
          <w:rFonts w:ascii="Cambria" w:hAnsi="Cambria"/>
          <w:b/>
          <w:i w:val="0"/>
          <w:sz w:val="22"/>
        </w:rPr>
        <w:t>I. PURPOSE</w:t>
      </w:r>
    </w:p>
    <w:p>
      <w:pPr>
        <w:pStyle w:val="ListBullet"/>
        <w:spacing w:line="276" w:lineRule="auto"/>
        <w:ind w:left="510"/>
      </w:pPr>
      <w:r>
        <w:rPr>
          <w:rFonts w:ascii="Cambria" w:hAnsi="Cambria"/>
          <w:b w:val="0"/>
          <w:i w:val="0"/>
          <w:sz w:val="22"/>
        </w:rPr>
        <w:t>To maintain professional discipline, attentiveness, and accountability among all University employees during working hours.</w:t>
      </w:r>
    </w:p>
    <w:p>
      <w:pPr>
        <w:pStyle w:val="ListBullet"/>
        <w:spacing w:line="276" w:lineRule="auto"/>
        <w:ind w:left="510"/>
      </w:pPr>
      <w:r>
        <w:rPr>
          <w:rFonts w:ascii="Cambria" w:hAnsi="Cambria"/>
          <w:b w:val="0"/>
          <w:i w:val="0"/>
          <w:sz w:val="22"/>
        </w:rPr>
        <w:t>To ensure that employees remain alert, responsive, and available for their assigned duties, especially in academic, administrative, and technical operations.</w:t>
      </w:r>
    </w:p>
    <w:p>
      <w:pPr>
        <w:pStyle w:val="ListBullet"/>
        <w:spacing w:line="276" w:lineRule="auto"/>
        <w:ind w:left="510"/>
      </w:pPr>
      <w:r>
        <w:rPr>
          <w:rFonts w:ascii="Cambria" w:hAnsi="Cambria"/>
          <w:b w:val="0"/>
          <w:i w:val="0"/>
          <w:sz w:val="22"/>
        </w:rPr>
        <w:t>To treat sleeping on duty as a serious lapse of responsibility and a breach of institutional conduct.</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“Sleeping while on duty” refers to napping, dozing, or deliberately remaining inactive during assigned working hours or while on official duty, whether within the office, classroom, laboratory, or any part of the University premises. This includes sleeping during work shifts, examinations, or while performing supervisory, security, or support functions.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categories of employees — teaching, non-teaching, technical, administrative, and contractual staff — during regular hours, overtime, or assigned duty hours.</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sleep, rest idly, or absent himself mentally or physically from work during duty hours. Such behavior shall be treated as misconduct and will attract disciplinary action under University Service Rules.</w:t>
            </w:r>
          </w:p>
        </w:tc>
      </w:tr>
    </w:tbl>
    <w:p>
      <w:pPr>
        <w:spacing w:after="40"/>
      </w:pP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Sleeping on Duty</w:t>
            </w:r>
          </w:p>
        </w:tc>
      </w:tr>
      <w:tr>
        <w:tc>
          <w:tcPr>
            <w:tcW w:type="dxa" w:w="3685"/>
          </w:tcPr>
          <w:p>
            <w:pPr>
              <w:spacing w:after="40" w:before="40"/>
            </w:pPr>
            <w:r/>
            <w:r>
              <w:rPr>
                <w:rFonts w:ascii="Cambria" w:hAnsi="Cambria"/>
                <w:b w:val="0"/>
                <w:i w:val="0"/>
                <w:sz w:val="22"/>
              </w:rPr>
              <w:t>Academic Staff</w:t>
            </w:r>
          </w:p>
        </w:tc>
        <w:tc>
          <w:tcPr>
            <w:tcW w:type="dxa" w:w="5726"/>
          </w:tcPr>
          <w:p>
            <w:pPr>
              <w:spacing w:after="40" w:before="40"/>
            </w:pPr>
            <w:r/>
            <w:r>
              <w:rPr>
                <w:rFonts w:ascii="Cambria" w:hAnsi="Cambria"/>
                <w:b w:val="0"/>
                <w:i w:val="0"/>
                <w:sz w:val="22"/>
              </w:rPr>
              <w:t>Sleeping in classrooms, laboratories, or examination halls during instructional or invigilation duties.</w:t>
            </w:r>
          </w:p>
        </w:tc>
      </w:tr>
    </w:tbl>
    <w:p>
      <w:pPr>
        <w:spacing w:after="40"/>
      </w:pPr>
    </w:p>
    <w:p>
      <w:pPr>
        <w:pStyle w:val="ListBullet"/>
        <w:spacing w:line="276" w:lineRule="auto"/>
        <w:ind w:left="510"/>
      </w:pPr>
      <w:r>
        <w:rPr>
          <w:rFonts w:ascii="Cambria" w:hAnsi="Cambria"/>
          <w:b w:val="0"/>
          <w:i w:val="0"/>
          <w:sz w:val="22"/>
        </w:rPr>
        <w:t>Neglecting students or ongoing sessions by resting in office or staff rooms during working hours.</w:t>
      </w:r>
    </w:p>
    <w:p>
      <w:r>
        <w:rPr>
          <w:rFonts w:ascii="Cambria" w:hAnsi="Cambria"/>
          <w:b/>
          <w:i w:val="0"/>
          <w:sz w:val="22"/>
        </w:rPr>
        <w:t>Administrative / Clerical Staff</w:t>
      </w:r>
    </w:p>
    <w:p>
      <w:pPr>
        <w:pStyle w:val="ListBullet"/>
        <w:spacing w:line="276" w:lineRule="auto"/>
        <w:ind w:left="510"/>
      </w:pPr>
      <w:r>
        <w:rPr>
          <w:rFonts w:ascii="Cambria" w:hAnsi="Cambria"/>
          <w:b w:val="0"/>
          <w:i w:val="0"/>
          <w:sz w:val="22"/>
        </w:rPr>
        <w:t>Sleeping at desks, counters, or reception areas during office hours.</w:t>
      </w:r>
    </w:p>
    <w:p>
      <w:pPr>
        <w:pStyle w:val="ListBullet"/>
        <w:spacing w:line="276" w:lineRule="auto"/>
        <w:ind w:left="510"/>
      </w:pPr>
      <w:r>
        <w:rPr>
          <w:rFonts w:ascii="Cambria" w:hAnsi="Cambria"/>
          <w:b w:val="0"/>
          <w:i w:val="0"/>
          <w:sz w:val="22"/>
        </w:rPr>
        <w:t>Failing to respond to visitors, calls, or file movements due to inattention.</w:t>
      </w:r>
    </w:p>
    <w:p>
      <w:r>
        <w:rPr>
          <w:rFonts w:ascii="Cambria" w:hAnsi="Cambria"/>
          <w:b/>
          <w:i w:val="0"/>
          <w:sz w:val="22"/>
        </w:rPr>
        <w:t>Technical / Support Staff</w:t>
      </w:r>
    </w:p>
    <w:p>
      <w:pPr>
        <w:pStyle w:val="ListBullet"/>
        <w:spacing w:line="276" w:lineRule="auto"/>
        <w:ind w:left="510"/>
      </w:pPr>
      <w:r>
        <w:rPr>
          <w:rFonts w:ascii="Cambria" w:hAnsi="Cambria"/>
          <w:b w:val="0"/>
          <w:i w:val="0"/>
          <w:sz w:val="22"/>
        </w:rPr>
        <w:t>Sleeping during laboratory operations, maintenance, or work shifts.</w:t>
      </w:r>
    </w:p>
    <w:p>
      <w:pPr>
        <w:pStyle w:val="ListBullet"/>
        <w:spacing w:line="276" w:lineRule="auto"/>
        <w:ind w:left="510"/>
      </w:pPr>
      <w:r>
        <w:rPr>
          <w:rFonts w:ascii="Cambria" w:hAnsi="Cambria"/>
          <w:b w:val="0"/>
          <w:i w:val="0"/>
          <w:sz w:val="22"/>
        </w:rPr>
        <w:t>Guards or attendants found sleeping during security or safety rounds.</w:t>
      </w:r>
    </w:p>
    <w:p>
      <w:r>
        <w:rPr>
          <w:rFonts w:ascii="Cambria" w:hAnsi="Cambria"/>
          <w:b/>
          <w:i w:val="0"/>
          <w:sz w:val="22"/>
        </w:rPr>
        <w:t>Contractual / Shift Workers</w:t>
      </w:r>
    </w:p>
    <w:p>
      <w:pPr>
        <w:pStyle w:val="ListBullet"/>
        <w:spacing w:line="276" w:lineRule="auto"/>
        <w:ind w:left="510"/>
      </w:pPr>
      <w:r>
        <w:rPr>
          <w:rFonts w:ascii="Cambria" w:hAnsi="Cambria"/>
          <w:b w:val="0"/>
          <w:i w:val="0"/>
          <w:sz w:val="22"/>
        </w:rPr>
        <w:t>Found asleep during assigned shift or overtime duty.</w:t>
      </w:r>
    </w:p>
    <w:p>
      <w:pPr>
        <w:pStyle w:val="ListBullet"/>
        <w:spacing w:line="276" w:lineRule="auto"/>
        <w:ind w:left="510"/>
      </w:pPr>
      <w:r>
        <w:rPr>
          <w:rFonts w:ascii="Cambria" w:hAnsi="Cambria"/>
          <w:b w:val="0"/>
          <w:i w:val="0"/>
          <w:sz w:val="22"/>
        </w:rPr>
        <w:t>Using duty hours for rest without authorization from the superior officer.</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First instance (minor lapse)</w:t>
            </w:r>
          </w:p>
        </w:tc>
        <w:tc>
          <w:tcPr>
            <w:tcW w:type="dxa" w:w="5726"/>
          </w:tcPr>
          <w:p>
            <w:pPr>
              <w:spacing w:after="40" w:before="40"/>
            </w:pPr>
            <w:r/>
            <w:r>
              <w:rPr>
                <w:rFonts w:ascii="Cambria" w:hAnsi="Cambria"/>
                <w:b w:val="0"/>
                <w:i w:val="0"/>
                <w:sz w:val="22"/>
              </w:rPr>
              <w:t>Verbal or written warning and recording of the incident in personal file.</w:t>
            </w:r>
          </w:p>
        </w:tc>
      </w:tr>
      <w:tr>
        <w:tc>
          <w:tcPr>
            <w:tcW w:type="dxa" w:w="3685"/>
            <w:shd w:val="clear" w:color="auto" w:fill="F0F2F5"/>
          </w:tcPr>
          <w:p>
            <w:pPr>
              <w:spacing w:after="40" w:before="40"/>
            </w:pPr>
            <w:r/>
            <w:r>
              <w:rPr>
                <w:rFonts w:ascii="Cambria" w:hAnsi="Cambria"/>
                <w:b w:val="0"/>
                <w:i w:val="0"/>
                <w:sz w:val="22"/>
              </w:rPr>
              <w:t>Repeated offence</w:t>
            </w:r>
          </w:p>
        </w:tc>
        <w:tc>
          <w:tcPr>
            <w:tcW w:type="dxa" w:w="5726"/>
            <w:shd w:val="clear" w:color="auto" w:fill="F0F2F5"/>
          </w:tcPr>
          <w:p>
            <w:pPr>
              <w:spacing w:after="40" w:before="40"/>
            </w:pPr>
            <w:r/>
            <w:r>
              <w:rPr>
                <w:rFonts w:ascii="Cambria" w:hAnsi="Cambria"/>
                <w:b w:val="0"/>
                <w:i w:val="0"/>
                <w:sz w:val="22"/>
              </w:rPr>
              <w:t>Withholding of increment or suspension up to 7 days depending on severity.</w:t>
            </w:r>
          </w:p>
        </w:tc>
      </w:tr>
      <w:tr>
        <w:tc>
          <w:tcPr>
            <w:tcW w:type="dxa" w:w="3685"/>
          </w:tcPr>
          <w:p>
            <w:pPr>
              <w:spacing w:after="40" w:before="40"/>
            </w:pPr>
            <w:r/>
            <w:r>
              <w:rPr>
                <w:rFonts w:ascii="Cambria" w:hAnsi="Cambria"/>
                <w:b w:val="0"/>
                <w:i w:val="0"/>
                <w:sz w:val="22"/>
              </w:rPr>
              <w:t>Serious or habitual offence (especially security/technical posts)</w:t>
            </w:r>
          </w:p>
        </w:tc>
        <w:tc>
          <w:tcPr>
            <w:tcW w:type="dxa" w:w="5726"/>
          </w:tcPr>
          <w:p>
            <w:pPr>
              <w:spacing w:after="40" w:before="40"/>
            </w:pPr>
            <w:r/>
            <w:r>
              <w:rPr>
                <w:rFonts w:ascii="Cambria" w:hAnsi="Cambria"/>
                <w:b w:val="0"/>
                <w:i w:val="0"/>
                <w:sz w:val="22"/>
              </w:rPr>
              <w:t>Major penalty — reduction in rank, suspension, or dismissal from service after due inquiry.</w:t>
            </w:r>
          </w:p>
        </w:tc>
      </w:tr>
      <w:tr>
        <w:tc>
          <w:tcPr>
            <w:tcW w:type="dxa" w:w="3685"/>
            <w:shd w:val="clear" w:color="auto" w:fill="F0F2F5"/>
          </w:tcPr>
          <w:p>
            <w:pPr>
              <w:spacing w:after="40" w:before="40"/>
            </w:pPr>
            <w:r/>
            <w:r>
              <w:rPr>
                <w:rFonts w:ascii="Cambria" w:hAnsi="Cambria"/>
                <w:b w:val="0"/>
                <w:i w:val="0"/>
                <w:sz w:val="22"/>
              </w:rPr>
              <w:t>Negligence resulting in loss or safety hazard</w:t>
            </w:r>
          </w:p>
        </w:tc>
        <w:tc>
          <w:tcPr>
            <w:tcW w:type="dxa" w:w="5726"/>
            <w:shd w:val="clear" w:color="auto" w:fill="F0F2F5"/>
          </w:tcPr>
          <w:p>
            <w:pPr>
              <w:spacing w:after="40" w:before="40"/>
            </w:pPr>
            <w:r/>
            <w:r>
              <w:rPr>
                <w:rFonts w:ascii="Cambria" w:hAnsi="Cambria"/>
                <w:b w:val="0"/>
                <w:i w:val="0"/>
                <w:sz w:val="22"/>
              </w:rPr>
              <w:t>Full recovery of damages, disciplinary action, and potential criminal liability if applicable.</w:t>
            </w:r>
          </w:p>
        </w:tc>
      </w:tr>
    </w:tbl>
    <w:p>
      <w:pPr>
        <w:spacing w:after="40"/>
      </w:pPr>
    </w:p>
    <w:p>
      <w:r>
        <w:rPr>
          <w:rFonts w:ascii="Cambria" w:hAnsi="Cambria"/>
          <w:b/>
          <w:i w:val="0"/>
          <w:sz w:val="22"/>
        </w:rPr>
        <w:t>4. REPORTING AND ENFORCEMENT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Responsible Authority</w:t>
            </w:r>
          </w:p>
        </w:tc>
        <w:tc>
          <w:tcPr>
            <w:tcW w:type="dxa" w:w="5726"/>
            <w:shd w:val="clear" w:color="auto" w:fill="1F3A5F"/>
          </w:tcPr>
          <w:p>
            <w:pPr>
              <w:spacing w:after="40" w:before="40"/>
            </w:pPr>
            <w:r/>
            <w:r>
              <w:rPr>
                <w:rFonts w:ascii="Cambria" w:hAnsi="Cambria"/>
                <w:b/>
                <w:i w:val="0"/>
                <w:color w:val="FFFFFF"/>
                <w:sz w:val="22"/>
              </w:rPr>
              <w:t>Duties</w:t>
            </w:r>
          </w:p>
        </w:tc>
      </w:tr>
      <w:tr>
        <w:tc>
          <w:tcPr>
            <w:tcW w:type="dxa" w:w="3685"/>
          </w:tcPr>
          <w:p>
            <w:pPr>
              <w:spacing w:after="40" w:before="40"/>
            </w:pPr>
            <w:r/>
            <w:r>
              <w:rPr>
                <w:rFonts w:ascii="Cambria" w:hAnsi="Cambria"/>
                <w:b w:val="0"/>
                <w:i w:val="0"/>
                <w:sz w:val="22"/>
              </w:rPr>
              <w:t>Head of Department / Section Officer</w:t>
            </w:r>
          </w:p>
        </w:tc>
        <w:tc>
          <w:tcPr>
            <w:tcW w:type="dxa" w:w="5726"/>
          </w:tcPr>
          <w:p>
            <w:pPr>
              <w:spacing w:after="40" w:before="40"/>
            </w:pPr>
            <w:r/>
            <w:r>
              <w:rPr>
                <w:rFonts w:ascii="Cambria" w:hAnsi="Cambria"/>
                <w:b w:val="0"/>
                <w:i w:val="0"/>
                <w:sz w:val="22"/>
              </w:rPr>
              <w:t>Monitor work performance and report any instance of negligence or sleeping during duty hours.</w:t>
            </w:r>
          </w:p>
        </w:tc>
      </w:tr>
      <w:tr>
        <w:tc>
          <w:tcPr>
            <w:tcW w:type="dxa" w:w="3685"/>
            <w:shd w:val="clear" w:color="auto" w:fill="F0F2F5"/>
          </w:tcPr>
          <w:p>
            <w:pPr>
              <w:spacing w:after="40" w:before="40"/>
            </w:pPr>
            <w:r/>
            <w:r>
              <w:rPr>
                <w:rFonts w:ascii="Cambria" w:hAnsi="Cambria"/>
                <w:b w:val="0"/>
                <w:i w:val="0"/>
                <w:sz w:val="22"/>
              </w:rPr>
              <w:t>Registrar / HR Department</w:t>
            </w:r>
          </w:p>
        </w:tc>
        <w:tc>
          <w:tcPr>
            <w:tcW w:type="dxa" w:w="5726"/>
            <w:shd w:val="clear" w:color="auto" w:fill="F0F2F5"/>
          </w:tcPr>
          <w:p>
            <w:pPr>
              <w:spacing w:after="40" w:before="40"/>
            </w:pPr>
            <w:r/>
            <w:r>
              <w:rPr>
                <w:rFonts w:ascii="Cambria" w:hAnsi="Cambria"/>
                <w:b w:val="0"/>
                <w:i w:val="0"/>
                <w:sz w:val="22"/>
              </w:rPr>
              <w:t>Issue formal notices, warnings, or initiate disciplinary proceedings based on reports.</w:t>
            </w:r>
          </w:p>
        </w:tc>
      </w:tr>
      <w:tr>
        <w:tc>
          <w:tcPr>
            <w:tcW w:type="dxa" w:w="3685"/>
          </w:tcPr>
          <w:p>
            <w:pPr>
              <w:spacing w:after="40" w:before="40"/>
            </w:pPr>
            <w:r/>
            <w:r>
              <w:rPr>
                <w:rFonts w:ascii="Cambria" w:hAnsi="Cambria"/>
                <w:b w:val="0"/>
                <w:i w:val="0"/>
                <w:sz w:val="22"/>
              </w:rPr>
              <w:t>Security / Supervisory Officers</w:t>
            </w:r>
          </w:p>
        </w:tc>
        <w:tc>
          <w:tcPr>
            <w:tcW w:type="dxa" w:w="5726"/>
          </w:tcPr>
          <w:p>
            <w:pPr>
              <w:spacing w:after="40" w:before="40"/>
            </w:pPr>
            <w:r/>
            <w:r>
              <w:rPr>
                <w:rFonts w:ascii="Cambria" w:hAnsi="Cambria"/>
                <w:b w:val="0"/>
                <w:i w:val="0"/>
                <w:sz w:val="22"/>
              </w:rPr>
              <w:t>Maintain vigilance logs and document evidence (photographic/time-stamped) for reporting misconduct.</w:t>
            </w:r>
          </w:p>
        </w:tc>
      </w:tr>
    </w:tbl>
    <w:p>
      <w:pPr>
        <w:spacing w:after="40"/>
      </w:pPr>
    </w:p>
    <w:p>
      <w:r>
        <w:rPr>
          <w:rFonts w:ascii="Cambria" w:hAnsi="Cambria"/>
          <w:b/>
          <w:i w:val="0"/>
          <w:sz w:val="22"/>
        </w:rPr>
        <w:t>5. MITIGATING CONSIDERATIONS</w:t>
      </w:r>
    </w:p>
    <w:p>
      <w:pPr>
        <w:pStyle w:val="ListBullet"/>
        <w:spacing w:line="276" w:lineRule="auto"/>
        <w:ind w:left="510"/>
      </w:pPr>
      <w:r>
        <w:rPr>
          <w:rFonts w:ascii="Cambria" w:hAnsi="Cambria"/>
          <w:b w:val="0"/>
          <w:i w:val="0"/>
          <w:sz w:val="22"/>
        </w:rPr>
        <w:t>In cases where sleeping occurs due to medical reasons (e.g., prescribed medication, diagnosed fatigue disorder), the employee must submit medical documentation and seek approval for modified work duties or schedule.</w:t>
      </w:r>
    </w:p>
    <w:p>
      <w:pPr>
        <w:pStyle w:val="ListBullet"/>
        <w:spacing w:line="276" w:lineRule="auto"/>
        <w:ind w:left="510"/>
      </w:pPr>
      <w:r>
        <w:rPr>
          <w:rFonts w:ascii="Cambria" w:hAnsi="Cambria"/>
          <w:b w:val="0"/>
          <w:i w:val="0"/>
          <w:sz w:val="22"/>
        </w:rPr>
        <w:t>Supervisors are expected to ensure reasonable work breaks and prevent overwork or fatigue leading to unintentional lapses.</w:t>
      </w:r>
    </w:p>
    <w:p>
      <w:pPr>
        <w:pStyle w:val="ListBullet"/>
        <w:spacing w:line="276" w:lineRule="auto"/>
        <w:ind w:left="510"/>
      </w:pPr>
      <w:r>
        <w:rPr>
          <w:rFonts w:ascii="Cambria" w:hAnsi="Cambria"/>
          <w:b w:val="0"/>
          <w:i w:val="0"/>
          <w:sz w:val="22"/>
        </w:rPr>
        <w:t>However, intentional or repeated negligence will not be excused on humanitarian grounds and shall invite formal action.</w:t>
      </w:r>
    </w:p>
    <w:p>
      <w:r>
        <w:rPr>
          <w:rFonts w:ascii="Cambria" w:hAnsi="Cambria"/>
          <w:b/>
          <w:i w:val="0"/>
          <w:sz w:val="22"/>
        </w:rPr>
        <w:t>6. POLICY PRINCIPLES</w:t>
      </w:r>
    </w:p>
    <w:p>
      <w:pPr>
        <w:pStyle w:val="ListBullet"/>
        <w:spacing w:line="276" w:lineRule="auto"/>
        <w:ind w:left="510"/>
      </w:pPr>
      <w:r>
        <w:rPr>
          <w:rFonts w:ascii="Cambria" w:hAnsi="Cambria"/>
          <w:b w:val="0"/>
          <w:i w:val="0"/>
          <w:sz w:val="22"/>
        </w:rPr>
        <w:t>Sleeping during duty hours reflects gross negligence and indiscipline, compromising institutional efficiency and credibility.</w:t>
      </w:r>
    </w:p>
    <w:p>
      <w:pPr>
        <w:pStyle w:val="ListBullet"/>
        <w:spacing w:line="276" w:lineRule="auto"/>
        <w:ind w:left="510"/>
      </w:pPr>
      <w:r>
        <w:rPr>
          <w:rFonts w:ascii="Cambria" w:hAnsi="Cambria"/>
          <w:b w:val="0"/>
          <w:i w:val="0"/>
          <w:sz w:val="22"/>
        </w:rPr>
        <w:t>Employees are expected to remain alert, attentive, and available for their responsibilities throughout their assigned working period.</w:t>
      </w:r>
    </w:p>
    <w:p>
      <w:pPr>
        <w:pStyle w:val="ListBullet"/>
        <w:spacing w:line="276" w:lineRule="auto"/>
        <w:ind w:left="510"/>
      </w:pPr>
      <w:r>
        <w:rPr>
          <w:rFonts w:ascii="Cambria" w:hAnsi="Cambria"/>
          <w:b w:val="0"/>
          <w:i w:val="0"/>
          <w:sz w:val="22"/>
        </w:rPr>
        <w:t>Heads of Departments must conduct regular attendance checks and maintain discipline logs.</w:t>
      </w:r>
    </w:p>
    <w:p>
      <w:pPr>
        <w:pStyle w:val="ListBullet"/>
        <w:spacing w:line="276" w:lineRule="auto"/>
        <w:ind w:left="510"/>
      </w:pPr>
      <w:r>
        <w:rPr>
          <w:rFonts w:ascii="Cambria" w:hAnsi="Cambria"/>
          <w:b w:val="0"/>
          <w:i w:val="0"/>
          <w:sz w:val="22"/>
        </w:rPr>
        <w:t>Repeated misconduct may affect appraisal scores, promotions, and future assignments.</w:t>
      </w:r>
    </w:p>
    <w:p>
      <w:pPr>
        <w:pStyle w:val="ListBullet"/>
        <w:spacing w:line="276" w:lineRule="auto"/>
        <w:ind w:left="510"/>
      </w:pPr>
      <w:r>
        <w:rPr>
          <w:rFonts w:ascii="Cambria" w:hAnsi="Cambria"/>
          <w:b w:val="0"/>
          <w:i w:val="0"/>
          <w:sz w:val="22"/>
        </w:rPr>
        <w:t>The Board of Management’s decision in such disciplinary cases shall be final and binding.</w:t>
      </w:r>
    </w:p>
    <w:p>
      <w:pPr>
        <w:keepNext/>
        <w:spacing w:before="200" w:after="120"/>
      </w:pPr>
      <w:r>
        <w:rPr>
          <w:rFonts w:ascii="Cambria" w:hAnsi="Cambria"/>
          <w:b/>
          <w:color w:val="1F3A5F"/>
          <w:sz w:val="27"/>
        </w:rPr>
        <w:t>Policy on Unauthorized Purchase or Sale of University Property</w:t>
      </w:r>
    </w:p>
    <w:p>
      <w:r>
        <w:rPr>
          <w:rFonts w:ascii="Cambria" w:hAnsi="Cambria"/>
          <w:b/>
          <w:i w:val="0"/>
          <w:sz w:val="22"/>
        </w:rPr>
        <w:t>I. PURPOSE</w:t>
      </w:r>
    </w:p>
    <w:p>
      <w:pPr>
        <w:pStyle w:val="ListBullet"/>
        <w:spacing w:line="276" w:lineRule="auto"/>
        <w:ind w:left="510"/>
      </w:pPr>
      <w:r>
        <w:rPr>
          <w:rFonts w:ascii="Cambria" w:hAnsi="Cambria"/>
          <w:b w:val="0"/>
          <w:i w:val="0"/>
          <w:sz w:val="22"/>
        </w:rPr>
        <w:t>To maintain financial discipline, transparency, and accountability in all transactions involving University property, equipment, or materials.</w:t>
      </w:r>
    </w:p>
    <w:p>
      <w:pPr>
        <w:pStyle w:val="ListBullet"/>
        <w:spacing w:line="276" w:lineRule="auto"/>
        <w:ind w:left="510"/>
      </w:pPr>
      <w:r>
        <w:rPr>
          <w:rFonts w:ascii="Cambria" w:hAnsi="Cambria"/>
          <w:b w:val="0"/>
          <w:i w:val="0"/>
          <w:sz w:val="22"/>
        </w:rPr>
        <w:t>To prohibit employees from engaging in any unauthorized purchase, sale, or disposal of institutional assets.</w:t>
      </w:r>
    </w:p>
    <w:p>
      <w:pPr>
        <w:pStyle w:val="ListBullet"/>
        <w:spacing w:line="276" w:lineRule="auto"/>
        <w:ind w:left="510"/>
      </w:pPr>
      <w:r>
        <w:rPr>
          <w:rFonts w:ascii="Cambria" w:hAnsi="Cambria"/>
          <w:b w:val="0"/>
          <w:i w:val="0"/>
          <w:sz w:val="22"/>
        </w:rPr>
        <w:t>To safeguard the University’s financial and material resources from misuse, misappropriation, or conflict of interest.</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Any act of purchasing, selling, leasing, exchanging, or disposing of property, machinery, stores, or materials in the name of the University, or in the name of any institution maintained by it, without express written permission from the competent authority, constitutes gross misconduct.</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employees (teaching, non-teaching, technical, administrative, contractual, or project-based) involved directly or indirectly in procurement, inventory management, or asset handling.</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buy, sell, or authorize the purchase or sale of any item in the name of the University unless formally approved in writing by the competent authority (Registrar / Finance Officer / Board of Management).</w:t>
            </w:r>
          </w:p>
        </w:tc>
      </w:tr>
    </w:tbl>
    <w:p>
      <w:pPr>
        <w:spacing w:after="40"/>
      </w:pP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Unauthorized Purchases</w:t>
            </w:r>
          </w:p>
        </w:tc>
        <w:tc>
          <w:tcPr>
            <w:tcW w:type="dxa" w:w="5726"/>
          </w:tcPr>
          <w:p>
            <w:pPr>
              <w:spacing w:after="40" w:before="40"/>
            </w:pPr>
            <w:r/>
            <w:r>
              <w:rPr>
                <w:rFonts w:ascii="Cambria" w:hAnsi="Cambria"/>
                <w:b w:val="0"/>
                <w:i w:val="0"/>
                <w:sz w:val="22"/>
              </w:rPr>
              <w:t>Procuring equipment, consumables, or materials without purchase order approval.</w:t>
            </w:r>
          </w:p>
        </w:tc>
      </w:tr>
    </w:tbl>
    <w:p>
      <w:pPr>
        <w:spacing w:after="40"/>
      </w:pPr>
    </w:p>
    <w:p>
      <w:pPr>
        <w:pStyle w:val="ListBullet"/>
        <w:spacing w:line="276" w:lineRule="auto"/>
        <w:ind w:left="510"/>
      </w:pPr>
      <w:r>
        <w:rPr>
          <w:rFonts w:ascii="Cambria" w:hAnsi="Cambria"/>
          <w:b w:val="0"/>
          <w:i w:val="0"/>
          <w:sz w:val="22"/>
        </w:rPr>
        <w:t>Bypassing tender or quotation processes.</w:t>
      </w:r>
    </w:p>
    <w:p>
      <w:pPr>
        <w:pStyle w:val="ListBullet"/>
        <w:spacing w:line="276" w:lineRule="auto"/>
        <w:ind w:left="510"/>
      </w:pPr>
      <w:r>
        <w:rPr>
          <w:rFonts w:ascii="Cambria" w:hAnsi="Cambria"/>
          <w:b w:val="0"/>
          <w:i w:val="0"/>
          <w:sz w:val="22"/>
        </w:rPr>
        <w:t>Making payments or commitments in the University’s name without sanction.</w:t>
      </w:r>
    </w:p>
    <w:p>
      <w:r>
        <w:rPr>
          <w:rFonts w:ascii="Cambria" w:hAnsi="Cambria"/>
          <w:b/>
          <w:i w:val="0"/>
          <w:sz w:val="22"/>
        </w:rPr>
        <w:t>Unauthorized Sales or Disposal</w:t>
      </w:r>
    </w:p>
    <w:p>
      <w:pPr>
        <w:pStyle w:val="ListBullet"/>
        <w:spacing w:line="276" w:lineRule="auto"/>
        <w:ind w:left="510"/>
      </w:pPr>
      <w:r>
        <w:rPr>
          <w:rFonts w:ascii="Cambria" w:hAnsi="Cambria"/>
          <w:b w:val="0"/>
          <w:i w:val="0"/>
          <w:sz w:val="22"/>
        </w:rPr>
        <w:t>Selling or transferring University assets, furniture, or scrap material without approval.</w:t>
      </w:r>
    </w:p>
    <w:p>
      <w:pPr>
        <w:pStyle w:val="ListBullet"/>
        <w:spacing w:line="276" w:lineRule="auto"/>
        <w:ind w:left="510"/>
      </w:pPr>
      <w:r>
        <w:rPr>
          <w:rFonts w:ascii="Cambria" w:hAnsi="Cambria"/>
          <w:b w:val="0"/>
          <w:i w:val="0"/>
          <w:sz w:val="22"/>
        </w:rPr>
        <w:t>Handing over machinery, computers, or other property to third parties.</w:t>
      </w:r>
    </w:p>
    <w:p>
      <w:pPr>
        <w:pStyle w:val="ListBullet"/>
        <w:spacing w:line="276" w:lineRule="auto"/>
        <w:ind w:left="510"/>
      </w:pPr>
      <w:r>
        <w:rPr>
          <w:rFonts w:ascii="Cambria" w:hAnsi="Cambria"/>
          <w:b w:val="0"/>
          <w:i w:val="0"/>
          <w:sz w:val="22"/>
        </w:rPr>
        <w:t>Disposing of old equipment or stores without documentation or committee approval.</w:t>
      </w:r>
    </w:p>
    <w:p>
      <w:r>
        <w:rPr>
          <w:rFonts w:ascii="Cambria" w:hAnsi="Cambria"/>
          <w:b/>
          <w:i w:val="0"/>
          <w:sz w:val="22"/>
        </w:rPr>
        <w:t>Misuse of University Name</w:t>
      </w:r>
    </w:p>
    <w:p>
      <w:pPr>
        <w:pStyle w:val="ListBullet"/>
        <w:spacing w:line="276" w:lineRule="auto"/>
        <w:ind w:left="510"/>
      </w:pPr>
      <w:r>
        <w:rPr>
          <w:rFonts w:ascii="Cambria" w:hAnsi="Cambria"/>
          <w:b w:val="0"/>
          <w:i w:val="0"/>
          <w:sz w:val="22"/>
        </w:rPr>
        <w:t>Entering into agreements or quotations with vendors using the University’s name for personal gain.</w:t>
      </w:r>
    </w:p>
    <w:p>
      <w:pPr>
        <w:pStyle w:val="ListBullet"/>
        <w:spacing w:line="276" w:lineRule="auto"/>
        <w:ind w:left="510"/>
      </w:pPr>
      <w:r>
        <w:rPr>
          <w:rFonts w:ascii="Cambria" w:hAnsi="Cambria"/>
          <w:b w:val="0"/>
          <w:i w:val="0"/>
          <w:sz w:val="22"/>
        </w:rPr>
        <w:t>Issuing purchase orders or invoices unauthorisedly in the institution’s name.</w:t>
      </w:r>
    </w:p>
    <w:p>
      <w:r>
        <w:rPr>
          <w:rFonts w:ascii="Cambria" w:hAnsi="Cambria"/>
          <w:b/>
          <w:i w:val="0"/>
          <w:sz w:val="22"/>
        </w:rPr>
        <w:t>Conflict of Interest</w:t>
      </w:r>
    </w:p>
    <w:p>
      <w:pPr>
        <w:pStyle w:val="ListBullet"/>
        <w:spacing w:line="276" w:lineRule="auto"/>
        <w:ind w:left="510"/>
      </w:pPr>
      <w:r>
        <w:rPr>
          <w:rFonts w:ascii="Cambria" w:hAnsi="Cambria"/>
          <w:b w:val="0"/>
          <w:i w:val="0"/>
          <w:sz w:val="22"/>
        </w:rPr>
        <w:t>Buying from or selling to companies owned by the employee or relatives.</w:t>
      </w:r>
    </w:p>
    <w:p>
      <w:pPr>
        <w:pStyle w:val="ListBullet"/>
        <w:spacing w:line="276" w:lineRule="auto"/>
        <w:ind w:left="510"/>
      </w:pPr>
      <w:r>
        <w:rPr>
          <w:rFonts w:ascii="Cambria" w:hAnsi="Cambria"/>
          <w:b w:val="0"/>
          <w:i w:val="0"/>
          <w:sz w:val="22"/>
        </w:rPr>
        <w:t>Using University authority to secure discounts, commissions, or personal benefit.</w:t>
      </w:r>
    </w:p>
    <w:p>
      <w:r>
        <w:rPr>
          <w:rFonts w:ascii="Cambria" w:hAnsi="Cambria"/>
          <w:b/>
          <w:i w:val="0"/>
          <w:sz w:val="22"/>
        </w:rPr>
        <w:t>3. AUTHORIZED PROCESS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Action</w:t>
            </w:r>
          </w:p>
        </w:tc>
        <w:tc>
          <w:tcPr>
            <w:tcW w:type="dxa" w:w="5726"/>
            <w:shd w:val="clear" w:color="auto" w:fill="1F3A5F"/>
          </w:tcPr>
          <w:p>
            <w:pPr>
              <w:spacing w:after="40" w:before="40"/>
            </w:pPr>
            <w:r/>
            <w:r>
              <w:rPr>
                <w:rFonts w:ascii="Cambria" w:hAnsi="Cambria"/>
                <w:b/>
                <w:i w:val="0"/>
                <w:color w:val="FFFFFF"/>
                <w:sz w:val="22"/>
              </w:rPr>
              <w:t>Approval Authority</w:t>
            </w:r>
          </w:p>
        </w:tc>
      </w:tr>
      <w:tr>
        <w:tc>
          <w:tcPr>
            <w:tcW w:type="dxa" w:w="3685"/>
          </w:tcPr>
          <w:p>
            <w:pPr>
              <w:spacing w:after="40" w:before="40"/>
            </w:pPr>
            <w:r/>
            <w:r>
              <w:rPr>
                <w:rFonts w:ascii="Cambria" w:hAnsi="Cambria"/>
                <w:b w:val="0"/>
                <w:i w:val="0"/>
                <w:sz w:val="22"/>
              </w:rPr>
              <w:t>Purchase of goods/equipment</w:t>
            </w:r>
          </w:p>
        </w:tc>
        <w:tc>
          <w:tcPr>
            <w:tcW w:type="dxa" w:w="5726"/>
          </w:tcPr>
          <w:p>
            <w:pPr>
              <w:spacing w:after="40" w:before="40"/>
            </w:pPr>
            <w:r/>
            <w:r>
              <w:rPr>
                <w:rFonts w:ascii="Cambria" w:hAnsi="Cambria"/>
                <w:b w:val="0"/>
                <w:i w:val="0"/>
                <w:sz w:val="22"/>
              </w:rPr>
              <w:t>Head of Department → Registrar → Finance Officer → Vice Chancellor (for value exceeding prescribed limit).</w:t>
            </w:r>
          </w:p>
        </w:tc>
      </w:tr>
      <w:tr>
        <w:tc>
          <w:tcPr>
            <w:tcW w:type="dxa" w:w="3685"/>
            <w:shd w:val="clear" w:color="auto" w:fill="F0F2F5"/>
          </w:tcPr>
          <w:p>
            <w:pPr>
              <w:spacing w:after="40" w:before="40"/>
            </w:pPr>
            <w:r/>
            <w:r>
              <w:rPr>
                <w:rFonts w:ascii="Cambria" w:hAnsi="Cambria"/>
                <w:b w:val="0"/>
                <w:i w:val="0"/>
                <w:sz w:val="22"/>
              </w:rPr>
              <w:t>Sale / Disposal of assets</w:t>
            </w:r>
          </w:p>
        </w:tc>
        <w:tc>
          <w:tcPr>
            <w:tcW w:type="dxa" w:w="5726"/>
            <w:shd w:val="clear" w:color="auto" w:fill="F0F2F5"/>
          </w:tcPr>
          <w:p>
            <w:pPr>
              <w:spacing w:after="40" w:before="40"/>
            </w:pPr>
            <w:r/>
            <w:r>
              <w:rPr>
                <w:rFonts w:ascii="Cambria" w:hAnsi="Cambria"/>
                <w:b w:val="0"/>
                <w:i w:val="0"/>
                <w:sz w:val="22"/>
              </w:rPr>
              <w:t>Registrar / Purchase Committee with approval of the Finance Committee or Board of Management.</w:t>
            </w:r>
          </w:p>
        </w:tc>
      </w:tr>
      <w:tr>
        <w:tc>
          <w:tcPr>
            <w:tcW w:type="dxa" w:w="3685"/>
          </w:tcPr>
          <w:p>
            <w:pPr>
              <w:spacing w:after="40" w:before="40"/>
            </w:pPr>
            <w:r/>
            <w:r>
              <w:rPr>
                <w:rFonts w:ascii="Cambria" w:hAnsi="Cambria"/>
                <w:b w:val="0"/>
                <w:i w:val="0"/>
                <w:sz w:val="22"/>
              </w:rPr>
              <w:t>Procurement under research or sponsored projects</w:t>
            </w:r>
          </w:p>
        </w:tc>
        <w:tc>
          <w:tcPr>
            <w:tcW w:type="dxa" w:w="5726"/>
          </w:tcPr>
          <w:p>
            <w:pPr>
              <w:spacing w:after="40" w:before="40"/>
            </w:pPr>
            <w:r/>
            <w:r>
              <w:rPr>
                <w:rFonts w:ascii="Cambria" w:hAnsi="Cambria"/>
                <w:b w:val="0"/>
                <w:i w:val="0"/>
                <w:sz w:val="22"/>
              </w:rPr>
              <w:t>Principal Investigator with prior approval from Research Office / Registrar (Finance).</w:t>
            </w:r>
          </w:p>
        </w:tc>
      </w:tr>
    </w:tbl>
    <w:p>
      <w:pPr>
        <w:spacing w:after="40"/>
      </w:pPr>
    </w:p>
    <w:p>
      <w:pPr>
        <w:jc w:val="both"/>
      </w:pPr>
      <w:r>
        <w:rPr>
          <w:rFonts w:ascii="Cambria" w:hAnsi="Cambria"/>
          <w:i/>
          <w:sz w:val="22"/>
        </w:rPr>
        <w:t>All purchases and sales must be supported by proper documentation, quotations, comparative statements, approval notes, and receipts.</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Minor procedural lapse (without intent)</w:t>
            </w:r>
          </w:p>
        </w:tc>
        <w:tc>
          <w:tcPr>
            <w:tcW w:type="dxa" w:w="5726"/>
          </w:tcPr>
          <w:p>
            <w:pPr>
              <w:spacing w:after="40" w:before="40"/>
            </w:pPr>
            <w:r/>
            <w:r>
              <w:rPr>
                <w:rFonts w:ascii="Cambria" w:hAnsi="Cambria"/>
                <w:b w:val="0"/>
                <w:i w:val="0"/>
                <w:sz w:val="22"/>
              </w:rPr>
              <w:t>Written warning and re-training on procurement norms.</w:t>
            </w:r>
          </w:p>
        </w:tc>
      </w:tr>
      <w:tr>
        <w:tc>
          <w:tcPr>
            <w:tcW w:type="dxa" w:w="3685"/>
            <w:shd w:val="clear" w:color="auto" w:fill="F0F2F5"/>
          </w:tcPr>
          <w:p>
            <w:pPr>
              <w:spacing w:after="40" w:before="40"/>
            </w:pPr>
            <w:r/>
            <w:r>
              <w:rPr>
                <w:rFonts w:ascii="Cambria" w:hAnsi="Cambria"/>
                <w:b w:val="0"/>
                <w:i w:val="0"/>
                <w:sz w:val="22"/>
              </w:rPr>
              <w:t>Unauthorized purchase/sale below financial limit</w:t>
            </w:r>
          </w:p>
        </w:tc>
        <w:tc>
          <w:tcPr>
            <w:tcW w:type="dxa" w:w="5726"/>
            <w:shd w:val="clear" w:color="auto" w:fill="F0F2F5"/>
          </w:tcPr>
          <w:p>
            <w:pPr>
              <w:spacing w:after="40" w:before="40"/>
            </w:pPr>
            <w:r/>
            <w:r>
              <w:rPr>
                <w:rFonts w:ascii="Cambria" w:hAnsi="Cambria"/>
                <w:b w:val="0"/>
                <w:i w:val="0"/>
                <w:sz w:val="22"/>
              </w:rPr>
              <w:t>Recovery of amount, censure, or withholding of increment.</w:t>
            </w:r>
          </w:p>
        </w:tc>
      </w:tr>
      <w:tr>
        <w:tc>
          <w:tcPr>
            <w:tcW w:type="dxa" w:w="3685"/>
          </w:tcPr>
          <w:p>
            <w:pPr>
              <w:spacing w:after="40" w:before="40"/>
            </w:pPr>
            <w:r/>
            <w:r>
              <w:rPr>
                <w:rFonts w:ascii="Cambria" w:hAnsi="Cambria"/>
                <w:b w:val="0"/>
                <w:i w:val="0"/>
                <w:sz w:val="22"/>
              </w:rPr>
              <w:t>Major unauthorized transaction or sale of University property</w:t>
            </w:r>
          </w:p>
        </w:tc>
        <w:tc>
          <w:tcPr>
            <w:tcW w:type="dxa" w:w="5726"/>
          </w:tcPr>
          <w:p>
            <w:pPr>
              <w:spacing w:after="40" w:before="40"/>
            </w:pPr>
            <w:r/>
            <w:r>
              <w:rPr>
                <w:rFonts w:ascii="Cambria" w:hAnsi="Cambria"/>
                <w:b w:val="0"/>
                <w:i w:val="0"/>
                <w:sz w:val="22"/>
              </w:rPr>
              <w:t>Suspension pending inquiry, dismissal, and legal proceedings for fraud or misappropriation.</w:t>
            </w:r>
          </w:p>
        </w:tc>
      </w:tr>
      <w:tr>
        <w:tc>
          <w:tcPr>
            <w:tcW w:type="dxa" w:w="3685"/>
            <w:shd w:val="clear" w:color="auto" w:fill="F0F2F5"/>
          </w:tcPr>
          <w:p>
            <w:pPr>
              <w:spacing w:after="40" w:before="40"/>
            </w:pPr>
            <w:r/>
            <w:r>
              <w:rPr>
                <w:rFonts w:ascii="Cambria" w:hAnsi="Cambria"/>
                <w:b w:val="0"/>
                <w:i w:val="0"/>
                <w:sz w:val="22"/>
              </w:rPr>
              <w:t>Conflict of interest / fraudulent gain</w:t>
            </w:r>
          </w:p>
        </w:tc>
        <w:tc>
          <w:tcPr>
            <w:tcW w:type="dxa" w:w="5726"/>
            <w:shd w:val="clear" w:color="auto" w:fill="F0F2F5"/>
          </w:tcPr>
          <w:p>
            <w:pPr>
              <w:spacing w:after="40" w:before="40"/>
            </w:pPr>
            <w:r/>
            <w:r>
              <w:rPr>
                <w:rFonts w:ascii="Cambria" w:hAnsi="Cambria"/>
                <w:b w:val="0"/>
                <w:i w:val="0"/>
                <w:sz w:val="22"/>
              </w:rPr>
              <w:t>Termination from service and criminal prosecution under the Prevention of Corruption Act or relevant laws.</w:t>
            </w:r>
          </w:p>
        </w:tc>
      </w:tr>
    </w:tbl>
    <w:p>
      <w:pPr>
        <w:spacing w:after="40"/>
      </w:pPr>
    </w:p>
    <w:p>
      <w:r>
        <w:rPr>
          <w:rFonts w:ascii="Cambria" w:hAnsi="Cambria"/>
          <w:b/>
          <w:i w:val="0"/>
          <w:sz w:val="22"/>
        </w:rPr>
        <w:t>5. REPORTING AND COMPLIANCE MECHANISM</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Responsible Authority</w:t>
            </w:r>
          </w:p>
        </w:tc>
        <w:tc>
          <w:tcPr>
            <w:tcW w:type="dxa" w:w="5726"/>
            <w:shd w:val="clear" w:color="auto" w:fill="1F3A5F"/>
          </w:tcPr>
          <w:p>
            <w:pPr>
              <w:spacing w:after="40" w:before="40"/>
            </w:pPr>
            <w:r/>
            <w:r>
              <w:rPr>
                <w:rFonts w:ascii="Cambria" w:hAnsi="Cambria"/>
                <w:b/>
                <w:i w:val="0"/>
                <w:color w:val="FFFFFF"/>
                <w:sz w:val="22"/>
              </w:rPr>
              <w:t>Duties</w:t>
            </w:r>
          </w:p>
        </w:tc>
      </w:tr>
      <w:tr>
        <w:tc>
          <w:tcPr>
            <w:tcW w:type="dxa" w:w="3685"/>
          </w:tcPr>
          <w:p>
            <w:pPr>
              <w:spacing w:after="40" w:before="40"/>
            </w:pPr>
            <w:r/>
            <w:r>
              <w:rPr>
                <w:rFonts w:ascii="Cambria" w:hAnsi="Cambria"/>
                <w:b w:val="0"/>
                <w:i w:val="0"/>
                <w:sz w:val="22"/>
              </w:rPr>
              <w:t>Finance Officer / Registrar</w:t>
            </w:r>
          </w:p>
        </w:tc>
        <w:tc>
          <w:tcPr>
            <w:tcW w:type="dxa" w:w="5726"/>
          </w:tcPr>
          <w:p>
            <w:pPr>
              <w:spacing w:after="40" w:before="40"/>
            </w:pPr>
            <w:r/>
            <w:r>
              <w:rPr>
                <w:rFonts w:ascii="Cambria" w:hAnsi="Cambria"/>
                <w:b w:val="0"/>
                <w:i w:val="0"/>
                <w:sz w:val="22"/>
              </w:rPr>
              <w:t>Verify that all purchases, sales, and disposals follow institutional and statutory procedures.</w:t>
            </w:r>
          </w:p>
        </w:tc>
      </w:tr>
      <w:tr>
        <w:tc>
          <w:tcPr>
            <w:tcW w:type="dxa" w:w="3685"/>
            <w:shd w:val="clear" w:color="auto" w:fill="F0F2F5"/>
          </w:tcPr>
          <w:p>
            <w:pPr>
              <w:spacing w:after="40" w:before="40"/>
            </w:pPr>
            <w:r/>
            <w:r>
              <w:rPr>
                <w:rFonts w:ascii="Cambria" w:hAnsi="Cambria"/>
                <w:b w:val="0"/>
                <w:i w:val="0"/>
                <w:sz w:val="22"/>
              </w:rPr>
              <w:t>Internal Audit Committee</w:t>
            </w:r>
          </w:p>
        </w:tc>
        <w:tc>
          <w:tcPr>
            <w:tcW w:type="dxa" w:w="5726"/>
            <w:shd w:val="clear" w:color="auto" w:fill="F0F2F5"/>
          </w:tcPr>
          <w:p>
            <w:pPr>
              <w:spacing w:after="40" w:before="40"/>
            </w:pPr>
            <w:r/>
            <w:r>
              <w:rPr>
                <w:rFonts w:ascii="Cambria" w:hAnsi="Cambria"/>
                <w:b w:val="0"/>
                <w:i w:val="0"/>
                <w:sz w:val="22"/>
              </w:rPr>
              <w:t>Conduct periodic audits of purchase and disposal records.</w:t>
            </w:r>
          </w:p>
        </w:tc>
      </w:tr>
      <w:tr>
        <w:tc>
          <w:tcPr>
            <w:tcW w:type="dxa" w:w="3685"/>
          </w:tcPr>
          <w:p>
            <w:pPr>
              <w:spacing w:after="40" w:before="40"/>
            </w:pPr>
            <w:r/>
            <w:r>
              <w:rPr>
                <w:rFonts w:ascii="Cambria" w:hAnsi="Cambria"/>
                <w:b w:val="0"/>
                <w:i w:val="0"/>
                <w:sz w:val="22"/>
              </w:rPr>
              <w:t>Heads of Departments</w:t>
            </w:r>
          </w:p>
        </w:tc>
        <w:tc>
          <w:tcPr>
            <w:tcW w:type="dxa" w:w="5726"/>
          </w:tcPr>
          <w:p>
            <w:pPr>
              <w:spacing w:after="40" w:before="40"/>
            </w:pPr>
            <w:r/>
            <w:r>
              <w:rPr>
                <w:rFonts w:ascii="Cambria" w:hAnsi="Cambria"/>
                <w:b w:val="0"/>
                <w:i w:val="0"/>
                <w:sz w:val="22"/>
              </w:rPr>
              <w:t>Ensure departmental compliance with procurement and asset management norms.</w:t>
            </w:r>
          </w:p>
        </w:tc>
      </w:tr>
      <w:tr>
        <w:tc>
          <w:tcPr>
            <w:tcW w:type="dxa" w:w="3685"/>
            <w:shd w:val="clear" w:color="auto" w:fill="F0F2F5"/>
          </w:tcPr>
          <w:p>
            <w:pPr>
              <w:spacing w:after="40" w:before="40"/>
            </w:pPr>
            <w:r/>
            <w:r>
              <w:rPr>
                <w:rFonts w:ascii="Cambria" w:hAnsi="Cambria"/>
                <w:b w:val="0"/>
                <w:i w:val="0"/>
                <w:sz w:val="22"/>
              </w:rPr>
              <w:t>Employees</w:t>
            </w:r>
          </w:p>
        </w:tc>
        <w:tc>
          <w:tcPr>
            <w:tcW w:type="dxa" w:w="5726"/>
            <w:shd w:val="clear" w:color="auto" w:fill="F0F2F5"/>
          </w:tcPr>
          <w:p>
            <w:pPr>
              <w:spacing w:after="40" w:before="40"/>
            </w:pPr>
            <w:r/>
            <w:r>
              <w:rPr>
                <w:rFonts w:ascii="Cambria" w:hAnsi="Cambria"/>
                <w:b w:val="0"/>
                <w:i w:val="0"/>
                <w:sz w:val="22"/>
              </w:rPr>
              <w:t>Report any suspected unauthorized transactions immediately to the competent authority.</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All University financial and material assets are public property held in trust for academic and societal purposes.</w:t>
      </w:r>
    </w:p>
    <w:p>
      <w:pPr>
        <w:pStyle w:val="ListBullet"/>
        <w:spacing w:line="276" w:lineRule="auto"/>
        <w:ind w:left="510"/>
      </w:pPr>
      <w:r>
        <w:rPr>
          <w:rFonts w:ascii="Cambria" w:hAnsi="Cambria"/>
          <w:b w:val="0"/>
          <w:i w:val="0"/>
          <w:sz w:val="22"/>
        </w:rPr>
        <w:t>Unauthorized purchase or sale is a serious breach of fiduciary responsibility and institutional ethics.</w:t>
      </w:r>
    </w:p>
    <w:p>
      <w:pPr>
        <w:pStyle w:val="ListBullet"/>
        <w:spacing w:line="276" w:lineRule="auto"/>
        <w:ind w:left="510"/>
      </w:pPr>
      <w:r>
        <w:rPr>
          <w:rFonts w:ascii="Cambria" w:hAnsi="Cambria"/>
          <w:b w:val="0"/>
          <w:i w:val="0"/>
          <w:sz w:val="22"/>
        </w:rPr>
        <w:t>Transparency and documentation are mandatory in every transaction.</w:t>
      </w:r>
    </w:p>
    <w:p>
      <w:pPr>
        <w:pStyle w:val="ListBullet"/>
        <w:spacing w:line="276" w:lineRule="auto"/>
        <w:ind w:left="510"/>
      </w:pPr>
      <w:r>
        <w:rPr>
          <w:rFonts w:ascii="Cambria" w:hAnsi="Cambria"/>
          <w:b w:val="0"/>
          <w:i w:val="0"/>
          <w:sz w:val="22"/>
        </w:rPr>
        <w:t>Any loss or damage caused by such misconduct will be recovered in full from the erring employee.</w:t>
      </w:r>
    </w:p>
    <w:p>
      <w:pPr>
        <w:pStyle w:val="ListBullet"/>
        <w:spacing w:line="276" w:lineRule="auto"/>
        <w:ind w:left="510"/>
      </w:pPr>
      <w:r>
        <w:rPr>
          <w:rFonts w:ascii="Cambria" w:hAnsi="Cambria"/>
          <w:b w:val="0"/>
          <w:i w:val="0"/>
          <w:sz w:val="22"/>
        </w:rPr>
        <w:t>The Board of Management’s (BoM) decision on interpretation, penalty, or appeal shall be final and binding.</w:t>
      </w:r>
    </w:p>
    <w:p>
      <w:pPr>
        <w:keepNext/>
        <w:spacing w:before="200" w:after="120"/>
      </w:pPr>
      <w:r>
        <w:rPr>
          <w:rFonts w:ascii="Cambria" w:hAnsi="Cambria"/>
          <w:b/>
          <w:color w:val="1F3A5F"/>
          <w:sz w:val="27"/>
        </w:rPr>
        <w:t>Policy on Submission or Propagation of False Information About the University, Authorities, or Employees</w:t>
      </w:r>
    </w:p>
    <w:p>
      <w:r>
        <w:rPr>
          <w:rFonts w:ascii="Cambria" w:hAnsi="Cambria"/>
          <w:b/>
          <w:i w:val="0"/>
          <w:sz w:val="22"/>
        </w:rPr>
        <w:t>I. PURPOSE</w:t>
      </w:r>
    </w:p>
    <w:p>
      <w:pPr>
        <w:pStyle w:val="ListBullet"/>
        <w:spacing w:line="276" w:lineRule="auto"/>
        <w:ind w:left="510"/>
      </w:pPr>
      <w:r>
        <w:rPr>
          <w:rFonts w:ascii="Cambria" w:hAnsi="Cambria"/>
          <w:b w:val="0"/>
          <w:i w:val="0"/>
          <w:sz w:val="22"/>
        </w:rPr>
        <w:t>To preserve the integrity, credibility, and reputation of the University and its members.</w:t>
      </w:r>
    </w:p>
    <w:p>
      <w:pPr>
        <w:pStyle w:val="ListBullet"/>
        <w:spacing w:line="276" w:lineRule="auto"/>
        <w:ind w:left="510"/>
      </w:pPr>
      <w:r>
        <w:rPr>
          <w:rFonts w:ascii="Cambria" w:hAnsi="Cambria"/>
          <w:b w:val="0"/>
          <w:i w:val="0"/>
          <w:sz w:val="22"/>
        </w:rPr>
        <w:t>To prevent the spread of misinformation, false statements, or defamatory content that may harm the institution, its authorities, or employees.</w:t>
      </w:r>
    </w:p>
    <w:p>
      <w:pPr>
        <w:pStyle w:val="ListBullet"/>
        <w:spacing w:line="276" w:lineRule="auto"/>
        <w:ind w:left="510"/>
      </w:pPr>
      <w:r>
        <w:rPr>
          <w:rFonts w:ascii="Cambria" w:hAnsi="Cambria"/>
          <w:b w:val="0"/>
          <w:i w:val="0"/>
          <w:sz w:val="22"/>
        </w:rPr>
        <w:t>To promote a culture of truthfulness, accountability, and respect in all communications — written, verbal, or digital.</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Submission or propagation of false information refers to the act of intentionally or negligently creating, circulating, or sharing false, misleading, or unverified information related to the University, its authorities, employees, or policies — whether in writing, speech, or through electronic/digital media.</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applies to all employees of the University — teaching, non-teaching, technical, administrative, or contractual — and extends to communications within and outside the institution.</w:t>
            </w:r>
          </w:p>
        </w:tc>
      </w:tr>
    </w:tbl>
    <w:p>
      <w:pPr>
        <w:spacing w:after="40"/>
      </w:pPr>
    </w:p>
    <w:p>
      <w:r>
        <w:rPr>
          <w:rFonts w:ascii="Cambria" w:hAnsi="Cambria"/>
          <w:b/>
          <w:i w:val="0"/>
          <w:sz w:val="22"/>
        </w:rPr>
        <w:t>Prohibition</w:t>
      </w:r>
      <w:r>
        <w:rPr>
          <w:rFonts w:ascii="Cambria" w:hAnsi="Cambria"/>
          <w:b w:val="0"/>
          <w:i w:val="0"/>
          <w:sz w:val="22"/>
        </w:rPr>
        <w:t>: No employee shall submit, circulate, or propagate any false or defamatory information about:</w:t>
      </w:r>
    </w:p>
    <w:p>
      <w:pPr>
        <w:spacing w:line="276" w:lineRule="auto"/>
        <w:ind w:left="357" w:hanging="357"/>
      </w:pPr>
      <w:r>
        <w:rPr>
          <w:rFonts w:ascii="Cambria" w:hAnsi="Cambria"/>
          <w:b w:val="0"/>
          <w:i w:val="0"/>
          <w:sz w:val="22"/>
        </w:rPr>
        <w:t xml:space="preserve">1. </w:t>
      </w:r>
      <w:r>
        <w:rPr>
          <w:rFonts w:ascii="Cambria" w:hAnsi="Cambria"/>
          <w:b w:val="0"/>
          <w:i w:val="0"/>
          <w:sz w:val="22"/>
        </w:rPr>
        <w:t>The University or its affiliated institutions;</w:t>
      </w:r>
    </w:p>
    <w:p>
      <w:pPr>
        <w:spacing w:line="276" w:lineRule="auto"/>
        <w:ind w:left="357" w:hanging="357"/>
      </w:pPr>
      <w:r>
        <w:rPr>
          <w:rFonts w:ascii="Cambria" w:hAnsi="Cambria"/>
          <w:b w:val="0"/>
          <w:i w:val="0"/>
          <w:sz w:val="22"/>
        </w:rPr>
        <w:t xml:space="preserve">2. </w:t>
      </w:r>
      <w:r>
        <w:rPr>
          <w:rFonts w:ascii="Cambria" w:hAnsi="Cambria"/>
          <w:b w:val="0"/>
          <w:i w:val="0"/>
          <w:sz w:val="22"/>
        </w:rPr>
        <w:t>Any authority, office, or governing body;</w:t>
      </w:r>
    </w:p>
    <w:p>
      <w:pPr>
        <w:spacing w:line="276" w:lineRule="auto"/>
        <w:ind w:left="357" w:hanging="357"/>
      </w:pPr>
      <w:r>
        <w:rPr>
          <w:rFonts w:ascii="Cambria" w:hAnsi="Cambria"/>
          <w:b w:val="0"/>
          <w:i w:val="0"/>
          <w:sz w:val="22"/>
        </w:rPr>
        <w:t xml:space="preserve">3. </w:t>
      </w:r>
      <w:r>
        <w:rPr>
          <w:rFonts w:ascii="Cambria" w:hAnsi="Cambria"/>
          <w:b w:val="0"/>
          <w:i w:val="0"/>
          <w:sz w:val="22"/>
        </w:rPr>
        <w:t>Any employee, colleague, or department.</w:t>
      </w:r>
    </w:p>
    <w:p>
      <w:pPr>
        <w:jc w:val="both"/>
      </w:pPr>
      <w:r>
        <w:rPr>
          <w:rFonts w:ascii="Cambria" w:hAnsi="Cambria"/>
          <w:i w:val="0"/>
          <w:sz w:val="22"/>
        </w:rPr>
        <w:t>Violation constitutes gross misconduct and will attract disciplinary action.</w:t>
      </w: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Submission of False Information</w:t>
            </w:r>
          </w:p>
        </w:tc>
        <w:tc>
          <w:tcPr>
            <w:tcW w:type="dxa" w:w="5726"/>
          </w:tcPr>
          <w:p>
            <w:pPr>
              <w:spacing w:after="40" w:before="40"/>
            </w:pPr>
            <w:r/>
            <w:r>
              <w:rPr>
                <w:rFonts w:ascii="Cambria" w:hAnsi="Cambria"/>
                <w:b w:val="0"/>
                <w:i w:val="0"/>
                <w:sz w:val="22"/>
              </w:rPr>
              <w:t>Providing false data, certificates, or credentials in official documents, applications, or reports.</w:t>
            </w:r>
          </w:p>
        </w:tc>
      </w:tr>
    </w:tbl>
    <w:p>
      <w:pPr>
        <w:spacing w:after="40"/>
      </w:pPr>
    </w:p>
    <w:p>
      <w:pPr>
        <w:pStyle w:val="ListBullet"/>
        <w:spacing w:line="276" w:lineRule="auto"/>
        <w:ind w:left="510"/>
      </w:pPr>
      <w:r>
        <w:rPr>
          <w:rFonts w:ascii="Cambria" w:hAnsi="Cambria"/>
          <w:b w:val="0"/>
          <w:i w:val="0"/>
          <w:sz w:val="22"/>
        </w:rPr>
        <w:t>Misrepresenting academic, research, or service records.</w:t>
      </w:r>
    </w:p>
    <w:p>
      <w:pPr>
        <w:pStyle w:val="ListBullet"/>
        <w:spacing w:line="276" w:lineRule="auto"/>
        <w:ind w:left="510"/>
      </w:pPr>
      <w:r>
        <w:rPr>
          <w:rFonts w:ascii="Cambria" w:hAnsi="Cambria"/>
          <w:b w:val="0"/>
          <w:i w:val="0"/>
          <w:sz w:val="22"/>
        </w:rPr>
        <w:t>Submitting incorrect information intentionally to influence decisions or gain benefits.</w:t>
      </w:r>
    </w:p>
    <w:p>
      <w:r>
        <w:rPr>
          <w:rFonts w:ascii="Cambria" w:hAnsi="Cambria"/>
          <w:b/>
          <w:i w:val="0"/>
          <w:sz w:val="22"/>
        </w:rPr>
        <w:t>Propagation of False Information</w:t>
      </w:r>
    </w:p>
    <w:p>
      <w:pPr>
        <w:pStyle w:val="ListBullet"/>
        <w:spacing w:line="276" w:lineRule="auto"/>
        <w:ind w:left="510"/>
      </w:pPr>
      <w:r>
        <w:rPr>
          <w:rFonts w:ascii="Cambria" w:hAnsi="Cambria"/>
          <w:b w:val="0"/>
          <w:i w:val="0"/>
          <w:sz w:val="22"/>
        </w:rPr>
        <w:t>Spreading unverified rumors or false allegations about University management, staff, or policies.</w:t>
      </w:r>
    </w:p>
    <w:p>
      <w:pPr>
        <w:pStyle w:val="ListBullet"/>
        <w:spacing w:line="276" w:lineRule="auto"/>
        <w:ind w:left="510"/>
      </w:pPr>
      <w:r>
        <w:rPr>
          <w:rFonts w:ascii="Cambria" w:hAnsi="Cambria"/>
          <w:b w:val="0"/>
          <w:i w:val="0"/>
          <w:sz w:val="22"/>
        </w:rPr>
        <w:t>Making defamatory statements in meetings, emails, WhatsApp groups, or social media.</w:t>
      </w:r>
    </w:p>
    <w:p>
      <w:pPr>
        <w:pStyle w:val="ListBullet"/>
        <w:spacing w:line="276" w:lineRule="auto"/>
        <w:ind w:left="510"/>
      </w:pPr>
      <w:r>
        <w:rPr>
          <w:rFonts w:ascii="Cambria" w:hAnsi="Cambria"/>
          <w:b w:val="0"/>
          <w:i w:val="0"/>
          <w:sz w:val="22"/>
        </w:rPr>
        <w:t>Misleading external agencies, accreditation bodies, or the public about institutional matters.</w:t>
      </w:r>
    </w:p>
    <w:p>
      <w:r>
        <w:rPr>
          <w:rFonts w:ascii="Cambria" w:hAnsi="Cambria"/>
          <w:b/>
          <w:i w:val="0"/>
          <w:sz w:val="22"/>
        </w:rPr>
        <w:t>Digital / Media Misuse</w:t>
      </w:r>
    </w:p>
    <w:p>
      <w:pPr>
        <w:pStyle w:val="ListBullet"/>
        <w:spacing w:line="276" w:lineRule="auto"/>
        <w:ind w:left="510"/>
      </w:pPr>
      <w:r>
        <w:rPr>
          <w:rFonts w:ascii="Cambria" w:hAnsi="Cambria"/>
          <w:b w:val="0"/>
          <w:i w:val="0"/>
          <w:sz w:val="22"/>
        </w:rPr>
        <w:t>Posting or forwarding defamatory or misleading content about University activities, faculty, or staff.</w:t>
      </w:r>
    </w:p>
    <w:p>
      <w:pPr>
        <w:pStyle w:val="ListBullet"/>
        <w:spacing w:line="276" w:lineRule="auto"/>
        <w:ind w:left="510"/>
      </w:pPr>
      <w:r>
        <w:rPr>
          <w:rFonts w:ascii="Cambria" w:hAnsi="Cambria"/>
          <w:b w:val="0"/>
          <w:i w:val="0"/>
          <w:sz w:val="22"/>
        </w:rPr>
        <w:t>Circulating altered or fake documents, images, or communications in University groups or public forums.</w:t>
      </w:r>
    </w:p>
    <w:p>
      <w:r>
        <w:rPr>
          <w:rFonts w:ascii="Cambria" w:hAnsi="Cambria"/>
          <w:b/>
          <w:i w:val="0"/>
          <w:sz w:val="22"/>
        </w:rPr>
        <w:t>3.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Minor (negligent, first-time)</w:t>
            </w:r>
          </w:p>
        </w:tc>
        <w:tc>
          <w:tcPr>
            <w:tcW w:type="dxa" w:w="5726"/>
          </w:tcPr>
          <w:p>
            <w:pPr>
              <w:spacing w:after="40" w:before="40"/>
            </w:pPr>
            <w:r/>
            <w:r>
              <w:rPr>
                <w:rFonts w:ascii="Cambria" w:hAnsi="Cambria"/>
                <w:b w:val="0"/>
                <w:i w:val="0"/>
                <w:sz w:val="22"/>
              </w:rPr>
              <w:t>Written warning and counseling, with instructions to issue a formal clarification or apology.</w:t>
            </w:r>
          </w:p>
        </w:tc>
      </w:tr>
      <w:tr>
        <w:tc>
          <w:tcPr>
            <w:tcW w:type="dxa" w:w="3685"/>
            <w:shd w:val="clear" w:color="auto" w:fill="F0F2F5"/>
          </w:tcPr>
          <w:p>
            <w:pPr>
              <w:spacing w:after="40" w:before="40"/>
            </w:pPr>
            <w:r/>
            <w:r>
              <w:rPr>
                <w:rFonts w:ascii="Cambria" w:hAnsi="Cambria"/>
                <w:b w:val="0"/>
                <w:i w:val="0"/>
                <w:sz w:val="22"/>
              </w:rPr>
              <w:t>Intentional or repeated misinformation</w:t>
            </w:r>
          </w:p>
        </w:tc>
        <w:tc>
          <w:tcPr>
            <w:tcW w:type="dxa" w:w="5726"/>
            <w:shd w:val="clear" w:color="auto" w:fill="F0F2F5"/>
          </w:tcPr>
          <w:p>
            <w:pPr>
              <w:spacing w:after="40" w:before="40"/>
            </w:pPr>
            <w:r/>
            <w:r>
              <w:rPr>
                <w:rFonts w:ascii="Cambria" w:hAnsi="Cambria"/>
                <w:b w:val="0"/>
                <w:i w:val="0"/>
                <w:sz w:val="22"/>
              </w:rPr>
              <w:t>Suspension pending inquiry; withholding of increment or reduction in rank.</w:t>
            </w:r>
          </w:p>
        </w:tc>
      </w:tr>
      <w:tr>
        <w:tc>
          <w:tcPr>
            <w:tcW w:type="dxa" w:w="3685"/>
          </w:tcPr>
          <w:p>
            <w:pPr>
              <w:spacing w:after="40" w:before="40"/>
            </w:pPr>
            <w:r/>
            <w:r>
              <w:rPr>
                <w:rFonts w:ascii="Cambria" w:hAnsi="Cambria"/>
                <w:b w:val="0"/>
                <w:i w:val="0"/>
                <w:sz w:val="22"/>
              </w:rPr>
              <w:t>Defamatory or malicious act (causing reputational harm)</w:t>
            </w:r>
          </w:p>
        </w:tc>
        <w:tc>
          <w:tcPr>
            <w:tcW w:type="dxa" w:w="5726"/>
          </w:tcPr>
          <w:p>
            <w:pPr>
              <w:spacing w:after="40" w:before="40"/>
            </w:pPr>
            <w:r/>
            <w:r>
              <w:rPr>
                <w:rFonts w:ascii="Cambria" w:hAnsi="Cambria"/>
                <w:b w:val="0"/>
                <w:i w:val="0"/>
                <w:sz w:val="22"/>
              </w:rPr>
              <w:t>Major penalty — dismissal from service and initiation of legal proceedings under defamation or cyber laws.</w:t>
            </w:r>
          </w:p>
        </w:tc>
      </w:tr>
      <w:tr>
        <w:tc>
          <w:tcPr>
            <w:tcW w:type="dxa" w:w="3685"/>
            <w:shd w:val="clear" w:color="auto" w:fill="F0F2F5"/>
          </w:tcPr>
          <w:p>
            <w:pPr>
              <w:spacing w:after="40" w:before="40"/>
            </w:pPr>
            <w:r/>
            <w:r>
              <w:rPr>
                <w:rFonts w:ascii="Cambria" w:hAnsi="Cambria"/>
                <w:b w:val="0"/>
                <w:i w:val="0"/>
                <w:sz w:val="22"/>
              </w:rPr>
              <w:t>Use of digital media to defame the institution</w:t>
            </w:r>
          </w:p>
        </w:tc>
        <w:tc>
          <w:tcPr>
            <w:tcW w:type="dxa" w:w="5726"/>
            <w:shd w:val="clear" w:color="auto" w:fill="F0F2F5"/>
          </w:tcPr>
          <w:p>
            <w:pPr>
              <w:spacing w:after="40" w:before="40"/>
            </w:pPr>
            <w:r/>
            <w:r>
              <w:rPr>
                <w:rFonts w:ascii="Cambria" w:hAnsi="Cambria"/>
                <w:b w:val="0"/>
                <w:i w:val="0"/>
                <w:sz w:val="22"/>
              </w:rPr>
              <w:t>Termination of service, blacklisting, and reporting to law enforcement authorities.</w:t>
            </w:r>
          </w:p>
        </w:tc>
      </w:tr>
    </w:tbl>
    <w:p>
      <w:pPr>
        <w:spacing w:after="40"/>
      </w:pPr>
    </w:p>
    <w:p>
      <w:r>
        <w:rPr>
          <w:rFonts w:ascii="Cambria" w:hAnsi="Cambria"/>
          <w:b/>
          <w:i w:val="0"/>
          <w:sz w:val="22"/>
        </w:rPr>
        <w:t>4.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Any instance of false or defamatory communication shall be reported to the Registrar / Vice Chancellor with documented evidence (emails, screenshots, messages, etc.).</w:t>
            </w:r>
          </w:p>
        </w:tc>
      </w:tr>
      <w:tr>
        <w:tc>
          <w:tcPr>
            <w:tcW w:type="dxa" w:w="3685"/>
            <w:shd w:val="clear" w:color="auto" w:fill="F0F2F5"/>
          </w:tcPr>
          <w:p>
            <w:pPr>
              <w:spacing w:after="40" w:before="40"/>
            </w:pPr>
            <w:r/>
            <w:r>
              <w:rPr>
                <w:rFonts w:ascii="Cambria" w:hAnsi="Cambria"/>
                <w:b w:val="0"/>
                <w:i w:val="0"/>
                <w:sz w:val="22"/>
              </w:rPr>
              <w:t>2. Preliminary Verification</w:t>
            </w:r>
          </w:p>
        </w:tc>
        <w:tc>
          <w:tcPr>
            <w:tcW w:type="dxa" w:w="5726"/>
            <w:shd w:val="clear" w:color="auto" w:fill="F0F2F5"/>
          </w:tcPr>
          <w:p>
            <w:pPr>
              <w:spacing w:after="40" w:before="40"/>
            </w:pPr>
            <w:r/>
            <w:r>
              <w:rPr>
                <w:rFonts w:ascii="Cambria" w:hAnsi="Cambria"/>
                <w:b w:val="0"/>
                <w:i w:val="0"/>
                <w:sz w:val="22"/>
              </w:rPr>
              <w:t>A Disciplinary Subcommittee shall verify the authenticity and intention behind the act.</w:t>
            </w:r>
          </w:p>
        </w:tc>
      </w:tr>
      <w:tr>
        <w:tc>
          <w:tcPr>
            <w:tcW w:type="dxa" w:w="3685"/>
          </w:tcPr>
          <w:p>
            <w:pPr>
              <w:spacing w:after="40" w:before="40"/>
            </w:pPr>
            <w:r/>
            <w:r>
              <w:rPr>
                <w:rFonts w:ascii="Cambria" w:hAnsi="Cambria"/>
                <w:b w:val="0"/>
                <w:i w:val="0"/>
                <w:sz w:val="22"/>
              </w:rPr>
              <w:t>3. Inquiry</w:t>
            </w:r>
          </w:p>
        </w:tc>
        <w:tc>
          <w:tcPr>
            <w:tcW w:type="dxa" w:w="5726"/>
          </w:tcPr>
          <w:p>
            <w:pPr>
              <w:spacing w:after="40" w:before="40"/>
            </w:pPr>
            <w:r/>
            <w:r>
              <w:rPr>
                <w:rFonts w:ascii="Cambria" w:hAnsi="Cambria"/>
                <w:b w:val="0"/>
                <w:i w:val="0"/>
                <w:sz w:val="22"/>
              </w:rPr>
              <w:t>A formal inquiry will be conducted to establish whether the information was false, misleading, or defamatory, and whether it was shared intentionally.</w:t>
            </w:r>
          </w:p>
        </w:tc>
      </w:tr>
      <w:tr>
        <w:tc>
          <w:tcPr>
            <w:tcW w:type="dxa" w:w="3685"/>
            <w:shd w:val="clear" w:color="auto" w:fill="F0F2F5"/>
          </w:tcPr>
          <w:p>
            <w:pPr>
              <w:spacing w:after="40" w:before="40"/>
            </w:pPr>
            <w:r/>
            <w:r>
              <w:rPr>
                <w:rFonts w:ascii="Cambria" w:hAnsi="Cambria"/>
                <w:b w:val="0"/>
                <w:i w:val="0"/>
                <w:sz w:val="22"/>
              </w:rPr>
              <w:t>4. Decision and Action</w:t>
            </w:r>
          </w:p>
        </w:tc>
        <w:tc>
          <w:tcPr>
            <w:tcW w:type="dxa" w:w="5726"/>
            <w:shd w:val="clear" w:color="auto" w:fill="F0F2F5"/>
          </w:tcPr>
          <w:p>
            <w:pPr>
              <w:spacing w:after="40" w:before="40"/>
            </w:pPr>
            <w:r/>
            <w:r>
              <w:rPr>
                <w:rFonts w:ascii="Cambria" w:hAnsi="Cambria"/>
                <w:b w:val="0"/>
                <w:i w:val="0"/>
                <w:sz w:val="22"/>
              </w:rPr>
              <w:t>Based on inquiry findings, the competent authority (Vice Chancellor or BoM) shall impose disciplinary penalties proportionate to the severity of misconduct.</w:t>
            </w:r>
          </w:p>
        </w:tc>
      </w:tr>
    </w:tbl>
    <w:p>
      <w:pPr>
        <w:spacing w:after="40"/>
      </w:pPr>
    </w:p>
    <w:p>
      <w:r>
        <w:rPr>
          <w:rFonts w:ascii="Cambria" w:hAnsi="Cambria"/>
          <w:b/>
          <w:i w:val="0"/>
          <w:sz w:val="22"/>
        </w:rPr>
        <w:t>5. COMMUNICATION ETHICS AND RESPONSIBILITIES</w:t>
      </w:r>
    </w:p>
    <w:p>
      <w:pPr>
        <w:pStyle w:val="ListBullet"/>
        <w:spacing w:line="276" w:lineRule="auto"/>
        <w:ind w:left="510"/>
      </w:pPr>
      <w:r>
        <w:rPr>
          <w:rFonts w:ascii="Cambria" w:hAnsi="Cambria"/>
          <w:b w:val="0"/>
          <w:i w:val="0"/>
          <w:sz w:val="22"/>
        </w:rPr>
        <w:t>Employees must ensure that all information shared publicly or internally is accurate, verified, and authorized.</w:t>
      </w:r>
    </w:p>
    <w:p>
      <w:pPr>
        <w:pStyle w:val="ListBullet"/>
        <w:spacing w:line="276" w:lineRule="auto"/>
        <w:ind w:left="510"/>
      </w:pPr>
      <w:r>
        <w:rPr>
          <w:rFonts w:ascii="Cambria" w:hAnsi="Cambria"/>
          <w:b w:val="0"/>
          <w:i w:val="0"/>
          <w:sz w:val="22"/>
        </w:rPr>
        <w:t>Institutional communication with external stakeholders must align with official channels and not be shared independently.</w:t>
      </w:r>
    </w:p>
    <w:p>
      <w:pPr>
        <w:pStyle w:val="ListBullet"/>
        <w:spacing w:line="276" w:lineRule="auto"/>
        <w:ind w:left="510"/>
      </w:pPr>
      <w:r>
        <w:rPr>
          <w:rFonts w:ascii="Cambria" w:hAnsi="Cambria"/>
          <w:b w:val="0"/>
          <w:i w:val="0"/>
          <w:sz w:val="22"/>
        </w:rPr>
        <w:t>Any employee unsure about the accuracy of information must consult the concerned authority before circulating it.</w:t>
      </w:r>
    </w:p>
    <w:p>
      <w:pPr>
        <w:pStyle w:val="ListBullet"/>
        <w:spacing w:line="276" w:lineRule="auto"/>
        <w:ind w:left="510"/>
      </w:pPr>
      <w:r>
        <w:rPr>
          <w:rFonts w:ascii="Cambria" w:hAnsi="Cambria"/>
          <w:b w:val="0"/>
          <w:i w:val="0"/>
          <w:sz w:val="22"/>
        </w:rPr>
        <w:t>The use of social media, emails, or public platforms for airing grievances or criticisms without following due process is prohibited.</w:t>
      </w:r>
    </w:p>
    <w:p>
      <w:pPr>
        <w:pStyle w:val="ListBullet"/>
        <w:spacing w:line="276" w:lineRule="auto"/>
        <w:ind w:left="510"/>
      </w:pPr>
      <w:r>
        <w:rPr>
          <w:rFonts w:ascii="Cambria" w:hAnsi="Cambria"/>
          <w:b w:val="0"/>
          <w:i w:val="0"/>
          <w:sz w:val="22"/>
        </w:rPr>
        <w:t>All employees are encouraged to report instances of misinformation to maintain institutional credibility.</w:t>
      </w: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University’s reputation depends on the truthfulness and integrity of its employees.</w:t>
      </w:r>
    </w:p>
    <w:p>
      <w:pPr>
        <w:pStyle w:val="ListBullet"/>
        <w:spacing w:line="276" w:lineRule="auto"/>
        <w:ind w:left="510"/>
      </w:pPr>
      <w:r>
        <w:rPr>
          <w:rFonts w:ascii="Cambria" w:hAnsi="Cambria"/>
          <w:b w:val="0"/>
          <w:i w:val="0"/>
          <w:sz w:val="22"/>
        </w:rPr>
        <w:t>Spreading false or defamatory information is a serious ethical and disciplinary violation.</w:t>
      </w:r>
    </w:p>
    <w:p>
      <w:pPr>
        <w:pStyle w:val="ListBullet"/>
        <w:spacing w:line="276" w:lineRule="auto"/>
        <w:ind w:left="510"/>
      </w:pPr>
      <w:r>
        <w:rPr>
          <w:rFonts w:ascii="Cambria" w:hAnsi="Cambria"/>
          <w:b w:val="0"/>
          <w:i w:val="0"/>
          <w:sz w:val="22"/>
        </w:rPr>
        <w:t>Transparency and truth in communication strengthen trust within the University community.</w:t>
      </w:r>
    </w:p>
    <w:p>
      <w:pPr>
        <w:pStyle w:val="ListBullet"/>
        <w:spacing w:line="276" w:lineRule="auto"/>
        <w:ind w:left="510"/>
      </w:pPr>
      <w:r>
        <w:rPr>
          <w:rFonts w:ascii="Cambria" w:hAnsi="Cambria"/>
          <w:b w:val="0"/>
          <w:i w:val="0"/>
          <w:sz w:val="22"/>
        </w:rPr>
        <w:t>Offenders will be held personally accountable for damages caused by misinformation.</w:t>
      </w:r>
    </w:p>
    <w:p>
      <w:pPr>
        <w:pStyle w:val="ListBullet"/>
        <w:spacing w:line="276" w:lineRule="auto"/>
        <w:ind w:left="510"/>
      </w:pPr>
      <w:r>
        <w:rPr>
          <w:rFonts w:ascii="Cambria" w:hAnsi="Cambria"/>
          <w:b w:val="0"/>
          <w:i w:val="0"/>
          <w:sz w:val="22"/>
        </w:rPr>
        <w:t>The decision of the Board of Management (BoM) regarding disciplinary measures or appeals shall be final and binding.</w:t>
      </w:r>
    </w:p>
    <w:p>
      <w:pPr>
        <w:keepNext/>
        <w:spacing w:before="200" w:after="120"/>
      </w:pPr>
      <w:r>
        <w:rPr>
          <w:rFonts w:ascii="Cambria" w:hAnsi="Cambria"/>
          <w:b/>
          <w:color w:val="1F3A5F"/>
          <w:sz w:val="27"/>
        </w:rPr>
        <w:t>Policy on Submission of Representations or Claims Without Following the Proper Channel</w:t>
      </w:r>
    </w:p>
    <w:p>
      <w:r>
        <w:rPr>
          <w:rFonts w:ascii="Cambria" w:hAnsi="Cambria"/>
          <w:b/>
          <w:i w:val="0"/>
          <w:sz w:val="22"/>
        </w:rPr>
        <w:t>I. PURPOSE</w:t>
      </w:r>
    </w:p>
    <w:p>
      <w:pPr>
        <w:pStyle w:val="ListBullet"/>
        <w:spacing w:line="276" w:lineRule="auto"/>
        <w:ind w:left="510"/>
      </w:pPr>
      <w:r>
        <w:rPr>
          <w:rFonts w:ascii="Cambria" w:hAnsi="Cambria"/>
          <w:b w:val="0"/>
          <w:i w:val="0"/>
          <w:sz w:val="22"/>
        </w:rPr>
        <w:t>To uphold disciplinary hierarchy, procedural integrity, and institutional order in all administrative and grievance matters.</w:t>
      </w:r>
    </w:p>
    <w:p>
      <w:pPr>
        <w:pStyle w:val="ListBullet"/>
        <w:spacing w:line="276" w:lineRule="auto"/>
        <w:ind w:left="510"/>
      </w:pPr>
      <w:r>
        <w:rPr>
          <w:rFonts w:ascii="Cambria" w:hAnsi="Cambria"/>
          <w:b w:val="0"/>
          <w:i w:val="0"/>
          <w:sz w:val="22"/>
        </w:rPr>
        <w:t>To ensure that all representations, applications, claims, or grievances are properly examined, verified, and routed through the designated administrative channels.</w:t>
      </w:r>
    </w:p>
    <w:p>
      <w:pPr>
        <w:pStyle w:val="ListBullet"/>
        <w:spacing w:line="276" w:lineRule="auto"/>
        <w:ind w:left="510"/>
      </w:pPr>
      <w:r>
        <w:rPr>
          <w:rFonts w:ascii="Cambria" w:hAnsi="Cambria"/>
          <w:b w:val="0"/>
          <w:i w:val="0"/>
          <w:sz w:val="22"/>
        </w:rPr>
        <w:t>To discourage bypassing authority and direct communication with higher offices without due approval, which undermines administrative discipline.</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“Improper submission” refers to any representation, complaint, claim, or communication made directly to a higher authority (e.g., Vice Chancellor, Board of Management, Chancellor) without routing through the prescribed administrative hierarchy, such as the Head of Department or Registrar.</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University employees — teaching, non-teaching, technical, administrative, and contractual — in all official matters including service, pay, leave, promotion, grievance, or redressal issues.</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submit or forward any representation, claim, or grievance directly to higher authorities without routing through the proper channel as prescribed in the Service and Conduct Rules. Any such direct submission constitutes misconduct and administrative indiscipline.</w:t>
            </w:r>
          </w:p>
        </w:tc>
      </w:tr>
    </w:tbl>
    <w:p>
      <w:pPr>
        <w:spacing w:after="40"/>
      </w:pP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Bypassing Hierarchy</w:t>
            </w:r>
          </w:p>
        </w:tc>
        <w:tc>
          <w:tcPr>
            <w:tcW w:type="dxa" w:w="5726"/>
          </w:tcPr>
          <w:p>
            <w:pPr>
              <w:spacing w:after="40" w:before="40"/>
            </w:pPr>
            <w:r/>
            <w:r>
              <w:rPr>
                <w:rFonts w:ascii="Cambria" w:hAnsi="Cambria"/>
                <w:b w:val="0"/>
                <w:i w:val="0"/>
                <w:sz w:val="22"/>
              </w:rPr>
              <w:t>Sending grievance letters directly to the Vice Chancellor or Board Members without prior approval of the Head of Department.</w:t>
            </w:r>
          </w:p>
        </w:tc>
      </w:tr>
    </w:tbl>
    <w:p>
      <w:pPr>
        <w:spacing w:after="40"/>
      </w:pPr>
    </w:p>
    <w:p>
      <w:pPr>
        <w:pStyle w:val="ListBullet"/>
        <w:spacing w:line="276" w:lineRule="auto"/>
        <w:ind w:left="510"/>
      </w:pPr>
      <w:r>
        <w:rPr>
          <w:rFonts w:ascii="Cambria" w:hAnsi="Cambria"/>
          <w:b w:val="0"/>
          <w:i w:val="0"/>
          <w:sz w:val="22"/>
        </w:rPr>
        <w:t>Forwarding salary, promotion, or leave-related representations without departmental review.</w:t>
      </w:r>
    </w:p>
    <w:p>
      <w:r>
        <w:rPr>
          <w:rFonts w:ascii="Cambria" w:hAnsi="Cambria"/>
          <w:b/>
          <w:i w:val="0"/>
          <w:sz w:val="22"/>
        </w:rPr>
        <w:t>Direct Escalation Without Verification</w:t>
      </w:r>
    </w:p>
    <w:p>
      <w:pPr>
        <w:pStyle w:val="ListBullet"/>
        <w:spacing w:line="276" w:lineRule="auto"/>
        <w:ind w:left="510"/>
      </w:pPr>
      <w:r>
        <w:rPr>
          <w:rFonts w:ascii="Cambria" w:hAnsi="Cambria"/>
          <w:b w:val="0"/>
          <w:i w:val="0"/>
          <w:sz w:val="22"/>
        </w:rPr>
        <w:t>Submitting allegations or claims directly to external agencies, media, or government bodies without informing the University.</w:t>
      </w:r>
    </w:p>
    <w:p>
      <w:pPr>
        <w:pStyle w:val="ListBullet"/>
        <w:spacing w:line="276" w:lineRule="auto"/>
        <w:ind w:left="510"/>
      </w:pPr>
      <w:r>
        <w:rPr>
          <w:rFonts w:ascii="Cambria" w:hAnsi="Cambria"/>
          <w:b w:val="0"/>
          <w:i w:val="0"/>
          <w:sz w:val="22"/>
        </w:rPr>
        <w:t>Filing complaints against colleagues or authorities without first using the institutional grievance mechanism.</w:t>
      </w:r>
    </w:p>
    <w:p>
      <w:r>
        <w:rPr>
          <w:rFonts w:ascii="Cambria" w:hAnsi="Cambria"/>
          <w:b/>
          <w:i w:val="0"/>
          <w:sz w:val="22"/>
        </w:rPr>
        <w:t>Repeated Violations</w:t>
      </w:r>
    </w:p>
    <w:p>
      <w:pPr>
        <w:pStyle w:val="ListBullet"/>
        <w:spacing w:line="276" w:lineRule="auto"/>
        <w:ind w:left="510"/>
      </w:pPr>
      <w:r>
        <w:rPr>
          <w:rFonts w:ascii="Cambria" w:hAnsi="Cambria"/>
          <w:b w:val="0"/>
          <w:i w:val="0"/>
          <w:sz w:val="22"/>
        </w:rPr>
        <w:t>Continuously bypassing the chain of command despite prior instructions or warnings.</w:t>
      </w:r>
    </w:p>
    <w:p>
      <w:pPr>
        <w:pStyle w:val="ListBullet"/>
        <w:spacing w:line="276" w:lineRule="auto"/>
        <w:ind w:left="510"/>
      </w:pPr>
      <w:r>
        <w:rPr>
          <w:rFonts w:ascii="Cambria" w:hAnsi="Cambria"/>
          <w:b w:val="0"/>
          <w:i w:val="0"/>
          <w:sz w:val="22"/>
        </w:rPr>
        <w:t>Circulating copies of such representations to unauthorized persons or departments.</w:t>
      </w:r>
    </w:p>
    <w:p>
      <w:r>
        <w:rPr>
          <w:rFonts w:ascii="Cambria" w:hAnsi="Cambria"/>
          <w:b/>
          <w:i w:val="0"/>
          <w:sz w:val="22"/>
        </w:rPr>
        <w:t>3. PRESCRIBED PROCEDURE (PROPER CHANNEL)</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 of Representation</w:t>
            </w:r>
          </w:p>
        </w:tc>
        <w:tc>
          <w:tcPr>
            <w:tcW w:type="dxa" w:w="5726"/>
            <w:shd w:val="clear" w:color="auto" w:fill="1F3A5F"/>
          </w:tcPr>
          <w:p>
            <w:pPr>
              <w:spacing w:after="40" w:before="40"/>
            </w:pPr>
            <w:r/>
            <w:r>
              <w:rPr>
                <w:rFonts w:ascii="Cambria" w:hAnsi="Cambria"/>
                <w:b/>
                <w:i w:val="0"/>
                <w:color w:val="FFFFFF"/>
                <w:sz w:val="22"/>
              </w:rPr>
              <w:t>Routing Channel</w:t>
            </w:r>
          </w:p>
        </w:tc>
      </w:tr>
      <w:tr>
        <w:tc>
          <w:tcPr>
            <w:tcW w:type="dxa" w:w="3685"/>
          </w:tcPr>
          <w:p>
            <w:pPr>
              <w:spacing w:after="40" w:before="40"/>
            </w:pPr>
            <w:r/>
            <w:r>
              <w:rPr>
                <w:rFonts w:ascii="Cambria" w:hAnsi="Cambria"/>
                <w:b w:val="0"/>
                <w:i w:val="0"/>
                <w:sz w:val="22"/>
              </w:rPr>
              <w:t>Service-related matters (pay, leave, promotion, etc.)</w:t>
            </w:r>
          </w:p>
        </w:tc>
        <w:tc>
          <w:tcPr>
            <w:tcW w:type="dxa" w:w="5726"/>
          </w:tcPr>
          <w:p>
            <w:pPr>
              <w:spacing w:after="40" w:before="40"/>
            </w:pPr>
            <w:r/>
            <w:r>
              <w:rPr>
                <w:rFonts w:ascii="Cambria" w:hAnsi="Cambria"/>
                <w:b w:val="0"/>
                <w:i w:val="0"/>
                <w:sz w:val="22"/>
              </w:rPr>
              <w:t>Employee → Head of Department → Registrar → Vice Chancellor</w:t>
            </w:r>
          </w:p>
        </w:tc>
      </w:tr>
      <w:tr>
        <w:tc>
          <w:tcPr>
            <w:tcW w:type="dxa" w:w="3685"/>
            <w:shd w:val="clear" w:color="auto" w:fill="F0F2F5"/>
          </w:tcPr>
          <w:p>
            <w:pPr>
              <w:spacing w:after="40" w:before="40"/>
            </w:pPr>
            <w:r/>
            <w:r>
              <w:rPr>
                <w:rFonts w:ascii="Cambria" w:hAnsi="Cambria"/>
                <w:b w:val="0"/>
                <w:i w:val="0"/>
                <w:sz w:val="22"/>
              </w:rPr>
              <w:t>Academic grievances / departmental concerns</w:t>
            </w:r>
          </w:p>
        </w:tc>
        <w:tc>
          <w:tcPr>
            <w:tcW w:type="dxa" w:w="5726"/>
            <w:shd w:val="clear" w:color="auto" w:fill="F0F2F5"/>
          </w:tcPr>
          <w:p>
            <w:pPr>
              <w:spacing w:after="40" w:before="40"/>
            </w:pPr>
            <w:r/>
            <w:r>
              <w:rPr>
                <w:rFonts w:ascii="Cambria" w:hAnsi="Cambria"/>
                <w:b w:val="0"/>
                <w:i w:val="0"/>
                <w:sz w:val="22"/>
              </w:rPr>
              <w:t>Employee → HOD → Dean (Academics) → Vice Chancellor</w:t>
            </w:r>
          </w:p>
        </w:tc>
      </w:tr>
      <w:tr>
        <w:tc>
          <w:tcPr>
            <w:tcW w:type="dxa" w:w="3685"/>
          </w:tcPr>
          <w:p>
            <w:pPr>
              <w:spacing w:after="40" w:before="40"/>
            </w:pPr>
            <w:r/>
            <w:r>
              <w:rPr>
                <w:rFonts w:ascii="Cambria" w:hAnsi="Cambria"/>
                <w:b w:val="0"/>
                <w:i w:val="0"/>
                <w:sz w:val="22"/>
              </w:rPr>
              <w:t>Administrative / Establishment grievances</w:t>
            </w:r>
          </w:p>
        </w:tc>
        <w:tc>
          <w:tcPr>
            <w:tcW w:type="dxa" w:w="5726"/>
          </w:tcPr>
          <w:p>
            <w:pPr>
              <w:spacing w:after="40" w:before="40"/>
            </w:pPr>
            <w:r/>
            <w:r>
              <w:rPr>
                <w:rFonts w:ascii="Cambria" w:hAnsi="Cambria"/>
                <w:b w:val="0"/>
                <w:i w:val="0"/>
                <w:sz w:val="22"/>
              </w:rPr>
              <w:t>Employee → Section Officer → Registrar → Vice Chancellor</w:t>
            </w:r>
          </w:p>
        </w:tc>
      </w:tr>
      <w:tr>
        <w:tc>
          <w:tcPr>
            <w:tcW w:type="dxa" w:w="3685"/>
            <w:shd w:val="clear" w:color="auto" w:fill="F0F2F5"/>
          </w:tcPr>
          <w:p>
            <w:pPr>
              <w:spacing w:after="40" w:before="40"/>
            </w:pPr>
            <w:r/>
            <w:r>
              <w:rPr>
                <w:rFonts w:ascii="Cambria" w:hAnsi="Cambria"/>
                <w:b w:val="0"/>
                <w:i w:val="0"/>
                <w:sz w:val="22"/>
              </w:rPr>
              <w:t>Appeals or Review Petitions</w:t>
            </w:r>
          </w:p>
        </w:tc>
        <w:tc>
          <w:tcPr>
            <w:tcW w:type="dxa" w:w="5726"/>
            <w:shd w:val="clear" w:color="auto" w:fill="F0F2F5"/>
          </w:tcPr>
          <w:p>
            <w:pPr>
              <w:spacing w:after="40" w:before="40"/>
            </w:pPr>
            <w:r/>
            <w:r>
              <w:rPr>
                <w:rFonts w:ascii="Cambria" w:hAnsi="Cambria"/>
                <w:b w:val="0"/>
                <w:i w:val="0"/>
                <w:sz w:val="22"/>
              </w:rPr>
              <w:t>Employee → Registrar → Vice Chancellor → Board of Management (if applicable)</w:t>
            </w:r>
          </w:p>
        </w:tc>
      </w:tr>
    </w:tbl>
    <w:p>
      <w:pPr>
        <w:spacing w:after="40"/>
      </w:pPr>
    </w:p>
    <w:p>
      <w:pPr>
        <w:jc w:val="both"/>
      </w:pPr>
      <w:r>
        <w:rPr>
          <w:rFonts w:ascii="Cambria" w:hAnsi="Cambria"/>
          <w:i/>
          <w:sz w:val="22"/>
        </w:rPr>
        <w:t>Only after written response or inaction (beyond two months) by the immediate authority may the matter be legitimately escalated.</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Violation</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First instance (unintentional)</w:t>
            </w:r>
          </w:p>
        </w:tc>
        <w:tc>
          <w:tcPr>
            <w:tcW w:type="dxa" w:w="5726"/>
          </w:tcPr>
          <w:p>
            <w:pPr>
              <w:spacing w:after="40" w:before="40"/>
            </w:pPr>
            <w:r/>
            <w:r>
              <w:rPr>
                <w:rFonts w:ascii="Cambria" w:hAnsi="Cambria"/>
                <w:b w:val="0"/>
                <w:i w:val="0"/>
                <w:sz w:val="22"/>
              </w:rPr>
              <w:t>Written warning and instruction to resubmit through proper channel.</w:t>
            </w:r>
          </w:p>
        </w:tc>
      </w:tr>
      <w:tr>
        <w:tc>
          <w:tcPr>
            <w:tcW w:type="dxa" w:w="3685"/>
            <w:shd w:val="clear" w:color="auto" w:fill="F0F2F5"/>
          </w:tcPr>
          <w:p>
            <w:pPr>
              <w:spacing w:after="40" w:before="40"/>
            </w:pPr>
            <w:r/>
            <w:r>
              <w:rPr>
                <w:rFonts w:ascii="Cambria" w:hAnsi="Cambria"/>
                <w:b w:val="0"/>
                <w:i w:val="0"/>
                <w:sz w:val="22"/>
              </w:rPr>
              <w:t>Repeated or deliberate bypassing of hierarchy</w:t>
            </w:r>
          </w:p>
        </w:tc>
        <w:tc>
          <w:tcPr>
            <w:tcW w:type="dxa" w:w="5726"/>
            <w:shd w:val="clear" w:color="auto" w:fill="F0F2F5"/>
          </w:tcPr>
          <w:p>
            <w:pPr>
              <w:spacing w:after="40" w:before="40"/>
            </w:pPr>
            <w:r/>
            <w:r>
              <w:rPr>
                <w:rFonts w:ascii="Cambria" w:hAnsi="Cambria"/>
                <w:b w:val="0"/>
                <w:i w:val="0"/>
                <w:sz w:val="22"/>
              </w:rPr>
              <w:t>Formal censure, withholding of increment, or adverse entry in service record.</w:t>
            </w:r>
          </w:p>
        </w:tc>
      </w:tr>
      <w:tr>
        <w:tc>
          <w:tcPr>
            <w:tcW w:type="dxa" w:w="3685"/>
          </w:tcPr>
          <w:p>
            <w:pPr>
              <w:spacing w:after="40" w:before="40"/>
            </w:pPr>
            <w:r/>
            <w:r>
              <w:rPr>
                <w:rFonts w:ascii="Cambria" w:hAnsi="Cambria"/>
                <w:b w:val="0"/>
                <w:i w:val="0"/>
                <w:sz w:val="22"/>
              </w:rPr>
              <w:t>Submission of grievance with defamatory or false content</w:t>
            </w:r>
          </w:p>
        </w:tc>
        <w:tc>
          <w:tcPr>
            <w:tcW w:type="dxa" w:w="5726"/>
          </w:tcPr>
          <w:p>
            <w:pPr>
              <w:spacing w:after="40" w:before="40"/>
            </w:pPr>
            <w:r/>
            <w:r>
              <w:rPr>
                <w:rFonts w:ascii="Cambria" w:hAnsi="Cambria"/>
                <w:b w:val="0"/>
                <w:i w:val="0"/>
                <w:sz w:val="22"/>
              </w:rPr>
              <w:t>Major penalty — suspension or dismissal from service after due inquiry.</w:t>
            </w:r>
          </w:p>
        </w:tc>
      </w:tr>
      <w:tr>
        <w:tc>
          <w:tcPr>
            <w:tcW w:type="dxa" w:w="3685"/>
            <w:shd w:val="clear" w:color="auto" w:fill="F0F2F5"/>
          </w:tcPr>
          <w:p>
            <w:pPr>
              <w:spacing w:after="40" w:before="40"/>
            </w:pPr>
            <w:r/>
            <w:r>
              <w:rPr>
                <w:rFonts w:ascii="Cambria" w:hAnsi="Cambria"/>
                <w:b w:val="0"/>
                <w:i w:val="0"/>
                <w:sz w:val="22"/>
              </w:rPr>
              <w:t>Communication to external bodies or media</w:t>
            </w:r>
          </w:p>
        </w:tc>
        <w:tc>
          <w:tcPr>
            <w:tcW w:type="dxa" w:w="5726"/>
            <w:shd w:val="clear" w:color="auto" w:fill="F0F2F5"/>
          </w:tcPr>
          <w:p>
            <w:pPr>
              <w:spacing w:after="40" w:before="40"/>
            </w:pPr>
            <w:r/>
            <w:r>
              <w:rPr>
                <w:rFonts w:ascii="Cambria" w:hAnsi="Cambria"/>
                <w:b w:val="0"/>
                <w:i w:val="0"/>
                <w:sz w:val="22"/>
              </w:rPr>
              <w:t>Treated as gross misconduct and subject to legal and disciplinary proceedings.</w:t>
            </w:r>
          </w:p>
        </w:tc>
      </w:tr>
    </w:tbl>
    <w:p>
      <w:pPr>
        <w:spacing w:after="40"/>
      </w:pPr>
    </w:p>
    <w:p>
      <w:r>
        <w:rPr>
          <w:rFonts w:ascii="Cambria" w:hAnsi="Cambria"/>
          <w:b/>
          <w:i w:val="0"/>
          <w:sz w:val="22"/>
        </w:rPr>
        <w:t>5.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Receipt and Review</w:t>
            </w:r>
          </w:p>
        </w:tc>
        <w:tc>
          <w:tcPr>
            <w:tcW w:type="dxa" w:w="5726"/>
          </w:tcPr>
          <w:p>
            <w:pPr>
              <w:spacing w:after="40" w:before="40"/>
            </w:pPr>
            <w:r/>
            <w:r>
              <w:rPr>
                <w:rFonts w:ascii="Cambria" w:hAnsi="Cambria"/>
                <w:b w:val="0"/>
                <w:i w:val="0"/>
                <w:sz w:val="22"/>
              </w:rPr>
              <w:t>If any higher authority receives a representation directly, it shall be returned to the concerned employee for routing through proper channel.</w:t>
            </w:r>
          </w:p>
        </w:tc>
      </w:tr>
      <w:tr>
        <w:tc>
          <w:tcPr>
            <w:tcW w:type="dxa" w:w="3685"/>
            <w:shd w:val="clear" w:color="auto" w:fill="F0F2F5"/>
          </w:tcPr>
          <w:p>
            <w:pPr>
              <w:spacing w:after="40" w:before="40"/>
            </w:pPr>
            <w:r/>
            <w:r>
              <w:rPr>
                <w:rFonts w:ascii="Cambria" w:hAnsi="Cambria"/>
                <w:b w:val="0"/>
                <w:i w:val="0"/>
                <w:sz w:val="22"/>
              </w:rPr>
              <w:t>2. Logging and Tracking</w:t>
            </w:r>
          </w:p>
        </w:tc>
        <w:tc>
          <w:tcPr>
            <w:tcW w:type="dxa" w:w="5726"/>
            <w:shd w:val="clear" w:color="auto" w:fill="F0F2F5"/>
          </w:tcPr>
          <w:p>
            <w:pPr>
              <w:spacing w:after="40" w:before="40"/>
            </w:pPr>
            <w:r/>
            <w:r>
              <w:rPr>
                <w:rFonts w:ascii="Cambria" w:hAnsi="Cambria"/>
                <w:b w:val="0"/>
                <w:i w:val="0"/>
                <w:sz w:val="22"/>
              </w:rPr>
              <w:t>Departments must maintain a register of employee representations to ensure transparency and timely redressal.</w:t>
            </w:r>
          </w:p>
        </w:tc>
      </w:tr>
      <w:tr>
        <w:tc>
          <w:tcPr>
            <w:tcW w:type="dxa" w:w="3685"/>
          </w:tcPr>
          <w:p>
            <w:pPr>
              <w:spacing w:after="40" w:before="40"/>
            </w:pPr>
            <w:r/>
            <w:r>
              <w:rPr>
                <w:rFonts w:ascii="Cambria" w:hAnsi="Cambria"/>
                <w:b w:val="0"/>
                <w:i w:val="0"/>
                <w:sz w:val="22"/>
              </w:rPr>
              <w:t>3. Escalation Clause</w:t>
            </w:r>
          </w:p>
        </w:tc>
        <w:tc>
          <w:tcPr>
            <w:tcW w:type="dxa" w:w="5726"/>
          </w:tcPr>
          <w:p>
            <w:pPr>
              <w:spacing w:after="40" w:before="40"/>
            </w:pPr>
            <w:r/>
            <w:r>
              <w:rPr>
                <w:rFonts w:ascii="Cambria" w:hAnsi="Cambria"/>
                <w:b w:val="0"/>
                <w:i w:val="0"/>
                <w:sz w:val="22"/>
              </w:rPr>
              <w:t>If an employee does not receive a response within 60 days, he/she may escalate the matter to the next higher authority, attaching proof of submission.</w:t>
            </w:r>
          </w:p>
        </w:tc>
      </w:tr>
      <w:tr>
        <w:tc>
          <w:tcPr>
            <w:tcW w:type="dxa" w:w="3685"/>
            <w:shd w:val="clear" w:color="auto" w:fill="F0F2F5"/>
          </w:tcPr>
          <w:p>
            <w:pPr>
              <w:spacing w:after="40" w:before="40"/>
            </w:pPr>
            <w:r/>
            <w:r>
              <w:rPr>
                <w:rFonts w:ascii="Cambria" w:hAnsi="Cambria"/>
                <w:b w:val="0"/>
                <w:i w:val="0"/>
                <w:sz w:val="22"/>
              </w:rPr>
              <w:t>4. Grievance Mechanism</w:t>
            </w:r>
          </w:p>
        </w:tc>
        <w:tc>
          <w:tcPr>
            <w:tcW w:type="dxa" w:w="5726"/>
            <w:shd w:val="clear" w:color="auto" w:fill="F0F2F5"/>
          </w:tcPr>
          <w:p>
            <w:pPr>
              <w:spacing w:after="40" w:before="40"/>
            </w:pPr>
            <w:r/>
            <w:r>
              <w:rPr>
                <w:rFonts w:ascii="Cambria" w:hAnsi="Cambria"/>
                <w:b w:val="0"/>
                <w:i w:val="0"/>
                <w:sz w:val="22"/>
              </w:rPr>
              <w:t>Employees may also use the Internal Grievance Redressal Cell (IGRC) for structured resolution of issues.</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Observance of hierarchical discipline ensures efficient communication, fairness, and institutional stability.</w:t>
      </w:r>
    </w:p>
    <w:p>
      <w:pPr>
        <w:pStyle w:val="ListBullet"/>
        <w:spacing w:line="276" w:lineRule="auto"/>
        <w:ind w:left="510"/>
      </w:pPr>
      <w:r>
        <w:rPr>
          <w:rFonts w:ascii="Cambria" w:hAnsi="Cambria"/>
          <w:b w:val="0"/>
          <w:i w:val="0"/>
          <w:sz w:val="22"/>
        </w:rPr>
        <w:t>Direct communication with higher authorities without routing through the proper channel leads to administrative confusion and loss of procedural control.</w:t>
      </w:r>
    </w:p>
    <w:p>
      <w:pPr>
        <w:pStyle w:val="ListBullet"/>
        <w:spacing w:line="276" w:lineRule="auto"/>
        <w:ind w:left="510"/>
      </w:pPr>
      <w:r>
        <w:rPr>
          <w:rFonts w:ascii="Cambria" w:hAnsi="Cambria"/>
          <w:b w:val="0"/>
          <w:i w:val="0"/>
          <w:sz w:val="22"/>
        </w:rPr>
        <w:t>Employees must respect the chain of command and maintain decorum in written communication.</w:t>
      </w:r>
    </w:p>
    <w:p>
      <w:pPr>
        <w:pStyle w:val="ListBullet"/>
        <w:spacing w:line="276" w:lineRule="auto"/>
        <w:ind w:left="510"/>
      </w:pPr>
      <w:r>
        <w:rPr>
          <w:rFonts w:ascii="Cambria" w:hAnsi="Cambria"/>
          <w:b w:val="0"/>
          <w:i w:val="0"/>
          <w:sz w:val="22"/>
        </w:rPr>
        <w:t>Any deviation from this rule is treated as administrative indiscipline and may affect performance appraisal or promotion eligibility.</w:t>
      </w:r>
    </w:p>
    <w:p>
      <w:pPr>
        <w:pStyle w:val="ListBullet"/>
        <w:spacing w:line="276" w:lineRule="auto"/>
        <w:ind w:left="510"/>
      </w:pPr>
      <w:r>
        <w:rPr>
          <w:rFonts w:ascii="Cambria" w:hAnsi="Cambria"/>
          <w:b w:val="0"/>
          <w:i w:val="0"/>
          <w:sz w:val="22"/>
        </w:rPr>
        <w:t>The decision of the Board of Management (BoM) regarding interpretation or appeal shall be final and binding.</w:t>
      </w:r>
    </w:p>
    <w:p>
      <w:pPr>
        <w:keepNext/>
        <w:spacing w:before="200" w:after="120"/>
      </w:pPr>
      <w:r>
        <w:rPr>
          <w:rFonts w:ascii="Cambria" w:hAnsi="Cambria"/>
          <w:b/>
          <w:color w:val="1F3A5F"/>
          <w:sz w:val="27"/>
        </w:rPr>
        <w:t>Policy on Submission of False Representations to Outside Agencies Against University Authorities or Management</w:t>
      </w:r>
    </w:p>
    <w:p>
      <w:r>
        <w:rPr>
          <w:rFonts w:ascii="Cambria" w:hAnsi="Cambria"/>
          <w:b/>
          <w:i w:val="0"/>
          <w:sz w:val="22"/>
        </w:rPr>
        <w:t>I. PURPOSE</w:t>
      </w:r>
    </w:p>
    <w:p>
      <w:pPr>
        <w:pStyle w:val="ListBullet"/>
        <w:spacing w:line="276" w:lineRule="auto"/>
        <w:ind w:left="510"/>
      </w:pPr>
      <w:r>
        <w:rPr>
          <w:rFonts w:ascii="Cambria" w:hAnsi="Cambria"/>
          <w:b w:val="0"/>
          <w:i w:val="0"/>
          <w:sz w:val="22"/>
        </w:rPr>
        <w:t>To preserve the dignity, integrity, and public image of the University and its governing authorities.</w:t>
      </w:r>
    </w:p>
    <w:p>
      <w:pPr>
        <w:pStyle w:val="ListBullet"/>
        <w:spacing w:line="276" w:lineRule="auto"/>
        <w:ind w:left="510"/>
      </w:pPr>
      <w:r>
        <w:rPr>
          <w:rFonts w:ascii="Cambria" w:hAnsi="Cambria"/>
          <w:b w:val="0"/>
          <w:i w:val="0"/>
          <w:sz w:val="22"/>
        </w:rPr>
        <w:t>To prevent malicious, false, or misleading representations being submitted by employees to external agencies with intent to defame or harm the institution.</w:t>
      </w:r>
    </w:p>
    <w:p>
      <w:pPr>
        <w:pStyle w:val="ListBullet"/>
        <w:spacing w:line="276" w:lineRule="auto"/>
        <w:ind w:left="510"/>
      </w:pPr>
      <w:r>
        <w:rPr>
          <w:rFonts w:ascii="Cambria" w:hAnsi="Cambria"/>
          <w:b w:val="0"/>
          <w:i w:val="0"/>
          <w:sz w:val="22"/>
        </w:rPr>
        <w:t>To reinforce the principle that internal grievances must be addressed through institutional channels, not through external complaint forums or media without verification and authorization.</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Submission of a false representation refers to any written, verbal, or electronic communication made to external bodies, government departments, accreditation agencies, media, or other organizations, containing false, misleading, or defamatory information about the University, its management, or officers.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employees — teaching, non-teaching, technical, and administrative — whether permanent, contractual, or probationary. This includes any representation, complaint, or report submitted outside the University system without proper authorization.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submit, circulate, or forward any representation or complaint to external institutions or agencies against University authorities without verification, evidence, or prior sanction. Submitting false or misleading information constitutes gross misconduct.</w:t>
            </w:r>
          </w:p>
        </w:tc>
      </w:tr>
    </w:tbl>
    <w:p>
      <w:pPr>
        <w:spacing w:after="40"/>
      </w:pPr>
    </w:p>
    <w:p>
      <w:r>
        <w:rPr>
          <w:rFonts w:ascii="Cambria" w:hAnsi="Cambria"/>
          <w:b/>
          <w:i w:val="0"/>
          <w:sz w:val="22"/>
        </w:rPr>
        <w:t>2. ILLUSTRATIVE EXAMPLES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False Representation to External Agencies</w:t>
            </w:r>
          </w:p>
        </w:tc>
        <w:tc>
          <w:tcPr>
            <w:tcW w:type="dxa" w:w="5726"/>
          </w:tcPr>
          <w:p>
            <w:pPr>
              <w:spacing w:after="40" w:before="40"/>
            </w:pPr>
            <w:r/>
            <w:r>
              <w:rPr>
                <w:rFonts w:ascii="Cambria" w:hAnsi="Cambria"/>
                <w:b w:val="0"/>
                <w:i w:val="0"/>
                <w:sz w:val="22"/>
              </w:rPr>
              <w:t>Sending fabricated or exaggerated complaints about University officials to government departments, UGC, AICTE, NAAC, or media outlets.</w:t>
            </w:r>
          </w:p>
        </w:tc>
      </w:tr>
    </w:tbl>
    <w:p>
      <w:pPr>
        <w:spacing w:after="40"/>
      </w:pPr>
    </w:p>
    <w:p>
      <w:pPr>
        <w:pStyle w:val="ListBullet"/>
        <w:spacing w:line="276" w:lineRule="auto"/>
        <w:ind w:left="510"/>
      </w:pPr>
      <w:r>
        <w:rPr>
          <w:rFonts w:ascii="Cambria" w:hAnsi="Cambria"/>
          <w:b w:val="0"/>
          <w:i w:val="0"/>
          <w:sz w:val="22"/>
        </w:rPr>
        <w:t>Misrepresenting facts in communications to accreditation bodies or courts without authorization.</w:t>
      </w:r>
    </w:p>
    <w:p>
      <w:r>
        <w:rPr>
          <w:rFonts w:ascii="Cambria" w:hAnsi="Cambria"/>
          <w:b/>
          <w:i w:val="0"/>
          <w:sz w:val="22"/>
        </w:rPr>
        <w:t>Defamation of University Management</w:t>
      </w:r>
    </w:p>
    <w:p>
      <w:pPr>
        <w:pStyle w:val="ListBullet"/>
        <w:spacing w:line="276" w:lineRule="auto"/>
        <w:ind w:left="510"/>
      </w:pPr>
      <w:r>
        <w:rPr>
          <w:rFonts w:ascii="Cambria" w:hAnsi="Cambria"/>
          <w:b w:val="0"/>
          <w:i w:val="0"/>
          <w:sz w:val="22"/>
        </w:rPr>
        <w:t>Submitting anonymous or pseudonymous letters to external authorities maligning the reputation of the University or its officers.</w:t>
      </w:r>
    </w:p>
    <w:p>
      <w:pPr>
        <w:pStyle w:val="ListBullet"/>
        <w:spacing w:line="276" w:lineRule="auto"/>
        <w:ind w:left="510"/>
      </w:pPr>
      <w:r>
        <w:rPr>
          <w:rFonts w:ascii="Cambria" w:hAnsi="Cambria"/>
          <w:b w:val="0"/>
          <w:i w:val="0"/>
          <w:sz w:val="22"/>
        </w:rPr>
        <w:t>Posting defamatory statements or false allegations on social media platforms.</w:t>
      </w:r>
    </w:p>
    <w:p>
      <w:r>
        <w:rPr>
          <w:rFonts w:ascii="Cambria" w:hAnsi="Cambria"/>
          <w:b/>
          <w:i w:val="0"/>
          <w:sz w:val="22"/>
        </w:rPr>
        <w:t>Breach of Institutional Protocol</w:t>
      </w:r>
    </w:p>
    <w:p>
      <w:pPr>
        <w:pStyle w:val="ListBullet"/>
        <w:spacing w:line="276" w:lineRule="auto"/>
        <w:ind w:left="510"/>
      </w:pPr>
      <w:r>
        <w:rPr>
          <w:rFonts w:ascii="Cambria" w:hAnsi="Cambria"/>
          <w:b w:val="0"/>
          <w:i w:val="0"/>
          <w:sz w:val="22"/>
        </w:rPr>
        <w:t>Sharing confidential University information with external entities to discredit institutional operations.</w:t>
      </w:r>
    </w:p>
    <w:p>
      <w:pPr>
        <w:pStyle w:val="ListBullet"/>
        <w:spacing w:line="276" w:lineRule="auto"/>
        <w:ind w:left="510"/>
      </w:pPr>
      <w:r>
        <w:rPr>
          <w:rFonts w:ascii="Cambria" w:hAnsi="Cambria"/>
          <w:b w:val="0"/>
          <w:i w:val="0"/>
          <w:sz w:val="22"/>
        </w:rPr>
        <w:t>Writing to funding or partner organizations with false claims against management decisions.</w:t>
      </w:r>
    </w:p>
    <w:p>
      <w:r>
        <w:rPr>
          <w:rFonts w:ascii="Cambria" w:hAnsi="Cambria"/>
          <w:b/>
          <w:i w:val="0"/>
          <w:sz w:val="22"/>
        </w:rPr>
        <w:t>3. APPROVED PROCEDURE FOR RAISING GRIEVANCES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Stage</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Department Level</w:t>
            </w:r>
          </w:p>
        </w:tc>
        <w:tc>
          <w:tcPr>
            <w:tcW w:type="dxa" w:w="5726"/>
          </w:tcPr>
          <w:p>
            <w:pPr>
              <w:spacing w:after="40" w:before="40"/>
            </w:pPr>
            <w:r/>
            <w:r>
              <w:rPr>
                <w:rFonts w:ascii="Cambria" w:hAnsi="Cambria"/>
                <w:b w:val="0"/>
                <w:i w:val="0"/>
                <w:sz w:val="22"/>
              </w:rPr>
              <w:t>Submit the grievance or concern in writing to the Head of Department.</w:t>
            </w:r>
          </w:p>
        </w:tc>
      </w:tr>
      <w:tr>
        <w:tc>
          <w:tcPr>
            <w:tcW w:type="dxa" w:w="3685"/>
            <w:shd w:val="clear" w:color="auto" w:fill="F0F2F5"/>
          </w:tcPr>
          <w:p>
            <w:pPr>
              <w:spacing w:after="40" w:before="40"/>
            </w:pPr>
            <w:r/>
            <w:r>
              <w:rPr>
                <w:rFonts w:ascii="Cambria" w:hAnsi="Cambria"/>
                <w:b w:val="0"/>
                <w:i w:val="0"/>
                <w:sz w:val="22"/>
              </w:rPr>
              <w:t>2. University Level</w:t>
            </w:r>
          </w:p>
        </w:tc>
        <w:tc>
          <w:tcPr>
            <w:tcW w:type="dxa" w:w="5726"/>
            <w:shd w:val="clear" w:color="auto" w:fill="F0F2F5"/>
          </w:tcPr>
          <w:p>
            <w:pPr>
              <w:spacing w:after="40" w:before="40"/>
            </w:pPr>
            <w:r/>
            <w:r>
              <w:rPr>
                <w:rFonts w:ascii="Cambria" w:hAnsi="Cambria"/>
                <w:b w:val="0"/>
                <w:i w:val="0"/>
                <w:sz w:val="22"/>
              </w:rPr>
              <w:t>If unresolved within 30 days, escalate to the Registrar / Vice Chancellor through proper channel.</w:t>
            </w:r>
          </w:p>
        </w:tc>
      </w:tr>
      <w:tr>
        <w:tc>
          <w:tcPr>
            <w:tcW w:type="dxa" w:w="3685"/>
          </w:tcPr>
          <w:p>
            <w:pPr>
              <w:spacing w:after="40" w:before="40"/>
            </w:pPr>
            <w:r/>
            <w:r>
              <w:rPr>
                <w:rFonts w:ascii="Cambria" w:hAnsi="Cambria"/>
                <w:b w:val="0"/>
                <w:i w:val="0"/>
                <w:sz w:val="22"/>
              </w:rPr>
              <w:t>3. Grievance Redressal Cell</w:t>
            </w:r>
          </w:p>
        </w:tc>
        <w:tc>
          <w:tcPr>
            <w:tcW w:type="dxa" w:w="5726"/>
          </w:tcPr>
          <w:p>
            <w:pPr>
              <w:spacing w:after="40" w:before="40"/>
            </w:pPr>
            <w:r/>
            <w:r>
              <w:rPr>
                <w:rFonts w:ascii="Cambria" w:hAnsi="Cambria"/>
                <w:b w:val="0"/>
                <w:i w:val="0"/>
                <w:sz w:val="22"/>
              </w:rPr>
              <w:t>Use the Internal Grievance Redressal Cell (IGRC) for formal resolution.</w:t>
            </w:r>
          </w:p>
        </w:tc>
      </w:tr>
      <w:tr>
        <w:tc>
          <w:tcPr>
            <w:tcW w:type="dxa" w:w="3685"/>
            <w:shd w:val="clear" w:color="auto" w:fill="F0F2F5"/>
          </w:tcPr>
          <w:p>
            <w:pPr>
              <w:spacing w:after="40" w:before="40"/>
            </w:pPr>
            <w:r/>
            <w:r>
              <w:rPr>
                <w:rFonts w:ascii="Cambria" w:hAnsi="Cambria"/>
                <w:b w:val="0"/>
                <w:i w:val="0"/>
                <w:sz w:val="22"/>
              </w:rPr>
              <w:t>4. Appeal</w:t>
            </w:r>
          </w:p>
        </w:tc>
        <w:tc>
          <w:tcPr>
            <w:tcW w:type="dxa" w:w="5726"/>
            <w:shd w:val="clear" w:color="auto" w:fill="F0F2F5"/>
          </w:tcPr>
          <w:p>
            <w:pPr>
              <w:spacing w:after="40" w:before="40"/>
            </w:pPr>
            <w:r/>
            <w:r>
              <w:rPr>
                <w:rFonts w:ascii="Cambria" w:hAnsi="Cambria"/>
                <w:b w:val="0"/>
                <w:i w:val="0"/>
                <w:sz w:val="22"/>
              </w:rPr>
              <w:t>If dissatisfaction persists after institutional review, the employee may approach external bodies only after written permission from the Board of Management (BoM).</w:t>
            </w:r>
          </w:p>
        </w:tc>
      </w:tr>
    </w:tbl>
    <w:p>
      <w:pPr>
        <w:spacing w:after="40"/>
      </w:pPr>
    </w:p>
    <w:p>
      <w:pPr>
        <w:jc w:val="both"/>
      </w:pPr>
      <w:r>
        <w:rPr>
          <w:rFonts w:ascii="Cambria" w:hAnsi="Cambria"/>
          <w:i/>
          <w:sz w:val="22"/>
        </w:rPr>
        <w:t>Any grievance raised outside the institution without exhausting internal remedies is treated as administrative misconduct.</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Violation</w:t>
            </w:r>
          </w:p>
        </w:tc>
        <w:tc>
          <w:tcPr>
            <w:tcW w:type="dxa" w:w="5726"/>
            <w:shd w:val="clear" w:color="auto" w:fill="1F3A5F"/>
          </w:tcPr>
          <w:p>
            <w:pPr>
              <w:spacing w:after="40" w:before="40"/>
            </w:pPr>
            <w:r/>
            <w:r>
              <w:rPr>
                <w:rFonts w:ascii="Cambria" w:hAnsi="Cambria"/>
                <w:b/>
                <w:i w:val="0"/>
                <w:color w:val="FFFFFF"/>
                <w:sz w:val="22"/>
              </w:rPr>
              <w:t>Disciplinary Action</w:t>
            </w:r>
          </w:p>
        </w:tc>
      </w:tr>
      <w:tr>
        <w:tc>
          <w:tcPr>
            <w:tcW w:type="dxa" w:w="3685"/>
          </w:tcPr>
          <w:p>
            <w:pPr>
              <w:spacing w:after="40" w:before="40"/>
            </w:pPr>
            <w:r/>
            <w:r>
              <w:rPr>
                <w:rFonts w:ascii="Cambria" w:hAnsi="Cambria"/>
                <w:b w:val="0"/>
                <w:i w:val="0"/>
                <w:sz w:val="22"/>
              </w:rPr>
              <w:t>Submission of unverified or misleading information</w:t>
            </w:r>
          </w:p>
        </w:tc>
        <w:tc>
          <w:tcPr>
            <w:tcW w:type="dxa" w:w="5726"/>
          </w:tcPr>
          <w:p>
            <w:pPr>
              <w:spacing w:after="40" w:before="40"/>
            </w:pPr>
            <w:r/>
            <w:r>
              <w:rPr>
                <w:rFonts w:ascii="Cambria" w:hAnsi="Cambria"/>
                <w:b w:val="0"/>
                <w:i w:val="0"/>
                <w:sz w:val="22"/>
              </w:rPr>
              <w:t>Written warning and mandatory clarification or withdrawal of the representation.</w:t>
            </w:r>
          </w:p>
        </w:tc>
      </w:tr>
      <w:tr>
        <w:tc>
          <w:tcPr>
            <w:tcW w:type="dxa" w:w="3685"/>
            <w:shd w:val="clear" w:color="auto" w:fill="F0F2F5"/>
          </w:tcPr>
          <w:p>
            <w:pPr>
              <w:spacing w:after="40" w:before="40"/>
            </w:pPr>
            <w:r/>
            <w:r>
              <w:rPr>
                <w:rFonts w:ascii="Cambria" w:hAnsi="Cambria"/>
                <w:b w:val="0"/>
                <w:i w:val="0"/>
                <w:sz w:val="22"/>
              </w:rPr>
              <w:t>False or malicious external complaint (first instance)</w:t>
            </w:r>
          </w:p>
        </w:tc>
        <w:tc>
          <w:tcPr>
            <w:tcW w:type="dxa" w:w="5726"/>
            <w:shd w:val="clear" w:color="auto" w:fill="F0F2F5"/>
          </w:tcPr>
          <w:p>
            <w:pPr>
              <w:spacing w:after="40" w:before="40"/>
            </w:pPr>
            <w:r/>
            <w:r>
              <w:rPr>
                <w:rFonts w:ascii="Cambria" w:hAnsi="Cambria"/>
                <w:b w:val="0"/>
                <w:i w:val="0"/>
                <w:sz w:val="22"/>
              </w:rPr>
              <w:t>Suspension pending inquiry; withholding of increment or reduction in pay scale.</w:t>
            </w:r>
          </w:p>
        </w:tc>
      </w:tr>
      <w:tr>
        <w:tc>
          <w:tcPr>
            <w:tcW w:type="dxa" w:w="3685"/>
          </w:tcPr>
          <w:p>
            <w:pPr>
              <w:spacing w:after="40" w:before="40"/>
            </w:pPr>
            <w:r/>
            <w:r>
              <w:rPr>
                <w:rFonts w:ascii="Cambria" w:hAnsi="Cambria"/>
                <w:b w:val="0"/>
                <w:i w:val="0"/>
                <w:sz w:val="22"/>
              </w:rPr>
              <w:t>Defamatory or willfully false complaint</w:t>
            </w:r>
          </w:p>
        </w:tc>
        <w:tc>
          <w:tcPr>
            <w:tcW w:type="dxa" w:w="5726"/>
          </w:tcPr>
          <w:p>
            <w:pPr>
              <w:spacing w:after="40" w:before="40"/>
            </w:pPr>
            <w:r/>
            <w:r>
              <w:rPr>
                <w:rFonts w:ascii="Cambria" w:hAnsi="Cambria"/>
                <w:b w:val="0"/>
                <w:i w:val="0"/>
                <w:sz w:val="22"/>
              </w:rPr>
              <w:t>Major penalty — dismissal from service and possible legal action under the Indian Penal Code (IPC Sections 499–500, 505) for defamation.</w:t>
            </w:r>
          </w:p>
        </w:tc>
      </w:tr>
      <w:tr>
        <w:tc>
          <w:tcPr>
            <w:tcW w:type="dxa" w:w="3685"/>
            <w:shd w:val="clear" w:color="auto" w:fill="F0F2F5"/>
          </w:tcPr>
          <w:p>
            <w:pPr>
              <w:spacing w:after="40" w:before="40"/>
            </w:pPr>
            <w:r/>
            <w:r>
              <w:rPr>
                <w:rFonts w:ascii="Cambria" w:hAnsi="Cambria"/>
                <w:b w:val="0"/>
                <w:i w:val="0"/>
                <w:sz w:val="22"/>
              </w:rPr>
              <w:t>Breach involving confidential information</w:t>
            </w:r>
          </w:p>
        </w:tc>
        <w:tc>
          <w:tcPr>
            <w:tcW w:type="dxa" w:w="5726"/>
            <w:shd w:val="clear" w:color="auto" w:fill="F0F2F5"/>
          </w:tcPr>
          <w:p>
            <w:pPr>
              <w:spacing w:after="40" w:before="40"/>
            </w:pPr>
            <w:r/>
            <w:r>
              <w:rPr>
                <w:rFonts w:ascii="Cambria" w:hAnsi="Cambria"/>
                <w:b w:val="0"/>
                <w:i w:val="0"/>
                <w:sz w:val="22"/>
              </w:rPr>
              <w:t>Termination from service and prosecution under relevant IT and Data Protection Acts.</w:t>
            </w:r>
          </w:p>
        </w:tc>
      </w:tr>
    </w:tbl>
    <w:p>
      <w:pPr>
        <w:spacing w:after="40"/>
      </w:pPr>
    </w:p>
    <w:p>
      <w:r>
        <w:rPr>
          <w:rFonts w:ascii="Cambria" w:hAnsi="Cambria"/>
          <w:b/>
          <w:i w:val="0"/>
          <w:sz w:val="22"/>
        </w:rPr>
        <w:t>5. INVESTIGATION AND REVIEW PROCESS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Preliminary Review</w:t>
            </w:r>
          </w:p>
        </w:tc>
        <w:tc>
          <w:tcPr>
            <w:tcW w:type="dxa" w:w="5726"/>
          </w:tcPr>
          <w:p>
            <w:pPr>
              <w:spacing w:after="40" w:before="40"/>
            </w:pPr>
            <w:r/>
            <w:r>
              <w:rPr>
                <w:rFonts w:ascii="Cambria" w:hAnsi="Cambria"/>
                <w:b w:val="0"/>
                <w:i w:val="0"/>
                <w:sz w:val="22"/>
              </w:rPr>
              <w:t>The Registrar or Vice Chancellor shall review the representation and gather prima facie evidence of misconduct.</w:t>
            </w:r>
          </w:p>
        </w:tc>
      </w:tr>
      <w:tr>
        <w:tc>
          <w:tcPr>
            <w:tcW w:type="dxa" w:w="3685"/>
            <w:shd w:val="clear" w:color="auto" w:fill="F0F2F5"/>
          </w:tcPr>
          <w:p>
            <w:pPr>
              <w:spacing w:after="40" w:before="40"/>
            </w:pPr>
            <w:r/>
            <w:r>
              <w:rPr>
                <w:rFonts w:ascii="Cambria" w:hAnsi="Cambria"/>
                <w:b w:val="0"/>
                <w:i w:val="0"/>
                <w:sz w:val="22"/>
              </w:rPr>
              <w:t>2. Constitution of Inquiry Committee</w:t>
            </w:r>
          </w:p>
        </w:tc>
        <w:tc>
          <w:tcPr>
            <w:tcW w:type="dxa" w:w="5726"/>
            <w:shd w:val="clear" w:color="auto" w:fill="F0F2F5"/>
          </w:tcPr>
          <w:p>
            <w:pPr>
              <w:spacing w:after="40" w:before="40"/>
            </w:pPr>
            <w:r/>
            <w:r>
              <w:rPr>
                <w:rFonts w:ascii="Cambria" w:hAnsi="Cambria"/>
                <w:b w:val="0"/>
                <w:i w:val="0"/>
                <w:sz w:val="22"/>
              </w:rPr>
              <w:t>A Disciplinary Committee shall investigate the intent, veracity, and consequences of the false submission.</w:t>
            </w:r>
          </w:p>
        </w:tc>
      </w:tr>
      <w:tr>
        <w:tc>
          <w:tcPr>
            <w:tcW w:type="dxa" w:w="3685"/>
          </w:tcPr>
          <w:p>
            <w:pPr>
              <w:spacing w:after="40" w:before="40"/>
            </w:pPr>
            <w:r/>
            <w:r>
              <w:rPr>
                <w:rFonts w:ascii="Cambria" w:hAnsi="Cambria"/>
                <w:b w:val="0"/>
                <w:i w:val="0"/>
                <w:sz w:val="22"/>
              </w:rPr>
              <w:t>3. Opportunity to Respond</w:t>
            </w:r>
          </w:p>
        </w:tc>
        <w:tc>
          <w:tcPr>
            <w:tcW w:type="dxa" w:w="5726"/>
          </w:tcPr>
          <w:p>
            <w:pPr>
              <w:spacing w:after="40" w:before="40"/>
            </w:pPr>
            <w:r/>
            <w:r>
              <w:rPr>
                <w:rFonts w:ascii="Cambria" w:hAnsi="Cambria"/>
                <w:b w:val="0"/>
                <w:i w:val="0"/>
                <w:sz w:val="22"/>
              </w:rPr>
              <w:t>The accused employee shall be given a chance to submit an explanation before final action is taken.</w:t>
            </w:r>
          </w:p>
        </w:tc>
      </w:tr>
      <w:tr>
        <w:tc>
          <w:tcPr>
            <w:tcW w:type="dxa" w:w="3685"/>
            <w:shd w:val="clear" w:color="auto" w:fill="F0F2F5"/>
          </w:tcPr>
          <w:p>
            <w:pPr>
              <w:spacing w:after="40" w:before="40"/>
            </w:pPr>
            <w:r/>
            <w:r>
              <w:rPr>
                <w:rFonts w:ascii="Cambria" w:hAnsi="Cambria"/>
                <w:b w:val="0"/>
                <w:i w:val="0"/>
                <w:sz w:val="22"/>
              </w:rPr>
              <w:t>4. Decision and Action</w:t>
            </w:r>
          </w:p>
        </w:tc>
        <w:tc>
          <w:tcPr>
            <w:tcW w:type="dxa" w:w="5726"/>
            <w:shd w:val="clear" w:color="auto" w:fill="F0F2F5"/>
          </w:tcPr>
          <w:p>
            <w:pPr>
              <w:spacing w:after="40" w:before="40"/>
            </w:pPr>
            <w:r/>
            <w:r>
              <w:rPr>
                <w:rFonts w:ascii="Cambria" w:hAnsi="Cambria"/>
                <w:b w:val="0"/>
                <w:i w:val="0"/>
                <w:sz w:val="22"/>
              </w:rPr>
              <w:t>The Board of Management (BoM) shall make the final determination on penalty, ensuring natural justice.</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 promotes freedom of expression, but this freedom must be exercised responsibly and truthfully.</w:t>
      </w:r>
    </w:p>
    <w:p>
      <w:pPr>
        <w:pStyle w:val="ListBullet"/>
        <w:spacing w:line="276" w:lineRule="auto"/>
        <w:ind w:left="510"/>
      </w:pPr>
      <w:r>
        <w:rPr>
          <w:rFonts w:ascii="Cambria" w:hAnsi="Cambria"/>
          <w:b w:val="0"/>
          <w:i w:val="0"/>
          <w:sz w:val="22"/>
        </w:rPr>
        <w:t>Submitting false or defamatory information externally harms institutional reputation and public trust.</w:t>
      </w:r>
    </w:p>
    <w:p>
      <w:pPr>
        <w:pStyle w:val="ListBullet"/>
        <w:spacing w:line="276" w:lineRule="auto"/>
        <w:ind w:left="510"/>
      </w:pPr>
      <w:r>
        <w:rPr>
          <w:rFonts w:ascii="Cambria" w:hAnsi="Cambria"/>
          <w:b w:val="0"/>
          <w:i w:val="0"/>
          <w:sz w:val="22"/>
        </w:rPr>
        <w:t>Employees must first exhaust internal mechanisms before approaching external agencies.</w:t>
      </w:r>
    </w:p>
    <w:p>
      <w:pPr>
        <w:pStyle w:val="ListBullet"/>
        <w:spacing w:line="276" w:lineRule="auto"/>
        <w:ind w:left="510"/>
      </w:pPr>
      <w:r>
        <w:rPr>
          <w:rFonts w:ascii="Cambria" w:hAnsi="Cambria"/>
          <w:b w:val="0"/>
          <w:i w:val="0"/>
          <w:sz w:val="22"/>
        </w:rPr>
        <w:t>Dissemination of false allegations to external parties is treated as serious professional misconduct.</w:t>
      </w:r>
    </w:p>
    <w:p>
      <w:pPr>
        <w:pStyle w:val="ListBullet"/>
        <w:spacing w:line="276" w:lineRule="auto"/>
        <w:ind w:left="510"/>
      </w:pPr>
      <w:r>
        <w:rPr>
          <w:rFonts w:ascii="Cambria" w:hAnsi="Cambria"/>
          <w:b w:val="0"/>
          <w:i w:val="0"/>
          <w:sz w:val="22"/>
        </w:rPr>
        <w:t>The Board of Management’s decision regarding interpretation or penalty under this policy shall be final and binding.</w:t>
      </w:r>
    </w:p>
    <w:p>
      <w:r>
        <w:rPr>
          <w:rFonts w:ascii="Cambria" w:hAnsi="Cambria"/>
          <w:b/>
          <w:i w:val="0"/>
          <w:sz w:val="22"/>
        </w:rPr>
        <w:t>7. LEGAL AND ETHICAL FRAMEWORK</w:t>
      </w:r>
    </w:p>
    <w:p>
      <w:pPr>
        <w:jc w:val="both"/>
      </w:pPr>
      <w:r>
        <w:rPr>
          <w:rFonts w:ascii="Cambria" w:hAnsi="Cambria"/>
          <w:i w:val="0"/>
          <w:sz w:val="22"/>
        </w:rPr>
        <w:t>This policy aligns with:</w:t>
      </w:r>
    </w:p>
    <w:p>
      <w:pPr>
        <w:pStyle w:val="ListBullet"/>
        <w:spacing w:line="276" w:lineRule="auto"/>
        <w:ind w:left="510"/>
      </w:pPr>
      <w:r>
        <w:rPr>
          <w:rFonts w:ascii="Cambria" w:hAnsi="Cambria"/>
          <w:b w:val="0"/>
          <w:i w:val="0"/>
          <w:sz w:val="22"/>
        </w:rPr>
        <w:t>UGC (Code of Professional Ethics for Teachers, 2019)</w:t>
      </w:r>
    </w:p>
    <w:p>
      <w:pPr>
        <w:pStyle w:val="ListBullet"/>
        <w:spacing w:line="276" w:lineRule="auto"/>
        <w:ind w:left="510"/>
      </w:pPr>
      <w:r>
        <w:rPr>
          <w:rFonts w:ascii="Cambria" w:hAnsi="Cambria"/>
          <w:b w:val="0"/>
          <w:i w:val="0"/>
          <w:sz w:val="22"/>
        </w:rPr>
        <w:t>Central Civil Services (Conduct) Rules, 1964 — Rule 9 (Criticism of Government) and Rule 11 (Communication of Information).</w:t>
      </w:r>
    </w:p>
    <w:p>
      <w:pPr>
        <w:pStyle w:val="ListBullet"/>
        <w:spacing w:line="276" w:lineRule="auto"/>
        <w:ind w:left="510"/>
      </w:pPr>
      <w:r>
        <w:rPr>
          <w:rFonts w:ascii="Cambria" w:hAnsi="Cambria"/>
          <w:b w:val="0"/>
          <w:i w:val="0"/>
          <w:sz w:val="22"/>
        </w:rPr>
        <w:t>IT Act, 2000 — for misuse of digital platforms.</w:t>
      </w:r>
    </w:p>
    <w:p>
      <w:pPr>
        <w:pStyle w:val="ListBullet"/>
        <w:spacing w:line="276" w:lineRule="auto"/>
        <w:ind w:left="510"/>
      </w:pPr>
      <w:r>
        <w:rPr>
          <w:rFonts w:ascii="Cambria" w:hAnsi="Cambria"/>
          <w:b w:val="0"/>
          <w:i w:val="0"/>
          <w:sz w:val="22"/>
        </w:rPr>
        <w:t>IPC Sections 499–500 — for defamation and false representation.</w:t>
      </w:r>
    </w:p>
    <w:p>
      <w:pPr>
        <w:keepNext/>
        <w:spacing w:before="200" w:after="120"/>
      </w:pPr>
      <w:r>
        <w:rPr>
          <w:rFonts w:ascii="Cambria" w:hAnsi="Cambria"/>
          <w:b/>
          <w:color w:val="1F3A5F"/>
          <w:sz w:val="27"/>
        </w:rPr>
        <w:t>Policy on Submission of Employment Applications to Outside Agencies Without Prior Permission</w:t>
      </w:r>
    </w:p>
    <w:p>
      <w:r>
        <w:rPr>
          <w:rFonts w:ascii="Cambria" w:hAnsi="Cambria"/>
          <w:b/>
          <w:i w:val="0"/>
          <w:sz w:val="22"/>
        </w:rPr>
        <w:t>I. PURPOSE</w:t>
      </w:r>
    </w:p>
    <w:p>
      <w:pPr>
        <w:pStyle w:val="ListBullet"/>
        <w:spacing w:line="276" w:lineRule="auto"/>
        <w:ind w:left="510"/>
      </w:pPr>
      <w:r>
        <w:rPr>
          <w:rFonts w:ascii="Cambria" w:hAnsi="Cambria"/>
          <w:b w:val="0"/>
          <w:i w:val="0"/>
          <w:sz w:val="22"/>
        </w:rPr>
        <w:t>To maintain institutional discipline, transparency, and accountability in all matters of employment transition.</w:t>
      </w:r>
    </w:p>
    <w:p>
      <w:pPr>
        <w:pStyle w:val="ListBullet"/>
        <w:spacing w:line="276" w:lineRule="auto"/>
        <w:ind w:left="510"/>
      </w:pPr>
      <w:r>
        <w:rPr>
          <w:rFonts w:ascii="Cambria" w:hAnsi="Cambria"/>
          <w:b w:val="0"/>
          <w:i w:val="0"/>
          <w:sz w:val="22"/>
        </w:rPr>
        <w:t>To ensure that employees do not apply for or accept outside employment without the knowledge and consent of the University.</w:t>
      </w:r>
    </w:p>
    <w:p>
      <w:pPr>
        <w:pStyle w:val="ListBullet"/>
        <w:spacing w:line="276" w:lineRule="auto"/>
        <w:ind w:left="510"/>
      </w:pPr>
      <w:r>
        <w:rPr>
          <w:rFonts w:ascii="Cambria" w:hAnsi="Cambria"/>
          <w:b w:val="0"/>
          <w:i w:val="0"/>
          <w:sz w:val="22"/>
        </w:rPr>
        <w:t>To prevent conflict of interest, disruption of duties, or breach of service bond obligations.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Submission of an employment application to any external agency, university, organization, or employer without obtaining written permission from the competent authority (Registrar/Vice Chancellor/Board of Management) constitutes misconduct under University Service Rules.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employees — teaching, non-teaching, administrative, and technical — whether on probation, permanent, or contractual appointment.</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apply for, negotiate, or accept any post or employment in another organization without prior written approval from the University’s competent authority.</w:t>
            </w:r>
          </w:p>
        </w:tc>
      </w:tr>
      <w:tr>
        <w:tc>
          <w:tcPr>
            <w:tcW w:type="dxa" w:w="3685"/>
            <w:shd w:val="clear" w:color="auto" w:fill="F0F2F5"/>
          </w:tcPr>
          <w:p>
            <w:pPr>
              <w:spacing w:after="40" w:before="40"/>
            </w:pPr>
            <w:r/>
            <w:r>
              <w:rPr>
                <w:rFonts w:ascii="Cambria" w:hAnsi="Cambria"/>
                <w:b w:val="0"/>
                <w:i w:val="0"/>
                <w:sz w:val="22"/>
              </w:rPr>
              <w:t>Objective</w:t>
            </w:r>
          </w:p>
        </w:tc>
        <w:tc>
          <w:tcPr>
            <w:tcW w:type="dxa" w:w="5726"/>
            <w:shd w:val="clear" w:color="auto" w:fill="F0F2F5"/>
          </w:tcPr>
          <w:p>
            <w:pPr>
              <w:spacing w:after="40" w:before="40"/>
            </w:pPr>
            <w:r/>
            <w:r>
              <w:rPr>
                <w:rFonts w:ascii="Cambria" w:hAnsi="Cambria"/>
                <w:b w:val="0"/>
                <w:i w:val="0"/>
                <w:sz w:val="22"/>
              </w:rPr>
              <w:t>To ensure that the University can maintain staff continuity, plan for succession or replacement, and protect its operational and academic commitments.</w:t>
            </w:r>
          </w:p>
        </w:tc>
      </w:tr>
    </w:tbl>
    <w:p>
      <w:pPr>
        <w:spacing w:after="40"/>
      </w:pPr>
    </w:p>
    <w:p>
      <w:r>
        <w:rPr>
          <w:rFonts w:ascii="Cambria" w:hAnsi="Cambria"/>
          <w:b/>
          <w:i w:val="0"/>
          <w:sz w:val="22"/>
        </w:rPr>
        <w:t>2. CONDITIONS FOR SEEKING PERMISSION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Condition</w:t>
            </w:r>
          </w:p>
        </w:tc>
      </w:tr>
      <w:tr>
        <w:tc>
          <w:tcPr>
            <w:tcW w:type="dxa" w:w="3685"/>
          </w:tcPr>
          <w:p>
            <w:pPr>
              <w:spacing w:after="40" w:before="40"/>
            </w:pPr>
            <w:r/>
            <w:r>
              <w:rPr>
                <w:rFonts w:ascii="Cambria" w:hAnsi="Cambria"/>
                <w:b w:val="0"/>
                <w:i w:val="0"/>
                <w:sz w:val="22"/>
              </w:rPr>
              <w:t>a. Probationers</w:t>
            </w:r>
          </w:p>
        </w:tc>
        <w:tc>
          <w:tcPr>
            <w:tcW w:type="dxa" w:w="5726"/>
          </w:tcPr>
          <w:p>
            <w:pPr>
              <w:spacing w:after="40" w:before="40"/>
            </w:pPr>
            <w:r/>
            <w:r>
              <w:rPr>
                <w:rFonts w:ascii="Cambria" w:hAnsi="Cambria"/>
                <w:b w:val="0"/>
                <w:i w:val="0"/>
                <w:sz w:val="22"/>
              </w:rPr>
              <w:t>A probationary employee shall not apply for any external employment during the probation period. If they wish to do so, they must resign before applying.</w:t>
            </w:r>
          </w:p>
        </w:tc>
      </w:tr>
      <w:tr>
        <w:tc>
          <w:tcPr>
            <w:tcW w:type="dxa" w:w="3685"/>
            <w:shd w:val="clear" w:color="auto" w:fill="F0F2F5"/>
          </w:tcPr>
          <w:p>
            <w:pPr>
              <w:spacing w:after="40" w:before="40"/>
            </w:pPr>
            <w:r/>
            <w:r>
              <w:rPr>
                <w:rFonts w:ascii="Cambria" w:hAnsi="Cambria"/>
                <w:b w:val="0"/>
                <w:i w:val="0"/>
                <w:sz w:val="22"/>
              </w:rPr>
              <w:t>b. Bonded Employees</w:t>
            </w:r>
          </w:p>
        </w:tc>
        <w:tc>
          <w:tcPr>
            <w:tcW w:type="dxa" w:w="5726"/>
            <w:shd w:val="clear" w:color="auto" w:fill="F0F2F5"/>
          </w:tcPr>
          <w:p>
            <w:pPr>
              <w:spacing w:after="40" w:before="40"/>
            </w:pPr>
            <w:r/>
            <w:r>
              <w:rPr>
                <w:rFonts w:ascii="Cambria" w:hAnsi="Cambria"/>
                <w:b w:val="0"/>
                <w:i w:val="0"/>
                <w:sz w:val="22"/>
              </w:rPr>
              <w:t>Employees who have executed a service bond or agreement (e.g., due to higher start, sponsored training, or research funding) must complete the bond period before applying elsewhere.</w:t>
            </w:r>
          </w:p>
        </w:tc>
      </w:tr>
      <w:tr>
        <w:tc>
          <w:tcPr>
            <w:tcW w:type="dxa" w:w="3685"/>
          </w:tcPr>
          <w:p>
            <w:pPr>
              <w:spacing w:after="40" w:before="40"/>
            </w:pPr>
            <w:r/>
            <w:r>
              <w:rPr>
                <w:rFonts w:ascii="Cambria" w:hAnsi="Cambria"/>
                <w:b w:val="0"/>
                <w:i w:val="0"/>
                <w:sz w:val="22"/>
              </w:rPr>
              <w:t>c. Permanent Employees</w:t>
            </w:r>
          </w:p>
        </w:tc>
        <w:tc>
          <w:tcPr>
            <w:tcW w:type="dxa" w:w="5726"/>
          </w:tcPr>
          <w:p>
            <w:pPr>
              <w:spacing w:after="40" w:before="40"/>
            </w:pPr>
            <w:r/>
            <w:r>
              <w:rPr>
                <w:rFonts w:ascii="Cambria" w:hAnsi="Cambria"/>
                <w:b w:val="0"/>
                <w:i w:val="0"/>
                <w:sz w:val="22"/>
              </w:rPr>
              <w:t>Permanent staff may apply for external employment only twice in a calendar year, and each time with written permission from the competent authority.</w:t>
            </w:r>
          </w:p>
        </w:tc>
      </w:tr>
      <w:tr>
        <w:tc>
          <w:tcPr>
            <w:tcW w:type="dxa" w:w="3685"/>
            <w:shd w:val="clear" w:color="auto" w:fill="F0F2F5"/>
          </w:tcPr>
          <w:p>
            <w:pPr>
              <w:spacing w:after="40" w:before="40"/>
            </w:pPr>
            <w:r/>
            <w:r>
              <w:rPr>
                <w:rFonts w:ascii="Cambria" w:hAnsi="Cambria"/>
                <w:b w:val="0"/>
                <w:i w:val="0"/>
                <w:sz w:val="22"/>
              </w:rPr>
              <w:t>d. Competent Authority</w:t>
            </w:r>
          </w:p>
        </w:tc>
        <w:tc>
          <w:tcPr>
            <w:tcW w:type="dxa" w:w="5726"/>
            <w:shd w:val="clear" w:color="auto" w:fill="F0F2F5"/>
          </w:tcPr>
          <w:p>
            <w:pPr>
              <w:spacing w:after="40" w:before="40"/>
            </w:pPr>
            <w:r/>
            <w:r>
              <w:rPr>
                <w:rFonts w:ascii="Cambria" w:hAnsi="Cambria"/>
                <w:b w:val="0"/>
                <w:i w:val="0"/>
                <w:sz w:val="22"/>
              </w:rPr>
              <w:t>The Registrar is the competent authority for approval of non-teaching staff; the Vice Chancellor for teaching staff; and the Board of Management (BoM) for senior positions.</w:t>
            </w:r>
          </w:p>
        </w:tc>
      </w:tr>
      <w:tr>
        <w:tc>
          <w:tcPr>
            <w:tcW w:type="dxa" w:w="3685"/>
          </w:tcPr>
          <w:p>
            <w:pPr>
              <w:spacing w:after="40" w:before="40"/>
            </w:pPr>
            <w:r/>
            <w:r>
              <w:rPr>
                <w:rFonts w:ascii="Cambria" w:hAnsi="Cambria"/>
                <w:b w:val="0"/>
                <w:i w:val="0"/>
                <w:sz w:val="22"/>
              </w:rPr>
              <w:t>e. NOC Requirement</w:t>
            </w:r>
          </w:p>
        </w:tc>
        <w:tc>
          <w:tcPr>
            <w:tcW w:type="dxa" w:w="5726"/>
          </w:tcPr>
          <w:p>
            <w:pPr>
              <w:spacing w:after="40" w:before="40"/>
            </w:pPr>
            <w:r/>
            <w:r>
              <w:rPr>
                <w:rFonts w:ascii="Cambria" w:hAnsi="Cambria"/>
                <w:b w:val="0"/>
                <w:i w:val="0"/>
                <w:sz w:val="22"/>
              </w:rPr>
              <w:t>A No Objection Certificate (NOC) must be issued by the competent authority before attending any external interview or submitting applications.</w:t>
            </w:r>
          </w:p>
        </w:tc>
      </w:tr>
    </w:tbl>
    <w:p>
      <w:pPr>
        <w:spacing w:after="40"/>
      </w:pPr>
    </w:p>
    <w:p>
      <w:r>
        <w:rPr>
          <w:rFonts w:ascii="Cambria" w:hAnsi="Cambria"/>
          <w:b/>
          <w:i w:val="0"/>
          <w:sz w:val="22"/>
        </w:rPr>
        <w:t>3. ILLUSTRATIVE VIOLATIONS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Violation Type</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Without Permission</w:t>
            </w:r>
          </w:p>
        </w:tc>
        <w:tc>
          <w:tcPr>
            <w:tcW w:type="dxa" w:w="5726"/>
          </w:tcPr>
          <w:p>
            <w:pPr>
              <w:spacing w:after="40" w:before="40"/>
            </w:pPr>
            <w:r/>
            <w:r>
              <w:rPr>
                <w:rFonts w:ascii="Cambria" w:hAnsi="Cambria"/>
                <w:b w:val="0"/>
                <w:i w:val="0"/>
                <w:sz w:val="22"/>
              </w:rPr>
              <w:t>Applying to another university or organization without prior written approval.</w:t>
            </w:r>
          </w:p>
        </w:tc>
      </w:tr>
    </w:tbl>
    <w:p>
      <w:pPr>
        <w:spacing w:after="40"/>
      </w:pPr>
    </w:p>
    <w:p>
      <w:pPr>
        <w:pStyle w:val="ListBullet"/>
        <w:spacing w:line="276" w:lineRule="auto"/>
        <w:ind w:left="510"/>
      </w:pPr>
      <w:r>
        <w:rPr>
          <w:rFonts w:ascii="Cambria" w:hAnsi="Cambria"/>
          <w:b w:val="0"/>
          <w:i w:val="0"/>
          <w:sz w:val="22"/>
        </w:rPr>
        <w:t>Attending interviews during official working hours without sanctioned leave.</w:t>
      </w:r>
    </w:p>
    <w:p>
      <w:r>
        <w:rPr>
          <w:rFonts w:ascii="Cambria" w:hAnsi="Cambria"/>
          <w:b/>
          <w:i w:val="0"/>
          <w:sz w:val="22"/>
        </w:rPr>
        <w:t>With Misrepresentation</w:t>
      </w:r>
    </w:p>
    <w:p>
      <w:pPr>
        <w:pStyle w:val="ListBullet"/>
        <w:spacing w:line="276" w:lineRule="auto"/>
        <w:ind w:left="510"/>
      </w:pPr>
      <w:r>
        <w:rPr>
          <w:rFonts w:ascii="Cambria" w:hAnsi="Cambria"/>
          <w:b w:val="0"/>
          <w:i w:val="0"/>
          <w:sz w:val="22"/>
        </w:rPr>
        <w:t>Submitting falsified experience letters or misrepresenting employment status while applying elsewhere.</w:t>
      </w:r>
    </w:p>
    <w:p>
      <w:pPr>
        <w:pStyle w:val="ListBullet"/>
        <w:spacing w:line="276" w:lineRule="auto"/>
        <w:ind w:left="510"/>
      </w:pPr>
      <w:r>
        <w:rPr>
          <w:rFonts w:ascii="Cambria" w:hAnsi="Cambria"/>
          <w:b w:val="0"/>
          <w:i w:val="0"/>
          <w:sz w:val="22"/>
        </w:rPr>
        <w:t>Withholding information about having received an offer from another institution.</w:t>
      </w:r>
    </w:p>
    <w:p>
      <w:r>
        <w:rPr>
          <w:rFonts w:ascii="Cambria" w:hAnsi="Cambria"/>
          <w:b/>
          <w:i w:val="0"/>
          <w:sz w:val="22"/>
        </w:rPr>
        <w:t>Breach of Bond / Agreement</w:t>
      </w:r>
    </w:p>
    <w:p>
      <w:pPr>
        <w:pStyle w:val="ListBullet"/>
        <w:spacing w:line="276" w:lineRule="auto"/>
        <w:ind w:left="510"/>
      </w:pPr>
      <w:r>
        <w:rPr>
          <w:rFonts w:ascii="Cambria" w:hAnsi="Cambria"/>
          <w:b w:val="0"/>
          <w:i w:val="0"/>
          <w:sz w:val="22"/>
        </w:rPr>
        <w:t>Applying externally before completing mandatory service period as per the bond or contract.</w:t>
      </w:r>
    </w:p>
    <w:p>
      <w:r>
        <w:rPr>
          <w:rFonts w:ascii="Cambria" w:hAnsi="Cambria"/>
          <w:b/>
          <w:i w:val="0"/>
          <w:sz w:val="22"/>
        </w:rPr>
        <w:t>Conflict of Interest</w:t>
      </w:r>
    </w:p>
    <w:p>
      <w:pPr>
        <w:pStyle w:val="ListBullet"/>
        <w:spacing w:line="276" w:lineRule="auto"/>
        <w:ind w:left="510"/>
      </w:pPr>
      <w:r>
        <w:rPr>
          <w:rFonts w:ascii="Cambria" w:hAnsi="Cambria"/>
          <w:b w:val="0"/>
          <w:i w:val="0"/>
          <w:sz w:val="22"/>
        </w:rPr>
        <w:t>Applying to competing organizations or institutions while holding sensitive administrative or research positions in the University.</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First Instance (minor negligence)</w:t>
            </w:r>
          </w:p>
        </w:tc>
        <w:tc>
          <w:tcPr>
            <w:tcW w:type="dxa" w:w="5726"/>
          </w:tcPr>
          <w:p>
            <w:pPr>
              <w:spacing w:after="40" w:before="40"/>
            </w:pPr>
            <w:r/>
            <w:r>
              <w:rPr>
                <w:rFonts w:ascii="Cambria" w:hAnsi="Cambria"/>
                <w:b w:val="0"/>
                <w:i w:val="0"/>
                <w:sz w:val="22"/>
              </w:rPr>
              <w:t>Written warning and withdrawal of any NOC for six months.</w:t>
            </w:r>
          </w:p>
        </w:tc>
      </w:tr>
      <w:tr>
        <w:tc>
          <w:tcPr>
            <w:tcW w:type="dxa" w:w="3685"/>
            <w:shd w:val="clear" w:color="auto" w:fill="F0F2F5"/>
          </w:tcPr>
          <w:p>
            <w:pPr>
              <w:spacing w:after="40" w:before="40"/>
            </w:pPr>
            <w:r/>
            <w:r>
              <w:rPr>
                <w:rFonts w:ascii="Cambria" w:hAnsi="Cambria"/>
                <w:b w:val="0"/>
                <w:i w:val="0"/>
                <w:sz w:val="22"/>
              </w:rPr>
              <w:t>Repeated Violation</w:t>
            </w:r>
          </w:p>
        </w:tc>
        <w:tc>
          <w:tcPr>
            <w:tcW w:type="dxa" w:w="5726"/>
            <w:shd w:val="clear" w:color="auto" w:fill="F0F2F5"/>
          </w:tcPr>
          <w:p>
            <w:pPr>
              <w:spacing w:after="40" w:before="40"/>
            </w:pPr>
            <w:r/>
            <w:r>
              <w:rPr>
                <w:rFonts w:ascii="Cambria" w:hAnsi="Cambria"/>
                <w:b w:val="0"/>
                <w:i w:val="0"/>
                <w:sz w:val="22"/>
              </w:rPr>
              <w:t>Withholding of increment, censure, or adverse entry in service record.</w:t>
            </w:r>
          </w:p>
        </w:tc>
      </w:tr>
      <w:tr>
        <w:tc>
          <w:tcPr>
            <w:tcW w:type="dxa" w:w="3685"/>
          </w:tcPr>
          <w:p>
            <w:pPr>
              <w:spacing w:after="40" w:before="40"/>
            </w:pPr>
            <w:r/>
            <w:r>
              <w:rPr>
                <w:rFonts w:ascii="Cambria" w:hAnsi="Cambria"/>
                <w:b w:val="0"/>
                <w:i w:val="0"/>
                <w:sz w:val="22"/>
              </w:rPr>
              <w:t>Serious Misconduct (concealment, conflict of interest, or breach of bond)</w:t>
            </w:r>
          </w:p>
        </w:tc>
        <w:tc>
          <w:tcPr>
            <w:tcW w:type="dxa" w:w="5726"/>
          </w:tcPr>
          <w:p>
            <w:pPr>
              <w:spacing w:after="40" w:before="40"/>
            </w:pPr>
            <w:r/>
            <w:r>
              <w:rPr>
                <w:rFonts w:ascii="Cambria" w:hAnsi="Cambria"/>
                <w:b w:val="0"/>
                <w:i w:val="0"/>
                <w:sz w:val="22"/>
              </w:rPr>
              <w:t>Major penalty — termination of employment or dismissal from service.</w:t>
            </w:r>
          </w:p>
        </w:tc>
      </w:tr>
      <w:tr>
        <w:tc>
          <w:tcPr>
            <w:tcW w:type="dxa" w:w="3685"/>
            <w:shd w:val="clear" w:color="auto" w:fill="F0F2F5"/>
          </w:tcPr>
          <w:p>
            <w:pPr>
              <w:spacing w:after="40" w:before="40"/>
            </w:pPr>
            <w:r/>
            <w:r>
              <w:rPr>
                <w:rFonts w:ascii="Cambria" w:hAnsi="Cambria"/>
                <w:b w:val="0"/>
                <w:i w:val="0"/>
                <w:sz w:val="22"/>
              </w:rPr>
              <w:t>Attending Interview Without NOC</w:t>
            </w:r>
          </w:p>
        </w:tc>
        <w:tc>
          <w:tcPr>
            <w:tcW w:type="dxa" w:w="5726"/>
            <w:shd w:val="clear" w:color="auto" w:fill="F0F2F5"/>
          </w:tcPr>
          <w:p>
            <w:pPr>
              <w:spacing w:after="40" w:before="40"/>
            </w:pPr>
            <w:r/>
            <w:r>
              <w:rPr>
                <w:rFonts w:ascii="Cambria" w:hAnsi="Cambria"/>
                <w:b w:val="0"/>
                <w:i w:val="0"/>
                <w:sz w:val="22"/>
              </w:rPr>
              <w:t>Suspension or loss of pay for the period of absence; disciplinary action for dereliction of duty.</w:t>
            </w:r>
          </w:p>
        </w:tc>
      </w:tr>
    </w:tbl>
    <w:p>
      <w:pPr>
        <w:spacing w:after="40"/>
      </w:pPr>
    </w:p>
    <w:p>
      <w:r>
        <w:rPr>
          <w:rFonts w:ascii="Cambria" w:hAnsi="Cambria"/>
          <w:b/>
          <w:i w:val="0"/>
          <w:sz w:val="22"/>
        </w:rPr>
        <w:t>5. PROCEDURE FOR OBTAINING PERMISSION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Application to HOD / Section Head</w:t>
            </w:r>
          </w:p>
        </w:tc>
        <w:tc>
          <w:tcPr>
            <w:tcW w:type="dxa" w:w="5726"/>
          </w:tcPr>
          <w:p>
            <w:pPr>
              <w:spacing w:after="40" w:before="40"/>
            </w:pPr>
            <w:r/>
            <w:r>
              <w:rPr>
                <w:rFonts w:ascii="Cambria" w:hAnsi="Cambria"/>
                <w:b w:val="0"/>
                <w:i w:val="0"/>
                <w:sz w:val="22"/>
              </w:rPr>
              <w:t>The employee must submit a written request specifying the post, organization, and interview date.</w:t>
            </w:r>
          </w:p>
        </w:tc>
      </w:tr>
      <w:tr>
        <w:tc>
          <w:tcPr>
            <w:tcW w:type="dxa" w:w="3685"/>
            <w:shd w:val="clear" w:color="auto" w:fill="F0F2F5"/>
          </w:tcPr>
          <w:p>
            <w:pPr>
              <w:spacing w:after="40" w:before="40"/>
            </w:pPr>
            <w:r/>
            <w:r>
              <w:rPr>
                <w:rFonts w:ascii="Cambria" w:hAnsi="Cambria"/>
                <w:b w:val="0"/>
                <w:i w:val="0"/>
                <w:sz w:val="22"/>
              </w:rPr>
              <w:t>2. Forwarding through Proper Channel</w:t>
            </w:r>
          </w:p>
        </w:tc>
        <w:tc>
          <w:tcPr>
            <w:tcW w:type="dxa" w:w="5726"/>
            <w:shd w:val="clear" w:color="auto" w:fill="F0F2F5"/>
          </w:tcPr>
          <w:p>
            <w:pPr>
              <w:spacing w:after="40" w:before="40"/>
            </w:pPr>
            <w:r/>
            <w:r>
              <w:rPr>
                <w:rFonts w:ascii="Cambria" w:hAnsi="Cambria"/>
                <w:b w:val="0"/>
                <w:i w:val="0"/>
                <w:sz w:val="22"/>
              </w:rPr>
              <w:t>The request should be recommended by the HOD/Dean and forwarded to the Registrar or Vice Chancellor.</w:t>
            </w:r>
          </w:p>
        </w:tc>
      </w:tr>
      <w:tr>
        <w:tc>
          <w:tcPr>
            <w:tcW w:type="dxa" w:w="3685"/>
          </w:tcPr>
          <w:p>
            <w:pPr>
              <w:spacing w:after="40" w:before="40"/>
            </w:pPr>
            <w:r/>
            <w:r>
              <w:rPr>
                <w:rFonts w:ascii="Cambria" w:hAnsi="Cambria"/>
                <w:b w:val="0"/>
                <w:i w:val="0"/>
                <w:sz w:val="22"/>
              </w:rPr>
              <w:t>3. Decision by Competent Authority</w:t>
            </w:r>
          </w:p>
        </w:tc>
        <w:tc>
          <w:tcPr>
            <w:tcW w:type="dxa" w:w="5726"/>
          </w:tcPr>
          <w:p>
            <w:pPr>
              <w:spacing w:after="40" w:before="40"/>
            </w:pPr>
            <w:r/>
            <w:r>
              <w:rPr>
                <w:rFonts w:ascii="Cambria" w:hAnsi="Cambria"/>
                <w:b w:val="0"/>
                <w:i w:val="0"/>
                <w:sz w:val="22"/>
              </w:rPr>
              <w:t>The competent authority may grant or refuse permission, considering service requirements and bond conditions.</w:t>
            </w:r>
          </w:p>
        </w:tc>
      </w:tr>
      <w:tr>
        <w:tc>
          <w:tcPr>
            <w:tcW w:type="dxa" w:w="3685"/>
            <w:shd w:val="clear" w:color="auto" w:fill="F0F2F5"/>
          </w:tcPr>
          <w:p>
            <w:pPr>
              <w:spacing w:after="40" w:before="40"/>
            </w:pPr>
            <w:r/>
            <w:r>
              <w:rPr>
                <w:rFonts w:ascii="Cambria" w:hAnsi="Cambria"/>
                <w:b w:val="0"/>
                <w:i w:val="0"/>
                <w:sz w:val="22"/>
              </w:rPr>
              <w:t>4. Issuance of NOC</w:t>
            </w:r>
          </w:p>
        </w:tc>
        <w:tc>
          <w:tcPr>
            <w:tcW w:type="dxa" w:w="5726"/>
            <w:shd w:val="clear" w:color="auto" w:fill="F0F2F5"/>
          </w:tcPr>
          <w:p>
            <w:pPr>
              <w:spacing w:after="40" w:before="40"/>
            </w:pPr>
            <w:r/>
            <w:r>
              <w:rPr>
                <w:rFonts w:ascii="Cambria" w:hAnsi="Cambria"/>
                <w:b w:val="0"/>
                <w:i w:val="0"/>
                <w:sz w:val="22"/>
              </w:rPr>
              <w:t>A formal “No Objection Certificate” is issued if approved; otherwise, the employee must withdraw the external application.</w:t>
            </w:r>
          </w:p>
        </w:tc>
      </w:tr>
      <w:tr>
        <w:tc>
          <w:tcPr>
            <w:tcW w:type="dxa" w:w="3685"/>
          </w:tcPr>
          <w:p>
            <w:pPr>
              <w:spacing w:after="40" w:before="40"/>
            </w:pPr>
            <w:r/>
            <w:r>
              <w:rPr>
                <w:rFonts w:ascii="Cambria" w:hAnsi="Cambria"/>
                <w:b w:val="0"/>
                <w:i w:val="0"/>
                <w:sz w:val="22"/>
              </w:rPr>
              <w:t>5. Documentation</w:t>
            </w:r>
          </w:p>
        </w:tc>
        <w:tc>
          <w:tcPr>
            <w:tcW w:type="dxa" w:w="5726"/>
          </w:tcPr>
          <w:p>
            <w:pPr>
              <w:spacing w:after="40" w:before="40"/>
            </w:pPr>
            <w:r/>
            <w:r>
              <w:rPr>
                <w:rFonts w:ascii="Cambria" w:hAnsi="Cambria"/>
                <w:b w:val="0"/>
                <w:i w:val="0"/>
                <w:sz w:val="22"/>
              </w:rPr>
              <w:t>The Personnel Section shall maintain a record of all NOCs issued and corresponding applications.</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Employees are expected to show professional loyalty and institutional commitment during their tenure.</w:t>
      </w:r>
    </w:p>
    <w:p>
      <w:pPr>
        <w:pStyle w:val="ListBullet"/>
        <w:spacing w:line="276" w:lineRule="auto"/>
        <w:ind w:left="510"/>
      </w:pPr>
      <w:r>
        <w:rPr>
          <w:rFonts w:ascii="Cambria" w:hAnsi="Cambria"/>
          <w:b w:val="0"/>
          <w:i w:val="0"/>
          <w:sz w:val="22"/>
        </w:rPr>
        <w:t>Applying for external employment without authorization indicates breach of trust and administrative indiscipline.</w:t>
      </w:r>
    </w:p>
    <w:p>
      <w:pPr>
        <w:pStyle w:val="ListBullet"/>
        <w:spacing w:line="276" w:lineRule="auto"/>
        <w:ind w:left="510"/>
      </w:pPr>
      <w:r>
        <w:rPr>
          <w:rFonts w:ascii="Cambria" w:hAnsi="Cambria"/>
          <w:b w:val="0"/>
          <w:i w:val="0"/>
          <w:sz w:val="22"/>
        </w:rPr>
        <w:t>The University retains the right to withhold experience certificates or relieve orders if an employee violates this policy.</w:t>
      </w:r>
    </w:p>
    <w:p>
      <w:pPr>
        <w:pStyle w:val="ListBullet"/>
        <w:spacing w:line="276" w:lineRule="auto"/>
        <w:ind w:left="510"/>
      </w:pPr>
      <w:r>
        <w:rPr>
          <w:rFonts w:ascii="Cambria" w:hAnsi="Cambria"/>
          <w:b w:val="0"/>
          <w:i w:val="0"/>
          <w:sz w:val="22"/>
        </w:rPr>
        <w:t>The Board of Management’s decision in all matters of violation, permission, or appeal shall be final and binding.</w:t>
      </w:r>
    </w:p>
    <w:p>
      <w:r>
        <w:rPr>
          <w:rFonts w:ascii="Cambria" w:hAnsi="Cambria"/>
          <w:b/>
          <w:i w:val="0"/>
          <w:sz w:val="22"/>
        </w:rPr>
        <w:t>7. ALIGNMENT WITH REGULATORY NORMS</w:t>
      </w:r>
    </w:p>
    <w:p>
      <w:pPr>
        <w:jc w:val="both"/>
      </w:pPr>
      <w:r>
        <w:rPr>
          <w:rFonts w:ascii="Cambria" w:hAnsi="Cambria"/>
          <w:i w:val="0"/>
          <w:sz w:val="22"/>
        </w:rPr>
        <w:t>This policy is consistent with:</w:t>
      </w:r>
    </w:p>
    <w:p>
      <w:pPr>
        <w:pStyle w:val="ListBullet"/>
        <w:spacing w:line="276" w:lineRule="auto"/>
        <w:ind w:left="510"/>
      </w:pPr>
      <w:r>
        <w:rPr>
          <w:rFonts w:ascii="Cambria" w:hAnsi="Cambria"/>
          <w:b w:val="0"/>
          <w:i w:val="0"/>
          <w:sz w:val="22"/>
        </w:rPr>
        <w:t>UGC Regulations on Minimum Qualifications and Code of Professional Ethics (2019)</w:t>
      </w:r>
    </w:p>
    <w:p>
      <w:pPr>
        <w:pStyle w:val="ListBullet"/>
        <w:spacing w:line="276" w:lineRule="auto"/>
        <w:ind w:left="510"/>
      </w:pPr>
      <w:r>
        <w:rPr>
          <w:rFonts w:ascii="Cambria" w:hAnsi="Cambria"/>
          <w:b w:val="0"/>
          <w:i w:val="0"/>
          <w:sz w:val="22"/>
        </w:rPr>
        <w:t>AICTE/UGC Guidelines for Institutional Staff Conduct</w:t>
      </w:r>
    </w:p>
    <w:p>
      <w:pPr>
        <w:pStyle w:val="ListBullet"/>
        <w:spacing w:line="276" w:lineRule="auto"/>
        <w:ind w:left="510"/>
      </w:pPr>
      <w:r>
        <w:rPr>
          <w:rFonts w:ascii="Cambria" w:hAnsi="Cambria"/>
          <w:b w:val="0"/>
          <w:i w:val="0"/>
          <w:sz w:val="22"/>
        </w:rPr>
        <w:t>Central Civil Services (Conduct) Rules, 1964 – Rule 15: “Private Trade or Employment”</w:t>
      </w:r>
    </w:p>
    <w:p>
      <w:pPr>
        <w:keepNext/>
        <w:spacing w:before="200" w:after="120"/>
      </w:pPr>
      <w:r>
        <w:rPr>
          <w:rFonts w:ascii="Cambria" w:hAnsi="Cambria"/>
          <w:b/>
          <w:color w:val="1F3A5F"/>
          <w:sz w:val="27"/>
        </w:rPr>
        <w:t>Policy on Use of Indecent Language, High Tenor, or Undue Arguments with Superiors</w:t>
      </w:r>
    </w:p>
    <w:p>
      <w:r>
        <w:rPr>
          <w:rFonts w:ascii="Cambria" w:hAnsi="Cambria"/>
          <w:b/>
          <w:i w:val="0"/>
          <w:sz w:val="22"/>
        </w:rPr>
        <w:t>I. PURPOSE</w:t>
      </w:r>
    </w:p>
    <w:p>
      <w:pPr>
        <w:pStyle w:val="ListBullet"/>
        <w:spacing w:line="276" w:lineRule="auto"/>
        <w:ind w:left="510"/>
      </w:pPr>
      <w:r>
        <w:rPr>
          <w:rFonts w:ascii="Cambria" w:hAnsi="Cambria"/>
          <w:b w:val="0"/>
          <w:i w:val="0"/>
          <w:sz w:val="22"/>
        </w:rPr>
        <w:t>To uphold professional decorum, mutual respect, and institutional discipline in all official interactions within the University.</w:t>
      </w:r>
    </w:p>
    <w:p>
      <w:pPr>
        <w:pStyle w:val="ListBullet"/>
        <w:spacing w:line="276" w:lineRule="auto"/>
        <w:ind w:left="510"/>
      </w:pPr>
      <w:r>
        <w:rPr>
          <w:rFonts w:ascii="Cambria" w:hAnsi="Cambria"/>
          <w:b w:val="0"/>
          <w:i w:val="0"/>
          <w:sz w:val="22"/>
        </w:rPr>
        <w:t>To prevent instances of verbal misconduct, argumentative behavior, or disrespectful communication toward superiors, colleagues, or authorities.</w:t>
      </w:r>
    </w:p>
    <w:p>
      <w:pPr>
        <w:pStyle w:val="ListBullet"/>
        <w:spacing w:line="276" w:lineRule="auto"/>
        <w:ind w:left="510"/>
      </w:pPr>
      <w:r>
        <w:rPr>
          <w:rFonts w:ascii="Cambria" w:hAnsi="Cambria"/>
          <w:b w:val="0"/>
          <w:i w:val="0"/>
          <w:sz w:val="22"/>
        </w:rPr>
        <w:t>To reinforce a culture of courteous dialogue, hierarchical respect, and ethical communication as part of the University’s code of conduct.</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Any use of high tenor, indecent, offensive, or argumentative language—whether oral, written, or electronic—directed at a superior, colleague, or University authority constitutes verbal misconduct and professional indiscipline.</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categories of University employees—teaching, non-teaching, administrative, and technical staff—irrespective of status (permanent, probationary, or contractual).</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under any circumstance, use abusive, insulting, or intimidating words, engage in undue arguments, or adopt defiant tone or language when communicating with superiors or any authority of the University.</w:t>
            </w:r>
          </w:p>
        </w:tc>
      </w:tr>
    </w:tbl>
    <w:p>
      <w:pPr>
        <w:spacing w:after="40"/>
      </w:pPr>
    </w:p>
    <w:p>
      <w:r>
        <w:rPr>
          <w:rFonts w:ascii="Cambria" w:hAnsi="Cambria"/>
          <w:b/>
          <w:i w:val="0"/>
          <w:sz w:val="22"/>
        </w:rPr>
        <w:t>2. ILLUSTRATIVE INSTANCES OF MISCONDUCT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w:t>
            </w:r>
          </w:p>
        </w:tc>
        <w:tc>
          <w:tcPr>
            <w:tcW w:type="dxa" w:w="5726"/>
            <w:shd w:val="clear" w:color="auto" w:fill="1F3A5F"/>
          </w:tcPr>
          <w:p>
            <w:pPr>
              <w:spacing w:after="40" w:before="40"/>
            </w:pPr>
            <w:r/>
            <w:r>
              <w:rPr>
                <w:rFonts w:ascii="Cambria" w:hAnsi="Cambria"/>
                <w:b/>
                <w:i w:val="0"/>
                <w:color w:val="FFFFFF"/>
                <w:sz w:val="22"/>
              </w:rPr>
              <w:t>Examples</w:t>
            </w:r>
          </w:p>
        </w:tc>
      </w:tr>
      <w:tr>
        <w:tc>
          <w:tcPr>
            <w:tcW w:type="dxa" w:w="3685"/>
          </w:tcPr>
          <w:p>
            <w:pPr>
              <w:spacing w:after="40" w:before="40"/>
            </w:pPr>
            <w:r/>
            <w:r>
              <w:rPr>
                <w:rFonts w:ascii="Cambria" w:hAnsi="Cambria"/>
                <w:b w:val="0"/>
                <w:i w:val="0"/>
                <w:sz w:val="22"/>
              </w:rPr>
              <w:t>Verbal Misconduct</w:t>
            </w:r>
          </w:p>
        </w:tc>
        <w:tc>
          <w:tcPr>
            <w:tcW w:type="dxa" w:w="5726"/>
          </w:tcPr>
          <w:p>
            <w:pPr>
              <w:spacing w:after="40" w:before="40"/>
            </w:pPr>
            <w:r/>
            <w:r>
              <w:rPr>
                <w:rFonts w:ascii="Cambria" w:hAnsi="Cambria"/>
                <w:b w:val="0"/>
                <w:i w:val="0"/>
                <w:sz w:val="22"/>
              </w:rPr>
              <w:t>Shouting, raising voice, or using threatening or disrespectful tone during meetings.</w:t>
            </w:r>
          </w:p>
        </w:tc>
      </w:tr>
    </w:tbl>
    <w:p>
      <w:pPr>
        <w:spacing w:after="40"/>
      </w:pPr>
    </w:p>
    <w:p>
      <w:pPr>
        <w:pStyle w:val="ListBullet"/>
        <w:spacing w:line="276" w:lineRule="auto"/>
        <w:ind w:left="510"/>
      </w:pPr>
      <w:r>
        <w:rPr>
          <w:rFonts w:ascii="Cambria" w:hAnsi="Cambria"/>
          <w:b w:val="0"/>
          <w:i w:val="0"/>
          <w:sz w:val="22"/>
        </w:rPr>
        <w:t>Interrupting or arguing with superiors in public or in front of subordinates.</w:t>
      </w:r>
    </w:p>
    <w:p>
      <w:r>
        <w:rPr>
          <w:rFonts w:ascii="Cambria" w:hAnsi="Cambria"/>
          <w:b/>
          <w:i w:val="0"/>
          <w:sz w:val="22"/>
        </w:rPr>
        <w:t>Written Misconduct</w:t>
      </w:r>
    </w:p>
    <w:p>
      <w:pPr>
        <w:pStyle w:val="ListBullet"/>
        <w:spacing w:line="276" w:lineRule="auto"/>
        <w:ind w:left="510"/>
      </w:pPr>
      <w:r>
        <w:rPr>
          <w:rFonts w:ascii="Cambria" w:hAnsi="Cambria"/>
          <w:b w:val="0"/>
          <w:i w:val="0"/>
          <w:sz w:val="22"/>
        </w:rPr>
        <w:t>Writing letters, emails, or official communications in disrespectful, accusatory, or sarcastic language.</w:t>
      </w:r>
    </w:p>
    <w:p>
      <w:pPr>
        <w:pStyle w:val="ListBullet"/>
        <w:spacing w:line="276" w:lineRule="auto"/>
        <w:ind w:left="510"/>
      </w:pPr>
      <w:r>
        <w:rPr>
          <w:rFonts w:ascii="Cambria" w:hAnsi="Cambria"/>
          <w:b w:val="0"/>
          <w:i w:val="0"/>
          <w:sz w:val="22"/>
        </w:rPr>
        <w:t>Using phrases implying defiance or contempt toward authority.</w:t>
      </w:r>
    </w:p>
    <w:p>
      <w:r>
        <w:rPr>
          <w:rFonts w:ascii="Cambria" w:hAnsi="Cambria"/>
          <w:b/>
          <w:i w:val="0"/>
          <w:sz w:val="22"/>
        </w:rPr>
        <w:t>Behavioral Misconduct</w:t>
      </w:r>
    </w:p>
    <w:p>
      <w:pPr>
        <w:pStyle w:val="ListBullet"/>
        <w:spacing w:line="276" w:lineRule="auto"/>
        <w:ind w:left="510"/>
      </w:pPr>
      <w:r>
        <w:rPr>
          <w:rFonts w:ascii="Cambria" w:hAnsi="Cambria"/>
          <w:b w:val="0"/>
          <w:i w:val="0"/>
          <w:sz w:val="22"/>
        </w:rPr>
        <w:t>Gestures, expressions, or tone that convey hostility or aggression toward superiors.</w:t>
      </w:r>
    </w:p>
    <w:p>
      <w:pPr>
        <w:pStyle w:val="ListBullet"/>
        <w:spacing w:line="276" w:lineRule="auto"/>
        <w:ind w:left="510"/>
      </w:pPr>
      <w:r>
        <w:rPr>
          <w:rFonts w:ascii="Cambria" w:hAnsi="Cambria"/>
          <w:b w:val="0"/>
          <w:i w:val="0"/>
          <w:sz w:val="22"/>
        </w:rPr>
        <w:t>Creating an unpleasant or intimidating work environment through confrontational behavior.</w:t>
      </w:r>
    </w:p>
    <w:p>
      <w:r>
        <w:rPr>
          <w:rFonts w:ascii="Cambria" w:hAnsi="Cambria"/>
          <w:b/>
          <w:i w:val="0"/>
          <w:sz w:val="22"/>
        </w:rPr>
        <w:t>3. EXPECTED STANDARD OF 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Aspect</w:t>
            </w:r>
          </w:p>
        </w:tc>
        <w:tc>
          <w:tcPr>
            <w:tcW w:type="dxa" w:w="5726"/>
            <w:shd w:val="clear" w:color="auto" w:fill="1F3A5F"/>
          </w:tcPr>
          <w:p>
            <w:pPr>
              <w:spacing w:after="40" w:before="40"/>
            </w:pPr>
            <w:r/>
            <w:r>
              <w:rPr>
                <w:rFonts w:ascii="Cambria" w:hAnsi="Cambria"/>
                <w:b/>
                <w:i w:val="0"/>
                <w:color w:val="FFFFFF"/>
                <w:sz w:val="22"/>
              </w:rPr>
              <w:t>Expectation</w:t>
            </w:r>
          </w:p>
        </w:tc>
      </w:tr>
      <w:tr>
        <w:tc>
          <w:tcPr>
            <w:tcW w:type="dxa" w:w="3685"/>
          </w:tcPr>
          <w:p>
            <w:pPr>
              <w:spacing w:after="40" w:before="40"/>
            </w:pPr>
            <w:r/>
            <w:r>
              <w:rPr>
                <w:rFonts w:ascii="Cambria" w:hAnsi="Cambria"/>
                <w:b w:val="0"/>
                <w:i w:val="0"/>
                <w:sz w:val="22"/>
              </w:rPr>
              <w:t>Communication</w:t>
            </w:r>
          </w:p>
        </w:tc>
        <w:tc>
          <w:tcPr>
            <w:tcW w:type="dxa" w:w="5726"/>
          </w:tcPr>
          <w:p>
            <w:pPr>
              <w:spacing w:after="40" w:before="40"/>
            </w:pPr>
            <w:r/>
            <w:r>
              <w:rPr>
                <w:rFonts w:ascii="Cambria" w:hAnsi="Cambria"/>
                <w:b w:val="0"/>
                <w:i w:val="0"/>
                <w:sz w:val="22"/>
              </w:rPr>
              <w:t>All employees must communicate in a calm, respectful, and professional manner, even when disagreeing with decisions or instructions.</w:t>
            </w:r>
          </w:p>
        </w:tc>
      </w:tr>
      <w:tr>
        <w:tc>
          <w:tcPr>
            <w:tcW w:type="dxa" w:w="3685"/>
            <w:shd w:val="clear" w:color="auto" w:fill="F0F2F5"/>
          </w:tcPr>
          <w:p>
            <w:pPr>
              <w:spacing w:after="40" w:before="40"/>
            </w:pPr>
            <w:r/>
            <w:r>
              <w:rPr>
                <w:rFonts w:ascii="Cambria" w:hAnsi="Cambria"/>
                <w:b w:val="0"/>
                <w:i w:val="0"/>
                <w:sz w:val="22"/>
              </w:rPr>
              <w:t>Disagreement Handling</w:t>
            </w:r>
          </w:p>
        </w:tc>
        <w:tc>
          <w:tcPr>
            <w:tcW w:type="dxa" w:w="5726"/>
            <w:shd w:val="clear" w:color="auto" w:fill="F0F2F5"/>
          </w:tcPr>
          <w:p>
            <w:pPr>
              <w:spacing w:after="40" w:before="40"/>
            </w:pPr>
            <w:r/>
            <w:r>
              <w:rPr>
                <w:rFonts w:ascii="Cambria" w:hAnsi="Cambria"/>
                <w:b w:val="0"/>
                <w:i w:val="0"/>
                <w:sz w:val="22"/>
              </w:rPr>
              <w:t>Employees may present their differences of opinion in writing through proper channels, avoiding emotional or confrontational exchanges.</w:t>
            </w:r>
          </w:p>
        </w:tc>
      </w:tr>
      <w:tr>
        <w:tc>
          <w:tcPr>
            <w:tcW w:type="dxa" w:w="3685"/>
          </w:tcPr>
          <w:p>
            <w:pPr>
              <w:spacing w:after="40" w:before="40"/>
            </w:pPr>
            <w:r/>
            <w:r>
              <w:rPr>
                <w:rFonts w:ascii="Cambria" w:hAnsi="Cambria"/>
                <w:b w:val="0"/>
                <w:i w:val="0"/>
                <w:sz w:val="22"/>
              </w:rPr>
              <w:t>Written Correspondence</w:t>
            </w:r>
          </w:p>
        </w:tc>
        <w:tc>
          <w:tcPr>
            <w:tcW w:type="dxa" w:w="5726"/>
          </w:tcPr>
          <w:p>
            <w:pPr>
              <w:spacing w:after="40" w:before="40"/>
            </w:pPr>
            <w:r/>
            <w:r>
              <w:rPr>
                <w:rFonts w:ascii="Cambria" w:hAnsi="Cambria"/>
                <w:b w:val="0"/>
                <w:i w:val="0"/>
                <w:sz w:val="22"/>
              </w:rPr>
              <w:t>Official correspondence must use formal, factual, and courteous language following institutional communication protocol.</w:t>
            </w:r>
          </w:p>
        </w:tc>
      </w:tr>
      <w:tr>
        <w:tc>
          <w:tcPr>
            <w:tcW w:type="dxa" w:w="3685"/>
            <w:shd w:val="clear" w:color="auto" w:fill="F0F2F5"/>
          </w:tcPr>
          <w:p>
            <w:pPr>
              <w:spacing w:after="40" w:before="40"/>
            </w:pPr>
            <w:r/>
            <w:r>
              <w:rPr>
                <w:rFonts w:ascii="Cambria" w:hAnsi="Cambria"/>
                <w:b w:val="0"/>
                <w:i w:val="0"/>
                <w:sz w:val="22"/>
              </w:rPr>
              <w:t>Conflict Resolution</w:t>
            </w:r>
          </w:p>
        </w:tc>
        <w:tc>
          <w:tcPr>
            <w:tcW w:type="dxa" w:w="5726"/>
            <w:shd w:val="clear" w:color="auto" w:fill="F0F2F5"/>
          </w:tcPr>
          <w:p>
            <w:pPr>
              <w:spacing w:after="40" w:before="40"/>
            </w:pPr>
            <w:r/>
            <w:r>
              <w:rPr>
                <w:rFonts w:ascii="Cambria" w:hAnsi="Cambria"/>
                <w:b w:val="0"/>
                <w:i w:val="0"/>
                <w:sz w:val="22"/>
              </w:rPr>
              <w:t>In case of disputes or disagreements, employees should approach the Head of Department, Registrar, or Vice Chancellor following established grievance procedures.</w:t>
            </w:r>
          </w:p>
        </w:tc>
      </w:tr>
    </w:tbl>
    <w:p>
      <w:pPr>
        <w:spacing w:after="40"/>
      </w:pP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First Instance (minor misconduct)</w:t>
            </w:r>
          </w:p>
        </w:tc>
        <w:tc>
          <w:tcPr>
            <w:tcW w:type="dxa" w:w="5726"/>
          </w:tcPr>
          <w:p>
            <w:pPr>
              <w:spacing w:after="40" w:before="40"/>
            </w:pPr>
            <w:r/>
            <w:r>
              <w:rPr>
                <w:rFonts w:ascii="Cambria" w:hAnsi="Cambria"/>
                <w:b w:val="0"/>
                <w:i w:val="0"/>
                <w:sz w:val="22"/>
              </w:rPr>
              <w:t>Written warning or counseling session with superior.</w:t>
            </w:r>
          </w:p>
        </w:tc>
      </w:tr>
      <w:tr>
        <w:tc>
          <w:tcPr>
            <w:tcW w:type="dxa" w:w="3685"/>
            <w:shd w:val="clear" w:color="auto" w:fill="F0F2F5"/>
          </w:tcPr>
          <w:p>
            <w:pPr>
              <w:spacing w:after="40" w:before="40"/>
            </w:pPr>
            <w:r/>
            <w:r>
              <w:rPr>
                <w:rFonts w:ascii="Cambria" w:hAnsi="Cambria"/>
                <w:b w:val="0"/>
                <w:i w:val="0"/>
                <w:sz w:val="22"/>
              </w:rPr>
              <w:t>Repeated Instances</w:t>
            </w:r>
          </w:p>
        </w:tc>
        <w:tc>
          <w:tcPr>
            <w:tcW w:type="dxa" w:w="5726"/>
            <w:shd w:val="clear" w:color="auto" w:fill="F0F2F5"/>
          </w:tcPr>
          <w:p>
            <w:pPr>
              <w:spacing w:after="40" w:before="40"/>
            </w:pPr>
            <w:r/>
            <w:r>
              <w:rPr>
                <w:rFonts w:ascii="Cambria" w:hAnsi="Cambria"/>
                <w:b w:val="0"/>
                <w:i w:val="0"/>
                <w:sz w:val="22"/>
              </w:rPr>
              <w:t>Withholding of increment, censure, or adverse entry in service record.</w:t>
            </w:r>
          </w:p>
        </w:tc>
      </w:tr>
      <w:tr>
        <w:tc>
          <w:tcPr>
            <w:tcW w:type="dxa" w:w="3685"/>
          </w:tcPr>
          <w:p>
            <w:pPr>
              <w:spacing w:after="40" w:before="40"/>
            </w:pPr>
            <w:r/>
            <w:r>
              <w:rPr>
                <w:rFonts w:ascii="Cambria" w:hAnsi="Cambria"/>
                <w:b w:val="0"/>
                <w:i w:val="0"/>
                <w:sz w:val="22"/>
              </w:rPr>
              <w:t>Serious Misconduct (use of abusive language, verbal threat, or defamation)</w:t>
            </w:r>
          </w:p>
        </w:tc>
        <w:tc>
          <w:tcPr>
            <w:tcW w:type="dxa" w:w="5726"/>
          </w:tcPr>
          <w:p>
            <w:pPr>
              <w:spacing w:after="40" w:before="40"/>
            </w:pPr>
            <w:r/>
            <w:r>
              <w:rPr>
                <w:rFonts w:ascii="Cambria" w:hAnsi="Cambria"/>
                <w:b w:val="0"/>
                <w:i w:val="0"/>
                <w:sz w:val="22"/>
              </w:rPr>
              <w:t>Major penalty — suspension, demotion, or dismissal from service after due disciplinary inquiry.</w:t>
            </w:r>
          </w:p>
        </w:tc>
      </w:tr>
      <w:tr>
        <w:tc>
          <w:tcPr>
            <w:tcW w:type="dxa" w:w="3685"/>
            <w:shd w:val="clear" w:color="auto" w:fill="F0F2F5"/>
          </w:tcPr>
          <w:p>
            <w:pPr>
              <w:spacing w:after="40" w:before="40"/>
            </w:pPr>
            <w:r/>
            <w:r>
              <w:rPr>
                <w:rFonts w:ascii="Cambria" w:hAnsi="Cambria"/>
                <w:b w:val="0"/>
                <w:i w:val="0"/>
                <w:sz w:val="22"/>
              </w:rPr>
              <w:t>Public Misconduct (insulting superiors in meetings or public settings)</w:t>
            </w:r>
          </w:p>
        </w:tc>
        <w:tc>
          <w:tcPr>
            <w:tcW w:type="dxa" w:w="5726"/>
            <w:shd w:val="clear" w:color="auto" w:fill="F0F2F5"/>
          </w:tcPr>
          <w:p>
            <w:pPr>
              <w:spacing w:after="40" w:before="40"/>
            </w:pPr>
            <w:r/>
            <w:r>
              <w:rPr>
                <w:rFonts w:ascii="Cambria" w:hAnsi="Cambria"/>
                <w:b w:val="0"/>
                <w:i w:val="0"/>
                <w:sz w:val="22"/>
              </w:rPr>
              <w:t>Treated as gross indiscipline leading to suspension pending inquiry.</w:t>
            </w:r>
          </w:p>
        </w:tc>
      </w:tr>
    </w:tbl>
    <w:p>
      <w:pPr>
        <w:spacing w:after="40"/>
      </w:pPr>
    </w:p>
    <w:p>
      <w:r>
        <w:rPr>
          <w:rFonts w:ascii="Cambria" w:hAnsi="Cambria"/>
          <w:b/>
          <w:i w:val="0"/>
          <w:sz w:val="22"/>
        </w:rPr>
        <w:t>5. PROCEDURE FOR HANDLING COMPLAINTS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Process</w:t>
            </w:r>
          </w:p>
        </w:tc>
      </w:tr>
      <w:tr>
        <w:tc>
          <w:tcPr>
            <w:tcW w:type="dxa" w:w="3685"/>
          </w:tcPr>
          <w:p>
            <w:pPr>
              <w:spacing w:after="40" w:before="40"/>
            </w:pPr>
            <w:r/>
            <w:r>
              <w:rPr>
                <w:rFonts w:ascii="Cambria" w:hAnsi="Cambria"/>
                <w:b w:val="0"/>
                <w:i w:val="0"/>
                <w:sz w:val="22"/>
              </w:rPr>
              <w:t>1. Complaint Lodging</w:t>
            </w:r>
          </w:p>
        </w:tc>
        <w:tc>
          <w:tcPr>
            <w:tcW w:type="dxa" w:w="5726"/>
          </w:tcPr>
          <w:p>
            <w:pPr>
              <w:spacing w:after="40" w:before="40"/>
            </w:pPr>
            <w:r/>
            <w:r>
              <w:rPr>
                <w:rFonts w:ascii="Cambria" w:hAnsi="Cambria"/>
                <w:b w:val="0"/>
                <w:i w:val="0"/>
                <w:sz w:val="22"/>
              </w:rPr>
              <w:t>The aggrieved superior or witness shall submit a written complaint to the Registrar or Vice Chancellor with details of incident, date, and evidence (if any).</w:t>
            </w:r>
          </w:p>
        </w:tc>
      </w:tr>
      <w:tr>
        <w:tc>
          <w:tcPr>
            <w:tcW w:type="dxa" w:w="3685"/>
            <w:shd w:val="clear" w:color="auto" w:fill="F0F2F5"/>
          </w:tcPr>
          <w:p>
            <w:pPr>
              <w:spacing w:after="40" w:before="40"/>
            </w:pPr>
            <w:r/>
            <w:r>
              <w:rPr>
                <w:rFonts w:ascii="Cambria" w:hAnsi="Cambria"/>
                <w:b w:val="0"/>
                <w:i w:val="0"/>
                <w:sz w:val="22"/>
              </w:rPr>
              <w:t>2. Preliminary Review</w:t>
            </w:r>
          </w:p>
        </w:tc>
        <w:tc>
          <w:tcPr>
            <w:tcW w:type="dxa" w:w="5726"/>
            <w:shd w:val="clear" w:color="auto" w:fill="F0F2F5"/>
          </w:tcPr>
          <w:p>
            <w:pPr>
              <w:spacing w:after="40" w:before="40"/>
            </w:pPr>
            <w:r/>
            <w:r>
              <w:rPr>
                <w:rFonts w:ascii="Cambria" w:hAnsi="Cambria"/>
                <w:b w:val="0"/>
                <w:i w:val="0"/>
                <w:sz w:val="22"/>
              </w:rPr>
              <w:t>The competent authority shall examine the complaint and may refer the case to the Disciplinary Committee for inquiry.</w:t>
            </w:r>
          </w:p>
        </w:tc>
      </w:tr>
      <w:tr>
        <w:tc>
          <w:tcPr>
            <w:tcW w:type="dxa" w:w="3685"/>
          </w:tcPr>
          <w:p>
            <w:pPr>
              <w:spacing w:after="40" w:before="40"/>
            </w:pPr>
            <w:r/>
            <w:r>
              <w:rPr>
                <w:rFonts w:ascii="Cambria" w:hAnsi="Cambria"/>
                <w:b w:val="0"/>
                <w:i w:val="0"/>
                <w:sz w:val="22"/>
              </w:rPr>
              <w:t>3. Opportunity to Respond</w:t>
            </w:r>
          </w:p>
        </w:tc>
        <w:tc>
          <w:tcPr>
            <w:tcW w:type="dxa" w:w="5726"/>
          </w:tcPr>
          <w:p>
            <w:pPr>
              <w:spacing w:after="40" w:before="40"/>
            </w:pPr>
            <w:r/>
            <w:r>
              <w:rPr>
                <w:rFonts w:ascii="Cambria" w:hAnsi="Cambria"/>
                <w:b w:val="0"/>
                <w:i w:val="0"/>
                <w:sz w:val="22"/>
              </w:rPr>
              <w:t>The accused employee shall be given a chance to explain or justify his/her behavior in writing.</w:t>
            </w:r>
          </w:p>
        </w:tc>
      </w:tr>
      <w:tr>
        <w:tc>
          <w:tcPr>
            <w:tcW w:type="dxa" w:w="3685"/>
            <w:shd w:val="clear" w:color="auto" w:fill="F0F2F5"/>
          </w:tcPr>
          <w:p>
            <w:pPr>
              <w:spacing w:after="40" w:before="40"/>
            </w:pPr>
            <w:r/>
            <w:r>
              <w:rPr>
                <w:rFonts w:ascii="Cambria" w:hAnsi="Cambria"/>
                <w:b w:val="0"/>
                <w:i w:val="0"/>
                <w:sz w:val="22"/>
              </w:rPr>
              <w:t>4. Final Decision</w:t>
            </w:r>
          </w:p>
        </w:tc>
        <w:tc>
          <w:tcPr>
            <w:tcW w:type="dxa" w:w="5726"/>
            <w:shd w:val="clear" w:color="auto" w:fill="F0F2F5"/>
          </w:tcPr>
          <w:p>
            <w:pPr>
              <w:spacing w:after="40" w:before="40"/>
            </w:pPr>
            <w:r/>
            <w:r>
              <w:rPr>
                <w:rFonts w:ascii="Cambria" w:hAnsi="Cambria"/>
                <w:b w:val="0"/>
                <w:i w:val="0"/>
                <w:sz w:val="22"/>
              </w:rPr>
              <w:t>Based on inquiry findings, the competent authority shall impose appropriate disciplinary action.</w:t>
            </w:r>
          </w:p>
        </w:tc>
      </w:tr>
      <w:tr>
        <w:tc>
          <w:tcPr>
            <w:tcW w:type="dxa" w:w="3685"/>
          </w:tcPr>
          <w:p>
            <w:pPr>
              <w:spacing w:after="40" w:before="40"/>
            </w:pPr>
            <w:r/>
            <w:r>
              <w:rPr>
                <w:rFonts w:ascii="Cambria" w:hAnsi="Cambria"/>
                <w:b w:val="0"/>
                <w:i w:val="0"/>
                <w:sz w:val="22"/>
              </w:rPr>
              <w:t>5. Appeal</w:t>
            </w:r>
          </w:p>
        </w:tc>
        <w:tc>
          <w:tcPr>
            <w:tcW w:type="dxa" w:w="5726"/>
          </w:tcPr>
          <w:p>
            <w:pPr>
              <w:spacing w:after="40" w:before="40"/>
            </w:pPr>
            <w:r/>
            <w:r>
              <w:rPr>
                <w:rFonts w:ascii="Cambria" w:hAnsi="Cambria"/>
                <w:b w:val="0"/>
                <w:i w:val="0"/>
                <w:sz w:val="22"/>
              </w:rPr>
              <w:t>The employee may appeal to the Board of Management (BoM) within 30 days of the order.</w:t>
            </w:r>
          </w:p>
        </w:tc>
      </w:tr>
    </w:tbl>
    <w:p>
      <w:pPr>
        <w:spacing w:after="40"/>
      </w:pPr>
    </w:p>
    <w:p>
      <w:r>
        <w:rPr>
          <w:rFonts w:ascii="Cambria" w:hAnsi="Cambria"/>
          <w:b/>
          <w:i w:val="0"/>
          <w:sz w:val="22"/>
        </w:rPr>
        <w:t>6. GUIDING PRINCIPLES</w:t>
      </w:r>
    </w:p>
    <w:p>
      <w:pPr>
        <w:pStyle w:val="ListBullet"/>
        <w:spacing w:line="276" w:lineRule="auto"/>
        <w:ind w:left="510"/>
      </w:pPr>
      <w:r>
        <w:rPr>
          <w:rFonts w:ascii="Cambria" w:hAnsi="Cambria"/>
          <w:b w:val="0"/>
          <w:i w:val="0"/>
          <w:sz w:val="22"/>
        </w:rPr>
        <w:t>The University expects mutual respect and civility in all official communication.</w:t>
      </w:r>
    </w:p>
    <w:p>
      <w:pPr>
        <w:pStyle w:val="ListBullet"/>
        <w:spacing w:line="276" w:lineRule="auto"/>
        <w:ind w:left="510"/>
      </w:pPr>
      <w:r>
        <w:rPr>
          <w:rFonts w:ascii="Cambria" w:hAnsi="Cambria"/>
          <w:b w:val="0"/>
          <w:i w:val="0"/>
          <w:sz w:val="22"/>
        </w:rPr>
        <w:t>Disagreement with authority must be expressed respectfully and through proper administrative procedure.</w:t>
      </w:r>
    </w:p>
    <w:p>
      <w:pPr>
        <w:pStyle w:val="ListBullet"/>
        <w:spacing w:line="276" w:lineRule="auto"/>
        <w:ind w:left="510"/>
      </w:pPr>
      <w:r>
        <w:rPr>
          <w:rFonts w:ascii="Cambria" w:hAnsi="Cambria"/>
          <w:b w:val="0"/>
          <w:i w:val="0"/>
          <w:sz w:val="22"/>
        </w:rPr>
        <w:t>Indecent or aggressive language undermines institutional integrity and workplace harmony.</w:t>
      </w:r>
    </w:p>
    <w:p>
      <w:pPr>
        <w:pStyle w:val="ListBullet"/>
        <w:spacing w:line="276" w:lineRule="auto"/>
        <w:ind w:left="510"/>
      </w:pPr>
      <w:r>
        <w:rPr>
          <w:rFonts w:ascii="Cambria" w:hAnsi="Cambria"/>
          <w:b w:val="0"/>
          <w:i w:val="0"/>
          <w:sz w:val="22"/>
        </w:rPr>
        <w:t>The tone, tenor, and choice of words in all communications shall reflect professional maturity and academic decorum.</w:t>
      </w:r>
    </w:p>
    <w:p>
      <w:pPr>
        <w:pStyle w:val="ListBullet"/>
        <w:spacing w:line="276" w:lineRule="auto"/>
        <w:ind w:left="510"/>
      </w:pPr>
      <w:r>
        <w:rPr>
          <w:rFonts w:ascii="Cambria" w:hAnsi="Cambria"/>
          <w:b w:val="0"/>
          <w:i w:val="0"/>
          <w:sz w:val="22"/>
        </w:rPr>
        <w:t>The Board of Management’s decision on any dispute or disciplinary matter arising under this policy shall be final and binding.</w:t>
      </w:r>
    </w:p>
    <w:p>
      <w:r>
        <w:rPr>
          <w:rFonts w:ascii="Cambria" w:hAnsi="Cambria"/>
          <w:b/>
          <w:i w:val="0"/>
          <w:sz w:val="22"/>
        </w:rPr>
        <w:t>7. LEGAL AND ETHICAL REFERENCES</w:t>
      </w:r>
    </w:p>
    <w:p>
      <w:pPr>
        <w:jc w:val="both"/>
      </w:pPr>
      <w:r>
        <w:rPr>
          <w:rFonts w:ascii="Cambria" w:hAnsi="Cambria"/>
          <w:i w:val="0"/>
          <w:sz w:val="22"/>
        </w:rPr>
        <w:t>This policy draws from:</w:t>
      </w:r>
    </w:p>
    <w:p>
      <w:pPr>
        <w:pStyle w:val="ListBullet"/>
        <w:spacing w:line="276" w:lineRule="auto"/>
        <w:ind w:left="510"/>
      </w:pPr>
      <w:r>
        <w:rPr>
          <w:rFonts w:ascii="Cambria" w:hAnsi="Cambria"/>
          <w:b w:val="0"/>
          <w:i w:val="0"/>
          <w:sz w:val="22"/>
        </w:rPr>
        <w:t>UGC Code of Professional Ethics for Teachers (2019)</w:t>
      </w:r>
    </w:p>
    <w:p>
      <w:pPr>
        <w:pStyle w:val="ListBullet"/>
        <w:spacing w:line="276" w:lineRule="auto"/>
        <w:ind w:left="510"/>
      </w:pPr>
      <w:r>
        <w:rPr>
          <w:rFonts w:ascii="Cambria" w:hAnsi="Cambria"/>
          <w:b w:val="0"/>
          <w:i w:val="0"/>
          <w:sz w:val="22"/>
        </w:rPr>
        <w:t>Central Civil Services (Conduct) Rules, 1964 — Rule 3(1): “Every government servant shall maintain integrity and devotion to duty.”</w:t>
      </w:r>
    </w:p>
    <w:p>
      <w:pPr>
        <w:pStyle w:val="ListBullet"/>
        <w:spacing w:line="276" w:lineRule="auto"/>
        <w:ind w:left="510"/>
      </w:pPr>
      <w:r>
        <w:rPr>
          <w:rFonts w:ascii="Cambria" w:hAnsi="Cambria"/>
          <w:b w:val="0"/>
          <w:i w:val="0"/>
          <w:sz w:val="22"/>
        </w:rPr>
        <w:t>Industrial Employment (Standing Orders) Act, 1946 — Schedule I, Clause 14: Misconduct definitions including “use of abusive language” and “insubordination.”</w:t>
      </w:r>
    </w:p>
    <w:p>
      <w:pPr>
        <w:keepNext/>
        <w:spacing w:before="200" w:after="120"/>
      </w:pPr>
      <w:r>
        <w:rPr>
          <w:rFonts w:ascii="Cambria" w:hAnsi="Cambria"/>
          <w:b/>
          <w:color w:val="1F3A5F"/>
          <w:sz w:val="27"/>
        </w:rPr>
        <w:t>Policy on Unauthorized Absence from Appointed Place of Work</w:t>
      </w:r>
    </w:p>
    <w:p>
      <w:r>
        <w:rPr>
          <w:rFonts w:ascii="Cambria" w:hAnsi="Cambria"/>
          <w:b/>
          <w:i w:val="0"/>
          <w:sz w:val="22"/>
        </w:rPr>
        <w:t>I. PURPOSE</w:t>
      </w:r>
    </w:p>
    <w:p>
      <w:pPr>
        <w:pStyle w:val="ListBullet"/>
        <w:spacing w:line="276" w:lineRule="auto"/>
        <w:ind w:left="510"/>
      </w:pPr>
      <w:r>
        <w:rPr>
          <w:rFonts w:ascii="Cambria" w:hAnsi="Cambria"/>
          <w:b w:val="0"/>
          <w:i w:val="0"/>
          <w:sz w:val="22"/>
        </w:rPr>
        <w:t>To ensure discipline, accountability, and punctuality among all categories of University employees.</w:t>
      </w:r>
    </w:p>
    <w:p>
      <w:pPr>
        <w:pStyle w:val="ListBullet"/>
        <w:spacing w:line="276" w:lineRule="auto"/>
        <w:ind w:left="510"/>
      </w:pPr>
      <w:r>
        <w:rPr>
          <w:rFonts w:ascii="Cambria" w:hAnsi="Cambria"/>
          <w:b w:val="0"/>
          <w:i w:val="0"/>
          <w:sz w:val="22"/>
        </w:rPr>
        <w:t>To prevent disruption of academic, administrative, and technical activities due to unauthorized or habitual absence.</w:t>
      </w:r>
    </w:p>
    <w:p>
      <w:pPr>
        <w:pStyle w:val="ListBullet"/>
        <w:spacing w:line="276" w:lineRule="auto"/>
        <w:ind w:left="510"/>
      </w:pPr>
      <w:r>
        <w:rPr>
          <w:rFonts w:ascii="Cambria" w:hAnsi="Cambria"/>
          <w:b w:val="0"/>
          <w:i w:val="0"/>
          <w:sz w:val="22"/>
        </w:rPr>
        <w:t>To establish clear procedures and consequences related to absence without permission or valid cause from the assigned place of duty.</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 employee shall be deemed absent without permission when he/she is not present at the designated workplace or leaves the premises without prior approval from the competent authority during working hours.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This rule applies to all categories of employees—teaching, non-teaching, administrative, and technical—irrespective of employment status (permanent, temporary, contractual, or probationary).</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absent himself/herself from duty, leave the assigned station, or fail to report for work without written permission or sufficient cause. Such conduct constitutes misbehavior and dereliction of duty.</w:t>
            </w:r>
          </w:p>
        </w:tc>
      </w:tr>
    </w:tbl>
    <w:p>
      <w:pPr>
        <w:spacing w:after="40"/>
      </w:pPr>
    </w:p>
    <w:p>
      <w:r>
        <w:rPr>
          <w:rFonts w:ascii="Cambria" w:hAnsi="Cambria"/>
          <w:b/>
          <w:i w:val="0"/>
          <w:sz w:val="22"/>
        </w:rPr>
        <w:t>2. TYPES OF UNAUTHORIZED ABSENCE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w:t>
            </w:r>
          </w:p>
        </w:tc>
        <w:tc>
          <w:tcPr>
            <w:tcW w:type="dxa" w:w="5726"/>
            <w:shd w:val="clear" w:color="auto" w:fill="1F3A5F"/>
          </w:tcPr>
          <w:p>
            <w:pPr>
              <w:spacing w:after="40" w:before="40"/>
            </w:pPr>
            <w:r/>
            <w:r>
              <w:rPr>
                <w:rFonts w:ascii="Cambria" w:hAnsi="Cambria"/>
                <w:b/>
                <w:i w:val="0"/>
                <w:color w:val="FFFFFF"/>
                <w:sz w:val="22"/>
              </w:rPr>
              <w:t>Illustration</w:t>
            </w:r>
          </w:p>
        </w:tc>
      </w:tr>
      <w:tr>
        <w:tc>
          <w:tcPr>
            <w:tcW w:type="dxa" w:w="3685"/>
          </w:tcPr>
          <w:p>
            <w:pPr>
              <w:spacing w:after="40" w:before="40"/>
            </w:pPr>
            <w:r/>
            <w:r>
              <w:rPr>
                <w:rFonts w:ascii="Cambria" w:hAnsi="Cambria"/>
                <w:b w:val="0"/>
                <w:i w:val="0"/>
                <w:sz w:val="22"/>
              </w:rPr>
              <w:t>Short-Term Unauthorized Absence</w:t>
            </w:r>
          </w:p>
        </w:tc>
        <w:tc>
          <w:tcPr>
            <w:tcW w:type="dxa" w:w="5726"/>
          </w:tcPr>
          <w:p>
            <w:pPr>
              <w:spacing w:after="40" w:before="40"/>
            </w:pPr>
            <w:r/>
            <w:r>
              <w:rPr>
                <w:rFonts w:ascii="Cambria" w:hAnsi="Cambria"/>
                <w:b w:val="0"/>
                <w:i w:val="0"/>
                <w:sz w:val="22"/>
              </w:rPr>
              <w:t>Leaving the classroom, laboratory, or office for an extended period during working hours without intimation or permission.</w:t>
            </w:r>
          </w:p>
        </w:tc>
      </w:tr>
      <w:tr>
        <w:tc>
          <w:tcPr>
            <w:tcW w:type="dxa" w:w="3685"/>
            <w:shd w:val="clear" w:color="auto" w:fill="F0F2F5"/>
          </w:tcPr>
          <w:p>
            <w:pPr>
              <w:spacing w:after="40" w:before="40"/>
            </w:pPr>
            <w:r/>
            <w:r>
              <w:rPr>
                <w:rFonts w:ascii="Cambria" w:hAnsi="Cambria"/>
                <w:b w:val="0"/>
                <w:i w:val="0"/>
                <w:sz w:val="22"/>
              </w:rPr>
              <w:t>Full-Day Unauthorized Absence</w:t>
            </w:r>
          </w:p>
        </w:tc>
        <w:tc>
          <w:tcPr>
            <w:tcW w:type="dxa" w:w="5726"/>
            <w:shd w:val="clear" w:color="auto" w:fill="F0F2F5"/>
          </w:tcPr>
          <w:p>
            <w:pPr>
              <w:spacing w:after="40" w:before="40"/>
            </w:pPr>
            <w:r/>
            <w:r>
              <w:rPr>
                <w:rFonts w:ascii="Cambria" w:hAnsi="Cambria"/>
                <w:b w:val="0"/>
                <w:i w:val="0"/>
                <w:sz w:val="22"/>
              </w:rPr>
              <w:t>Remaining absent for a full working day without prior approval or proper justification.</w:t>
            </w:r>
          </w:p>
        </w:tc>
      </w:tr>
      <w:tr>
        <w:tc>
          <w:tcPr>
            <w:tcW w:type="dxa" w:w="3685"/>
          </w:tcPr>
          <w:p>
            <w:pPr>
              <w:spacing w:after="40" w:before="40"/>
            </w:pPr>
            <w:r/>
            <w:r>
              <w:rPr>
                <w:rFonts w:ascii="Cambria" w:hAnsi="Cambria"/>
                <w:b w:val="0"/>
                <w:i w:val="0"/>
                <w:sz w:val="22"/>
              </w:rPr>
              <w:t>Continuous Absence</w:t>
            </w:r>
          </w:p>
        </w:tc>
        <w:tc>
          <w:tcPr>
            <w:tcW w:type="dxa" w:w="5726"/>
          </w:tcPr>
          <w:p>
            <w:pPr>
              <w:spacing w:after="40" w:before="40"/>
            </w:pPr>
            <w:r/>
            <w:r>
              <w:rPr>
                <w:rFonts w:ascii="Cambria" w:hAnsi="Cambria"/>
                <w:b w:val="0"/>
                <w:i w:val="0"/>
                <w:sz w:val="22"/>
              </w:rPr>
              <w:t>Absence from duty for more than three consecutive working days without sanction of leave or sufficient cause.</w:t>
            </w:r>
          </w:p>
        </w:tc>
      </w:tr>
      <w:tr>
        <w:tc>
          <w:tcPr>
            <w:tcW w:type="dxa" w:w="3685"/>
            <w:shd w:val="clear" w:color="auto" w:fill="F0F2F5"/>
          </w:tcPr>
          <w:p>
            <w:pPr>
              <w:spacing w:after="40" w:before="40"/>
            </w:pPr>
            <w:r/>
            <w:r>
              <w:rPr>
                <w:rFonts w:ascii="Cambria" w:hAnsi="Cambria"/>
                <w:b w:val="0"/>
                <w:i w:val="0"/>
                <w:sz w:val="22"/>
              </w:rPr>
              <w:t>Unauthorized Departure from Station</w:t>
            </w:r>
          </w:p>
        </w:tc>
        <w:tc>
          <w:tcPr>
            <w:tcW w:type="dxa" w:w="5726"/>
            <w:shd w:val="clear" w:color="auto" w:fill="F0F2F5"/>
          </w:tcPr>
          <w:p>
            <w:pPr>
              <w:spacing w:after="40" w:before="40"/>
            </w:pPr>
            <w:r/>
            <w:r>
              <w:rPr>
                <w:rFonts w:ascii="Cambria" w:hAnsi="Cambria"/>
                <w:b w:val="0"/>
                <w:i w:val="0"/>
                <w:sz w:val="22"/>
              </w:rPr>
              <w:t>Leaving the city/town of posting without obtaining prior sanction from the competent authority, even during weekends or vacations.</w:t>
            </w:r>
          </w:p>
        </w:tc>
      </w:tr>
      <w:tr>
        <w:tc>
          <w:tcPr>
            <w:tcW w:type="dxa" w:w="3685"/>
          </w:tcPr>
          <w:p>
            <w:pPr>
              <w:spacing w:after="40" w:before="40"/>
            </w:pPr>
            <w:r/>
            <w:r>
              <w:rPr>
                <w:rFonts w:ascii="Cambria" w:hAnsi="Cambria"/>
                <w:b w:val="0"/>
                <w:i w:val="0"/>
                <w:sz w:val="22"/>
              </w:rPr>
              <w:t>Absence During Events or Duties</w:t>
            </w:r>
          </w:p>
        </w:tc>
        <w:tc>
          <w:tcPr>
            <w:tcW w:type="dxa" w:w="5726"/>
          </w:tcPr>
          <w:p>
            <w:pPr>
              <w:spacing w:after="40" w:before="40"/>
            </w:pPr>
            <w:r/>
            <w:r>
              <w:rPr>
                <w:rFonts w:ascii="Cambria" w:hAnsi="Cambria"/>
                <w:b w:val="0"/>
                <w:i w:val="0"/>
                <w:sz w:val="22"/>
              </w:rPr>
              <w:t>Failing to attend assigned University events, examinations, invigilation duties, or official meetings without valid reason.</w:t>
            </w:r>
          </w:p>
        </w:tc>
      </w:tr>
    </w:tbl>
    <w:p>
      <w:pPr>
        <w:spacing w:after="40"/>
      </w:pPr>
    </w:p>
    <w:p>
      <w:r>
        <w:rPr>
          <w:rFonts w:ascii="Cambria" w:hAnsi="Cambria"/>
          <w:b/>
          <w:i w:val="0"/>
          <w:sz w:val="22"/>
        </w:rPr>
        <w:t>3. CONDITIONS AND EXPECTATIONS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Aspect</w:t>
            </w:r>
          </w:p>
        </w:tc>
        <w:tc>
          <w:tcPr>
            <w:tcW w:type="dxa" w:w="5726"/>
            <w:shd w:val="clear" w:color="auto" w:fill="1F3A5F"/>
          </w:tcPr>
          <w:p>
            <w:pPr>
              <w:spacing w:after="40" w:before="40"/>
            </w:pPr>
            <w:r/>
            <w:r>
              <w:rPr>
                <w:rFonts w:ascii="Cambria" w:hAnsi="Cambria"/>
                <w:b/>
                <w:i w:val="0"/>
                <w:color w:val="FFFFFF"/>
                <w:sz w:val="22"/>
              </w:rPr>
              <w:t>Requirement</w:t>
            </w:r>
          </w:p>
        </w:tc>
      </w:tr>
      <w:tr>
        <w:tc>
          <w:tcPr>
            <w:tcW w:type="dxa" w:w="3685"/>
          </w:tcPr>
          <w:p>
            <w:pPr>
              <w:spacing w:after="40" w:before="40"/>
            </w:pPr>
            <w:r/>
            <w:r>
              <w:rPr>
                <w:rFonts w:ascii="Cambria" w:hAnsi="Cambria"/>
                <w:b w:val="0"/>
                <w:i w:val="0"/>
                <w:sz w:val="22"/>
              </w:rPr>
              <w:t>Prior Permission</w:t>
            </w:r>
          </w:p>
        </w:tc>
        <w:tc>
          <w:tcPr>
            <w:tcW w:type="dxa" w:w="5726"/>
          </w:tcPr>
          <w:p>
            <w:pPr>
              <w:spacing w:after="40" w:before="40"/>
            </w:pPr>
            <w:r/>
            <w:r>
              <w:rPr>
                <w:rFonts w:ascii="Cambria" w:hAnsi="Cambria"/>
                <w:b w:val="0"/>
                <w:i w:val="0"/>
                <w:sz w:val="22"/>
              </w:rPr>
              <w:t>Employees must obtain written approval (email or signed leave form) from their immediate superior or competent authority before leaving the workplace.</w:t>
            </w:r>
          </w:p>
        </w:tc>
      </w:tr>
      <w:tr>
        <w:tc>
          <w:tcPr>
            <w:tcW w:type="dxa" w:w="3685"/>
            <w:shd w:val="clear" w:color="auto" w:fill="F0F2F5"/>
          </w:tcPr>
          <w:p>
            <w:pPr>
              <w:spacing w:after="40" w:before="40"/>
            </w:pPr>
            <w:r/>
            <w:r>
              <w:rPr>
                <w:rFonts w:ascii="Cambria" w:hAnsi="Cambria"/>
                <w:b w:val="0"/>
                <w:i w:val="0"/>
                <w:sz w:val="22"/>
              </w:rPr>
              <w:t>Intimation of Emergency</w:t>
            </w:r>
          </w:p>
        </w:tc>
        <w:tc>
          <w:tcPr>
            <w:tcW w:type="dxa" w:w="5726"/>
            <w:shd w:val="clear" w:color="auto" w:fill="F0F2F5"/>
          </w:tcPr>
          <w:p>
            <w:pPr>
              <w:spacing w:after="40" w:before="40"/>
            </w:pPr>
            <w:r/>
            <w:r>
              <w:rPr>
                <w:rFonts w:ascii="Cambria" w:hAnsi="Cambria"/>
                <w:b w:val="0"/>
                <w:i w:val="0"/>
                <w:sz w:val="22"/>
              </w:rPr>
              <w:t>In case of medical or personal emergencies, the employee must inform the Head of Department or Registrar immediately by phone or email, followed by a formal leave application.</w:t>
            </w:r>
          </w:p>
        </w:tc>
      </w:tr>
      <w:tr>
        <w:tc>
          <w:tcPr>
            <w:tcW w:type="dxa" w:w="3685"/>
          </w:tcPr>
          <w:p>
            <w:pPr>
              <w:spacing w:after="40" w:before="40"/>
            </w:pPr>
            <w:r/>
            <w:r>
              <w:rPr>
                <w:rFonts w:ascii="Cambria" w:hAnsi="Cambria"/>
                <w:b w:val="0"/>
                <w:i w:val="0"/>
                <w:sz w:val="22"/>
              </w:rPr>
              <w:t>Attendance Recording</w:t>
            </w:r>
          </w:p>
        </w:tc>
        <w:tc>
          <w:tcPr>
            <w:tcW w:type="dxa" w:w="5726"/>
          </w:tcPr>
          <w:p>
            <w:pPr>
              <w:spacing w:after="40" w:before="40"/>
            </w:pPr>
            <w:r/>
            <w:r>
              <w:rPr>
                <w:rFonts w:ascii="Cambria" w:hAnsi="Cambria"/>
                <w:b w:val="0"/>
                <w:i w:val="0"/>
                <w:sz w:val="22"/>
              </w:rPr>
              <w:t>All employees must sign the attendance register or use biometric systems at prescribed times daily. Unauthorized absence will be automatically recorded for disciplinary consideration.</w:t>
            </w:r>
          </w:p>
        </w:tc>
      </w:tr>
      <w:tr>
        <w:tc>
          <w:tcPr>
            <w:tcW w:type="dxa" w:w="3685"/>
            <w:shd w:val="clear" w:color="auto" w:fill="F0F2F5"/>
          </w:tcPr>
          <w:p>
            <w:pPr>
              <w:spacing w:after="40" w:before="40"/>
            </w:pPr>
            <w:r/>
            <w:r>
              <w:rPr>
                <w:rFonts w:ascii="Cambria" w:hAnsi="Cambria"/>
                <w:b w:val="0"/>
                <w:i w:val="0"/>
                <w:sz w:val="22"/>
              </w:rPr>
              <w:t>Accountability</w:t>
            </w:r>
          </w:p>
        </w:tc>
        <w:tc>
          <w:tcPr>
            <w:tcW w:type="dxa" w:w="5726"/>
            <w:shd w:val="clear" w:color="auto" w:fill="F0F2F5"/>
          </w:tcPr>
          <w:p>
            <w:pPr>
              <w:spacing w:after="40" w:before="40"/>
            </w:pPr>
            <w:r/>
            <w:r>
              <w:rPr>
                <w:rFonts w:ascii="Cambria" w:hAnsi="Cambria"/>
                <w:b w:val="0"/>
                <w:i w:val="0"/>
                <w:sz w:val="22"/>
              </w:rPr>
              <w:t>Supervisors and Heads of Departments are responsible for reporting cases of unauthorized absence to the HR or Registrar’s office.</w:t>
            </w:r>
          </w:p>
        </w:tc>
      </w:tr>
    </w:tbl>
    <w:p>
      <w:pPr>
        <w:spacing w:after="40"/>
      </w:pP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Isolated or First Instance</w:t>
            </w:r>
          </w:p>
        </w:tc>
        <w:tc>
          <w:tcPr>
            <w:tcW w:type="dxa" w:w="5726"/>
          </w:tcPr>
          <w:p>
            <w:pPr>
              <w:spacing w:after="40" w:before="40"/>
            </w:pPr>
            <w:r/>
            <w:r>
              <w:rPr>
                <w:rFonts w:ascii="Cambria" w:hAnsi="Cambria"/>
                <w:b w:val="0"/>
                <w:i w:val="0"/>
                <w:sz w:val="22"/>
              </w:rPr>
              <w:t>Verbal warning or written caution; pay deduction for the period of unauthorized absence.</w:t>
            </w:r>
          </w:p>
        </w:tc>
      </w:tr>
      <w:tr>
        <w:tc>
          <w:tcPr>
            <w:tcW w:type="dxa" w:w="3685"/>
            <w:shd w:val="clear" w:color="auto" w:fill="F0F2F5"/>
          </w:tcPr>
          <w:p>
            <w:pPr>
              <w:spacing w:after="40" w:before="40"/>
            </w:pPr>
            <w:r/>
            <w:r>
              <w:rPr>
                <w:rFonts w:ascii="Cambria" w:hAnsi="Cambria"/>
                <w:b w:val="0"/>
                <w:i w:val="0"/>
                <w:sz w:val="22"/>
              </w:rPr>
              <w:t>Repeated Unauthorized Absence</w:t>
            </w:r>
          </w:p>
        </w:tc>
        <w:tc>
          <w:tcPr>
            <w:tcW w:type="dxa" w:w="5726"/>
            <w:shd w:val="clear" w:color="auto" w:fill="F0F2F5"/>
          </w:tcPr>
          <w:p>
            <w:pPr>
              <w:spacing w:after="40" w:before="40"/>
            </w:pPr>
            <w:r/>
            <w:r>
              <w:rPr>
                <w:rFonts w:ascii="Cambria" w:hAnsi="Cambria"/>
                <w:b w:val="0"/>
                <w:i w:val="0"/>
                <w:sz w:val="22"/>
              </w:rPr>
              <w:t>Withholding of increment, entry of adverse remarks in the service record, or suspension pending inquiry.</w:t>
            </w:r>
          </w:p>
        </w:tc>
      </w:tr>
      <w:tr>
        <w:tc>
          <w:tcPr>
            <w:tcW w:type="dxa" w:w="3685"/>
          </w:tcPr>
          <w:p>
            <w:pPr>
              <w:spacing w:after="40" w:before="40"/>
            </w:pPr>
            <w:r/>
            <w:r>
              <w:rPr>
                <w:rFonts w:ascii="Cambria" w:hAnsi="Cambria"/>
                <w:b w:val="0"/>
                <w:i w:val="0"/>
                <w:sz w:val="22"/>
              </w:rPr>
              <w:t>Prolonged Absence (beyond 3–7 days)</w:t>
            </w:r>
          </w:p>
        </w:tc>
        <w:tc>
          <w:tcPr>
            <w:tcW w:type="dxa" w:w="5726"/>
          </w:tcPr>
          <w:p>
            <w:pPr>
              <w:spacing w:after="40" w:before="40"/>
            </w:pPr>
            <w:r/>
            <w:r>
              <w:rPr>
                <w:rFonts w:ascii="Cambria" w:hAnsi="Cambria"/>
                <w:b w:val="0"/>
                <w:i w:val="0"/>
                <w:sz w:val="22"/>
              </w:rPr>
              <w:t>Treated as “willful absence” — employee deemed to have abandoned service or subject to termination after inquiry.</w:t>
            </w:r>
          </w:p>
        </w:tc>
      </w:tr>
      <w:tr>
        <w:tc>
          <w:tcPr>
            <w:tcW w:type="dxa" w:w="3685"/>
            <w:shd w:val="clear" w:color="auto" w:fill="F0F2F5"/>
          </w:tcPr>
          <w:p>
            <w:pPr>
              <w:spacing w:after="40" w:before="40"/>
            </w:pPr>
            <w:r/>
            <w:r>
              <w:rPr>
                <w:rFonts w:ascii="Cambria" w:hAnsi="Cambria"/>
                <w:b w:val="0"/>
                <w:i w:val="0"/>
                <w:sz w:val="22"/>
              </w:rPr>
              <w:t>Leaving Premises Without Permission</w:t>
            </w:r>
          </w:p>
        </w:tc>
        <w:tc>
          <w:tcPr>
            <w:tcW w:type="dxa" w:w="5726"/>
            <w:shd w:val="clear" w:color="auto" w:fill="F0F2F5"/>
          </w:tcPr>
          <w:p>
            <w:pPr>
              <w:spacing w:after="40" w:before="40"/>
            </w:pPr>
            <w:r/>
            <w:r>
              <w:rPr>
                <w:rFonts w:ascii="Cambria" w:hAnsi="Cambria"/>
                <w:b w:val="0"/>
                <w:i w:val="0"/>
                <w:sz w:val="22"/>
              </w:rPr>
              <w:t>Treated as misconduct — loss of pay for the day and disciplinary warning.</w:t>
            </w:r>
          </w:p>
        </w:tc>
      </w:tr>
      <w:tr>
        <w:tc>
          <w:tcPr>
            <w:tcW w:type="dxa" w:w="3685"/>
          </w:tcPr>
          <w:p>
            <w:pPr>
              <w:spacing w:after="40" w:before="40"/>
            </w:pPr>
            <w:r/>
            <w:r>
              <w:rPr>
                <w:rFonts w:ascii="Cambria" w:hAnsi="Cambria"/>
                <w:b w:val="0"/>
                <w:i w:val="0"/>
                <w:sz w:val="22"/>
              </w:rPr>
              <w:t>Non-Reporting Post Leave</w:t>
            </w:r>
          </w:p>
        </w:tc>
        <w:tc>
          <w:tcPr>
            <w:tcW w:type="dxa" w:w="5726"/>
          </w:tcPr>
          <w:p>
            <w:pPr>
              <w:spacing w:after="40" w:before="40"/>
            </w:pPr>
            <w:r/>
            <w:r>
              <w:rPr>
                <w:rFonts w:ascii="Cambria" w:hAnsi="Cambria"/>
                <w:b w:val="0"/>
                <w:i w:val="0"/>
                <w:sz w:val="22"/>
              </w:rPr>
              <w:t>Considered as “ovestaying leave” — disciplinary action including pay loss, censure, or suspension.</w:t>
            </w:r>
          </w:p>
        </w:tc>
      </w:tr>
    </w:tbl>
    <w:p>
      <w:pPr>
        <w:spacing w:after="40"/>
      </w:pPr>
    </w:p>
    <w:p>
      <w:pPr>
        <w:jc w:val="both"/>
      </w:pPr>
      <w:r>
        <w:rPr>
          <w:rFonts w:ascii="Cambria" w:hAnsi="Cambria"/>
          <w:i/>
          <w:sz w:val="22"/>
        </w:rPr>
        <w:t>Note: Absence without permission is treated as “Dies Non” (non-duty period), meaning the time lost does not count for increment, leave, or service continuity.</w:t>
      </w:r>
    </w:p>
    <w:p>
      <w:r>
        <w:rPr>
          <w:rFonts w:ascii="Cambria" w:hAnsi="Cambria"/>
          <w:b/>
          <w:i w:val="0"/>
          <w:sz w:val="22"/>
        </w:rPr>
        <w:t>5. PROCEDURE FOR REPORTING AND ACTION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Procedure</w:t>
            </w:r>
          </w:p>
        </w:tc>
      </w:tr>
      <w:tr>
        <w:tc>
          <w:tcPr>
            <w:tcW w:type="dxa" w:w="3685"/>
          </w:tcPr>
          <w:p>
            <w:pPr>
              <w:spacing w:after="40" w:before="40"/>
            </w:pPr>
            <w:r/>
            <w:r>
              <w:rPr>
                <w:rFonts w:ascii="Cambria" w:hAnsi="Cambria"/>
                <w:b w:val="0"/>
                <w:i w:val="0"/>
                <w:sz w:val="22"/>
              </w:rPr>
              <w:t>1. Reporting by Superior</w:t>
            </w:r>
          </w:p>
        </w:tc>
        <w:tc>
          <w:tcPr>
            <w:tcW w:type="dxa" w:w="5726"/>
          </w:tcPr>
          <w:p>
            <w:pPr>
              <w:spacing w:after="40" w:before="40"/>
            </w:pPr>
            <w:r/>
            <w:r>
              <w:rPr>
                <w:rFonts w:ascii="Cambria" w:hAnsi="Cambria"/>
                <w:b w:val="0"/>
                <w:i w:val="0"/>
                <w:sz w:val="22"/>
              </w:rPr>
              <w:t>The immediate superior (HOD/Dean/Supervisor) shall report the unauthorized absence to the Registrar’s Office within 24 hours.</w:t>
            </w:r>
          </w:p>
        </w:tc>
      </w:tr>
      <w:tr>
        <w:tc>
          <w:tcPr>
            <w:tcW w:type="dxa" w:w="3685"/>
            <w:shd w:val="clear" w:color="auto" w:fill="F0F2F5"/>
          </w:tcPr>
          <w:p>
            <w:pPr>
              <w:spacing w:after="40" w:before="40"/>
            </w:pPr>
            <w:r/>
            <w:r>
              <w:rPr>
                <w:rFonts w:ascii="Cambria" w:hAnsi="Cambria"/>
                <w:b w:val="0"/>
                <w:i w:val="0"/>
                <w:sz w:val="22"/>
              </w:rPr>
              <w:t>2. Preliminary Notice</w:t>
            </w:r>
          </w:p>
        </w:tc>
        <w:tc>
          <w:tcPr>
            <w:tcW w:type="dxa" w:w="5726"/>
            <w:shd w:val="clear" w:color="auto" w:fill="F0F2F5"/>
          </w:tcPr>
          <w:p>
            <w:pPr>
              <w:spacing w:after="40" w:before="40"/>
            </w:pPr>
            <w:r/>
            <w:r>
              <w:rPr>
                <w:rFonts w:ascii="Cambria" w:hAnsi="Cambria"/>
                <w:b w:val="0"/>
                <w:i w:val="0"/>
                <w:sz w:val="22"/>
              </w:rPr>
              <w:t>A “Show Cause Notice” shall be issued to the concerned employee asking for justification within 3 working days.</w:t>
            </w:r>
          </w:p>
        </w:tc>
      </w:tr>
      <w:tr>
        <w:tc>
          <w:tcPr>
            <w:tcW w:type="dxa" w:w="3685"/>
          </w:tcPr>
          <w:p>
            <w:pPr>
              <w:spacing w:after="40" w:before="40"/>
            </w:pPr>
            <w:r/>
            <w:r>
              <w:rPr>
                <w:rFonts w:ascii="Cambria" w:hAnsi="Cambria"/>
                <w:b w:val="0"/>
                <w:i w:val="0"/>
                <w:sz w:val="22"/>
              </w:rPr>
              <w:t>3. Review and Inquiry</w:t>
            </w:r>
          </w:p>
        </w:tc>
        <w:tc>
          <w:tcPr>
            <w:tcW w:type="dxa" w:w="5726"/>
          </w:tcPr>
          <w:p>
            <w:pPr>
              <w:spacing w:after="40" w:before="40"/>
            </w:pPr>
            <w:r/>
            <w:r>
              <w:rPr>
                <w:rFonts w:ascii="Cambria" w:hAnsi="Cambria"/>
                <w:b w:val="0"/>
                <w:i w:val="0"/>
                <w:sz w:val="22"/>
              </w:rPr>
              <w:t>If the explanation is unsatisfactory, the matter shall be referred to the Disciplinary Committee for formal inquiry.</w:t>
            </w:r>
          </w:p>
        </w:tc>
      </w:tr>
      <w:tr>
        <w:tc>
          <w:tcPr>
            <w:tcW w:type="dxa" w:w="3685"/>
            <w:shd w:val="clear" w:color="auto" w:fill="F0F2F5"/>
          </w:tcPr>
          <w:p>
            <w:pPr>
              <w:spacing w:after="40" w:before="40"/>
            </w:pPr>
            <w:r/>
            <w:r>
              <w:rPr>
                <w:rFonts w:ascii="Cambria" w:hAnsi="Cambria"/>
                <w:b w:val="0"/>
                <w:i w:val="0"/>
                <w:sz w:val="22"/>
              </w:rPr>
              <w:t>4. Decision</w:t>
            </w:r>
          </w:p>
        </w:tc>
        <w:tc>
          <w:tcPr>
            <w:tcW w:type="dxa" w:w="5726"/>
            <w:shd w:val="clear" w:color="auto" w:fill="F0F2F5"/>
          </w:tcPr>
          <w:p>
            <w:pPr>
              <w:spacing w:after="40" w:before="40"/>
            </w:pPr>
            <w:r/>
            <w:r>
              <w:rPr>
                <w:rFonts w:ascii="Cambria" w:hAnsi="Cambria"/>
                <w:b w:val="0"/>
                <w:i w:val="0"/>
                <w:sz w:val="22"/>
              </w:rPr>
              <w:t>Based on findings, the competent authority shall impose appropriate penalties as per the Service Conduct Rules.</w:t>
            </w:r>
          </w:p>
        </w:tc>
      </w:tr>
      <w:tr>
        <w:tc>
          <w:tcPr>
            <w:tcW w:type="dxa" w:w="3685"/>
          </w:tcPr>
          <w:p>
            <w:pPr>
              <w:spacing w:after="40" w:before="40"/>
            </w:pPr>
            <w:r/>
            <w:r>
              <w:rPr>
                <w:rFonts w:ascii="Cambria" w:hAnsi="Cambria"/>
                <w:b w:val="0"/>
                <w:i w:val="0"/>
                <w:sz w:val="22"/>
              </w:rPr>
              <w:t>5. Record Keeping</w:t>
            </w:r>
          </w:p>
        </w:tc>
        <w:tc>
          <w:tcPr>
            <w:tcW w:type="dxa" w:w="5726"/>
          </w:tcPr>
          <w:p>
            <w:pPr>
              <w:spacing w:after="40" w:before="40"/>
            </w:pPr>
            <w:r/>
            <w:r>
              <w:rPr>
                <w:rFonts w:ascii="Cambria" w:hAnsi="Cambria"/>
                <w:b w:val="0"/>
                <w:i w:val="0"/>
                <w:sz w:val="22"/>
              </w:rPr>
              <w:t>HR Section shall record each instance of unauthorized absence in the Service and Attendance Register for reference during appraisal and promotion reviews.</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Attendance and presence at the workplace are fundamental duties of every employee.</w:t>
      </w:r>
    </w:p>
    <w:p>
      <w:pPr>
        <w:pStyle w:val="ListBullet"/>
        <w:spacing w:line="276" w:lineRule="auto"/>
        <w:ind w:left="510"/>
      </w:pPr>
      <w:r>
        <w:rPr>
          <w:rFonts w:ascii="Cambria" w:hAnsi="Cambria"/>
          <w:b w:val="0"/>
          <w:i w:val="0"/>
          <w:sz w:val="22"/>
        </w:rPr>
        <w:t>Unauthorized absence is a sign of indiscipline and neglect of duty.</w:t>
      </w:r>
    </w:p>
    <w:p>
      <w:pPr>
        <w:pStyle w:val="ListBullet"/>
        <w:spacing w:line="276" w:lineRule="auto"/>
        <w:ind w:left="510"/>
      </w:pPr>
      <w:r>
        <w:rPr>
          <w:rFonts w:ascii="Cambria" w:hAnsi="Cambria"/>
          <w:b w:val="0"/>
          <w:i w:val="0"/>
          <w:sz w:val="22"/>
        </w:rPr>
        <w:t>Even a single day of absence without sanction is subject to deduction of pay and loss of service benefits.</w:t>
      </w:r>
    </w:p>
    <w:p>
      <w:pPr>
        <w:pStyle w:val="ListBullet"/>
        <w:spacing w:line="276" w:lineRule="auto"/>
        <w:ind w:left="510"/>
      </w:pPr>
      <w:r>
        <w:rPr>
          <w:rFonts w:ascii="Cambria" w:hAnsi="Cambria"/>
          <w:b w:val="0"/>
          <w:i w:val="0"/>
          <w:sz w:val="22"/>
        </w:rPr>
        <w:t>Emergency absence may be condoned only if supported by authentic proof and accepted by the competent authority.</w:t>
      </w:r>
    </w:p>
    <w:p>
      <w:pPr>
        <w:pStyle w:val="ListBullet"/>
        <w:spacing w:line="276" w:lineRule="auto"/>
        <w:ind w:left="510"/>
      </w:pPr>
      <w:r>
        <w:rPr>
          <w:rFonts w:ascii="Cambria" w:hAnsi="Cambria"/>
          <w:b w:val="0"/>
          <w:i w:val="0"/>
          <w:sz w:val="22"/>
        </w:rPr>
        <w:t>Continuous absence beyond three months without authorization will be treated as voluntary abandonment of service.</w:t>
      </w:r>
    </w:p>
    <w:p>
      <w:pPr>
        <w:pStyle w:val="ListBullet"/>
        <w:spacing w:line="276" w:lineRule="auto"/>
        <w:ind w:left="510"/>
      </w:pPr>
      <w:r>
        <w:rPr>
          <w:rFonts w:ascii="Cambria" w:hAnsi="Cambria"/>
          <w:b w:val="0"/>
          <w:i w:val="0"/>
          <w:sz w:val="22"/>
        </w:rPr>
        <w:t>The decision of the Board of Management (BoM) in such matters shall be final and binding.</w:t>
      </w:r>
    </w:p>
    <w:p>
      <w:r>
        <w:rPr>
          <w:rFonts w:ascii="Cambria" w:hAnsi="Cambria"/>
          <w:b/>
          <w:i w:val="0"/>
          <w:sz w:val="22"/>
        </w:rPr>
        <w:t>7. ALIGNMENT WITH STANDARDS AND REGULATIONS</w:t>
      </w:r>
    </w:p>
    <w:p>
      <w:pPr>
        <w:jc w:val="both"/>
      </w:pPr>
      <w:r>
        <w:rPr>
          <w:rFonts w:ascii="Cambria" w:hAnsi="Cambria"/>
          <w:i w:val="0"/>
          <w:sz w:val="22"/>
        </w:rPr>
        <w:t>This policy aligns with:</w:t>
      </w:r>
    </w:p>
    <w:p>
      <w:pPr>
        <w:pStyle w:val="ListBullet"/>
        <w:spacing w:line="276" w:lineRule="auto"/>
        <w:ind w:left="510"/>
      </w:pPr>
      <w:r>
        <w:rPr>
          <w:rFonts w:ascii="Cambria" w:hAnsi="Cambria"/>
          <w:b w:val="0"/>
          <w:i w:val="0"/>
          <w:sz w:val="22"/>
        </w:rPr>
        <w:t>UGC (Code of Professional Ethics for Teachers, 2019) — Clause on punctuality and institutional responsibility.</w:t>
      </w:r>
    </w:p>
    <w:p>
      <w:pPr>
        <w:pStyle w:val="ListBullet"/>
        <w:spacing w:line="276" w:lineRule="auto"/>
        <w:ind w:left="510"/>
      </w:pPr>
      <w:r>
        <w:rPr>
          <w:rFonts w:ascii="Cambria" w:hAnsi="Cambria"/>
          <w:b w:val="0"/>
          <w:i w:val="0"/>
          <w:sz w:val="22"/>
        </w:rPr>
        <w:t>Central Civil Services (Leave) Rules, 1972 — Rule 25: “Absence without leave.”</w:t>
      </w:r>
    </w:p>
    <w:p>
      <w:pPr>
        <w:pStyle w:val="ListBullet"/>
        <w:spacing w:line="276" w:lineRule="auto"/>
        <w:ind w:left="510"/>
      </w:pPr>
      <w:r>
        <w:rPr>
          <w:rFonts w:ascii="Cambria" w:hAnsi="Cambria"/>
          <w:b w:val="0"/>
          <w:i w:val="0"/>
          <w:sz w:val="22"/>
        </w:rPr>
        <w:t>Industrial Employment (Standing Orders) Act, 1946 — Clause 14(2): “Habitual absence or neglect of work constitutes misconduct.”</w:t>
      </w:r>
    </w:p>
    <w:p>
      <w:pPr>
        <w:pStyle w:val="ListBullet"/>
        <w:spacing w:line="276" w:lineRule="auto"/>
        <w:ind w:left="510"/>
      </w:pPr>
      <w:r>
        <w:rPr>
          <w:rFonts w:ascii="Cambria" w:hAnsi="Cambria"/>
          <w:b w:val="0"/>
          <w:i w:val="0"/>
          <w:sz w:val="22"/>
        </w:rPr>
        <w:t>University Staff Conduct Rules, NAAC/NBA HR Compliance Frameworks.</w:t>
      </w:r>
    </w:p>
    <w:p>
      <w:pPr>
        <w:keepNext/>
        <w:spacing w:before="200" w:after="120"/>
      </w:pPr>
      <w:r>
        <w:rPr>
          <w:rFonts w:ascii="Cambria" w:hAnsi="Cambria"/>
          <w:b/>
          <w:color w:val="1F3A5F"/>
          <w:sz w:val="27"/>
        </w:rPr>
        <w:t>Policy on Taking Up Outside Service or Establishing an Institution While on Leave</w:t>
      </w:r>
    </w:p>
    <w:p>
      <w:r>
        <w:rPr>
          <w:rFonts w:ascii="Cambria" w:hAnsi="Cambria"/>
          <w:b/>
          <w:i w:val="0"/>
          <w:sz w:val="22"/>
        </w:rPr>
        <w:t>I. PURPOSE</w:t>
      </w:r>
    </w:p>
    <w:p>
      <w:pPr>
        <w:pStyle w:val="ListBullet"/>
        <w:spacing w:line="276" w:lineRule="auto"/>
        <w:ind w:left="510"/>
      </w:pPr>
      <w:r>
        <w:rPr>
          <w:rFonts w:ascii="Cambria" w:hAnsi="Cambria"/>
          <w:b w:val="0"/>
          <w:i w:val="0"/>
          <w:sz w:val="22"/>
        </w:rPr>
        <w:t>To ensure that employees on sanctioned leave remain loyal to the University and do not misuse the leave period for unauthorized employment, consultancy, or institutional activities.</w:t>
      </w:r>
    </w:p>
    <w:p>
      <w:pPr>
        <w:pStyle w:val="ListBullet"/>
        <w:spacing w:line="276" w:lineRule="auto"/>
        <w:ind w:left="510"/>
      </w:pPr>
      <w:r>
        <w:rPr>
          <w:rFonts w:ascii="Cambria" w:hAnsi="Cambria"/>
          <w:b w:val="0"/>
          <w:i w:val="0"/>
          <w:sz w:val="22"/>
        </w:rPr>
        <w:t>To prevent conflict of interest, protect the reputation of the University, and uphold the principles of service integrity.</w:t>
      </w:r>
    </w:p>
    <w:p>
      <w:pPr>
        <w:pStyle w:val="ListBullet"/>
        <w:spacing w:line="276" w:lineRule="auto"/>
        <w:ind w:left="510"/>
      </w:pPr>
      <w:r>
        <w:rPr>
          <w:rFonts w:ascii="Cambria" w:hAnsi="Cambria"/>
          <w:b w:val="0"/>
          <w:i w:val="0"/>
          <w:sz w:val="22"/>
        </w:rPr>
        <w:t>To clarify the restrictions on employees engaging in paid employment, business, or institutional ventures while availing any form of leave.</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Taking up any paid employment, professional engagement, or the establishment of an institution or enterprise by an employee during the period of leave (earned, half pay, medical, extraordinary, or study leave) without prior sanction constitutes misconduct and breach of service rules.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Applicable to all employees — teaching, non-teaching, administrative, and technical — irrespective of whether they are permanent, temporary, contractual, or on deputation.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engage, directly or indirectly, in any service, business, consultancy, or institutional setup while on leave unless specifically permitted in writing by the competent authority (Registrar/Vice Chancellor/Board of Management).</w:t>
            </w:r>
          </w:p>
        </w:tc>
      </w:tr>
    </w:tbl>
    <w:p>
      <w:pPr>
        <w:spacing w:after="40"/>
      </w:pPr>
    </w:p>
    <w:p>
      <w:r>
        <w:rPr>
          <w:rFonts w:ascii="Cambria" w:hAnsi="Cambria"/>
          <w:b/>
          <w:i w:val="0"/>
          <w:sz w:val="22"/>
        </w:rPr>
        <w:t>2. TYPES OF PROHIBITED ENGAGEMENTS DURING LEAVE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Prohibited Activities</w:t>
            </w:r>
          </w:p>
        </w:tc>
      </w:tr>
      <w:tr>
        <w:tc>
          <w:tcPr>
            <w:tcW w:type="dxa" w:w="3685"/>
          </w:tcPr>
          <w:p>
            <w:pPr>
              <w:spacing w:after="40" w:before="40"/>
            </w:pPr>
            <w:r/>
            <w:r>
              <w:rPr>
                <w:rFonts w:ascii="Cambria" w:hAnsi="Cambria"/>
                <w:b w:val="0"/>
                <w:i w:val="0"/>
                <w:sz w:val="22"/>
              </w:rPr>
              <w:t>Private Employment</w:t>
            </w:r>
          </w:p>
        </w:tc>
        <w:tc>
          <w:tcPr>
            <w:tcW w:type="dxa" w:w="5726"/>
          </w:tcPr>
          <w:p>
            <w:pPr>
              <w:spacing w:after="40" w:before="40"/>
            </w:pPr>
            <w:r/>
            <w:r>
              <w:rPr>
                <w:rFonts w:ascii="Cambria" w:hAnsi="Cambria"/>
                <w:b w:val="0"/>
                <w:i w:val="0"/>
                <w:sz w:val="22"/>
              </w:rPr>
              <w:t>Joining or working (part-time or full-time) in another company, college, or organization while on leave.</w:t>
            </w:r>
          </w:p>
        </w:tc>
      </w:tr>
      <w:tr>
        <w:tc>
          <w:tcPr>
            <w:tcW w:type="dxa" w:w="3685"/>
            <w:shd w:val="clear" w:color="auto" w:fill="F0F2F5"/>
          </w:tcPr>
          <w:p>
            <w:pPr>
              <w:spacing w:after="40" w:before="40"/>
            </w:pPr>
            <w:r/>
            <w:r>
              <w:rPr>
                <w:rFonts w:ascii="Cambria" w:hAnsi="Cambria"/>
                <w:b w:val="0"/>
                <w:i w:val="0"/>
                <w:sz w:val="22"/>
              </w:rPr>
              <w:t>Institution Establishment</w:t>
            </w:r>
          </w:p>
        </w:tc>
        <w:tc>
          <w:tcPr>
            <w:tcW w:type="dxa" w:w="5726"/>
            <w:shd w:val="clear" w:color="auto" w:fill="F0F2F5"/>
          </w:tcPr>
          <w:p>
            <w:pPr>
              <w:spacing w:after="40" w:before="40"/>
            </w:pPr>
            <w:r/>
            <w:r>
              <w:rPr>
                <w:rFonts w:ascii="Cambria" w:hAnsi="Cambria"/>
                <w:b w:val="0"/>
                <w:i w:val="0"/>
                <w:sz w:val="22"/>
              </w:rPr>
              <w:t>Opening or managing any educational, commercial, or charitable institution during leave without University authorization.</w:t>
            </w:r>
          </w:p>
        </w:tc>
      </w:tr>
      <w:tr>
        <w:tc>
          <w:tcPr>
            <w:tcW w:type="dxa" w:w="3685"/>
          </w:tcPr>
          <w:p>
            <w:pPr>
              <w:spacing w:after="40" w:before="40"/>
            </w:pPr>
            <w:r/>
            <w:r>
              <w:rPr>
                <w:rFonts w:ascii="Cambria" w:hAnsi="Cambria"/>
                <w:b w:val="0"/>
                <w:i w:val="0"/>
                <w:sz w:val="22"/>
              </w:rPr>
              <w:t>Consultancy / Freelancing</w:t>
            </w:r>
          </w:p>
        </w:tc>
        <w:tc>
          <w:tcPr>
            <w:tcW w:type="dxa" w:w="5726"/>
          </w:tcPr>
          <w:p>
            <w:pPr>
              <w:spacing w:after="40" w:before="40"/>
            </w:pPr>
            <w:r/>
            <w:r>
              <w:rPr>
                <w:rFonts w:ascii="Cambria" w:hAnsi="Cambria"/>
                <w:b w:val="0"/>
                <w:i w:val="0"/>
                <w:sz w:val="22"/>
              </w:rPr>
              <w:t>Undertaking private consultancy, research contracts, or freelance work for remuneration while on leave.</w:t>
            </w:r>
          </w:p>
        </w:tc>
      </w:tr>
      <w:tr>
        <w:tc>
          <w:tcPr>
            <w:tcW w:type="dxa" w:w="3685"/>
            <w:shd w:val="clear" w:color="auto" w:fill="F0F2F5"/>
          </w:tcPr>
          <w:p>
            <w:pPr>
              <w:spacing w:after="40" w:before="40"/>
            </w:pPr>
            <w:r/>
            <w:r>
              <w:rPr>
                <w:rFonts w:ascii="Cambria" w:hAnsi="Cambria"/>
                <w:b w:val="0"/>
                <w:i w:val="0"/>
                <w:sz w:val="22"/>
              </w:rPr>
              <w:t>Business / Entrepreneurship</w:t>
            </w:r>
          </w:p>
        </w:tc>
        <w:tc>
          <w:tcPr>
            <w:tcW w:type="dxa" w:w="5726"/>
            <w:shd w:val="clear" w:color="auto" w:fill="F0F2F5"/>
          </w:tcPr>
          <w:p>
            <w:pPr>
              <w:spacing w:after="40" w:before="40"/>
            </w:pPr>
            <w:r/>
            <w:r>
              <w:rPr>
                <w:rFonts w:ascii="Cambria" w:hAnsi="Cambria"/>
                <w:b w:val="0"/>
                <w:i w:val="0"/>
                <w:sz w:val="22"/>
              </w:rPr>
              <w:t>Running or associating with a business enterprise, NGO, coaching center, or startup during leave.</w:t>
            </w:r>
          </w:p>
        </w:tc>
      </w:tr>
      <w:tr>
        <w:tc>
          <w:tcPr>
            <w:tcW w:type="dxa" w:w="3685"/>
          </w:tcPr>
          <w:p>
            <w:pPr>
              <w:spacing w:after="40" w:before="40"/>
            </w:pPr>
            <w:r/>
            <w:r>
              <w:rPr>
                <w:rFonts w:ascii="Cambria" w:hAnsi="Cambria"/>
                <w:b w:val="0"/>
                <w:i w:val="0"/>
                <w:sz w:val="22"/>
              </w:rPr>
              <w:t>External Teaching / Training</w:t>
            </w:r>
          </w:p>
        </w:tc>
        <w:tc>
          <w:tcPr>
            <w:tcW w:type="dxa" w:w="5726"/>
          </w:tcPr>
          <w:p>
            <w:pPr>
              <w:spacing w:after="40" w:before="40"/>
            </w:pPr>
            <w:r/>
            <w:r>
              <w:rPr>
                <w:rFonts w:ascii="Cambria" w:hAnsi="Cambria"/>
                <w:b w:val="0"/>
                <w:i w:val="0"/>
                <w:sz w:val="22"/>
              </w:rPr>
              <w:t>Accepting visiting faculty or trainer roles in another institution without permission.</w:t>
            </w:r>
          </w:p>
        </w:tc>
      </w:tr>
    </w:tbl>
    <w:p>
      <w:pPr>
        <w:spacing w:after="40"/>
      </w:pPr>
    </w:p>
    <w:p>
      <w:r>
        <w:rPr>
          <w:rFonts w:ascii="Cambria" w:hAnsi="Cambria"/>
          <w:b/>
          <w:i w:val="0"/>
          <w:sz w:val="22"/>
        </w:rPr>
        <w:t>3. EXCEPTIONS (WITH PRIOR APPROVAL ONLY)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835"/>
            <w:shd w:val="clear" w:color="auto" w:fill="1F3A5F"/>
          </w:tcPr>
          <w:p>
            <w:pPr>
              <w:spacing w:after="40" w:before="40"/>
            </w:pPr>
            <w:r/>
            <w:r>
              <w:rPr>
                <w:rFonts w:ascii="Cambria" w:hAnsi="Cambria"/>
                <w:b/>
                <w:i w:val="0"/>
                <w:color w:val="FFFFFF"/>
                <w:sz w:val="22"/>
              </w:rPr>
              <w:t>Type of Leave</w:t>
            </w:r>
          </w:p>
        </w:tc>
        <w:tc>
          <w:tcPr>
            <w:tcW w:type="dxa" w:w="4592"/>
            <w:shd w:val="clear" w:color="auto" w:fill="1F3A5F"/>
          </w:tcPr>
          <w:p>
            <w:pPr>
              <w:spacing w:after="40" w:before="40"/>
            </w:pPr>
            <w:r/>
            <w:r>
              <w:rPr>
                <w:rFonts w:ascii="Cambria" w:hAnsi="Cambria"/>
                <w:b/>
                <w:i w:val="0"/>
                <w:color w:val="FFFFFF"/>
                <w:sz w:val="22"/>
              </w:rPr>
              <w:t>Permissible Activity (with sanction)</w:t>
            </w:r>
          </w:p>
        </w:tc>
        <w:tc>
          <w:tcPr>
            <w:tcW w:type="dxa" w:w="1984"/>
            <w:shd w:val="clear" w:color="auto" w:fill="1F3A5F"/>
          </w:tcPr>
          <w:p>
            <w:pPr>
              <w:spacing w:after="40" w:before="40"/>
            </w:pPr>
            <w:r/>
            <w:r>
              <w:rPr>
                <w:rFonts w:ascii="Cambria" w:hAnsi="Cambria"/>
                <w:b/>
                <w:i w:val="0"/>
                <w:color w:val="FFFFFF"/>
                <w:sz w:val="22"/>
              </w:rPr>
              <w:t>Authority to Approve</w:t>
            </w:r>
          </w:p>
        </w:tc>
      </w:tr>
      <w:tr>
        <w:tc>
          <w:tcPr>
            <w:tcW w:type="dxa" w:w="2835"/>
          </w:tcPr>
          <w:p>
            <w:pPr>
              <w:spacing w:after="40" w:before="40"/>
            </w:pPr>
            <w:r/>
            <w:r>
              <w:rPr>
                <w:rFonts w:ascii="Cambria" w:hAnsi="Cambria"/>
                <w:b w:val="0"/>
                <w:i w:val="0"/>
                <w:sz w:val="22"/>
              </w:rPr>
              <w:t>Study Leave</w:t>
            </w:r>
          </w:p>
        </w:tc>
        <w:tc>
          <w:tcPr>
            <w:tcW w:type="dxa" w:w="4592"/>
          </w:tcPr>
          <w:p>
            <w:pPr>
              <w:spacing w:after="40" w:before="40"/>
            </w:pPr>
            <w:r/>
            <w:r>
              <w:rPr>
                <w:rFonts w:ascii="Cambria" w:hAnsi="Cambria"/>
                <w:b w:val="0"/>
                <w:i w:val="0"/>
                <w:sz w:val="22"/>
              </w:rPr>
              <w:t>Research work, academic collaborations, or higher studies related to the employee’s discipline.</w:t>
            </w:r>
          </w:p>
        </w:tc>
        <w:tc>
          <w:tcPr>
            <w:tcW w:type="dxa" w:w="1984"/>
          </w:tcPr>
          <w:p>
            <w:pPr>
              <w:spacing w:after="40" w:before="40"/>
            </w:pPr>
            <w:r/>
            <w:r>
              <w:rPr>
                <w:rFonts w:ascii="Cambria" w:hAnsi="Cambria"/>
                <w:b w:val="0"/>
                <w:i w:val="0"/>
                <w:sz w:val="22"/>
              </w:rPr>
              <w:t>Vice Chancellor / Board of Management</w:t>
            </w:r>
          </w:p>
        </w:tc>
      </w:tr>
      <w:tr>
        <w:tc>
          <w:tcPr>
            <w:tcW w:type="dxa" w:w="2835"/>
            <w:shd w:val="clear" w:color="auto" w:fill="F0F2F5"/>
          </w:tcPr>
          <w:p>
            <w:pPr>
              <w:spacing w:after="40" w:before="40"/>
            </w:pPr>
            <w:r/>
            <w:r>
              <w:rPr>
                <w:rFonts w:ascii="Cambria" w:hAnsi="Cambria"/>
                <w:b w:val="0"/>
                <w:i w:val="0"/>
                <w:sz w:val="22"/>
              </w:rPr>
              <w:t>Extraordinary Leave (Without Pay)</w:t>
            </w:r>
          </w:p>
        </w:tc>
        <w:tc>
          <w:tcPr>
            <w:tcW w:type="dxa" w:w="4592"/>
            <w:shd w:val="clear" w:color="auto" w:fill="F0F2F5"/>
          </w:tcPr>
          <w:p>
            <w:pPr>
              <w:spacing w:after="40" w:before="40"/>
            </w:pPr>
            <w:r/>
            <w:r>
              <w:rPr>
                <w:rFonts w:ascii="Cambria" w:hAnsi="Cambria"/>
                <w:b w:val="0"/>
                <w:i w:val="0"/>
                <w:sz w:val="22"/>
              </w:rPr>
              <w:t>Engagements that contribute to institutional or national development, approved by the BoM.</w:t>
            </w:r>
          </w:p>
        </w:tc>
        <w:tc>
          <w:tcPr>
            <w:tcW w:type="dxa" w:w="1984"/>
            <w:shd w:val="clear" w:color="auto" w:fill="F0F2F5"/>
          </w:tcPr>
          <w:p>
            <w:pPr>
              <w:spacing w:after="40" w:before="40"/>
            </w:pPr>
            <w:r/>
            <w:r>
              <w:rPr>
                <w:rFonts w:ascii="Cambria" w:hAnsi="Cambria"/>
                <w:b w:val="0"/>
                <w:i w:val="0"/>
                <w:sz w:val="22"/>
              </w:rPr>
              <w:t>Board of Management</w:t>
            </w:r>
          </w:p>
        </w:tc>
      </w:tr>
      <w:tr>
        <w:tc>
          <w:tcPr>
            <w:tcW w:type="dxa" w:w="2835"/>
          </w:tcPr>
          <w:p>
            <w:pPr>
              <w:spacing w:after="40" w:before="40"/>
            </w:pPr>
            <w:r/>
            <w:r>
              <w:rPr>
                <w:rFonts w:ascii="Cambria" w:hAnsi="Cambria"/>
                <w:b w:val="0"/>
                <w:i w:val="0"/>
                <w:sz w:val="22"/>
              </w:rPr>
              <w:t>Sabbatical Leave (Faculty only)</w:t>
            </w:r>
          </w:p>
        </w:tc>
        <w:tc>
          <w:tcPr>
            <w:tcW w:type="dxa" w:w="4592"/>
          </w:tcPr>
          <w:p>
            <w:pPr>
              <w:spacing w:after="40" w:before="40"/>
            </w:pPr>
            <w:r/>
            <w:r>
              <w:rPr>
                <w:rFonts w:ascii="Cambria" w:hAnsi="Cambria"/>
                <w:b w:val="0"/>
                <w:i w:val="0"/>
                <w:sz w:val="22"/>
              </w:rPr>
              <w:t>Research, publication, industrial collaboration, or skill enhancement at approved institutions.</w:t>
            </w:r>
          </w:p>
        </w:tc>
        <w:tc>
          <w:tcPr>
            <w:tcW w:type="dxa" w:w="1984"/>
          </w:tcPr>
          <w:p>
            <w:pPr>
              <w:spacing w:after="40" w:before="40"/>
            </w:pPr>
            <w:r/>
            <w:r>
              <w:rPr>
                <w:rFonts w:ascii="Cambria" w:hAnsi="Cambria"/>
                <w:b w:val="0"/>
                <w:i w:val="0"/>
                <w:sz w:val="22"/>
              </w:rPr>
              <w:t>Vice Chancellor / BoM</w:t>
            </w:r>
          </w:p>
        </w:tc>
      </w:tr>
      <w:tr>
        <w:tc>
          <w:tcPr>
            <w:tcW w:type="dxa" w:w="2835"/>
            <w:shd w:val="clear" w:color="auto" w:fill="F0F2F5"/>
          </w:tcPr>
          <w:p>
            <w:pPr>
              <w:spacing w:after="40" w:before="40"/>
            </w:pPr>
            <w:r/>
            <w:r>
              <w:rPr>
                <w:rFonts w:ascii="Cambria" w:hAnsi="Cambria"/>
                <w:b w:val="0"/>
                <w:i w:val="0"/>
                <w:sz w:val="22"/>
              </w:rPr>
              <w:t>Consultancy (Honorary)</w:t>
            </w:r>
          </w:p>
        </w:tc>
        <w:tc>
          <w:tcPr>
            <w:tcW w:type="dxa" w:w="4592"/>
            <w:shd w:val="clear" w:color="auto" w:fill="F0F2F5"/>
          </w:tcPr>
          <w:p>
            <w:pPr>
              <w:spacing w:after="40" w:before="40"/>
            </w:pPr>
            <w:r/>
            <w:r>
              <w:rPr>
                <w:rFonts w:ascii="Cambria" w:hAnsi="Cambria"/>
                <w:b w:val="0"/>
                <w:i w:val="0"/>
                <w:sz w:val="22"/>
              </w:rPr>
              <w:t>Unpaid consultancy or advisory work relevant to the University’s mission, with prior written approval.</w:t>
            </w:r>
          </w:p>
        </w:tc>
        <w:tc>
          <w:tcPr>
            <w:tcW w:type="dxa" w:w="1984"/>
            <w:shd w:val="clear" w:color="auto" w:fill="F0F2F5"/>
          </w:tcPr>
          <w:p>
            <w:pPr>
              <w:spacing w:after="40" w:before="40"/>
            </w:pPr>
            <w:r/>
            <w:r>
              <w:rPr>
                <w:rFonts w:ascii="Cambria" w:hAnsi="Cambria"/>
                <w:b w:val="0"/>
                <w:i w:val="0"/>
                <w:sz w:val="22"/>
              </w:rPr>
              <w:t>Registrar / Vice Chancellor</w:t>
            </w:r>
          </w:p>
        </w:tc>
      </w:tr>
    </w:tbl>
    <w:p>
      <w:pPr>
        <w:spacing w:after="40"/>
      </w:pPr>
    </w:p>
    <w:p>
      <w:r>
        <w:rPr>
          <w:rFonts w:ascii="Cambria" w:hAnsi="Cambria"/>
          <w:b/>
          <w:i w:val="0"/>
          <w:sz w:val="22"/>
        </w:rPr>
        <w:t>4. CONSEQUENCES OF VIOLATION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Violation</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Unauthorized Paid Work During Leave</w:t>
            </w:r>
          </w:p>
        </w:tc>
        <w:tc>
          <w:tcPr>
            <w:tcW w:type="dxa" w:w="5726"/>
          </w:tcPr>
          <w:p>
            <w:pPr>
              <w:spacing w:after="40" w:before="40"/>
            </w:pPr>
            <w:r/>
            <w:r>
              <w:rPr>
                <w:rFonts w:ascii="Cambria" w:hAnsi="Cambria"/>
                <w:b w:val="0"/>
                <w:i w:val="0"/>
                <w:sz w:val="22"/>
              </w:rPr>
              <w:t>Treated as gross misconduct — disciplinary inquiry, recovery of remuneration, and possible termination.</w:t>
            </w:r>
          </w:p>
        </w:tc>
      </w:tr>
      <w:tr>
        <w:tc>
          <w:tcPr>
            <w:tcW w:type="dxa" w:w="3685"/>
            <w:shd w:val="clear" w:color="auto" w:fill="F0F2F5"/>
          </w:tcPr>
          <w:p>
            <w:pPr>
              <w:spacing w:after="40" w:before="40"/>
            </w:pPr>
            <w:r/>
            <w:r>
              <w:rPr>
                <w:rFonts w:ascii="Cambria" w:hAnsi="Cambria"/>
                <w:b w:val="0"/>
                <w:i w:val="0"/>
                <w:sz w:val="22"/>
              </w:rPr>
              <w:t>Setting Up or Managing an Institution During Leave</w:t>
            </w:r>
          </w:p>
        </w:tc>
        <w:tc>
          <w:tcPr>
            <w:tcW w:type="dxa" w:w="5726"/>
            <w:shd w:val="clear" w:color="auto" w:fill="F0F2F5"/>
          </w:tcPr>
          <w:p>
            <w:pPr>
              <w:spacing w:after="40" w:before="40"/>
            </w:pPr>
            <w:r/>
            <w:r>
              <w:rPr>
                <w:rFonts w:ascii="Cambria" w:hAnsi="Cambria"/>
                <w:b w:val="0"/>
                <w:i w:val="0"/>
                <w:sz w:val="22"/>
              </w:rPr>
              <w:t>Cancellation of leave, loss of pay, and disciplinary proceedings.</w:t>
            </w:r>
          </w:p>
        </w:tc>
      </w:tr>
      <w:tr>
        <w:tc>
          <w:tcPr>
            <w:tcW w:type="dxa" w:w="3685"/>
          </w:tcPr>
          <w:p>
            <w:pPr>
              <w:spacing w:after="40" w:before="40"/>
            </w:pPr>
            <w:r/>
            <w:r>
              <w:rPr>
                <w:rFonts w:ascii="Cambria" w:hAnsi="Cambria"/>
                <w:b w:val="0"/>
                <w:i w:val="0"/>
                <w:sz w:val="22"/>
              </w:rPr>
              <w:t>Failure to Disclose Employment or Activity During Leave</w:t>
            </w:r>
          </w:p>
        </w:tc>
        <w:tc>
          <w:tcPr>
            <w:tcW w:type="dxa" w:w="5726"/>
          </w:tcPr>
          <w:p>
            <w:pPr>
              <w:spacing w:after="40" w:before="40"/>
            </w:pPr>
            <w:r/>
            <w:r>
              <w:rPr>
                <w:rFonts w:ascii="Cambria" w:hAnsi="Cambria"/>
                <w:b w:val="0"/>
                <w:i w:val="0"/>
                <w:sz w:val="22"/>
              </w:rPr>
              <w:t>Treated as suppression of facts — disciplinary action under University Conduct Rules.</w:t>
            </w:r>
          </w:p>
        </w:tc>
      </w:tr>
      <w:tr>
        <w:tc>
          <w:tcPr>
            <w:tcW w:type="dxa" w:w="3685"/>
            <w:shd w:val="clear" w:color="auto" w:fill="F0F2F5"/>
          </w:tcPr>
          <w:p>
            <w:pPr>
              <w:spacing w:after="40" w:before="40"/>
            </w:pPr>
            <w:r/>
            <w:r>
              <w:rPr>
                <w:rFonts w:ascii="Cambria" w:hAnsi="Cambria"/>
                <w:b w:val="0"/>
                <w:i w:val="0"/>
                <w:sz w:val="22"/>
              </w:rPr>
              <w:t>Repeat Offence</w:t>
            </w:r>
          </w:p>
        </w:tc>
        <w:tc>
          <w:tcPr>
            <w:tcW w:type="dxa" w:w="5726"/>
            <w:shd w:val="clear" w:color="auto" w:fill="F0F2F5"/>
          </w:tcPr>
          <w:p>
            <w:pPr>
              <w:spacing w:after="40" w:before="40"/>
            </w:pPr>
            <w:r/>
            <w:r>
              <w:rPr>
                <w:rFonts w:ascii="Cambria" w:hAnsi="Cambria"/>
                <w:b w:val="0"/>
                <w:i w:val="0"/>
                <w:sz w:val="22"/>
              </w:rPr>
              <w:t>Major penalty including suspension or dismissal from service after inquiry.</w:t>
            </w:r>
          </w:p>
        </w:tc>
      </w:tr>
    </w:tbl>
    <w:p>
      <w:pPr>
        <w:spacing w:after="40"/>
      </w:pPr>
    </w:p>
    <w:p>
      <w:pPr>
        <w:jc w:val="both"/>
      </w:pPr>
      <w:r>
        <w:rPr>
          <w:rFonts w:ascii="Cambria" w:hAnsi="Cambria"/>
          <w:i/>
          <w:sz w:val="22"/>
        </w:rPr>
        <w:t>Note: Any remuneration earned during such unauthorized activity shall be forfeited and recoverable as per financial recovery norms of the University.</w:t>
      </w:r>
    </w:p>
    <w:p>
      <w:r>
        <w:rPr>
          <w:rFonts w:ascii="Cambria" w:hAnsi="Cambria"/>
          <w:b/>
          <w:i w:val="0"/>
          <w:sz w:val="22"/>
        </w:rPr>
        <w:t>5. PROCEDURE FOR OBTAINING PERMISSION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Action</w:t>
            </w:r>
          </w:p>
        </w:tc>
      </w:tr>
      <w:tr>
        <w:tc>
          <w:tcPr>
            <w:tcW w:type="dxa" w:w="3685"/>
          </w:tcPr>
          <w:p>
            <w:pPr>
              <w:spacing w:after="40" w:before="40"/>
            </w:pPr>
            <w:r/>
            <w:r>
              <w:rPr>
                <w:rFonts w:ascii="Cambria" w:hAnsi="Cambria"/>
                <w:b w:val="0"/>
                <w:i w:val="0"/>
                <w:sz w:val="22"/>
              </w:rPr>
              <w:t>1. Written Application</w:t>
            </w:r>
          </w:p>
        </w:tc>
        <w:tc>
          <w:tcPr>
            <w:tcW w:type="dxa" w:w="5726"/>
          </w:tcPr>
          <w:p>
            <w:pPr>
              <w:spacing w:after="40" w:before="40"/>
            </w:pPr>
            <w:r/>
            <w:r>
              <w:rPr>
                <w:rFonts w:ascii="Cambria" w:hAnsi="Cambria"/>
                <w:b w:val="0"/>
                <w:i w:val="0"/>
                <w:sz w:val="22"/>
              </w:rPr>
              <w:t>The employee must submit a formal request specifying nature of leave, proposed activity, organization name, duration, and remuneration details.</w:t>
            </w:r>
          </w:p>
        </w:tc>
      </w:tr>
      <w:tr>
        <w:tc>
          <w:tcPr>
            <w:tcW w:type="dxa" w:w="3685"/>
            <w:shd w:val="clear" w:color="auto" w:fill="F0F2F5"/>
          </w:tcPr>
          <w:p>
            <w:pPr>
              <w:spacing w:after="40" w:before="40"/>
            </w:pPr>
            <w:r/>
            <w:r>
              <w:rPr>
                <w:rFonts w:ascii="Cambria" w:hAnsi="Cambria"/>
                <w:b w:val="0"/>
                <w:i w:val="0"/>
                <w:sz w:val="22"/>
              </w:rPr>
              <w:t>2. HOD / Dean Recommendation</w:t>
            </w:r>
          </w:p>
        </w:tc>
        <w:tc>
          <w:tcPr>
            <w:tcW w:type="dxa" w:w="5726"/>
            <w:shd w:val="clear" w:color="auto" w:fill="F0F2F5"/>
          </w:tcPr>
          <w:p>
            <w:pPr>
              <w:spacing w:after="40" w:before="40"/>
            </w:pPr>
            <w:r/>
            <w:r>
              <w:rPr>
                <w:rFonts w:ascii="Cambria" w:hAnsi="Cambria"/>
                <w:b w:val="0"/>
                <w:i w:val="0"/>
                <w:sz w:val="22"/>
              </w:rPr>
              <w:t>The immediate superior must assess whether the proposed activity interferes with University interests and forward it with recommendations.</w:t>
            </w:r>
          </w:p>
        </w:tc>
      </w:tr>
      <w:tr>
        <w:tc>
          <w:tcPr>
            <w:tcW w:type="dxa" w:w="3685"/>
          </w:tcPr>
          <w:p>
            <w:pPr>
              <w:spacing w:after="40" w:before="40"/>
            </w:pPr>
            <w:r/>
            <w:r>
              <w:rPr>
                <w:rFonts w:ascii="Cambria" w:hAnsi="Cambria"/>
                <w:b w:val="0"/>
                <w:i w:val="0"/>
                <w:sz w:val="22"/>
              </w:rPr>
              <w:t>3. Decision by Competent Authority</w:t>
            </w:r>
          </w:p>
        </w:tc>
        <w:tc>
          <w:tcPr>
            <w:tcW w:type="dxa" w:w="5726"/>
          </w:tcPr>
          <w:p>
            <w:pPr>
              <w:spacing w:after="40" w:before="40"/>
            </w:pPr>
            <w:r/>
            <w:r>
              <w:rPr>
                <w:rFonts w:ascii="Cambria" w:hAnsi="Cambria"/>
                <w:b w:val="0"/>
                <w:i w:val="0"/>
                <w:sz w:val="22"/>
              </w:rPr>
              <w:t>The Registrar (for non-teaching) or Vice Chancellor / BoM (for faculty) shall issue written permission or rejection.</w:t>
            </w:r>
          </w:p>
        </w:tc>
      </w:tr>
      <w:tr>
        <w:tc>
          <w:tcPr>
            <w:tcW w:type="dxa" w:w="3685"/>
            <w:shd w:val="clear" w:color="auto" w:fill="F0F2F5"/>
          </w:tcPr>
          <w:p>
            <w:pPr>
              <w:spacing w:after="40" w:before="40"/>
            </w:pPr>
            <w:r/>
            <w:r>
              <w:rPr>
                <w:rFonts w:ascii="Cambria" w:hAnsi="Cambria"/>
                <w:b w:val="0"/>
                <w:i w:val="0"/>
                <w:sz w:val="22"/>
              </w:rPr>
              <w:t>4. Post-Leave Reporting</w:t>
            </w:r>
          </w:p>
        </w:tc>
        <w:tc>
          <w:tcPr>
            <w:tcW w:type="dxa" w:w="5726"/>
            <w:shd w:val="clear" w:color="auto" w:fill="F0F2F5"/>
          </w:tcPr>
          <w:p>
            <w:pPr>
              <w:spacing w:after="40" w:before="40"/>
            </w:pPr>
            <w:r/>
            <w:r>
              <w:rPr>
                <w:rFonts w:ascii="Cambria" w:hAnsi="Cambria"/>
                <w:b w:val="0"/>
                <w:i w:val="0"/>
                <w:sz w:val="22"/>
              </w:rPr>
              <w:t>Upon rejoining, the employee must submit a detailed activity report including income, duration, and relevance to University service.</w:t>
            </w:r>
          </w:p>
        </w:tc>
      </w:tr>
      <w:tr>
        <w:tc>
          <w:tcPr>
            <w:tcW w:type="dxa" w:w="3685"/>
          </w:tcPr>
          <w:p>
            <w:pPr>
              <w:spacing w:after="40" w:before="40"/>
            </w:pPr>
            <w:r/>
            <w:r>
              <w:rPr>
                <w:rFonts w:ascii="Cambria" w:hAnsi="Cambria"/>
                <w:b w:val="0"/>
                <w:i w:val="0"/>
                <w:sz w:val="22"/>
              </w:rPr>
              <w:t>5. Record Maintenance</w:t>
            </w:r>
          </w:p>
        </w:tc>
        <w:tc>
          <w:tcPr>
            <w:tcW w:type="dxa" w:w="5726"/>
          </w:tcPr>
          <w:p>
            <w:pPr>
              <w:spacing w:after="40" w:before="40"/>
            </w:pPr>
            <w:r/>
            <w:r>
              <w:rPr>
                <w:rFonts w:ascii="Cambria" w:hAnsi="Cambria"/>
                <w:b w:val="0"/>
                <w:i w:val="0"/>
                <w:sz w:val="22"/>
              </w:rPr>
              <w:t>All approved cases shall be recorded in the Personnel Service Register for audit and accreditation compliance.</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Leave from duty is granted for rest, recovery, or approved academic/research pursuits, not for private profit.</w:t>
      </w:r>
    </w:p>
    <w:p>
      <w:pPr>
        <w:pStyle w:val="ListBullet"/>
        <w:spacing w:line="276" w:lineRule="auto"/>
        <w:ind w:left="510"/>
      </w:pPr>
      <w:r>
        <w:rPr>
          <w:rFonts w:ascii="Cambria" w:hAnsi="Cambria"/>
          <w:b w:val="0"/>
          <w:i w:val="0"/>
          <w:sz w:val="22"/>
        </w:rPr>
        <w:t>Engaging in external employment or founding an institution during leave undermines institutional loyalty and accountability.</w:t>
      </w:r>
    </w:p>
    <w:p>
      <w:pPr>
        <w:pStyle w:val="ListBullet"/>
        <w:spacing w:line="276" w:lineRule="auto"/>
        <w:ind w:left="510"/>
      </w:pPr>
      <w:r>
        <w:rPr>
          <w:rFonts w:ascii="Cambria" w:hAnsi="Cambria"/>
          <w:b w:val="0"/>
          <w:i w:val="0"/>
          <w:sz w:val="22"/>
        </w:rPr>
        <w:t>The University retains the right to cancel leave, recover benefits, or initiate disciplinary proceedings if the employee is found engaged in unauthorized activity.</w:t>
      </w:r>
    </w:p>
    <w:p>
      <w:pPr>
        <w:pStyle w:val="ListBullet"/>
        <w:spacing w:line="276" w:lineRule="auto"/>
        <w:ind w:left="510"/>
      </w:pPr>
      <w:r>
        <w:rPr>
          <w:rFonts w:ascii="Cambria" w:hAnsi="Cambria"/>
          <w:b w:val="0"/>
          <w:i w:val="0"/>
          <w:sz w:val="22"/>
        </w:rPr>
        <w:t>The decision of the Board of Management (BoM) regarding the interpretation, permission, or disciplinary action under this policy shall be final and binding.</w:t>
      </w:r>
    </w:p>
    <w:p>
      <w:r>
        <w:rPr>
          <w:rFonts w:ascii="Cambria" w:hAnsi="Cambria"/>
          <w:b/>
          <w:i w:val="0"/>
          <w:sz w:val="22"/>
        </w:rPr>
        <w:t>7. LEGAL AND REGULATORY ALIGNMENT</w:t>
      </w:r>
    </w:p>
    <w:p>
      <w:pPr>
        <w:jc w:val="both"/>
      </w:pPr>
      <w:r>
        <w:rPr>
          <w:rFonts w:ascii="Cambria" w:hAnsi="Cambria"/>
          <w:i w:val="0"/>
          <w:sz w:val="22"/>
        </w:rPr>
        <w:t>This policy is consistent with:</w:t>
      </w:r>
    </w:p>
    <w:p>
      <w:pPr>
        <w:pStyle w:val="ListBullet"/>
        <w:spacing w:line="276" w:lineRule="auto"/>
        <w:ind w:left="510"/>
      </w:pPr>
      <w:r>
        <w:rPr>
          <w:rFonts w:ascii="Cambria" w:hAnsi="Cambria"/>
          <w:b w:val="0"/>
          <w:i w:val="0"/>
          <w:sz w:val="22"/>
        </w:rPr>
        <w:t>UGC Regulations, 2019 — Code of Professional Ethics (Clause 6.2.6)</w:t>
      </w:r>
    </w:p>
    <w:p>
      <w:pPr>
        <w:pStyle w:val="ListBullet"/>
        <w:spacing w:line="276" w:lineRule="auto"/>
        <w:ind w:left="510"/>
      </w:pPr>
      <w:r>
        <w:rPr>
          <w:rFonts w:ascii="Cambria" w:hAnsi="Cambria"/>
          <w:b w:val="0"/>
          <w:i w:val="0"/>
          <w:sz w:val="22"/>
        </w:rPr>
        <w:t>AICTE Service Rules for Faculty and Staff, 2020</w:t>
      </w:r>
    </w:p>
    <w:p>
      <w:pPr>
        <w:pStyle w:val="ListBullet"/>
        <w:spacing w:line="276" w:lineRule="auto"/>
        <w:ind w:left="510"/>
      </w:pPr>
      <w:r>
        <w:rPr>
          <w:rFonts w:ascii="Cambria" w:hAnsi="Cambria"/>
          <w:b w:val="0"/>
          <w:i w:val="0"/>
          <w:sz w:val="22"/>
        </w:rPr>
        <w:t>Central Civil Services (Conduct) Rules, 1964 — Rule 15 (“Private Trade or Employment”)</w:t>
      </w:r>
    </w:p>
    <w:p>
      <w:pPr>
        <w:pStyle w:val="ListBullet"/>
        <w:spacing w:line="276" w:lineRule="auto"/>
        <w:ind w:left="510"/>
      </w:pPr>
      <w:r>
        <w:rPr>
          <w:rFonts w:ascii="Cambria" w:hAnsi="Cambria"/>
          <w:b w:val="0"/>
          <w:i w:val="0"/>
          <w:sz w:val="22"/>
        </w:rPr>
        <w:t>NAAC / NBA HR Compliance Norms for Institutional Integrity and Transparency.</w:t>
      </w:r>
    </w:p>
    <w:p>
      <w:pPr>
        <w:keepNext/>
        <w:spacing w:before="200" w:after="120"/>
      </w:pPr>
      <w:r>
        <w:rPr>
          <w:rFonts w:ascii="Cambria" w:hAnsi="Cambria"/>
          <w:b/>
          <w:color w:val="1F3A5F"/>
          <w:sz w:val="27"/>
        </w:rPr>
        <w:t>Policy on Commission of Acts Involving Criminal Offence or Moral Turpitude</w:t>
      </w:r>
    </w:p>
    <w:p>
      <w:r>
        <w:rPr>
          <w:rFonts w:ascii="Cambria" w:hAnsi="Cambria"/>
          <w:b/>
          <w:i w:val="0"/>
          <w:sz w:val="22"/>
        </w:rPr>
        <w:t>I. PURPOSE</w:t>
      </w:r>
    </w:p>
    <w:p>
      <w:pPr>
        <w:pStyle w:val="ListBullet"/>
        <w:spacing w:line="276" w:lineRule="auto"/>
        <w:ind w:left="510"/>
      </w:pPr>
      <w:r>
        <w:rPr>
          <w:rFonts w:ascii="Cambria" w:hAnsi="Cambria"/>
          <w:b w:val="0"/>
          <w:i w:val="0"/>
          <w:sz w:val="22"/>
        </w:rPr>
        <w:t>To uphold the moral integrity, ethical conduct, and legal compliance of all University employees.</w:t>
      </w:r>
    </w:p>
    <w:p>
      <w:pPr>
        <w:pStyle w:val="ListBullet"/>
        <w:spacing w:line="276" w:lineRule="auto"/>
        <w:ind w:left="510"/>
      </w:pPr>
      <w:r>
        <w:rPr>
          <w:rFonts w:ascii="Cambria" w:hAnsi="Cambria"/>
          <w:b w:val="0"/>
          <w:i w:val="0"/>
          <w:sz w:val="22"/>
        </w:rPr>
        <w:t>To establish clear provisions and consequences in cases where an employee commits or is convicted of a criminal offence involving moral turpitude.</w:t>
      </w:r>
    </w:p>
    <w:p>
      <w:pPr>
        <w:pStyle w:val="ListBullet"/>
        <w:spacing w:line="276" w:lineRule="auto"/>
        <w:ind w:left="510"/>
      </w:pPr>
      <w:r>
        <w:rPr>
          <w:rFonts w:ascii="Cambria" w:hAnsi="Cambria"/>
          <w:b w:val="0"/>
          <w:i w:val="0"/>
          <w:sz w:val="22"/>
        </w:rPr>
        <w:t>To preserve the reputation and credibility of the institution by ensuring that persons of high moral and ethical character remain in service.</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Any employee who commits or is convicted of a criminal offence involving moral turpitude—whether inside or outside the University—shall be deemed guilty of gross misconduct.</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employees—teaching, non-teaching, technical, administrative, and contractual—irrespective of rank or designation.</w:t>
            </w:r>
          </w:p>
        </w:tc>
      </w:tr>
      <w:tr>
        <w:tc>
          <w:tcPr>
            <w:tcW w:type="dxa" w:w="3685"/>
          </w:tcPr>
          <w:p>
            <w:pPr>
              <w:spacing w:after="40" w:before="40"/>
            </w:pPr>
            <w:r/>
            <w:r>
              <w:rPr>
                <w:rFonts w:ascii="Cambria" w:hAnsi="Cambria"/>
                <w:b w:val="0"/>
                <w:i w:val="0"/>
                <w:sz w:val="22"/>
              </w:rPr>
              <w:t>Prohibition</w:t>
            </w:r>
          </w:p>
        </w:tc>
        <w:tc>
          <w:tcPr>
            <w:tcW w:type="dxa" w:w="5726"/>
          </w:tcPr>
          <w:p>
            <w:pPr>
              <w:spacing w:after="40" w:before="40"/>
            </w:pPr>
            <w:r/>
            <w:r>
              <w:rPr>
                <w:rFonts w:ascii="Cambria" w:hAnsi="Cambria"/>
                <w:b w:val="0"/>
                <w:i w:val="0"/>
                <w:sz w:val="22"/>
              </w:rPr>
              <w:t>No employee shall engage in any act or omission that constitutes an offence involving dishonesty, corruption, moral depravity, or violation of law, whether punishable under the Indian Penal Code (IPC) or any other law in force.</w:t>
            </w:r>
          </w:p>
        </w:tc>
      </w:tr>
    </w:tbl>
    <w:p>
      <w:pPr>
        <w:spacing w:after="40"/>
      </w:pPr>
    </w:p>
    <w:p>
      <w:r>
        <w:rPr>
          <w:rFonts w:ascii="Cambria" w:hAnsi="Cambria"/>
          <w:b/>
          <w:i w:val="0"/>
          <w:sz w:val="22"/>
        </w:rPr>
        <w:t>2. WHAT CONSTITUTES “MORAL TURPITUDE”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Offence</w:t>
            </w:r>
          </w:p>
        </w:tc>
        <w:tc>
          <w:tcPr>
            <w:tcW w:type="dxa" w:w="5726"/>
            <w:shd w:val="clear" w:color="auto" w:fill="1F3A5F"/>
          </w:tcPr>
          <w:p>
            <w:pPr>
              <w:spacing w:after="40" w:before="40"/>
            </w:pPr>
            <w:r/>
            <w:r>
              <w:rPr>
                <w:rFonts w:ascii="Cambria" w:hAnsi="Cambria"/>
                <w:b/>
                <w:i w:val="0"/>
                <w:color w:val="FFFFFF"/>
                <w:sz w:val="22"/>
              </w:rPr>
              <w:t>Examples / Illustrations</w:t>
            </w:r>
          </w:p>
        </w:tc>
      </w:tr>
      <w:tr>
        <w:tc>
          <w:tcPr>
            <w:tcW w:type="dxa" w:w="3685"/>
          </w:tcPr>
          <w:p>
            <w:pPr>
              <w:spacing w:after="40" w:before="40"/>
            </w:pPr>
            <w:r/>
            <w:r>
              <w:rPr>
                <w:rFonts w:ascii="Cambria" w:hAnsi="Cambria"/>
                <w:b w:val="0"/>
                <w:i w:val="0"/>
                <w:sz w:val="22"/>
              </w:rPr>
              <w:t>Dishonesty &amp; Corruption</w:t>
            </w:r>
          </w:p>
        </w:tc>
        <w:tc>
          <w:tcPr>
            <w:tcW w:type="dxa" w:w="5726"/>
          </w:tcPr>
          <w:p>
            <w:pPr>
              <w:spacing w:after="40" w:before="40"/>
            </w:pPr>
            <w:r/>
            <w:r>
              <w:rPr>
                <w:rFonts w:ascii="Cambria" w:hAnsi="Cambria"/>
                <w:b w:val="0"/>
                <w:i w:val="0"/>
                <w:sz w:val="22"/>
              </w:rPr>
              <w:t>Bribery, forgery, embezzlement, fraud, or misappropriation of institutional funds.</w:t>
            </w:r>
          </w:p>
        </w:tc>
      </w:tr>
      <w:tr>
        <w:tc>
          <w:tcPr>
            <w:tcW w:type="dxa" w:w="3685"/>
            <w:shd w:val="clear" w:color="auto" w:fill="F0F2F5"/>
          </w:tcPr>
          <w:p>
            <w:pPr>
              <w:spacing w:after="40" w:before="40"/>
            </w:pPr>
            <w:r/>
            <w:r>
              <w:rPr>
                <w:rFonts w:ascii="Cambria" w:hAnsi="Cambria"/>
                <w:b w:val="0"/>
                <w:i w:val="0"/>
                <w:sz w:val="22"/>
              </w:rPr>
              <w:t>Sexual Misconduct</w:t>
            </w:r>
          </w:p>
        </w:tc>
        <w:tc>
          <w:tcPr>
            <w:tcW w:type="dxa" w:w="5726"/>
            <w:shd w:val="clear" w:color="auto" w:fill="F0F2F5"/>
          </w:tcPr>
          <w:p>
            <w:pPr>
              <w:spacing w:after="40" w:before="40"/>
            </w:pPr>
            <w:r/>
            <w:r>
              <w:rPr>
                <w:rFonts w:ascii="Cambria" w:hAnsi="Cambria"/>
                <w:b w:val="0"/>
                <w:i w:val="0"/>
                <w:sz w:val="22"/>
              </w:rPr>
              <w:t>Harassment, molestation, assault, or exploitation of students, colleagues, or others.</w:t>
            </w:r>
          </w:p>
        </w:tc>
      </w:tr>
      <w:tr>
        <w:tc>
          <w:tcPr>
            <w:tcW w:type="dxa" w:w="3685"/>
          </w:tcPr>
          <w:p>
            <w:pPr>
              <w:spacing w:after="40" w:before="40"/>
            </w:pPr>
            <w:r/>
            <w:r>
              <w:rPr>
                <w:rFonts w:ascii="Cambria" w:hAnsi="Cambria"/>
                <w:b w:val="0"/>
                <w:i w:val="0"/>
                <w:sz w:val="22"/>
              </w:rPr>
              <w:t>Criminal Acts of Violence</w:t>
            </w:r>
          </w:p>
        </w:tc>
        <w:tc>
          <w:tcPr>
            <w:tcW w:type="dxa" w:w="5726"/>
          </w:tcPr>
          <w:p>
            <w:pPr>
              <w:spacing w:after="40" w:before="40"/>
            </w:pPr>
            <w:r/>
            <w:r>
              <w:rPr>
                <w:rFonts w:ascii="Cambria" w:hAnsi="Cambria"/>
                <w:b w:val="0"/>
                <w:i w:val="0"/>
                <w:sz w:val="22"/>
              </w:rPr>
              <w:t>Assault, intimidation, or acts leading to physical harm.</w:t>
            </w:r>
          </w:p>
        </w:tc>
      </w:tr>
      <w:tr>
        <w:tc>
          <w:tcPr>
            <w:tcW w:type="dxa" w:w="3685"/>
            <w:shd w:val="clear" w:color="auto" w:fill="F0F2F5"/>
          </w:tcPr>
          <w:p>
            <w:pPr>
              <w:spacing w:after="40" w:before="40"/>
            </w:pPr>
            <w:r/>
            <w:r>
              <w:rPr>
                <w:rFonts w:ascii="Cambria" w:hAnsi="Cambria"/>
                <w:b w:val="0"/>
                <w:i w:val="0"/>
                <w:sz w:val="22"/>
              </w:rPr>
              <w:t>Socially Immoral Acts</w:t>
            </w:r>
          </w:p>
        </w:tc>
        <w:tc>
          <w:tcPr>
            <w:tcW w:type="dxa" w:w="5726"/>
            <w:shd w:val="clear" w:color="auto" w:fill="F0F2F5"/>
          </w:tcPr>
          <w:p>
            <w:pPr>
              <w:spacing w:after="40" w:before="40"/>
            </w:pPr>
            <w:r/>
            <w:r>
              <w:rPr>
                <w:rFonts w:ascii="Cambria" w:hAnsi="Cambria"/>
                <w:b w:val="0"/>
                <w:i w:val="0"/>
                <w:sz w:val="22"/>
              </w:rPr>
              <w:t>Drug trafficking, gambling, or acts against public decency and morality.</w:t>
            </w:r>
          </w:p>
        </w:tc>
      </w:tr>
      <w:tr>
        <w:tc>
          <w:tcPr>
            <w:tcW w:type="dxa" w:w="3685"/>
          </w:tcPr>
          <w:p>
            <w:pPr>
              <w:spacing w:after="40" w:before="40"/>
            </w:pPr>
            <w:r/>
            <w:r>
              <w:rPr>
                <w:rFonts w:ascii="Cambria" w:hAnsi="Cambria"/>
                <w:b w:val="0"/>
                <w:i w:val="0"/>
                <w:sz w:val="22"/>
              </w:rPr>
              <w:t>Abuse of Position</w:t>
            </w:r>
          </w:p>
        </w:tc>
        <w:tc>
          <w:tcPr>
            <w:tcW w:type="dxa" w:w="5726"/>
          </w:tcPr>
          <w:p>
            <w:pPr>
              <w:spacing w:after="40" w:before="40"/>
            </w:pPr>
            <w:r/>
            <w:r>
              <w:rPr>
                <w:rFonts w:ascii="Cambria" w:hAnsi="Cambria"/>
                <w:b w:val="0"/>
                <w:i w:val="0"/>
                <w:sz w:val="22"/>
              </w:rPr>
              <w:t>Using official authority for personal gain, or manipulation of institutional processes.</w:t>
            </w:r>
          </w:p>
        </w:tc>
      </w:tr>
      <w:tr>
        <w:tc>
          <w:tcPr>
            <w:tcW w:type="dxa" w:w="3685"/>
            <w:shd w:val="clear" w:color="auto" w:fill="F0F2F5"/>
          </w:tcPr>
          <w:p>
            <w:pPr>
              <w:spacing w:after="40" w:before="40"/>
            </w:pPr>
            <w:r/>
            <w:r>
              <w:rPr>
                <w:rFonts w:ascii="Cambria" w:hAnsi="Cambria"/>
                <w:b w:val="0"/>
                <w:i w:val="0"/>
                <w:sz w:val="22"/>
              </w:rPr>
              <w:t>Cyber or Data Crime</w:t>
            </w:r>
          </w:p>
        </w:tc>
        <w:tc>
          <w:tcPr>
            <w:tcW w:type="dxa" w:w="5726"/>
            <w:shd w:val="clear" w:color="auto" w:fill="F0F2F5"/>
          </w:tcPr>
          <w:p>
            <w:pPr>
              <w:spacing w:after="40" w:before="40"/>
            </w:pPr>
            <w:r/>
            <w:r>
              <w:rPr>
                <w:rFonts w:ascii="Cambria" w:hAnsi="Cambria"/>
                <w:b w:val="0"/>
                <w:i w:val="0"/>
                <w:sz w:val="22"/>
              </w:rPr>
              <w:t>Unauthorized access, data theft, or dissemination of confidential information for personal benefit.</w:t>
            </w:r>
          </w:p>
        </w:tc>
      </w:tr>
    </w:tbl>
    <w:p>
      <w:pPr>
        <w:spacing w:after="40"/>
      </w:pPr>
    </w:p>
    <w:p>
      <w:pPr>
        <w:jc w:val="both"/>
      </w:pPr>
      <w:r>
        <w:rPr>
          <w:rFonts w:ascii="Cambria" w:hAnsi="Cambria"/>
          <w:i/>
          <w:sz w:val="22"/>
        </w:rPr>
        <w:t>Moral turpitude refers to acts that are inherently base, vile, or depraved, and contrary to accepted moral standards and ethical conduct.</w:t>
      </w:r>
    </w:p>
    <w:p>
      <w:r>
        <w:rPr>
          <w:rFonts w:ascii="Cambria" w:hAnsi="Cambria"/>
          <w:b/>
          <w:i w:val="0"/>
          <w:sz w:val="22"/>
        </w:rPr>
        <w:t>3. PROCEDURE AND ADMINISTRATIVE ACTION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Stage</w:t>
            </w:r>
          </w:p>
        </w:tc>
        <w:tc>
          <w:tcPr>
            <w:tcW w:type="dxa" w:w="5726"/>
            <w:shd w:val="clear" w:color="auto" w:fill="1F3A5F"/>
          </w:tcPr>
          <w:p>
            <w:pPr>
              <w:spacing w:after="40" w:before="40"/>
            </w:pPr>
            <w:r/>
            <w:r>
              <w:rPr>
                <w:rFonts w:ascii="Cambria" w:hAnsi="Cambria"/>
                <w:b/>
                <w:i w:val="0"/>
                <w:color w:val="FFFFFF"/>
                <w:sz w:val="22"/>
              </w:rPr>
              <w:t>Action / Responsibility</w:t>
            </w:r>
          </w:p>
        </w:tc>
      </w:tr>
      <w:tr>
        <w:tc>
          <w:tcPr>
            <w:tcW w:type="dxa" w:w="3685"/>
          </w:tcPr>
          <w:p>
            <w:pPr>
              <w:spacing w:after="40" w:before="40"/>
            </w:pPr>
            <w:r/>
            <w:r>
              <w:rPr>
                <w:rFonts w:ascii="Cambria" w:hAnsi="Cambria"/>
                <w:b w:val="0"/>
                <w:i w:val="0"/>
                <w:sz w:val="22"/>
              </w:rPr>
              <w:t>1. Preliminary Information</w:t>
            </w:r>
          </w:p>
        </w:tc>
        <w:tc>
          <w:tcPr>
            <w:tcW w:type="dxa" w:w="5726"/>
          </w:tcPr>
          <w:p>
            <w:pPr>
              <w:spacing w:after="40" w:before="40"/>
            </w:pPr>
            <w:r/>
            <w:r>
              <w:rPr>
                <w:rFonts w:ascii="Cambria" w:hAnsi="Cambria"/>
                <w:b w:val="0"/>
                <w:i w:val="0"/>
                <w:sz w:val="22"/>
              </w:rPr>
              <w:t>Upon knowledge of an alleged criminal offence, the Registrar / Head of Institution shall immediately report the matter to the Vice Chancellor and Board of Management (BoM).</w:t>
            </w:r>
          </w:p>
        </w:tc>
      </w:tr>
      <w:tr>
        <w:tc>
          <w:tcPr>
            <w:tcW w:type="dxa" w:w="3685"/>
            <w:shd w:val="clear" w:color="auto" w:fill="F0F2F5"/>
          </w:tcPr>
          <w:p>
            <w:pPr>
              <w:spacing w:after="40" w:before="40"/>
            </w:pPr>
            <w:r/>
            <w:r>
              <w:rPr>
                <w:rFonts w:ascii="Cambria" w:hAnsi="Cambria"/>
                <w:b w:val="0"/>
                <w:i w:val="0"/>
                <w:sz w:val="22"/>
              </w:rPr>
              <w:t>2. Suspension</w:t>
            </w:r>
          </w:p>
        </w:tc>
        <w:tc>
          <w:tcPr>
            <w:tcW w:type="dxa" w:w="5726"/>
            <w:shd w:val="clear" w:color="auto" w:fill="F0F2F5"/>
          </w:tcPr>
          <w:p>
            <w:pPr>
              <w:spacing w:after="40" w:before="40"/>
            </w:pPr>
            <w:r/>
            <w:r>
              <w:rPr>
                <w:rFonts w:ascii="Cambria" w:hAnsi="Cambria"/>
                <w:b w:val="0"/>
                <w:i w:val="0"/>
                <w:sz w:val="22"/>
              </w:rPr>
              <w:t>The concerned employee shall be placed under suspension with immediate effect pending investigation or trial, as per service rules.</w:t>
            </w:r>
          </w:p>
        </w:tc>
      </w:tr>
      <w:tr>
        <w:tc>
          <w:tcPr>
            <w:tcW w:type="dxa" w:w="3685"/>
          </w:tcPr>
          <w:p>
            <w:pPr>
              <w:spacing w:after="40" w:before="40"/>
            </w:pPr>
            <w:r/>
            <w:r>
              <w:rPr>
                <w:rFonts w:ascii="Cambria" w:hAnsi="Cambria"/>
                <w:b w:val="0"/>
                <w:i w:val="0"/>
                <w:sz w:val="22"/>
              </w:rPr>
              <w:t>3. Departmental Enquiry</w:t>
            </w:r>
          </w:p>
        </w:tc>
        <w:tc>
          <w:tcPr>
            <w:tcW w:type="dxa" w:w="5726"/>
          </w:tcPr>
          <w:p>
            <w:pPr>
              <w:spacing w:after="40" w:before="40"/>
            </w:pPr>
            <w:r/>
            <w:r>
              <w:rPr>
                <w:rFonts w:ascii="Cambria" w:hAnsi="Cambria"/>
                <w:b w:val="0"/>
                <w:i w:val="0"/>
                <w:sz w:val="22"/>
              </w:rPr>
              <w:t>A Disciplinary Committee shall be constituted to ascertain facts and decide whether continuation in service is in the University’s interest.</w:t>
            </w:r>
          </w:p>
        </w:tc>
      </w:tr>
      <w:tr>
        <w:tc>
          <w:tcPr>
            <w:tcW w:type="dxa" w:w="3685"/>
            <w:shd w:val="clear" w:color="auto" w:fill="F0F2F5"/>
          </w:tcPr>
          <w:p>
            <w:pPr>
              <w:spacing w:after="40" w:before="40"/>
            </w:pPr>
            <w:r/>
            <w:r>
              <w:rPr>
                <w:rFonts w:ascii="Cambria" w:hAnsi="Cambria"/>
                <w:b w:val="0"/>
                <w:i w:val="0"/>
                <w:sz w:val="22"/>
              </w:rPr>
              <w:t>4. Legal Coordination</w:t>
            </w:r>
          </w:p>
        </w:tc>
        <w:tc>
          <w:tcPr>
            <w:tcW w:type="dxa" w:w="5726"/>
            <w:shd w:val="clear" w:color="auto" w:fill="F0F2F5"/>
          </w:tcPr>
          <w:p>
            <w:pPr>
              <w:spacing w:after="40" w:before="40"/>
            </w:pPr>
            <w:r/>
            <w:r>
              <w:rPr>
                <w:rFonts w:ascii="Cambria" w:hAnsi="Cambria"/>
                <w:b w:val="0"/>
                <w:i w:val="0"/>
                <w:sz w:val="22"/>
              </w:rPr>
              <w:t>The University may cooperate with law enforcement agencies during the criminal investigation.</w:t>
            </w:r>
          </w:p>
        </w:tc>
      </w:tr>
      <w:tr>
        <w:tc>
          <w:tcPr>
            <w:tcW w:type="dxa" w:w="3685"/>
          </w:tcPr>
          <w:p>
            <w:pPr>
              <w:spacing w:after="40" w:before="40"/>
            </w:pPr>
            <w:r/>
            <w:r>
              <w:rPr>
                <w:rFonts w:ascii="Cambria" w:hAnsi="Cambria"/>
                <w:b w:val="0"/>
                <w:i w:val="0"/>
                <w:sz w:val="22"/>
              </w:rPr>
              <w:t>5. Final Decision</w:t>
            </w:r>
          </w:p>
        </w:tc>
        <w:tc>
          <w:tcPr>
            <w:tcW w:type="dxa" w:w="5726"/>
          </w:tcPr>
          <w:p>
            <w:pPr>
              <w:spacing w:after="40" w:before="40"/>
            </w:pPr>
            <w:r/>
            <w:r>
              <w:rPr>
                <w:rFonts w:ascii="Cambria" w:hAnsi="Cambria"/>
                <w:b w:val="0"/>
                <w:i w:val="0"/>
                <w:sz w:val="22"/>
              </w:rPr>
              <w:t>Based on the court’s verdict or inquiry findings, the BoM may impose suitable disciplinary action, including termination.</w:t>
            </w:r>
          </w:p>
        </w:tc>
      </w:tr>
    </w:tbl>
    <w:p>
      <w:pPr>
        <w:spacing w:after="40"/>
      </w:pP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Offence Status</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Employee Convicted by Court</w:t>
            </w:r>
          </w:p>
        </w:tc>
        <w:tc>
          <w:tcPr>
            <w:tcW w:type="dxa" w:w="5726"/>
          </w:tcPr>
          <w:p>
            <w:pPr>
              <w:spacing w:after="40" w:before="40"/>
            </w:pPr>
            <w:r/>
            <w:r>
              <w:rPr>
                <w:rFonts w:ascii="Cambria" w:hAnsi="Cambria"/>
                <w:b w:val="0"/>
                <w:i w:val="0"/>
                <w:sz w:val="22"/>
              </w:rPr>
              <w:t>Immediate termination from service without notice, as per moral turpitude clause.</w:t>
            </w:r>
          </w:p>
        </w:tc>
      </w:tr>
      <w:tr>
        <w:tc>
          <w:tcPr>
            <w:tcW w:type="dxa" w:w="3685"/>
            <w:shd w:val="clear" w:color="auto" w:fill="F0F2F5"/>
          </w:tcPr>
          <w:p>
            <w:pPr>
              <w:spacing w:after="40" w:before="40"/>
            </w:pPr>
            <w:r/>
            <w:r>
              <w:rPr>
                <w:rFonts w:ascii="Cambria" w:hAnsi="Cambria"/>
                <w:b w:val="0"/>
                <w:i w:val="0"/>
                <w:sz w:val="22"/>
              </w:rPr>
              <w:t>Employee Under Criminal Investigation</w:t>
            </w:r>
          </w:p>
        </w:tc>
        <w:tc>
          <w:tcPr>
            <w:tcW w:type="dxa" w:w="5726"/>
            <w:shd w:val="clear" w:color="auto" w:fill="F0F2F5"/>
          </w:tcPr>
          <w:p>
            <w:pPr>
              <w:spacing w:after="40" w:before="40"/>
            </w:pPr>
            <w:r/>
            <w:r>
              <w:rPr>
                <w:rFonts w:ascii="Cambria" w:hAnsi="Cambria"/>
                <w:b w:val="0"/>
                <w:i w:val="0"/>
                <w:sz w:val="22"/>
              </w:rPr>
              <w:t>Placed under suspension pending final outcome. No reinstatement until acquittal or clearance.</w:t>
            </w:r>
          </w:p>
        </w:tc>
      </w:tr>
      <w:tr>
        <w:tc>
          <w:tcPr>
            <w:tcW w:type="dxa" w:w="3685"/>
          </w:tcPr>
          <w:p>
            <w:pPr>
              <w:spacing w:after="40" w:before="40"/>
            </w:pPr>
            <w:r/>
            <w:r>
              <w:rPr>
                <w:rFonts w:ascii="Cambria" w:hAnsi="Cambria"/>
                <w:b w:val="0"/>
                <w:i w:val="0"/>
                <w:sz w:val="22"/>
              </w:rPr>
              <w:t>Proven Misconduct by Internal Enquiry</w:t>
            </w:r>
          </w:p>
        </w:tc>
        <w:tc>
          <w:tcPr>
            <w:tcW w:type="dxa" w:w="5726"/>
          </w:tcPr>
          <w:p>
            <w:pPr>
              <w:spacing w:after="40" w:before="40"/>
            </w:pPr>
            <w:r/>
            <w:r>
              <w:rPr>
                <w:rFonts w:ascii="Cambria" w:hAnsi="Cambria"/>
                <w:b w:val="0"/>
                <w:i w:val="0"/>
                <w:sz w:val="22"/>
              </w:rPr>
              <w:t>Major penalties such as removal, dismissal, or compulsory retirement.</w:t>
            </w:r>
          </w:p>
        </w:tc>
      </w:tr>
      <w:tr>
        <w:tc>
          <w:tcPr>
            <w:tcW w:type="dxa" w:w="3685"/>
            <w:shd w:val="clear" w:color="auto" w:fill="F0F2F5"/>
          </w:tcPr>
          <w:p>
            <w:pPr>
              <w:spacing w:after="40" w:before="40"/>
            </w:pPr>
            <w:r/>
            <w:r>
              <w:rPr>
                <w:rFonts w:ascii="Cambria" w:hAnsi="Cambria"/>
                <w:b w:val="0"/>
                <w:i w:val="0"/>
                <w:sz w:val="22"/>
              </w:rPr>
              <w:t>Minor Offence (without moral turpitude)</w:t>
            </w:r>
          </w:p>
        </w:tc>
        <w:tc>
          <w:tcPr>
            <w:tcW w:type="dxa" w:w="5726"/>
            <w:shd w:val="clear" w:color="auto" w:fill="F0F2F5"/>
          </w:tcPr>
          <w:p>
            <w:pPr>
              <w:spacing w:after="40" w:before="40"/>
            </w:pPr>
            <w:r/>
            <w:r>
              <w:rPr>
                <w:rFonts w:ascii="Cambria" w:hAnsi="Cambria"/>
                <w:b w:val="0"/>
                <w:i w:val="0"/>
                <w:sz w:val="22"/>
              </w:rPr>
              <w:t>May lead to censure, withholding of increments, or temporary suspension based on severity.</w:t>
            </w:r>
          </w:p>
        </w:tc>
      </w:tr>
    </w:tbl>
    <w:p>
      <w:pPr>
        <w:spacing w:after="40"/>
      </w:pPr>
    </w:p>
    <w:p>
      <w:pPr>
        <w:jc w:val="both"/>
      </w:pPr>
      <w:r>
        <w:rPr>
          <w:rFonts w:ascii="Cambria" w:hAnsi="Cambria"/>
          <w:i/>
          <w:sz w:val="22"/>
        </w:rPr>
        <w:t>A conviction by a court of law for any criminal offence involving moral turpitude shall automatically disqualify the employee from continued service.</w:t>
      </w:r>
    </w:p>
    <w:p>
      <w:r>
        <w:rPr>
          <w:rFonts w:ascii="Cambria" w:hAnsi="Cambria"/>
          <w:b/>
          <w:i w:val="0"/>
          <w:sz w:val="22"/>
        </w:rPr>
        <w:t>5. IMPACT ON SERVICE RECORD</w:t>
      </w:r>
    </w:p>
    <w:p>
      <w:pPr>
        <w:pStyle w:val="ListBullet"/>
        <w:spacing w:line="276" w:lineRule="auto"/>
        <w:ind w:left="510"/>
      </w:pPr>
      <w:r>
        <w:rPr>
          <w:rFonts w:ascii="Cambria" w:hAnsi="Cambria"/>
          <w:b w:val="0"/>
          <w:i w:val="0"/>
          <w:sz w:val="22"/>
        </w:rPr>
        <w:t>All employees convicted or dismissed under this clause shall be disqualified from re-employment in the University or any of its constituent institutions.</w:t>
      </w:r>
    </w:p>
    <w:p>
      <w:pPr>
        <w:pStyle w:val="ListBullet"/>
        <w:spacing w:line="276" w:lineRule="auto"/>
        <w:ind w:left="510"/>
      </w:pPr>
      <w:r>
        <w:rPr>
          <w:rFonts w:ascii="Cambria" w:hAnsi="Cambria"/>
          <w:b w:val="0"/>
          <w:i w:val="0"/>
          <w:sz w:val="22"/>
        </w:rPr>
        <w:t>Service during suspension pending investigation may not be counted for increments, pension, or leave benefits unless the employee is acquitted.</w:t>
      </w:r>
    </w:p>
    <w:p>
      <w:pPr>
        <w:pStyle w:val="ListBullet"/>
        <w:spacing w:line="276" w:lineRule="auto"/>
        <w:ind w:left="510"/>
      </w:pPr>
      <w:r>
        <w:rPr>
          <w:rFonts w:ascii="Cambria" w:hAnsi="Cambria"/>
          <w:b w:val="0"/>
          <w:i w:val="0"/>
          <w:sz w:val="22"/>
        </w:rPr>
        <w:t>In case of acquittal, reinstatement shall be subject to review and approval by the BoM, and not automatic.</w:t>
      </w:r>
    </w:p>
    <w:p>
      <w:r>
        <w:rPr>
          <w:rFonts w:ascii="Cambria" w:hAnsi="Cambria"/>
          <w:b/>
          <w:i w:val="0"/>
          <w:sz w:val="22"/>
        </w:rPr>
        <w:t>6. REPORTING OBLIGATION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Condition</w:t>
            </w:r>
          </w:p>
        </w:tc>
        <w:tc>
          <w:tcPr>
            <w:tcW w:type="dxa" w:w="5726"/>
            <w:shd w:val="clear" w:color="auto" w:fill="1F3A5F"/>
          </w:tcPr>
          <w:p>
            <w:pPr>
              <w:spacing w:after="40" w:before="40"/>
            </w:pPr>
            <w:r/>
            <w:r>
              <w:rPr>
                <w:rFonts w:ascii="Cambria" w:hAnsi="Cambria"/>
                <w:b/>
                <w:i w:val="0"/>
                <w:color w:val="FFFFFF"/>
                <w:sz w:val="22"/>
              </w:rPr>
              <w:t>Requirement</w:t>
            </w:r>
          </w:p>
        </w:tc>
      </w:tr>
      <w:tr>
        <w:tc>
          <w:tcPr>
            <w:tcW w:type="dxa" w:w="3685"/>
          </w:tcPr>
          <w:p>
            <w:pPr>
              <w:spacing w:after="40" w:before="40"/>
            </w:pPr>
            <w:r/>
            <w:r>
              <w:rPr>
                <w:rFonts w:ascii="Cambria" w:hAnsi="Cambria"/>
                <w:b w:val="0"/>
                <w:i w:val="0"/>
                <w:sz w:val="22"/>
              </w:rPr>
              <w:t>Arrest or Criminal Charge</w:t>
            </w:r>
          </w:p>
        </w:tc>
        <w:tc>
          <w:tcPr>
            <w:tcW w:type="dxa" w:w="5726"/>
          </w:tcPr>
          <w:p>
            <w:pPr>
              <w:spacing w:after="40" w:before="40"/>
            </w:pPr>
            <w:r/>
            <w:r>
              <w:rPr>
                <w:rFonts w:ascii="Cambria" w:hAnsi="Cambria"/>
                <w:b w:val="0"/>
                <w:i w:val="0"/>
                <w:sz w:val="22"/>
              </w:rPr>
              <w:t>The employee must immediately inform the Head of Department / Registrar about any arrest, charge, or court proceeding initiated against them.</w:t>
            </w:r>
          </w:p>
        </w:tc>
      </w:tr>
      <w:tr>
        <w:tc>
          <w:tcPr>
            <w:tcW w:type="dxa" w:w="3685"/>
            <w:shd w:val="clear" w:color="auto" w:fill="F0F2F5"/>
          </w:tcPr>
          <w:p>
            <w:pPr>
              <w:spacing w:after="40" w:before="40"/>
            </w:pPr>
            <w:r/>
            <w:r>
              <w:rPr>
                <w:rFonts w:ascii="Cambria" w:hAnsi="Cambria"/>
                <w:b w:val="0"/>
                <w:i w:val="0"/>
                <w:sz w:val="22"/>
              </w:rPr>
              <w:t>Failure to Report</w:t>
            </w:r>
          </w:p>
        </w:tc>
        <w:tc>
          <w:tcPr>
            <w:tcW w:type="dxa" w:w="5726"/>
            <w:shd w:val="clear" w:color="auto" w:fill="F0F2F5"/>
          </w:tcPr>
          <w:p>
            <w:pPr>
              <w:spacing w:after="40" w:before="40"/>
            </w:pPr>
            <w:r/>
            <w:r>
              <w:rPr>
                <w:rFonts w:ascii="Cambria" w:hAnsi="Cambria"/>
                <w:b w:val="0"/>
                <w:i w:val="0"/>
                <w:sz w:val="22"/>
              </w:rPr>
              <w:t>Suppression of such information shall itself constitute separate misconduct punishable under University rules.</w:t>
            </w:r>
          </w:p>
        </w:tc>
      </w:tr>
      <w:tr>
        <w:tc>
          <w:tcPr>
            <w:tcW w:type="dxa" w:w="3685"/>
          </w:tcPr>
          <w:p>
            <w:pPr>
              <w:spacing w:after="40" w:before="40"/>
            </w:pPr>
            <w:r/>
            <w:r>
              <w:rPr>
                <w:rFonts w:ascii="Cambria" w:hAnsi="Cambria"/>
                <w:b w:val="0"/>
                <w:i w:val="0"/>
                <w:sz w:val="22"/>
              </w:rPr>
              <w:t>During Suspension</w:t>
            </w:r>
          </w:p>
        </w:tc>
        <w:tc>
          <w:tcPr>
            <w:tcW w:type="dxa" w:w="5726"/>
          </w:tcPr>
          <w:p>
            <w:pPr>
              <w:spacing w:after="40" w:before="40"/>
            </w:pPr>
            <w:r/>
            <w:r>
              <w:rPr>
                <w:rFonts w:ascii="Cambria" w:hAnsi="Cambria"/>
                <w:b w:val="0"/>
                <w:i w:val="0"/>
                <w:sz w:val="22"/>
              </w:rPr>
              <w:t>The employee must not leave headquarters without written permission from the competent authority.</w:t>
            </w:r>
          </w:p>
        </w:tc>
      </w:tr>
    </w:tbl>
    <w:p>
      <w:pPr>
        <w:spacing w:after="40"/>
      </w:pPr>
    </w:p>
    <w:p>
      <w:r>
        <w:rPr>
          <w:rFonts w:ascii="Cambria" w:hAnsi="Cambria"/>
          <w:b/>
          <w:i w:val="0"/>
          <w:sz w:val="22"/>
        </w:rPr>
        <w:t>7. POLICY PRINCIPLES</w:t>
      </w:r>
    </w:p>
    <w:p>
      <w:pPr>
        <w:pStyle w:val="ListBullet"/>
        <w:spacing w:line="276" w:lineRule="auto"/>
        <w:ind w:left="510"/>
      </w:pPr>
      <w:r>
        <w:rPr>
          <w:rFonts w:ascii="Cambria" w:hAnsi="Cambria"/>
          <w:b w:val="0"/>
          <w:i w:val="0"/>
          <w:sz w:val="22"/>
        </w:rPr>
        <w:t>The University expects integrity, moral uprightness, and lawful behavior from every employee.</w:t>
      </w:r>
    </w:p>
    <w:p>
      <w:pPr>
        <w:pStyle w:val="ListBullet"/>
        <w:spacing w:line="276" w:lineRule="auto"/>
        <w:ind w:left="510"/>
      </w:pPr>
      <w:r>
        <w:rPr>
          <w:rFonts w:ascii="Cambria" w:hAnsi="Cambria"/>
          <w:b w:val="0"/>
          <w:i w:val="0"/>
          <w:sz w:val="22"/>
        </w:rPr>
        <w:t>Any act involving moral corruption or legal violation undermines the trust and dignity of the institution.</w:t>
      </w:r>
    </w:p>
    <w:p>
      <w:pPr>
        <w:pStyle w:val="ListBullet"/>
        <w:spacing w:line="276" w:lineRule="auto"/>
        <w:ind w:left="510"/>
      </w:pPr>
      <w:r>
        <w:rPr>
          <w:rFonts w:ascii="Cambria" w:hAnsi="Cambria"/>
          <w:b w:val="0"/>
          <w:i w:val="0"/>
          <w:sz w:val="22"/>
        </w:rPr>
        <w:t>Employees must maintain conduct worthy of the profession of education, both inside and outside the workplace.</w:t>
      </w:r>
    </w:p>
    <w:p>
      <w:pPr>
        <w:pStyle w:val="ListBullet"/>
        <w:spacing w:line="276" w:lineRule="auto"/>
        <w:ind w:left="510"/>
      </w:pPr>
      <w:r>
        <w:rPr>
          <w:rFonts w:ascii="Cambria" w:hAnsi="Cambria"/>
          <w:b w:val="0"/>
          <w:i w:val="0"/>
          <w:sz w:val="22"/>
        </w:rPr>
        <w:t>Conviction or proven involvement in a criminal offence automatically disqualifies the employee from holding office.</w:t>
      </w:r>
    </w:p>
    <w:p>
      <w:pPr>
        <w:pStyle w:val="ListBullet"/>
        <w:spacing w:line="276" w:lineRule="auto"/>
        <w:ind w:left="510"/>
      </w:pPr>
      <w:r>
        <w:rPr>
          <w:rFonts w:ascii="Cambria" w:hAnsi="Cambria"/>
          <w:b w:val="0"/>
          <w:i w:val="0"/>
          <w:sz w:val="22"/>
        </w:rPr>
        <w:t>The decision of the Board of Management (BoM) shall be final and binding in determining whether an act involves moral turpitude.</w:t>
      </w:r>
    </w:p>
    <w:p>
      <w:r>
        <w:rPr>
          <w:rFonts w:ascii="Cambria" w:hAnsi="Cambria"/>
          <w:b/>
          <w:i w:val="0"/>
          <w:sz w:val="22"/>
        </w:rPr>
        <w:t>8. LEGAL AND ETHICAL REFERENCES</w:t>
      </w:r>
    </w:p>
    <w:p>
      <w:pPr>
        <w:jc w:val="both"/>
      </w:pPr>
      <w:r>
        <w:rPr>
          <w:rFonts w:ascii="Cambria" w:hAnsi="Cambria"/>
          <w:i w:val="0"/>
          <w:sz w:val="22"/>
        </w:rPr>
        <w:t>This policy aligns with:</w:t>
      </w:r>
    </w:p>
    <w:p>
      <w:pPr>
        <w:pStyle w:val="ListBullet"/>
        <w:spacing w:line="276" w:lineRule="auto"/>
        <w:ind w:left="510"/>
      </w:pPr>
      <w:r>
        <w:rPr>
          <w:rFonts w:ascii="Cambria" w:hAnsi="Cambria"/>
          <w:b w:val="0"/>
          <w:i w:val="0"/>
          <w:sz w:val="22"/>
        </w:rPr>
        <w:t>UGC Regulations on Minimum Qualifications for Appointment of Teachers (2018) — Clause on moral and ethical integrity.</w:t>
      </w:r>
    </w:p>
    <w:p>
      <w:pPr>
        <w:pStyle w:val="ListBullet"/>
        <w:spacing w:line="276" w:lineRule="auto"/>
        <w:ind w:left="510"/>
      </w:pPr>
      <w:r>
        <w:rPr>
          <w:rFonts w:ascii="Cambria" w:hAnsi="Cambria"/>
          <w:b w:val="0"/>
          <w:i w:val="0"/>
          <w:sz w:val="22"/>
        </w:rPr>
        <w:t>Central Civil Services (Conduct) Rules, 1964 — Rule 3(1) &amp; Rule 19.</w:t>
      </w:r>
    </w:p>
    <w:p>
      <w:pPr>
        <w:pStyle w:val="ListBullet"/>
        <w:spacing w:line="276" w:lineRule="auto"/>
        <w:ind w:left="510"/>
      </w:pPr>
      <w:r>
        <w:rPr>
          <w:rFonts w:ascii="Cambria" w:hAnsi="Cambria"/>
          <w:b w:val="0"/>
          <w:i w:val="0"/>
          <w:sz w:val="22"/>
        </w:rPr>
        <w:t>Indian Penal Code (IPC) — Provisions defining offences involving fraud, dishonesty, corruption, or immorality.</w:t>
      </w:r>
    </w:p>
    <w:p>
      <w:pPr>
        <w:pStyle w:val="ListBullet"/>
        <w:spacing w:line="276" w:lineRule="auto"/>
        <w:ind w:left="510"/>
      </w:pPr>
      <w:r>
        <w:rPr>
          <w:rFonts w:ascii="Cambria" w:hAnsi="Cambria"/>
          <w:b w:val="0"/>
          <w:i w:val="0"/>
          <w:sz w:val="22"/>
        </w:rPr>
        <w:t>University Grants Commission (Code of Professional Ethics for Teachers, 2019).</w:t>
      </w:r>
    </w:p>
    <w:p>
      <w:pPr>
        <w:keepNext/>
        <w:spacing w:before="200" w:after="120"/>
      </w:pPr>
      <w:r>
        <w:rPr>
          <w:rFonts w:ascii="Cambria" w:hAnsi="Cambria"/>
          <w:b/>
          <w:color w:val="1F3A5F"/>
          <w:sz w:val="27"/>
        </w:rPr>
        <w:t>Policy on Abetment or Attempt of Any Act Amounting to Misconduct</w:t>
      </w:r>
    </w:p>
    <w:p>
      <w:r>
        <w:rPr>
          <w:rFonts w:ascii="Cambria" w:hAnsi="Cambria"/>
          <w:b/>
          <w:i w:val="0"/>
          <w:sz w:val="22"/>
        </w:rPr>
        <w:t>I. PURPOSE</w:t>
      </w:r>
    </w:p>
    <w:p>
      <w:pPr>
        <w:pStyle w:val="ListBullet"/>
        <w:spacing w:line="276" w:lineRule="auto"/>
        <w:ind w:left="510"/>
      </w:pPr>
      <w:r>
        <w:rPr>
          <w:rFonts w:ascii="Cambria" w:hAnsi="Cambria"/>
          <w:b w:val="0"/>
          <w:i w:val="0"/>
          <w:sz w:val="22"/>
        </w:rPr>
        <w:t>To preserve institutional discipline, professional integrity, and ethical behavior among all employees.</w:t>
      </w:r>
    </w:p>
    <w:p>
      <w:pPr>
        <w:pStyle w:val="ListBullet"/>
        <w:spacing w:line="276" w:lineRule="auto"/>
        <w:ind w:left="510"/>
      </w:pPr>
      <w:r>
        <w:rPr>
          <w:rFonts w:ascii="Cambria" w:hAnsi="Cambria"/>
          <w:b w:val="0"/>
          <w:i w:val="0"/>
          <w:sz w:val="22"/>
        </w:rPr>
        <w:t>To make clear that abetment (encouragement, assistance, or instigation) or attempt to commit any act of misconduct is itself a punishable offence, even if the act is not completed.</w:t>
      </w:r>
    </w:p>
    <w:p>
      <w:pPr>
        <w:pStyle w:val="ListBullet"/>
        <w:spacing w:line="276" w:lineRule="auto"/>
        <w:ind w:left="510"/>
      </w:pPr>
      <w:r>
        <w:rPr>
          <w:rFonts w:ascii="Cambria" w:hAnsi="Cambria"/>
          <w:b w:val="0"/>
          <w:i w:val="0"/>
          <w:sz w:val="22"/>
        </w:rPr>
        <w:t>To ensure that all members of the University community are held accountable not only for their actions but also for their intentions and influence in acts of indiscipline.</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Definition</w:t>
            </w:r>
          </w:p>
        </w:tc>
        <w:tc>
          <w:tcPr>
            <w:tcW w:type="dxa" w:w="5726"/>
          </w:tcPr>
          <w:p>
            <w:pPr>
              <w:spacing w:after="40" w:before="40"/>
            </w:pPr>
            <w:r/>
            <w:r>
              <w:rPr>
                <w:rFonts w:ascii="Cambria" w:hAnsi="Cambria"/>
                <w:b w:val="0"/>
                <w:i w:val="0"/>
                <w:sz w:val="22"/>
              </w:rPr>
              <w:t>Any act of abetment or attempt to commit an offence or misconduct, even if unsuccessful or incomplete, shall be treated as misconduct under University service rules.</w:t>
            </w:r>
          </w:p>
        </w:tc>
      </w:tr>
      <w:tr>
        <w:tc>
          <w:tcPr>
            <w:tcW w:type="dxa" w:w="3685"/>
            <w:shd w:val="clear" w:color="auto" w:fill="F0F2F5"/>
          </w:tcPr>
          <w:p>
            <w:pPr>
              <w:spacing w:after="40" w:before="40"/>
            </w:pPr>
            <w:r/>
            <w:r>
              <w:rPr>
                <w:rFonts w:ascii="Cambria" w:hAnsi="Cambria"/>
                <w:b w:val="0"/>
                <w:i w:val="0"/>
                <w:sz w:val="22"/>
              </w:rPr>
              <w:t>Scope</w:t>
            </w:r>
          </w:p>
        </w:tc>
        <w:tc>
          <w:tcPr>
            <w:tcW w:type="dxa" w:w="5726"/>
            <w:shd w:val="clear" w:color="auto" w:fill="F0F2F5"/>
          </w:tcPr>
          <w:p>
            <w:pPr>
              <w:spacing w:after="40" w:before="40"/>
            </w:pPr>
            <w:r/>
            <w:r>
              <w:rPr>
                <w:rFonts w:ascii="Cambria" w:hAnsi="Cambria"/>
                <w:b w:val="0"/>
                <w:i w:val="0"/>
                <w:sz w:val="22"/>
              </w:rPr>
              <w:t>Applies to all categories of University employees—teaching, non-teaching, administrative, contractual, and technical—regardless of position or seniority.</w:t>
            </w:r>
          </w:p>
        </w:tc>
      </w:tr>
      <w:tr>
        <w:tc>
          <w:tcPr>
            <w:tcW w:type="dxa" w:w="3685"/>
          </w:tcPr>
          <w:p>
            <w:pPr>
              <w:spacing w:after="40" w:before="40"/>
            </w:pPr>
            <w:r/>
            <w:r>
              <w:rPr>
                <w:rFonts w:ascii="Cambria" w:hAnsi="Cambria"/>
                <w:b w:val="0"/>
                <w:i w:val="0"/>
                <w:sz w:val="22"/>
              </w:rPr>
              <w:t>Nature of Misconduct</w:t>
            </w:r>
          </w:p>
        </w:tc>
        <w:tc>
          <w:tcPr>
            <w:tcW w:type="dxa" w:w="5726"/>
          </w:tcPr>
          <w:p>
            <w:pPr>
              <w:spacing w:after="40" w:before="40"/>
            </w:pPr>
            <w:r/>
            <w:r>
              <w:rPr>
                <w:rFonts w:ascii="Cambria" w:hAnsi="Cambria"/>
                <w:b w:val="0"/>
                <w:i w:val="0"/>
                <w:sz w:val="22"/>
              </w:rPr>
              <w:t>Includes any direct or indirect involvement, instigation, assistance, or collusion in an act that violates service conduct, ethics, or discipline.</w:t>
            </w:r>
          </w:p>
        </w:tc>
      </w:tr>
    </w:tbl>
    <w:p>
      <w:pPr>
        <w:spacing w:after="40"/>
      </w:pPr>
    </w:p>
    <w:p>
      <w:r>
        <w:rPr>
          <w:rFonts w:ascii="Cambria" w:hAnsi="Cambria"/>
          <w:b/>
          <w:i w:val="0"/>
          <w:sz w:val="22"/>
        </w:rPr>
        <w:t>2. MEANING OF ABETMENT AND ATTEMPT</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Term</w:t>
            </w:r>
          </w:p>
        </w:tc>
        <w:tc>
          <w:tcPr>
            <w:tcW w:type="dxa" w:w="5726"/>
            <w:shd w:val="clear" w:color="auto" w:fill="1F3A5F"/>
          </w:tcPr>
          <w:p>
            <w:pPr>
              <w:spacing w:after="40" w:before="40"/>
            </w:pPr>
            <w:r/>
            <w:r>
              <w:rPr>
                <w:rFonts w:ascii="Cambria" w:hAnsi="Cambria"/>
                <w:b/>
                <w:i w:val="0"/>
                <w:color w:val="FFFFFF"/>
                <w:sz w:val="22"/>
              </w:rPr>
              <w:t>Explanation / Illustration</w:t>
            </w:r>
          </w:p>
        </w:tc>
      </w:tr>
      <w:tr>
        <w:tc>
          <w:tcPr>
            <w:tcW w:type="dxa" w:w="3685"/>
          </w:tcPr>
          <w:p>
            <w:pPr>
              <w:spacing w:after="40" w:before="40"/>
            </w:pPr>
            <w:r/>
            <w:r>
              <w:rPr>
                <w:rFonts w:ascii="Cambria" w:hAnsi="Cambria"/>
                <w:b w:val="0"/>
                <w:i w:val="0"/>
                <w:sz w:val="22"/>
              </w:rPr>
              <w:t>Abetment</w:t>
            </w:r>
          </w:p>
        </w:tc>
        <w:tc>
          <w:tcPr>
            <w:tcW w:type="dxa" w:w="5726"/>
          </w:tcPr>
          <w:p>
            <w:pPr>
              <w:spacing w:after="40" w:before="40"/>
            </w:pPr>
            <w:r/>
            <w:r>
              <w:rPr>
                <w:rFonts w:ascii="Cambria" w:hAnsi="Cambria"/>
                <w:b w:val="0"/>
                <w:i w:val="0"/>
                <w:sz w:val="22"/>
              </w:rPr>
              <w:t>Encouraging, aiding, or conspiring with another person to commit misconduct.</w:t>
            </w:r>
          </w:p>
        </w:tc>
      </w:tr>
    </w:tbl>
    <w:p>
      <w:pPr>
        <w:spacing w:after="40"/>
      </w:pPr>
    </w:p>
    <w:p>
      <w:pPr>
        <w:pStyle w:val="ListBullet"/>
        <w:spacing w:line="276" w:lineRule="auto"/>
        <w:ind w:left="510"/>
      </w:pPr>
      <w:r>
        <w:rPr>
          <w:rFonts w:ascii="Cambria" w:hAnsi="Cambria"/>
          <w:b w:val="0"/>
          <w:i w:val="0"/>
          <w:sz w:val="22"/>
        </w:rPr>
        <w:t>Providing information, resources, or moral support to facilitate the wrongdoing.</w:t>
      </w:r>
    </w:p>
    <w:p>
      <w:pPr>
        <w:pStyle w:val="ListBullet"/>
        <w:spacing w:line="276" w:lineRule="auto"/>
        <w:ind w:left="510"/>
      </w:pPr>
      <w:r>
        <w:rPr>
          <w:rFonts w:ascii="Cambria" w:hAnsi="Cambria"/>
          <w:b w:val="0"/>
          <w:i w:val="0"/>
          <w:sz w:val="22"/>
        </w:rPr>
        <w:t>Concealing evidence or failing to report a known act of misconduct.</w:t>
      </w:r>
    </w:p>
    <w:p>
      <w:r>
        <w:rPr>
          <w:rFonts w:ascii="Cambria" w:hAnsi="Cambria"/>
          <w:b/>
          <w:i w:val="0"/>
          <w:sz w:val="22"/>
        </w:rPr>
        <w:t>Attempt</w:t>
      </w:r>
    </w:p>
    <w:p>
      <w:pPr>
        <w:pStyle w:val="ListBullet"/>
        <w:spacing w:line="276" w:lineRule="auto"/>
        <w:ind w:left="510"/>
      </w:pPr>
      <w:r>
        <w:rPr>
          <w:rFonts w:ascii="Cambria" w:hAnsi="Cambria"/>
          <w:b w:val="0"/>
          <w:i w:val="0"/>
          <w:sz w:val="22"/>
        </w:rPr>
        <w:t>Making deliberate efforts or preparations to commit an act of misconduct, even if not completed.</w:t>
      </w:r>
    </w:p>
    <w:p>
      <w:pPr>
        <w:pStyle w:val="ListBullet"/>
        <w:spacing w:line="276" w:lineRule="auto"/>
        <w:ind w:left="510"/>
      </w:pPr>
      <w:r>
        <w:rPr>
          <w:rFonts w:ascii="Cambria" w:hAnsi="Cambria"/>
          <w:b w:val="0"/>
          <w:i w:val="0"/>
          <w:sz w:val="22"/>
        </w:rPr>
        <w:t>Engaging in actions that show clear intention to violate institutional rules or service conduct.</w:t>
      </w:r>
    </w:p>
    <w:p>
      <w:r>
        <w:rPr>
          <w:rFonts w:ascii="Cambria" w:hAnsi="Cambria"/>
          <w:b/>
          <w:i w:val="0"/>
          <w:sz w:val="22"/>
        </w:rPr>
        <w:t>3. ILLUSTRATIVE INSTANCES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Category</w:t>
            </w:r>
          </w:p>
        </w:tc>
        <w:tc>
          <w:tcPr>
            <w:tcW w:type="dxa" w:w="5726"/>
            <w:shd w:val="clear" w:color="auto" w:fill="1F3A5F"/>
          </w:tcPr>
          <w:p>
            <w:pPr>
              <w:spacing w:after="40" w:before="40"/>
            </w:pPr>
            <w:r/>
            <w:r>
              <w:rPr>
                <w:rFonts w:ascii="Cambria" w:hAnsi="Cambria"/>
                <w:b/>
                <w:i w:val="0"/>
                <w:color w:val="FFFFFF"/>
                <w:sz w:val="22"/>
              </w:rPr>
              <w:t>Examples of Abetment or Attempt</w:t>
            </w:r>
          </w:p>
        </w:tc>
      </w:tr>
      <w:tr>
        <w:tc>
          <w:tcPr>
            <w:tcW w:type="dxa" w:w="3685"/>
          </w:tcPr>
          <w:p>
            <w:pPr>
              <w:spacing w:after="40" w:before="40"/>
            </w:pPr>
            <w:r/>
            <w:r>
              <w:rPr>
                <w:rFonts w:ascii="Cambria" w:hAnsi="Cambria"/>
                <w:b w:val="0"/>
                <w:i w:val="0"/>
                <w:sz w:val="22"/>
              </w:rPr>
              <w:t>Academic Misconduct</w:t>
            </w:r>
          </w:p>
        </w:tc>
        <w:tc>
          <w:tcPr>
            <w:tcW w:type="dxa" w:w="5726"/>
          </w:tcPr>
          <w:p>
            <w:pPr>
              <w:spacing w:after="40" w:before="40"/>
            </w:pPr>
            <w:r/>
            <w:r>
              <w:rPr>
                <w:rFonts w:ascii="Cambria" w:hAnsi="Cambria"/>
                <w:b w:val="0"/>
                <w:i w:val="0"/>
                <w:sz w:val="22"/>
              </w:rPr>
              <w:t>A faculty member helping another to leak question papers or manipulate examination results.</w:t>
            </w:r>
          </w:p>
        </w:tc>
      </w:tr>
      <w:tr>
        <w:tc>
          <w:tcPr>
            <w:tcW w:type="dxa" w:w="3685"/>
            <w:shd w:val="clear" w:color="auto" w:fill="F0F2F5"/>
          </w:tcPr>
          <w:p>
            <w:pPr>
              <w:spacing w:after="40" w:before="40"/>
            </w:pPr>
            <w:r/>
            <w:r>
              <w:rPr>
                <w:rFonts w:ascii="Cambria" w:hAnsi="Cambria"/>
                <w:b w:val="0"/>
                <w:i w:val="0"/>
                <w:sz w:val="22"/>
              </w:rPr>
              <w:t>Administrative Misconduct</w:t>
            </w:r>
          </w:p>
        </w:tc>
        <w:tc>
          <w:tcPr>
            <w:tcW w:type="dxa" w:w="5726"/>
            <w:shd w:val="clear" w:color="auto" w:fill="F0F2F5"/>
          </w:tcPr>
          <w:p>
            <w:pPr>
              <w:spacing w:after="40" w:before="40"/>
            </w:pPr>
            <w:r/>
            <w:r>
              <w:rPr>
                <w:rFonts w:ascii="Cambria" w:hAnsi="Cambria"/>
                <w:b w:val="0"/>
                <w:i w:val="0"/>
                <w:sz w:val="22"/>
              </w:rPr>
              <w:t>An employee conspiring to forge documents or conceal institutional records.</w:t>
            </w:r>
          </w:p>
        </w:tc>
      </w:tr>
      <w:tr>
        <w:tc>
          <w:tcPr>
            <w:tcW w:type="dxa" w:w="3685"/>
          </w:tcPr>
          <w:p>
            <w:pPr>
              <w:spacing w:after="40" w:before="40"/>
            </w:pPr>
            <w:r/>
            <w:r>
              <w:rPr>
                <w:rFonts w:ascii="Cambria" w:hAnsi="Cambria"/>
                <w:b w:val="0"/>
                <w:i w:val="0"/>
                <w:sz w:val="22"/>
              </w:rPr>
              <w:t>Financial Misconduct</w:t>
            </w:r>
          </w:p>
        </w:tc>
        <w:tc>
          <w:tcPr>
            <w:tcW w:type="dxa" w:w="5726"/>
          </w:tcPr>
          <w:p>
            <w:pPr>
              <w:spacing w:after="40" w:before="40"/>
            </w:pPr>
            <w:r/>
            <w:r>
              <w:rPr>
                <w:rFonts w:ascii="Cambria" w:hAnsi="Cambria"/>
                <w:b w:val="0"/>
                <w:i w:val="0"/>
                <w:sz w:val="22"/>
              </w:rPr>
              <w:t>Attempting to divert funds or helping another to embezzle University resources.</w:t>
            </w:r>
          </w:p>
        </w:tc>
      </w:tr>
      <w:tr>
        <w:tc>
          <w:tcPr>
            <w:tcW w:type="dxa" w:w="3685"/>
            <w:shd w:val="clear" w:color="auto" w:fill="F0F2F5"/>
          </w:tcPr>
          <w:p>
            <w:pPr>
              <w:spacing w:after="40" w:before="40"/>
            </w:pPr>
            <w:r/>
            <w:r>
              <w:rPr>
                <w:rFonts w:ascii="Cambria" w:hAnsi="Cambria"/>
                <w:b w:val="0"/>
                <w:i w:val="0"/>
                <w:sz w:val="22"/>
              </w:rPr>
              <w:t>Ethical Misconduct</w:t>
            </w:r>
          </w:p>
        </w:tc>
        <w:tc>
          <w:tcPr>
            <w:tcW w:type="dxa" w:w="5726"/>
            <w:shd w:val="clear" w:color="auto" w:fill="F0F2F5"/>
          </w:tcPr>
          <w:p>
            <w:pPr>
              <w:spacing w:after="40" w:before="40"/>
            </w:pPr>
            <w:r/>
            <w:r>
              <w:rPr>
                <w:rFonts w:ascii="Cambria" w:hAnsi="Cambria"/>
                <w:b w:val="0"/>
                <w:i w:val="0"/>
                <w:sz w:val="22"/>
              </w:rPr>
              <w:t>Encouraging or protecting an offender involved in harassment, corruption, or defiance of authority.</w:t>
            </w:r>
          </w:p>
        </w:tc>
      </w:tr>
      <w:tr>
        <w:tc>
          <w:tcPr>
            <w:tcW w:type="dxa" w:w="3685"/>
          </w:tcPr>
          <w:p>
            <w:pPr>
              <w:spacing w:after="40" w:before="40"/>
            </w:pPr>
            <w:r/>
            <w:r>
              <w:rPr>
                <w:rFonts w:ascii="Cambria" w:hAnsi="Cambria"/>
                <w:b w:val="0"/>
                <w:i w:val="0"/>
                <w:sz w:val="22"/>
              </w:rPr>
              <w:t>Operational Misconduct</w:t>
            </w:r>
          </w:p>
        </w:tc>
        <w:tc>
          <w:tcPr>
            <w:tcW w:type="dxa" w:w="5726"/>
          </w:tcPr>
          <w:p>
            <w:pPr>
              <w:spacing w:after="40" w:before="40"/>
            </w:pPr>
            <w:r/>
            <w:r>
              <w:rPr>
                <w:rFonts w:ascii="Cambria" w:hAnsi="Cambria"/>
                <w:b w:val="0"/>
                <w:i w:val="0"/>
                <w:sz w:val="22"/>
              </w:rPr>
              <w:t>Failing to report a known violation, such as tampering with attendance registers or property damage.</w:t>
            </w:r>
          </w:p>
        </w:tc>
      </w:tr>
    </w:tbl>
    <w:p>
      <w:pPr>
        <w:spacing w:after="40"/>
      </w:pP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Type of Offence</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Attempted Misconduct (Unsuccessful)</w:t>
            </w:r>
          </w:p>
        </w:tc>
        <w:tc>
          <w:tcPr>
            <w:tcW w:type="dxa" w:w="5726"/>
          </w:tcPr>
          <w:p>
            <w:pPr>
              <w:spacing w:after="40" w:before="40"/>
            </w:pPr>
            <w:r/>
            <w:r>
              <w:rPr>
                <w:rFonts w:ascii="Cambria" w:hAnsi="Cambria"/>
                <w:b w:val="0"/>
                <w:i w:val="0"/>
                <w:sz w:val="22"/>
              </w:rPr>
              <w:t>Treated at par with actual misconduct — warning, censure, or withholding of increment.</w:t>
            </w:r>
          </w:p>
        </w:tc>
      </w:tr>
      <w:tr>
        <w:tc>
          <w:tcPr>
            <w:tcW w:type="dxa" w:w="3685"/>
            <w:shd w:val="clear" w:color="auto" w:fill="F0F2F5"/>
          </w:tcPr>
          <w:p>
            <w:pPr>
              <w:spacing w:after="40" w:before="40"/>
            </w:pPr>
            <w:r/>
            <w:r>
              <w:rPr>
                <w:rFonts w:ascii="Cambria" w:hAnsi="Cambria"/>
                <w:b w:val="0"/>
                <w:i w:val="0"/>
                <w:sz w:val="22"/>
              </w:rPr>
              <w:t>Abetment Leading to Misconduct by Another</w:t>
            </w:r>
          </w:p>
        </w:tc>
        <w:tc>
          <w:tcPr>
            <w:tcW w:type="dxa" w:w="5726"/>
            <w:shd w:val="clear" w:color="auto" w:fill="F0F2F5"/>
          </w:tcPr>
          <w:p>
            <w:pPr>
              <w:spacing w:after="40" w:before="40"/>
            </w:pPr>
            <w:r/>
            <w:r>
              <w:rPr>
                <w:rFonts w:ascii="Cambria" w:hAnsi="Cambria"/>
                <w:b w:val="0"/>
                <w:i w:val="0"/>
                <w:sz w:val="22"/>
              </w:rPr>
              <w:t>Major penalty — suspension, demotion, or dismissal depending on severity.</w:t>
            </w:r>
          </w:p>
        </w:tc>
      </w:tr>
      <w:tr>
        <w:tc>
          <w:tcPr>
            <w:tcW w:type="dxa" w:w="3685"/>
          </w:tcPr>
          <w:p>
            <w:pPr>
              <w:spacing w:after="40" w:before="40"/>
            </w:pPr>
            <w:r/>
            <w:r>
              <w:rPr>
                <w:rFonts w:ascii="Cambria" w:hAnsi="Cambria"/>
                <w:b w:val="0"/>
                <w:i w:val="0"/>
                <w:sz w:val="22"/>
              </w:rPr>
              <w:t>Conspiracy or Collusion</w:t>
            </w:r>
          </w:p>
        </w:tc>
        <w:tc>
          <w:tcPr>
            <w:tcW w:type="dxa" w:w="5726"/>
          </w:tcPr>
          <w:p>
            <w:pPr>
              <w:spacing w:after="40" w:before="40"/>
            </w:pPr>
            <w:r/>
            <w:r>
              <w:rPr>
                <w:rFonts w:ascii="Cambria" w:hAnsi="Cambria"/>
                <w:b w:val="0"/>
                <w:i w:val="0"/>
                <w:sz w:val="22"/>
              </w:rPr>
              <w:t>Considered gross misconduct, punishable by termination from service.</w:t>
            </w:r>
          </w:p>
        </w:tc>
      </w:tr>
      <w:tr>
        <w:tc>
          <w:tcPr>
            <w:tcW w:type="dxa" w:w="3685"/>
            <w:shd w:val="clear" w:color="auto" w:fill="F0F2F5"/>
          </w:tcPr>
          <w:p>
            <w:pPr>
              <w:spacing w:after="40" w:before="40"/>
            </w:pPr>
            <w:r/>
            <w:r>
              <w:rPr>
                <w:rFonts w:ascii="Cambria" w:hAnsi="Cambria"/>
                <w:b w:val="0"/>
                <w:i w:val="0"/>
                <w:sz w:val="22"/>
              </w:rPr>
              <w:t>Failure to Report Known Misconduct</w:t>
            </w:r>
          </w:p>
        </w:tc>
        <w:tc>
          <w:tcPr>
            <w:tcW w:type="dxa" w:w="5726"/>
            <w:shd w:val="clear" w:color="auto" w:fill="F0F2F5"/>
          </w:tcPr>
          <w:p>
            <w:pPr>
              <w:spacing w:after="40" w:before="40"/>
            </w:pPr>
            <w:r/>
            <w:r>
              <w:rPr>
                <w:rFonts w:ascii="Cambria" w:hAnsi="Cambria"/>
                <w:b w:val="0"/>
                <w:i w:val="0"/>
                <w:sz w:val="22"/>
              </w:rPr>
              <w:t>Disciplinary warning or reduction of privileges; repeat offence treated as abetment.</w:t>
            </w:r>
          </w:p>
        </w:tc>
      </w:tr>
    </w:tbl>
    <w:p>
      <w:pPr>
        <w:spacing w:after="40"/>
      </w:pPr>
    </w:p>
    <w:p>
      <w:pPr>
        <w:jc w:val="both"/>
      </w:pPr>
      <w:r>
        <w:rPr>
          <w:rFonts w:ascii="Cambria" w:hAnsi="Cambria"/>
          <w:i/>
          <w:sz w:val="22"/>
        </w:rPr>
        <w:t>The seriousness of the punishment depends on the degree of involvement and the gravity of the misconduct abetted or attempted.</w:t>
      </w:r>
    </w:p>
    <w:p>
      <w:r>
        <w:rPr>
          <w:rFonts w:ascii="Cambria" w:hAnsi="Cambria"/>
          <w:b/>
          <w:i w:val="0"/>
          <w:sz w:val="22"/>
        </w:rPr>
        <w:t>5. PROCEDURE FOR DISCIPLINARY ACTION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Process</w:t>
            </w:r>
          </w:p>
        </w:tc>
      </w:tr>
      <w:tr>
        <w:tc>
          <w:tcPr>
            <w:tcW w:type="dxa" w:w="3685"/>
          </w:tcPr>
          <w:p>
            <w:pPr>
              <w:spacing w:after="40" w:before="40"/>
            </w:pPr>
            <w:r/>
            <w:r>
              <w:rPr>
                <w:rFonts w:ascii="Cambria" w:hAnsi="Cambria"/>
                <w:b w:val="0"/>
                <w:i w:val="0"/>
                <w:sz w:val="22"/>
              </w:rPr>
              <w:t>1. Preliminary Report</w:t>
            </w:r>
          </w:p>
        </w:tc>
        <w:tc>
          <w:tcPr>
            <w:tcW w:type="dxa" w:w="5726"/>
          </w:tcPr>
          <w:p>
            <w:pPr>
              <w:spacing w:after="40" w:before="40"/>
            </w:pPr>
            <w:r/>
            <w:r>
              <w:rPr>
                <w:rFonts w:ascii="Cambria" w:hAnsi="Cambria"/>
                <w:b w:val="0"/>
                <w:i w:val="0"/>
                <w:sz w:val="22"/>
              </w:rPr>
              <w:t>The Head of Department or immediate supervisor shall report suspected abetment or attempt to the Registrar or Vice Chancellor.</w:t>
            </w:r>
          </w:p>
        </w:tc>
      </w:tr>
      <w:tr>
        <w:tc>
          <w:tcPr>
            <w:tcW w:type="dxa" w:w="3685"/>
            <w:shd w:val="clear" w:color="auto" w:fill="F0F2F5"/>
          </w:tcPr>
          <w:p>
            <w:pPr>
              <w:spacing w:after="40" w:before="40"/>
            </w:pPr>
            <w:r/>
            <w:r>
              <w:rPr>
                <w:rFonts w:ascii="Cambria" w:hAnsi="Cambria"/>
                <w:b w:val="0"/>
                <w:i w:val="0"/>
                <w:sz w:val="22"/>
              </w:rPr>
              <w:t>2. Inquiry Committee</w:t>
            </w:r>
          </w:p>
        </w:tc>
        <w:tc>
          <w:tcPr>
            <w:tcW w:type="dxa" w:w="5726"/>
            <w:shd w:val="clear" w:color="auto" w:fill="F0F2F5"/>
          </w:tcPr>
          <w:p>
            <w:pPr>
              <w:spacing w:after="40" w:before="40"/>
            </w:pPr>
            <w:r/>
            <w:r>
              <w:rPr>
                <w:rFonts w:ascii="Cambria" w:hAnsi="Cambria"/>
                <w:b w:val="0"/>
                <w:i w:val="0"/>
                <w:sz w:val="22"/>
              </w:rPr>
              <w:t>The Disciplinary Committee shall investigate the facts, review evidence, and determine whether intent and participation can be established.</w:t>
            </w:r>
          </w:p>
        </w:tc>
      </w:tr>
      <w:tr>
        <w:tc>
          <w:tcPr>
            <w:tcW w:type="dxa" w:w="3685"/>
          </w:tcPr>
          <w:p>
            <w:pPr>
              <w:spacing w:after="40" w:before="40"/>
            </w:pPr>
            <w:r/>
            <w:r>
              <w:rPr>
                <w:rFonts w:ascii="Cambria" w:hAnsi="Cambria"/>
                <w:b w:val="0"/>
                <w:i w:val="0"/>
                <w:sz w:val="22"/>
              </w:rPr>
              <w:t>3. Opportunity to Respond</w:t>
            </w:r>
          </w:p>
        </w:tc>
        <w:tc>
          <w:tcPr>
            <w:tcW w:type="dxa" w:w="5726"/>
          </w:tcPr>
          <w:p>
            <w:pPr>
              <w:spacing w:after="40" w:before="40"/>
            </w:pPr>
            <w:r/>
            <w:r>
              <w:rPr>
                <w:rFonts w:ascii="Cambria" w:hAnsi="Cambria"/>
                <w:b w:val="0"/>
                <w:i w:val="0"/>
                <w:sz w:val="22"/>
              </w:rPr>
              <w:t>The concerned employee shall be given a written notice and chance to explain before any disciplinary action is taken.</w:t>
            </w:r>
          </w:p>
        </w:tc>
      </w:tr>
      <w:tr>
        <w:tc>
          <w:tcPr>
            <w:tcW w:type="dxa" w:w="3685"/>
            <w:shd w:val="clear" w:color="auto" w:fill="F0F2F5"/>
          </w:tcPr>
          <w:p>
            <w:pPr>
              <w:spacing w:after="40" w:before="40"/>
            </w:pPr>
            <w:r/>
            <w:r>
              <w:rPr>
                <w:rFonts w:ascii="Cambria" w:hAnsi="Cambria"/>
                <w:b w:val="0"/>
                <w:i w:val="0"/>
                <w:sz w:val="22"/>
              </w:rPr>
              <w:t>4. Decision</w:t>
            </w:r>
          </w:p>
        </w:tc>
        <w:tc>
          <w:tcPr>
            <w:tcW w:type="dxa" w:w="5726"/>
            <w:shd w:val="clear" w:color="auto" w:fill="F0F2F5"/>
          </w:tcPr>
          <w:p>
            <w:pPr>
              <w:spacing w:after="40" w:before="40"/>
            </w:pPr>
            <w:r/>
            <w:r>
              <w:rPr>
                <w:rFonts w:ascii="Cambria" w:hAnsi="Cambria"/>
                <w:b w:val="0"/>
                <w:i w:val="0"/>
                <w:sz w:val="22"/>
              </w:rPr>
              <w:t>Based on inquiry findings, the competent authority shall impose an appropriate penalty as per the Service Rules.</w:t>
            </w:r>
          </w:p>
        </w:tc>
      </w:tr>
      <w:tr>
        <w:tc>
          <w:tcPr>
            <w:tcW w:type="dxa" w:w="3685"/>
          </w:tcPr>
          <w:p>
            <w:pPr>
              <w:spacing w:after="40" w:before="40"/>
            </w:pPr>
            <w:r/>
            <w:r>
              <w:rPr>
                <w:rFonts w:ascii="Cambria" w:hAnsi="Cambria"/>
                <w:b w:val="0"/>
                <w:i w:val="0"/>
                <w:sz w:val="22"/>
              </w:rPr>
              <w:t>5. Appeal</w:t>
            </w:r>
          </w:p>
        </w:tc>
        <w:tc>
          <w:tcPr>
            <w:tcW w:type="dxa" w:w="5726"/>
          </w:tcPr>
          <w:p>
            <w:pPr>
              <w:spacing w:after="40" w:before="40"/>
            </w:pPr>
            <w:r/>
            <w:r>
              <w:rPr>
                <w:rFonts w:ascii="Cambria" w:hAnsi="Cambria"/>
                <w:b w:val="0"/>
                <w:i w:val="0"/>
                <w:sz w:val="22"/>
              </w:rPr>
              <w:t>The employee may file an appeal before the Board of Management (BoM) within 30 days of the order.</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The attempt or encouragement of misconduct is equally harmful to the institutional environment as the act itself.</w:t>
      </w:r>
    </w:p>
    <w:p>
      <w:pPr>
        <w:pStyle w:val="ListBullet"/>
        <w:spacing w:line="276" w:lineRule="auto"/>
        <w:ind w:left="510"/>
      </w:pPr>
      <w:r>
        <w:rPr>
          <w:rFonts w:ascii="Cambria" w:hAnsi="Cambria"/>
          <w:b w:val="0"/>
          <w:i w:val="0"/>
          <w:sz w:val="22"/>
        </w:rPr>
        <w:t>Every employee has a moral and professional obligation to uphold the University’s integrity and to report violations promptly.</w:t>
      </w:r>
    </w:p>
    <w:p>
      <w:pPr>
        <w:pStyle w:val="ListBullet"/>
        <w:spacing w:line="276" w:lineRule="auto"/>
        <w:ind w:left="510"/>
      </w:pPr>
      <w:r>
        <w:rPr>
          <w:rFonts w:ascii="Cambria" w:hAnsi="Cambria"/>
          <w:b w:val="0"/>
          <w:i w:val="0"/>
          <w:sz w:val="22"/>
        </w:rPr>
        <w:t>Concealment, connivance, or silent support of misconduct constitutes a breach of trust and is punishable.</w:t>
      </w:r>
    </w:p>
    <w:p>
      <w:pPr>
        <w:pStyle w:val="ListBullet"/>
        <w:spacing w:line="276" w:lineRule="auto"/>
        <w:ind w:left="510"/>
      </w:pPr>
      <w:r>
        <w:rPr>
          <w:rFonts w:ascii="Cambria" w:hAnsi="Cambria"/>
          <w:b w:val="0"/>
          <w:i w:val="0"/>
          <w:sz w:val="22"/>
        </w:rPr>
        <w:t>Disciplinary actions for abetment shall be proportionate to intent and consequence, ensuring fairness and due process.</w:t>
      </w:r>
    </w:p>
    <w:p>
      <w:pPr>
        <w:pStyle w:val="ListBullet"/>
        <w:spacing w:line="276" w:lineRule="auto"/>
        <w:ind w:left="510"/>
      </w:pPr>
      <w:r>
        <w:rPr>
          <w:rFonts w:ascii="Cambria" w:hAnsi="Cambria"/>
          <w:b w:val="0"/>
          <w:i w:val="0"/>
          <w:sz w:val="22"/>
        </w:rPr>
        <w:t>The decision of the Board of Management (BoM) on such matters shall be final and binding.</w:t>
      </w:r>
    </w:p>
    <w:p>
      <w:r>
        <w:rPr>
          <w:rFonts w:ascii="Cambria" w:hAnsi="Cambria"/>
          <w:b/>
          <w:i w:val="0"/>
          <w:sz w:val="22"/>
        </w:rPr>
        <w:t>7. LEGAL AND REGULATORY REFERENCES</w:t>
      </w:r>
    </w:p>
    <w:p>
      <w:pPr>
        <w:jc w:val="both"/>
      </w:pPr>
      <w:r>
        <w:rPr>
          <w:rFonts w:ascii="Cambria" w:hAnsi="Cambria"/>
          <w:i w:val="0"/>
          <w:sz w:val="22"/>
        </w:rPr>
        <w:t>This policy is framed in consonance with:</w:t>
      </w:r>
    </w:p>
    <w:p>
      <w:pPr>
        <w:pStyle w:val="ListBullet"/>
        <w:spacing w:line="276" w:lineRule="auto"/>
        <w:ind w:left="510"/>
      </w:pPr>
      <w:r>
        <w:rPr>
          <w:rFonts w:ascii="Cambria" w:hAnsi="Cambria"/>
          <w:b w:val="0"/>
          <w:i w:val="0"/>
          <w:sz w:val="22"/>
        </w:rPr>
        <w:t>Central Civil Services (Conduct) Rules, 1964 — Rule 3 and Rule 13 (Abetment and Misconduct).</w:t>
      </w:r>
    </w:p>
    <w:p>
      <w:pPr>
        <w:pStyle w:val="ListBullet"/>
        <w:spacing w:line="276" w:lineRule="auto"/>
        <w:ind w:left="510"/>
      </w:pPr>
      <w:r>
        <w:rPr>
          <w:rFonts w:ascii="Cambria" w:hAnsi="Cambria"/>
          <w:b w:val="0"/>
          <w:i w:val="0"/>
          <w:sz w:val="22"/>
        </w:rPr>
        <w:t>Indian Penal Code (Sections 107–120) — Legal provisions defining abetment, conspiracy, and attempt.</w:t>
      </w:r>
    </w:p>
    <w:p>
      <w:pPr>
        <w:pStyle w:val="ListBullet"/>
        <w:spacing w:line="276" w:lineRule="auto"/>
        <w:ind w:left="510"/>
      </w:pPr>
      <w:r>
        <w:rPr>
          <w:rFonts w:ascii="Cambria" w:hAnsi="Cambria"/>
          <w:b w:val="0"/>
          <w:i w:val="0"/>
          <w:sz w:val="22"/>
        </w:rPr>
        <w:t>UGC Code of Professional Ethics for Teachers (2019) — Obligation to maintain institutional integrity.</w:t>
      </w:r>
    </w:p>
    <w:p>
      <w:pPr>
        <w:pStyle w:val="ListBullet"/>
        <w:spacing w:line="276" w:lineRule="auto"/>
        <w:ind w:left="510"/>
      </w:pPr>
      <w:r>
        <w:rPr>
          <w:rFonts w:ascii="Cambria" w:hAnsi="Cambria"/>
          <w:b w:val="0"/>
          <w:i w:val="0"/>
          <w:sz w:val="22"/>
        </w:rPr>
        <w:t>NAAC and AICTE HR Governance Guidelines — Ethical and disciplinary compliance framework.</w:t>
      </w:r>
    </w:p>
    <w:p>
      <w:pPr>
        <w:keepNext/>
        <w:spacing w:before="200" w:after="120"/>
      </w:pPr>
      <w:r>
        <w:rPr>
          <w:rFonts w:ascii="Cambria" w:hAnsi="Cambria"/>
          <w:b/>
          <w:color w:val="1F3A5F"/>
          <w:sz w:val="27"/>
        </w:rPr>
        <w:t>Explanation: Definition and Scope of Sexual Harassment</w:t>
      </w:r>
    </w:p>
    <w:p>
      <w:r>
        <w:rPr>
          <w:rFonts w:ascii="Cambria" w:hAnsi="Cambria"/>
          <w:b/>
          <w:i w:val="0"/>
          <w:sz w:val="22"/>
        </w:rPr>
        <w:t>I. PURPOSE</w:t>
      </w:r>
    </w:p>
    <w:p>
      <w:pPr>
        <w:pStyle w:val="ListBullet"/>
        <w:spacing w:line="276" w:lineRule="auto"/>
        <w:ind w:left="510"/>
      </w:pPr>
      <w:r>
        <w:rPr>
          <w:rFonts w:ascii="Cambria" w:hAnsi="Cambria"/>
          <w:b w:val="0"/>
          <w:i w:val="0"/>
          <w:sz w:val="22"/>
        </w:rPr>
        <w:t>To provide a clear and comprehensive explanation of what constitutes sexual harassment in accordance with the Sexual Harassment of Women at Workplace (Prevention, Prohibition and Redressal) Act, 2013 (POSH Act).</w:t>
      </w:r>
    </w:p>
    <w:p>
      <w:pPr>
        <w:pStyle w:val="ListBullet"/>
        <w:spacing w:line="276" w:lineRule="auto"/>
        <w:ind w:left="510"/>
      </w:pPr>
      <w:r>
        <w:rPr>
          <w:rFonts w:ascii="Cambria" w:hAnsi="Cambria"/>
          <w:b w:val="0"/>
          <w:i w:val="0"/>
          <w:sz w:val="22"/>
        </w:rPr>
        <w:t>To ensure that all employees understand the forms, scope, and implications of such misconduct and maintain professional, respectful, and safe workplace behavior.</w:t>
      </w:r>
    </w:p>
    <w:p>
      <w:r>
        <w:rPr>
          <w:rFonts w:ascii="Cambria" w:hAnsi="Cambria"/>
          <w:b/>
          <w:i w:val="0"/>
          <w:sz w:val="22"/>
        </w:rPr>
        <w:t>1. DEFINITION OF SEXUAL HARASSMENT</w:t>
      </w:r>
    </w:p>
    <w:p>
      <w:pPr>
        <w:jc w:val="both"/>
      </w:pPr>
      <w:r>
        <w:rPr>
          <w:rFonts w:ascii="Cambria" w:hAnsi="Cambria"/>
          <w:i w:val="0"/>
          <w:sz w:val="22"/>
        </w:rPr>
        <w:t>For the purpose of this rule, “sexual harassment” includes any unwelcome sexually determined behavior, whether direct or indirect, verbal or non-verbal, physical or psychological, committed by any employee at the workplace.</w:t>
      </w:r>
    </w:p>
    <w:p>
      <w:pPr>
        <w:jc w:val="both"/>
      </w:pPr>
      <w:r>
        <w:rPr>
          <w:rFonts w:ascii="Cambria" w:hAnsi="Cambria"/>
          <w:i w:val="0"/>
          <w:sz w:val="22"/>
        </w:rPr>
        <w:t>Such conduct includes but is not limited to the following:</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S.No.</w:t>
            </w:r>
          </w:p>
        </w:tc>
        <w:tc>
          <w:tcPr>
            <w:tcW w:type="dxa" w:w="2835"/>
            <w:shd w:val="clear" w:color="auto" w:fill="1F3A5F"/>
          </w:tcPr>
          <w:p>
            <w:pPr>
              <w:spacing w:after="40" w:before="40"/>
            </w:pPr>
            <w:r/>
            <w:r>
              <w:rPr>
                <w:rFonts w:ascii="Cambria" w:hAnsi="Cambria"/>
                <w:b/>
                <w:i w:val="0"/>
                <w:color w:val="FFFFFF"/>
                <w:sz w:val="22"/>
              </w:rPr>
              <w:t>Type of Conduct</w:t>
            </w:r>
          </w:p>
        </w:tc>
        <w:tc>
          <w:tcPr>
            <w:tcW w:type="dxa" w:w="5896"/>
            <w:shd w:val="clear" w:color="auto" w:fill="1F3A5F"/>
          </w:tcPr>
          <w:p>
            <w:pPr>
              <w:spacing w:after="40" w:before="40"/>
            </w:pPr>
            <w:r/>
            <w:r>
              <w:rPr>
                <w:rFonts w:ascii="Cambria" w:hAnsi="Cambria"/>
                <w:b/>
                <w:i w:val="0"/>
                <w:color w:val="FFFFFF"/>
                <w:sz w:val="22"/>
              </w:rPr>
              <w:t>Illustration / Description</w:t>
            </w:r>
          </w:p>
        </w:tc>
      </w:tr>
      <w:tr>
        <w:tc>
          <w:tcPr>
            <w:tcW w:type="dxa" w:w="680"/>
          </w:tcPr>
          <w:p>
            <w:pPr>
              <w:spacing w:after="40" w:before="40"/>
            </w:pPr>
            <w:r/>
            <w:r>
              <w:rPr>
                <w:rFonts w:ascii="Cambria" w:hAnsi="Cambria"/>
                <w:b w:val="0"/>
                <w:i w:val="0"/>
                <w:sz w:val="22"/>
              </w:rPr>
              <w:t>1.</w:t>
            </w:r>
          </w:p>
        </w:tc>
        <w:tc>
          <w:tcPr>
            <w:tcW w:type="dxa" w:w="2835"/>
          </w:tcPr>
          <w:p>
            <w:pPr>
              <w:spacing w:after="40" w:before="40"/>
            </w:pPr>
            <w:r/>
            <w:r>
              <w:rPr>
                <w:rFonts w:ascii="Cambria" w:hAnsi="Cambria"/>
                <w:b w:val="0"/>
                <w:i w:val="0"/>
                <w:sz w:val="22"/>
              </w:rPr>
              <w:t>Physical contact and advances</w:t>
            </w:r>
          </w:p>
        </w:tc>
        <w:tc>
          <w:tcPr>
            <w:tcW w:type="dxa" w:w="5896"/>
          </w:tcPr>
          <w:p>
            <w:pPr>
              <w:spacing w:after="40" w:before="40"/>
            </w:pPr>
            <w:r/>
            <w:r>
              <w:rPr>
                <w:rFonts w:ascii="Cambria" w:hAnsi="Cambria"/>
                <w:b w:val="0"/>
                <w:i w:val="0"/>
                <w:sz w:val="22"/>
              </w:rPr>
              <w:t>Any unwanted or inappropriate physical contact such as touching, patting, pinching, brushing against, hugging, or any form of physical intrusion that violates personal boundaries.</w:t>
            </w:r>
          </w:p>
        </w:tc>
      </w:tr>
      <w:tr>
        <w:tc>
          <w:tcPr>
            <w:tcW w:type="dxa" w:w="680"/>
            <w:shd w:val="clear" w:color="auto" w:fill="F0F2F5"/>
          </w:tcPr>
          <w:p>
            <w:pPr>
              <w:spacing w:after="40" w:before="40"/>
            </w:pPr>
            <w:r/>
            <w:r>
              <w:rPr>
                <w:rFonts w:ascii="Cambria" w:hAnsi="Cambria"/>
                <w:b w:val="0"/>
                <w:i w:val="0"/>
                <w:sz w:val="22"/>
              </w:rPr>
              <w:t>2.</w:t>
            </w:r>
          </w:p>
        </w:tc>
        <w:tc>
          <w:tcPr>
            <w:tcW w:type="dxa" w:w="2835"/>
            <w:shd w:val="clear" w:color="auto" w:fill="F0F2F5"/>
          </w:tcPr>
          <w:p>
            <w:pPr>
              <w:spacing w:after="40" w:before="40"/>
            </w:pPr>
            <w:r/>
            <w:r>
              <w:rPr>
                <w:rFonts w:ascii="Cambria" w:hAnsi="Cambria"/>
                <w:b w:val="0"/>
                <w:i w:val="0"/>
                <w:sz w:val="22"/>
              </w:rPr>
              <w:t>Demand or request for sexual favours</w:t>
            </w:r>
          </w:p>
        </w:tc>
        <w:tc>
          <w:tcPr>
            <w:tcW w:type="dxa" w:w="5896"/>
            <w:shd w:val="clear" w:color="auto" w:fill="F0F2F5"/>
          </w:tcPr>
          <w:p>
            <w:pPr>
              <w:spacing w:after="40" w:before="40"/>
            </w:pPr>
            <w:r/>
            <w:r>
              <w:rPr>
                <w:rFonts w:ascii="Cambria" w:hAnsi="Cambria"/>
                <w:b w:val="0"/>
                <w:i w:val="0"/>
                <w:sz w:val="22"/>
              </w:rPr>
              <w:t>Any demand, request, or suggestion (explicit or implied) for sexual cooperation in exchange for employment benefits, promotions, marks, or favorable treatment.</w:t>
            </w:r>
          </w:p>
        </w:tc>
      </w:tr>
      <w:tr>
        <w:tc>
          <w:tcPr>
            <w:tcW w:type="dxa" w:w="680"/>
          </w:tcPr>
          <w:p>
            <w:pPr>
              <w:spacing w:after="40" w:before="40"/>
            </w:pPr>
            <w:r/>
            <w:r>
              <w:rPr>
                <w:rFonts w:ascii="Cambria" w:hAnsi="Cambria"/>
                <w:b w:val="0"/>
                <w:i w:val="0"/>
                <w:sz w:val="22"/>
              </w:rPr>
              <w:t>3.</w:t>
            </w:r>
          </w:p>
        </w:tc>
        <w:tc>
          <w:tcPr>
            <w:tcW w:type="dxa" w:w="2835"/>
          </w:tcPr>
          <w:p>
            <w:pPr>
              <w:spacing w:after="40" w:before="40"/>
            </w:pPr>
            <w:r/>
            <w:r>
              <w:rPr>
                <w:rFonts w:ascii="Cambria" w:hAnsi="Cambria"/>
                <w:b w:val="0"/>
                <w:i w:val="0"/>
                <w:sz w:val="22"/>
              </w:rPr>
              <w:t>Sexually colored remarks</w:t>
            </w:r>
          </w:p>
        </w:tc>
        <w:tc>
          <w:tcPr>
            <w:tcW w:type="dxa" w:w="5896"/>
          </w:tcPr>
          <w:p>
            <w:pPr>
              <w:spacing w:after="40" w:before="40"/>
            </w:pPr>
            <w:r/>
            <w:r>
              <w:rPr>
                <w:rFonts w:ascii="Cambria" w:hAnsi="Cambria"/>
                <w:b w:val="0"/>
                <w:i w:val="0"/>
                <w:sz w:val="22"/>
              </w:rPr>
              <w:t>Making obscene jokes, comments, innuendos, or remarks about a person’s body, appearance, gender, or sexuality.</w:t>
            </w:r>
          </w:p>
        </w:tc>
      </w:tr>
      <w:tr>
        <w:tc>
          <w:tcPr>
            <w:tcW w:type="dxa" w:w="680"/>
            <w:shd w:val="clear" w:color="auto" w:fill="F0F2F5"/>
          </w:tcPr>
          <w:p>
            <w:pPr>
              <w:spacing w:after="40" w:before="40"/>
            </w:pPr>
            <w:r/>
            <w:r>
              <w:rPr>
                <w:rFonts w:ascii="Cambria" w:hAnsi="Cambria"/>
                <w:b w:val="0"/>
                <w:i w:val="0"/>
                <w:sz w:val="22"/>
              </w:rPr>
              <w:t>4.</w:t>
            </w:r>
          </w:p>
        </w:tc>
        <w:tc>
          <w:tcPr>
            <w:tcW w:type="dxa" w:w="2835"/>
            <w:shd w:val="clear" w:color="auto" w:fill="F0F2F5"/>
          </w:tcPr>
          <w:p>
            <w:pPr>
              <w:spacing w:after="40" w:before="40"/>
            </w:pPr>
            <w:r/>
            <w:r>
              <w:rPr>
                <w:rFonts w:ascii="Cambria" w:hAnsi="Cambria"/>
                <w:b w:val="0"/>
                <w:i w:val="0"/>
                <w:sz w:val="22"/>
              </w:rPr>
              <w:t>Showing any pornography</w:t>
            </w:r>
          </w:p>
        </w:tc>
        <w:tc>
          <w:tcPr>
            <w:tcW w:type="dxa" w:w="5896"/>
            <w:shd w:val="clear" w:color="auto" w:fill="F0F2F5"/>
          </w:tcPr>
          <w:p>
            <w:pPr>
              <w:spacing w:after="40" w:before="40"/>
            </w:pPr>
            <w:r/>
            <w:r>
              <w:rPr>
                <w:rFonts w:ascii="Cambria" w:hAnsi="Cambria"/>
                <w:b w:val="0"/>
                <w:i w:val="0"/>
                <w:sz w:val="22"/>
              </w:rPr>
              <w:t>Displaying, sharing, or circulating pornographic material—physically, digitally, or electronically—within workplace premises or through official communication channels.</w:t>
            </w:r>
          </w:p>
        </w:tc>
      </w:tr>
      <w:tr>
        <w:tc>
          <w:tcPr>
            <w:tcW w:type="dxa" w:w="680"/>
          </w:tcPr>
          <w:p>
            <w:pPr>
              <w:spacing w:after="40" w:before="40"/>
            </w:pPr>
            <w:r/>
            <w:r>
              <w:rPr>
                <w:rFonts w:ascii="Cambria" w:hAnsi="Cambria"/>
                <w:b w:val="0"/>
                <w:i w:val="0"/>
                <w:sz w:val="22"/>
              </w:rPr>
              <w:t>5.</w:t>
            </w:r>
          </w:p>
        </w:tc>
        <w:tc>
          <w:tcPr>
            <w:tcW w:type="dxa" w:w="2835"/>
          </w:tcPr>
          <w:p>
            <w:pPr>
              <w:spacing w:after="40" w:before="40"/>
            </w:pPr>
            <w:r/>
            <w:r>
              <w:rPr>
                <w:rFonts w:ascii="Cambria" w:hAnsi="Cambria"/>
                <w:b w:val="0"/>
                <w:i w:val="0"/>
                <w:sz w:val="22"/>
              </w:rPr>
              <w:t>Any other unwelcome physical, verbal or non-verbal conduct of a sexual nature</w:t>
            </w:r>
          </w:p>
        </w:tc>
        <w:tc>
          <w:tcPr>
            <w:tcW w:type="dxa" w:w="5896"/>
          </w:tcPr>
          <w:p>
            <w:pPr>
              <w:spacing w:after="40" w:before="40"/>
            </w:pPr>
            <w:r/>
            <w:r>
              <w:rPr>
                <w:rFonts w:ascii="Cambria" w:hAnsi="Cambria"/>
                <w:b w:val="0"/>
                <w:i w:val="0"/>
                <w:sz w:val="22"/>
              </w:rPr>
              <w:t>Includes gestures, sounds, suggestive messages, stalking, sending inappropriate texts or images, displaying sexually suggestive posters, or creating a hostile and intimidating work environment.</w:t>
            </w:r>
          </w:p>
        </w:tc>
      </w:tr>
    </w:tbl>
    <w:p>
      <w:pPr>
        <w:spacing w:after="40"/>
      </w:pPr>
    </w:p>
    <w:p>
      <w:r>
        <w:rPr>
          <w:rFonts w:ascii="Cambria" w:hAnsi="Cambria"/>
          <w:b/>
          <w:i w:val="0"/>
          <w:sz w:val="22"/>
        </w:rPr>
        <w:t>2. NATURE OF OFFENCE</w:t>
      </w:r>
    </w:p>
    <w:p>
      <w:pPr>
        <w:pStyle w:val="ListBullet"/>
        <w:spacing w:line="276" w:lineRule="auto"/>
        <w:ind w:left="510"/>
      </w:pPr>
      <w:r>
        <w:rPr>
          <w:rFonts w:ascii="Cambria" w:hAnsi="Cambria"/>
          <w:b w:val="0"/>
          <w:i w:val="0"/>
          <w:sz w:val="22"/>
        </w:rPr>
        <w:t>The key factor is “unwelcome” — any conduct that is not solicited or invited, and is perceived as offensive, humiliating, or intimidating by the recipient.</w:t>
      </w:r>
    </w:p>
    <w:p>
      <w:pPr>
        <w:pStyle w:val="ListBullet"/>
        <w:spacing w:line="276" w:lineRule="auto"/>
        <w:ind w:left="510"/>
      </w:pPr>
      <w:r>
        <w:rPr>
          <w:rFonts w:ascii="Cambria" w:hAnsi="Cambria"/>
          <w:b w:val="0"/>
          <w:i w:val="0"/>
          <w:sz w:val="22"/>
        </w:rPr>
        <w:t>Sexual harassment may occur between any two individuals, regardless of hierarchy, gender, or status.</w:t>
      </w:r>
    </w:p>
    <w:p>
      <w:pPr>
        <w:pStyle w:val="ListBullet"/>
        <w:spacing w:line="276" w:lineRule="auto"/>
        <w:ind w:left="510"/>
      </w:pPr>
      <w:r>
        <w:rPr>
          <w:rFonts w:ascii="Cambria" w:hAnsi="Cambria"/>
          <w:b w:val="0"/>
          <w:i w:val="0"/>
          <w:sz w:val="22"/>
        </w:rPr>
        <w:t>It may take place:</w:t>
      </w:r>
    </w:p>
    <w:p>
      <w:pPr>
        <w:pStyle w:val="ListBullet2"/>
        <w:spacing w:line="276" w:lineRule="auto"/>
        <w:ind w:left="1020"/>
      </w:pPr>
      <w:r>
        <w:rPr>
          <w:rFonts w:ascii="Cambria" w:hAnsi="Cambria"/>
          <w:b w:val="0"/>
          <w:i w:val="0"/>
          <w:sz w:val="22"/>
        </w:rPr>
        <w:t>At the workplace or during official travel, conferences, or events.</w:t>
      </w:r>
    </w:p>
    <w:p>
      <w:pPr>
        <w:pStyle w:val="ListBullet2"/>
        <w:spacing w:line="276" w:lineRule="auto"/>
        <w:ind w:left="1020"/>
      </w:pPr>
      <w:r>
        <w:rPr>
          <w:rFonts w:ascii="Cambria" w:hAnsi="Cambria"/>
          <w:b w:val="0"/>
          <w:i w:val="0"/>
          <w:sz w:val="22"/>
        </w:rPr>
        <w:t>Through digital platforms, emails, messages, or social media interactions.</w:t>
      </w:r>
    </w:p>
    <w:p>
      <w:r>
        <w:rPr>
          <w:rFonts w:ascii="Cambria" w:hAnsi="Cambria"/>
          <w:b/>
          <w:i w:val="0"/>
          <w:sz w:val="22"/>
        </w:rPr>
        <w:t>3. IMPACT AND CONTEXT</w:t>
      </w:r>
    </w:p>
    <w:p>
      <w:pPr>
        <w:pStyle w:val="ListBullet"/>
        <w:spacing w:line="276" w:lineRule="auto"/>
        <w:ind w:left="510"/>
      </w:pPr>
      <w:r>
        <w:rPr>
          <w:rFonts w:ascii="Cambria" w:hAnsi="Cambria"/>
          <w:b w:val="0"/>
          <w:i w:val="0"/>
          <w:sz w:val="22"/>
        </w:rPr>
        <w:t>Even seemingly trivial acts, if repeated or unwanted, can create a hostile or intimidating environment.</w:t>
      </w:r>
    </w:p>
    <w:p>
      <w:pPr>
        <w:pStyle w:val="ListBullet"/>
        <w:spacing w:line="276" w:lineRule="auto"/>
        <w:ind w:left="510"/>
      </w:pPr>
      <w:r>
        <w:rPr>
          <w:rFonts w:ascii="Cambria" w:hAnsi="Cambria"/>
          <w:b w:val="0"/>
          <w:i w:val="0"/>
          <w:sz w:val="22"/>
        </w:rPr>
        <w:t>Such conduct can affect work performance, dignity, and psychological well-being, constituting a clear violation of institutional ethics.</w:t>
      </w:r>
    </w:p>
    <w:p>
      <w:pPr>
        <w:pStyle w:val="ListBullet"/>
        <w:spacing w:line="276" w:lineRule="auto"/>
        <w:ind w:left="510"/>
      </w:pPr>
      <w:r>
        <w:rPr>
          <w:rFonts w:ascii="Cambria" w:hAnsi="Cambria"/>
          <w:b w:val="0"/>
          <w:i w:val="0"/>
          <w:sz w:val="22"/>
        </w:rPr>
        <w:t>The University considers intent and impact equally important in determining the gravity of the offence.</w:t>
      </w:r>
    </w:p>
    <w:p>
      <w:r>
        <w:rPr>
          <w:rFonts w:ascii="Cambria" w:hAnsi="Cambria"/>
          <w:b/>
          <w:i w:val="0"/>
          <w:sz w:val="22"/>
        </w:rPr>
        <w:t>4. NOTE</w:t>
      </w:r>
    </w:p>
    <w:p>
      <w:pPr>
        <w:jc w:val="both"/>
      </w:pPr>
      <w:r>
        <w:rPr>
          <w:rFonts w:ascii="Cambria" w:hAnsi="Cambria"/>
          <w:i w:val="0"/>
          <w:sz w:val="22"/>
        </w:rPr>
        <w:t>The above instances of misconduct are illustrative in nature and not exhaustive. Any other act or behavior of a sexually suggestive, humiliating, or intimidating nature—whether physical, verbal, or digital—shall also be treated as sexual harassment under this policy.</w:t>
      </w:r>
    </w:p>
    <w:p>
      <w:r>
        <w:rPr>
          <w:rFonts w:ascii="Cambria" w:hAnsi="Cambria"/>
          <w:b/>
          <w:i w:val="0"/>
          <w:sz w:val="22"/>
        </w:rPr>
        <w:t>5. LEGAL AND POLICY REFERENCES</w:t>
      </w:r>
    </w:p>
    <w:p>
      <w:pPr>
        <w:jc w:val="both"/>
      </w:pPr>
      <w:r>
        <w:rPr>
          <w:rFonts w:ascii="Cambria" w:hAnsi="Cambria"/>
          <w:i w:val="0"/>
          <w:sz w:val="22"/>
        </w:rPr>
        <w:t>This explanation aligns with:</w:t>
      </w:r>
    </w:p>
    <w:p>
      <w:pPr>
        <w:pStyle w:val="ListBullet"/>
        <w:spacing w:line="276" w:lineRule="auto"/>
        <w:ind w:left="510"/>
      </w:pPr>
      <w:r>
        <w:rPr>
          <w:rFonts w:ascii="Cambria" w:hAnsi="Cambria"/>
          <w:b w:val="0"/>
          <w:i w:val="0"/>
          <w:sz w:val="22"/>
        </w:rPr>
        <w:t>The Sexual Harassment of Women at Workplace (Prevention, Prohibition and Redressal) Act, 2013</w:t>
      </w:r>
    </w:p>
    <w:p>
      <w:pPr>
        <w:pStyle w:val="ListBullet"/>
        <w:spacing w:line="276" w:lineRule="auto"/>
        <w:ind w:left="510"/>
      </w:pPr>
      <w:r>
        <w:rPr>
          <w:rFonts w:ascii="Cambria" w:hAnsi="Cambria"/>
          <w:b w:val="0"/>
          <w:i w:val="0"/>
          <w:sz w:val="22"/>
        </w:rPr>
        <w:t>UGC (Prevention, Prohibition and Redressal of Sexual Harassment) Regulations, 2015</w:t>
      </w:r>
    </w:p>
    <w:p>
      <w:pPr>
        <w:pStyle w:val="ListBullet"/>
        <w:spacing w:line="276" w:lineRule="auto"/>
        <w:ind w:left="510"/>
      </w:pPr>
      <w:r>
        <w:rPr>
          <w:rFonts w:ascii="Cambria" w:hAnsi="Cambria"/>
          <w:b w:val="0"/>
          <w:i w:val="0"/>
          <w:sz w:val="22"/>
        </w:rPr>
        <w:t>Supreme Court’s Vishaka Guidelines (1997)</w:t>
      </w:r>
    </w:p>
    <w:p>
      <w:pPr>
        <w:pStyle w:val="ListBullet"/>
        <w:spacing w:line="276" w:lineRule="auto"/>
        <w:ind w:left="510"/>
      </w:pPr>
      <w:r>
        <w:rPr>
          <w:rFonts w:ascii="Cambria" w:hAnsi="Cambria"/>
          <w:b w:val="0"/>
          <w:i w:val="0"/>
          <w:sz w:val="22"/>
        </w:rPr>
        <w:t>University’s Code of Conduct and Ethics Policy</w:t>
      </w:r>
    </w:p>
    <w:p>
      <w:pPr>
        <w:keepNext/>
        <w:spacing w:before="200" w:after="120"/>
      </w:pPr>
      <w:r>
        <w:rPr>
          <w:rFonts w:ascii="Cambria" w:hAnsi="Cambria"/>
          <w:b/>
          <w:color w:val="1F3A5F"/>
          <w:sz w:val="27"/>
        </w:rPr>
        <w:t>Policy on Consumption of Intoxicating Drinks and Drugs</w:t>
      </w:r>
    </w:p>
    <w:p>
      <w:r>
        <w:rPr>
          <w:rFonts w:ascii="Cambria" w:hAnsi="Cambria"/>
          <w:b/>
          <w:i w:val="0"/>
          <w:sz w:val="22"/>
        </w:rPr>
        <w:t>I. PURPOSE</w:t>
      </w:r>
    </w:p>
    <w:p>
      <w:pPr>
        <w:pStyle w:val="ListBullet"/>
        <w:spacing w:line="276" w:lineRule="auto"/>
        <w:ind w:left="510"/>
      </w:pPr>
      <w:r>
        <w:rPr>
          <w:rFonts w:ascii="Cambria" w:hAnsi="Cambria"/>
          <w:b w:val="0"/>
          <w:i w:val="0"/>
          <w:sz w:val="22"/>
        </w:rPr>
        <w:t>To maintain a professional, healthy, and disciplined work environment within the University.</w:t>
      </w:r>
    </w:p>
    <w:p>
      <w:pPr>
        <w:pStyle w:val="ListBullet"/>
        <w:spacing w:line="276" w:lineRule="auto"/>
        <w:ind w:left="510"/>
      </w:pPr>
      <w:r>
        <w:rPr>
          <w:rFonts w:ascii="Cambria" w:hAnsi="Cambria"/>
          <w:b w:val="0"/>
          <w:i w:val="0"/>
          <w:sz w:val="22"/>
        </w:rPr>
        <w:t>To prohibit the use of intoxicating substances that can impair judgment, affect productivity, or harm institutional reputation.</w:t>
      </w:r>
    </w:p>
    <w:p>
      <w:pPr>
        <w:pStyle w:val="ListBullet"/>
        <w:spacing w:line="276" w:lineRule="auto"/>
        <w:ind w:left="510"/>
      </w:pPr>
      <w:r>
        <w:rPr>
          <w:rFonts w:ascii="Cambria" w:hAnsi="Cambria"/>
          <w:b w:val="0"/>
          <w:i w:val="0"/>
          <w:sz w:val="22"/>
        </w:rPr>
        <w:t>To ensure all employees uphold safety, responsibility, and sobriety during official duties and on University premises.</w:t>
      </w:r>
    </w:p>
    <w:p>
      <w:r>
        <w:rPr>
          <w:rFonts w:ascii="Cambria" w:hAnsi="Cambria"/>
          <w:b/>
          <w:i w:val="0"/>
          <w:sz w:val="22"/>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Clause</w:t>
            </w:r>
          </w:p>
        </w:tc>
        <w:tc>
          <w:tcPr>
            <w:tcW w:type="dxa" w:w="5726"/>
            <w:shd w:val="clear" w:color="auto" w:fill="1F3A5F"/>
          </w:tcPr>
          <w:p>
            <w:pPr>
              <w:spacing w:after="40" w:before="40"/>
            </w:pPr>
            <w:r/>
            <w:r>
              <w:rPr>
                <w:rFonts w:ascii="Cambria" w:hAnsi="Cambria"/>
                <w:b/>
                <w:i w:val="0"/>
                <w:color w:val="FFFFFF"/>
                <w:sz w:val="22"/>
              </w:rPr>
              <w:t>Provision</w:t>
            </w:r>
          </w:p>
        </w:tc>
      </w:tr>
      <w:tr>
        <w:tc>
          <w:tcPr>
            <w:tcW w:type="dxa" w:w="3685"/>
          </w:tcPr>
          <w:p>
            <w:pPr>
              <w:spacing w:after="40" w:before="40"/>
            </w:pPr>
            <w:r/>
            <w:r>
              <w:rPr>
                <w:rFonts w:ascii="Cambria" w:hAnsi="Cambria"/>
                <w:b w:val="0"/>
                <w:i w:val="0"/>
                <w:sz w:val="22"/>
              </w:rPr>
              <w:t>i. Prohibition within Premises</w:t>
            </w:r>
          </w:p>
        </w:tc>
        <w:tc>
          <w:tcPr>
            <w:tcW w:type="dxa" w:w="5726"/>
          </w:tcPr>
          <w:p>
            <w:pPr>
              <w:spacing w:after="40" w:before="40"/>
            </w:pPr>
            <w:r/>
            <w:r>
              <w:rPr>
                <w:rFonts w:ascii="Cambria" w:hAnsi="Cambria"/>
                <w:b w:val="0"/>
                <w:i w:val="0"/>
                <w:sz w:val="22"/>
              </w:rPr>
              <w:t>No employee of the University shall consume or possess any intoxicating drinks or drugs within the University premises, hostels, laboratories, classrooms, offices, or residential quarters provided by the institution.</w:t>
            </w:r>
          </w:p>
        </w:tc>
      </w:tr>
      <w:tr>
        <w:tc>
          <w:tcPr>
            <w:tcW w:type="dxa" w:w="3685"/>
            <w:shd w:val="clear" w:color="auto" w:fill="F0F2F5"/>
          </w:tcPr>
          <w:p>
            <w:pPr>
              <w:spacing w:after="40" w:before="40"/>
            </w:pPr>
            <w:r/>
            <w:r>
              <w:rPr>
                <w:rFonts w:ascii="Cambria" w:hAnsi="Cambria"/>
                <w:b w:val="0"/>
                <w:i w:val="0"/>
                <w:sz w:val="22"/>
              </w:rPr>
              <w:t>ii. Reporting to Duty under Influence</w:t>
            </w:r>
          </w:p>
        </w:tc>
        <w:tc>
          <w:tcPr>
            <w:tcW w:type="dxa" w:w="5726"/>
            <w:shd w:val="clear" w:color="auto" w:fill="F0F2F5"/>
          </w:tcPr>
          <w:p>
            <w:pPr>
              <w:spacing w:after="40" w:before="40"/>
            </w:pPr>
            <w:r/>
            <w:r>
              <w:rPr>
                <w:rFonts w:ascii="Cambria" w:hAnsi="Cambria"/>
                <w:b w:val="0"/>
                <w:i w:val="0"/>
                <w:sz w:val="22"/>
              </w:rPr>
              <w:t>Employees are strictly prohibited from attending or performing official duties after consuming intoxicating drinks or drugs, regardless of time or place of consumption.</w:t>
            </w:r>
          </w:p>
        </w:tc>
      </w:tr>
      <w:tr>
        <w:tc>
          <w:tcPr>
            <w:tcW w:type="dxa" w:w="3685"/>
          </w:tcPr>
          <w:p>
            <w:pPr>
              <w:spacing w:after="40" w:before="40"/>
            </w:pPr>
            <w:r/>
            <w:r>
              <w:rPr>
                <w:rFonts w:ascii="Cambria" w:hAnsi="Cambria"/>
                <w:b w:val="0"/>
                <w:i w:val="0"/>
                <w:sz w:val="22"/>
              </w:rPr>
              <w:t>iii. Influence during Duty Hours</w:t>
            </w:r>
          </w:p>
        </w:tc>
        <w:tc>
          <w:tcPr>
            <w:tcW w:type="dxa" w:w="5726"/>
          </w:tcPr>
          <w:p>
            <w:pPr>
              <w:spacing w:after="40" w:before="40"/>
            </w:pPr>
            <w:r/>
            <w:r>
              <w:rPr>
                <w:rFonts w:ascii="Cambria" w:hAnsi="Cambria"/>
                <w:b w:val="0"/>
                <w:i w:val="0"/>
                <w:sz w:val="22"/>
              </w:rPr>
              <w:t>Employees shall not be under the influence of alcohol or drugs during office hours or while performing any University-related work, and must ensure that their conduct, performance, and safety are not compromised by such influence.</w:t>
            </w:r>
          </w:p>
        </w:tc>
      </w:tr>
    </w:tbl>
    <w:p>
      <w:pPr>
        <w:spacing w:after="40"/>
      </w:pPr>
    </w:p>
    <w:p>
      <w:r>
        <w:rPr>
          <w:rFonts w:ascii="Cambria" w:hAnsi="Cambria"/>
          <w:b/>
          <w:i w:val="0"/>
          <w:sz w:val="22"/>
        </w:rPr>
        <w:t>2. EXPLANATION OF TERMS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Term</w:t>
            </w:r>
          </w:p>
        </w:tc>
        <w:tc>
          <w:tcPr>
            <w:tcW w:type="dxa" w:w="5726"/>
            <w:shd w:val="clear" w:color="auto" w:fill="1F3A5F"/>
          </w:tcPr>
          <w:p>
            <w:pPr>
              <w:spacing w:after="40" w:before="40"/>
            </w:pPr>
            <w:r/>
            <w:r>
              <w:rPr>
                <w:rFonts w:ascii="Cambria" w:hAnsi="Cambria"/>
                <w:b/>
                <w:i w:val="0"/>
                <w:color w:val="FFFFFF"/>
                <w:sz w:val="22"/>
              </w:rPr>
              <w:t>Meaning / Clarification</w:t>
            </w:r>
          </w:p>
        </w:tc>
      </w:tr>
      <w:tr>
        <w:tc>
          <w:tcPr>
            <w:tcW w:type="dxa" w:w="3685"/>
          </w:tcPr>
          <w:p>
            <w:pPr>
              <w:spacing w:after="40" w:before="40"/>
            </w:pPr>
            <w:r/>
            <w:r>
              <w:rPr>
                <w:rFonts w:ascii="Cambria" w:hAnsi="Cambria"/>
                <w:b w:val="0"/>
                <w:i w:val="0"/>
                <w:sz w:val="22"/>
              </w:rPr>
              <w:t>Intoxicating Drinks</w:t>
            </w:r>
          </w:p>
        </w:tc>
        <w:tc>
          <w:tcPr>
            <w:tcW w:type="dxa" w:w="5726"/>
          </w:tcPr>
          <w:p>
            <w:pPr>
              <w:spacing w:after="40" w:before="40"/>
            </w:pPr>
            <w:r/>
            <w:r>
              <w:rPr>
                <w:rFonts w:ascii="Cambria" w:hAnsi="Cambria"/>
                <w:b w:val="0"/>
                <w:i w:val="0"/>
                <w:sz w:val="22"/>
              </w:rPr>
              <w:t>Includes alcoholic beverages such as wine, beer, liquor, or any drink containing alcohol capable of impairing judgment or conduct.</w:t>
            </w:r>
          </w:p>
        </w:tc>
      </w:tr>
      <w:tr>
        <w:tc>
          <w:tcPr>
            <w:tcW w:type="dxa" w:w="3685"/>
            <w:shd w:val="clear" w:color="auto" w:fill="F0F2F5"/>
          </w:tcPr>
          <w:p>
            <w:pPr>
              <w:spacing w:after="40" w:before="40"/>
            </w:pPr>
            <w:r/>
            <w:r>
              <w:rPr>
                <w:rFonts w:ascii="Cambria" w:hAnsi="Cambria"/>
                <w:b w:val="0"/>
                <w:i w:val="0"/>
                <w:sz w:val="22"/>
              </w:rPr>
              <w:t>Drugs</w:t>
            </w:r>
          </w:p>
        </w:tc>
        <w:tc>
          <w:tcPr>
            <w:tcW w:type="dxa" w:w="5726"/>
            <w:shd w:val="clear" w:color="auto" w:fill="F0F2F5"/>
          </w:tcPr>
          <w:p>
            <w:pPr>
              <w:spacing w:after="40" w:before="40"/>
            </w:pPr>
            <w:r/>
            <w:r>
              <w:rPr>
                <w:rFonts w:ascii="Cambria" w:hAnsi="Cambria"/>
                <w:b w:val="0"/>
                <w:i w:val="0"/>
                <w:sz w:val="22"/>
              </w:rPr>
              <w:t>Refers to narcotics, psychotropic substances, or any substance prohibited under the Narcotic Drugs and Psychotropic Substances (NDPS) Act, 1985. This includes non-prescribed sedatives, hallucinogens, and stimulants.</w:t>
            </w:r>
          </w:p>
        </w:tc>
      </w:tr>
      <w:tr>
        <w:tc>
          <w:tcPr>
            <w:tcW w:type="dxa" w:w="3685"/>
          </w:tcPr>
          <w:p>
            <w:pPr>
              <w:spacing w:after="40" w:before="40"/>
            </w:pPr>
            <w:r/>
            <w:r>
              <w:rPr>
                <w:rFonts w:ascii="Cambria" w:hAnsi="Cambria"/>
                <w:b w:val="0"/>
                <w:i w:val="0"/>
                <w:sz w:val="22"/>
              </w:rPr>
              <w:t>Under the Influence</w:t>
            </w:r>
          </w:p>
        </w:tc>
        <w:tc>
          <w:tcPr>
            <w:tcW w:type="dxa" w:w="5726"/>
          </w:tcPr>
          <w:p>
            <w:pPr>
              <w:spacing w:after="40" w:before="40"/>
            </w:pPr>
            <w:r/>
            <w:r>
              <w:rPr>
                <w:rFonts w:ascii="Cambria" w:hAnsi="Cambria"/>
                <w:b w:val="0"/>
                <w:i w:val="0"/>
                <w:sz w:val="22"/>
              </w:rPr>
              <w:t>A condition in which an employee’s behavior, speech, alertness, or efficiency is adversely affected due to alcohol or drug consumption.</w:t>
            </w:r>
          </w:p>
        </w:tc>
      </w:tr>
      <w:tr>
        <w:tc>
          <w:tcPr>
            <w:tcW w:type="dxa" w:w="3685"/>
            <w:shd w:val="clear" w:color="auto" w:fill="F0F2F5"/>
          </w:tcPr>
          <w:p>
            <w:pPr>
              <w:spacing w:after="40" w:before="40"/>
            </w:pPr>
            <w:r/>
            <w:r>
              <w:rPr>
                <w:rFonts w:ascii="Cambria" w:hAnsi="Cambria"/>
                <w:b w:val="0"/>
                <w:i w:val="0"/>
                <w:sz w:val="22"/>
              </w:rPr>
              <w:t>University Premises</w:t>
            </w:r>
          </w:p>
        </w:tc>
        <w:tc>
          <w:tcPr>
            <w:tcW w:type="dxa" w:w="5726"/>
            <w:shd w:val="clear" w:color="auto" w:fill="F0F2F5"/>
          </w:tcPr>
          <w:p>
            <w:pPr>
              <w:spacing w:after="40" w:before="40"/>
            </w:pPr>
            <w:r/>
            <w:r>
              <w:rPr>
                <w:rFonts w:ascii="Cambria" w:hAnsi="Cambria"/>
                <w:b w:val="0"/>
                <w:i w:val="0"/>
                <w:sz w:val="22"/>
              </w:rPr>
              <w:t>Includes the entire campus area, academic and administrative buildings, hostels, staff quarters, vehicles, and any site under University control.</w:t>
            </w:r>
          </w:p>
        </w:tc>
      </w:tr>
    </w:tbl>
    <w:p>
      <w:pPr>
        <w:spacing w:after="40"/>
      </w:pPr>
    </w:p>
    <w:p>
      <w:r>
        <w:rPr>
          <w:rFonts w:ascii="Cambria" w:hAnsi="Cambria"/>
          <w:b/>
          <w:i w:val="0"/>
          <w:sz w:val="22"/>
        </w:rPr>
        <w:t>3. CONDUCT EXPECTATIONS</w:t>
      </w:r>
    </w:p>
    <w:p>
      <w:pPr>
        <w:pStyle w:val="ListBullet"/>
        <w:spacing w:line="276" w:lineRule="auto"/>
        <w:ind w:left="510"/>
      </w:pPr>
      <w:r>
        <w:rPr>
          <w:rFonts w:ascii="Cambria" w:hAnsi="Cambria"/>
          <w:b w:val="0"/>
          <w:i w:val="0"/>
          <w:sz w:val="22"/>
        </w:rPr>
        <w:t>Employees must demonstrate self-discipline and responsibility at all times.</w:t>
      </w:r>
    </w:p>
    <w:p>
      <w:pPr>
        <w:pStyle w:val="ListBullet"/>
        <w:spacing w:line="276" w:lineRule="auto"/>
        <w:ind w:left="510"/>
      </w:pPr>
      <w:r>
        <w:rPr>
          <w:rFonts w:ascii="Cambria" w:hAnsi="Cambria"/>
          <w:b w:val="0"/>
          <w:i w:val="0"/>
          <w:sz w:val="22"/>
        </w:rPr>
        <w:t>Possession or consumption of intoxicating substances, even in small quantities, tarnishes the institutional image and shall be viewed as gross misconduct.</w:t>
      </w:r>
    </w:p>
    <w:p>
      <w:pPr>
        <w:pStyle w:val="ListBullet"/>
        <w:spacing w:line="276" w:lineRule="auto"/>
        <w:ind w:left="510"/>
      </w:pPr>
      <w:r>
        <w:rPr>
          <w:rFonts w:ascii="Cambria" w:hAnsi="Cambria"/>
          <w:b w:val="0"/>
          <w:i w:val="0"/>
          <w:sz w:val="22"/>
        </w:rPr>
        <w:t>Employees undergoing prescribed medical treatment involving controlled substances must inform the competent authority in advance, providing a medical certificate.</w:t>
      </w:r>
    </w:p>
    <w:p>
      <w:pPr>
        <w:pStyle w:val="ListBullet"/>
        <w:spacing w:line="276" w:lineRule="auto"/>
        <w:ind w:left="510"/>
      </w:pPr>
      <w:r>
        <w:rPr>
          <w:rFonts w:ascii="Cambria" w:hAnsi="Cambria"/>
          <w:b w:val="0"/>
          <w:i w:val="0"/>
          <w:sz w:val="22"/>
        </w:rPr>
        <w:t>Employees representing the University at external events, meetings, or conferences must maintain sobriety and uphold institutional dignity.</w:t>
      </w:r>
    </w:p>
    <w:p>
      <w:r>
        <w:rPr>
          <w:rFonts w:ascii="Cambria" w:hAnsi="Cambria"/>
          <w:b/>
          <w:i w:val="0"/>
          <w:sz w:val="22"/>
        </w:rPr>
        <w:t>4. DISCIPLINARY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Nature of Violation</w:t>
            </w:r>
          </w:p>
        </w:tc>
        <w:tc>
          <w:tcPr>
            <w:tcW w:type="dxa" w:w="5726"/>
            <w:shd w:val="clear" w:color="auto" w:fill="1F3A5F"/>
          </w:tcPr>
          <w:p>
            <w:pPr>
              <w:spacing w:after="40" w:before="40"/>
            </w:pPr>
            <w:r/>
            <w:r>
              <w:rPr>
                <w:rFonts w:ascii="Cambria" w:hAnsi="Cambria"/>
                <w:b/>
                <w:i w:val="0"/>
                <w:color w:val="FFFFFF"/>
                <w:sz w:val="22"/>
              </w:rPr>
              <w:t>Action / Penalty</w:t>
            </w:r>
          </w:p>
        </w:tc>
      </w:tr>
      <w:tr>
        <w:tc>
          <w:tcPr>
            <w:tcW w:type="dxa" w:w="3685"/>
          </w:tcPr>
          <w:p>
            <w:pPr>
              <w:spacing w:after="40" w:before="40"/>
            </w:pPr>
            <w:r/>
            <w:r>
              <w:rPr>
                <w:rFonts w:ascii="Cambria" w:hAnsi="Cambria"/>
                <w:b w:val="0"/>
                <w:i w:val="0"/>
                <w:sz w:val="22"/>
              </w:rPr>
              <w:t>Consumption within Campus or During Duty</w:t>
            </w:r>
          </w:p>
        </w:tc>
        <w:tc>
          <w:tcPr>
            <w:tcW w:type="dxa" w:w="5726"/>
          </w:tcPr>
          <w:p>
            <w:pPr>
              <w:spacing w:after="40" w:before="40"/>
            </w:pPr>
            <w:r/>
            <w:r>
              <w:rPr>
                <w:rFonts w:ascii="Cambria" w:hAnsi="Cambria"/>
                <w:b w:val="0"/>
                <w:i w:val="0"/>
                <w:sz w:val="22"/>
              </w:rPr>
              <w:t>Treated as gross misconduct — immediate suspension pending inquiry.</w:t>
            </w:r>
          </w:p>
        </w:tc>
      </w:tr>
      <w:tr>
        <w:tc>
          <w:tcPr>
            <w:tcW w:type="dxa" w:w="3685"/>
            <w:shd w:val="clear" w:color="auto" w:fill="F0F2F5"/>
          </w:tcPr>
          <w:p>
            <w:pPr>
              <w:spacing w:after="40" w:before="40"/>
            </w:pPr>
            <w:r/>
            <w:r>
              <w:rPr>
                <w:rFonts w:ascii="Cambria" w:hAnsi="Cambria"/>
                <w:b w:val="0"/>
                <w:i w:val="0"/>
                <w:sz w:val="22"/>
              </w:rPr>
              <w:t>Reporting to Duty under Influence</w:t>
            </w:r>
          </w:p>
        </w:tc>
        <w:tc>
          <w:tcPr>
            <w:tcW w:type="dxa" w:w="5726"/>
            <w:shd w:val="clear" w:color="auto" w:fill="F0F2F5"/>
          </w:tcPr>
          <w:p>
            <w:pPr>
              <w:spacing w:after="40" w:before="40"/>
            </w:pPr>
            <w:r/>
            <w:r>
              <w:rPr>
                <w:rFonts w:ascii="Cambria" w:hAnsi="Cambria"/>
                <w:b w:val="0"/>
                <w:i w:val="0"/>
                <w:sz w:val="22"/>
              </w:rPr>
              <w:t>Written warning for first instance; repetition may lead to withholding of increment, suspension, or termination.</w:t>
            </w:r>
          </w:p>
        </w:tc>
      </w:tr>
      <w:tr>
        <w:tc>
          <w:tcPr>
            <w:tcW w:type="dxa" w:w="3685"/>
          </w:tcPr>
          <w:p>
            <w:pPr>
              <w:spacing w:after="40" w:before="40"/>
            </w:pPr>
            <w:r/>
            <w:r>
              <w:rPr>
                <w:rFonts w:ascii="Cambria" w:hAnsi="Cambria"/>
                <w:b w:val="0"/>
                <w:i w:val="0"/>
                <w:sz w:val="22"/>
              </w:rPr>
              <w:t>Possession or Distribution of Intoxicants or Drugs</w:t>
            </w:r>
          </w:p>
        </w:tc>
        <w:tc>
          <w:tcPr>
            <w:tcW w:type="dxa" w:w="5726"/>
          </w:tcPr>
          <w:p>
            <w:pPr>
              <w:spacing w:after="40" w:before="40"/>
            </w:pPr>
            <w:r/>
            <w:r>
              <w:rPr>
                <w:rFonts w:ascii="Cambria" w:hAnsi="Cambria"/>
                <w:b w:val="0"/>
                <w:i w:val="0"/>
                <w:sz w:val="22"/>
              </w:rPr>
              <w:t>Severe misconduct — liable for dismissal from service and criminal prosecution under relevant laws.</w:t>
            </w:r>
          </w:p>
        </w:tc>
      </w:tr>
      <w:tr>
        <w:tc>
          <w:tcPr>
            <w:tcW w:type="dxa" w:w="3685"/>
            <w:shd w:val="clear" w:color="auto" w:fill="F0F2F5"/>
          </w:tcPr>
          <w:p>
            <w:pPr>
              <w:spacing w:after="40" w:before="40"/>
            </w:pPr>
            <w:r/>
            <w:r>
              <w:rPr>
                <w:rFonts w:ascii="Cambria" w:hAnsi="Cambria"/>
                <w:b w:val="0"/>
                <w:i w:val="0"/>
                <w:sz w:val="22"/>
              </w:rPr>
              <w:t>Impact on Performance or Safety</w:t>
            </w:r>
          </w:p>
        </w:tc>
        <w:tc>
          <w:tcPr>
            <w:tcW w:type="dxa" w:w="5726"/>
            <w:shd w:val="clear" w:color="auto" w:fill="F0F2F5"/>
          </w:tcPr>
          <w:p>
            <w:pPr>
              <w:spacing w:after="40" w:before="40"/>
            </w:pPr>
            <w:r/>
            <w:r>
              <w:rPr>
                <w:rFonts w:ascii="Cambria" w:hAnsi="Cambria"/>
                <w:b w:val="0"/>
                <w:i w:val="0"/>
                <w:sz w:val="22"/>
              </w:rPr>
              <w:t>Disciplinary action based on the gravity of negligence or risk caused to others.</w:t>
            </w:r>
          </w:p>
        </w:tc>
      </w:tr>
      <w:tr>
        <w:tc>
          <w:tcPr>
            <w:tcW w:type="dxa" w:w="3685"/>
          </w:tcPr>
          <w:p>
            <w:pPr>
              <w:spacing w:after="40" w:before="40"/>
            </w:pPr>
            <w:r/>
            <w:r>
              <w:rPr>
                <w:rFonts w:ascii="Cambria" w:hAnsi="Cambria"/>
                <w:b w:val="0"/>
                <w:i w:val="0"/>
                <w:sz w:val="22"/>
              </w:rPr>
              <w:t>Use of Prescribed Drugs without Declaration</w:t>
            </w:r>
          </w:p>
        </w:tc>
        <w:tc>
          <w:tcPr>
            <w:tcW w:type="dxa" w:w="5726"/>
          </w:tcPr>
          <w:p>
            <w:pPr>
              <w:spacing w:after="40" w:before="40"/>
            </w:pPr>
            <w:r/>
            <w:r>
              <w:rPr>
                <w:rFonts w:ascii="Cambria" w:hAnsi="Cambria"/>
                <w:b w:val="0"/>
                <w:i w:val="0"/>
                <w:sz w:val="22"/>
              </w:rPr>
              <w:t>Treated as misconduct if it leads to impairment of work performance or behavior.</w:t>
            </w:r>
          </w:p>
        </w:tc>
      </w:tr>
    </w:tbl>
    <w:p>
      <w:pPr>
        <w:spacing w:after="40"/>
      </w:pPr>
    </w:p>
    <w:p>
      <w:pPr>
        <w:jc w:val="both"/>
      </w:pPr>
      <w:r>
        <w:rPr>
          <w:rFonts w:ascii="Cambria" w:hAnsi="Cambria"/>
          <w:i/>
          <w:sz w:val="22"/>
        </w:rPr>
        <w:t>The University enforces zero tolerance for drug or alcohol use that affects professional integrity, safety, or institutional reputation.</w:t>
      </w:r>
    </w:p>
    <w:p>
      <w:r>
        <w:rPr>
          <w:rFonts w:ascii="Cambria" w:hAnsi="Cambria"/>
          <w:b/>
          <w:i w:val="0"/>
          <w:sz w:val="22"/>
        </w:rPr>
        <w:t>5. PROCEDURE FOR HANDLING VIOLATIONS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3685"/>
            <w:shd w:val="clear" w:color="auto" w:fill="1F3A5F"/>
          </w:tcPr>
          <w:p>
            <w:pPr>
              <w:spacing w:after="40" w:before="40"/>
            </w:pPr>
            <w:r/>
            <w:r>
              <w:rPr>
                <w:rFonts w:ascii="Cambria" w:hAnsi="Cambria"/>
                <w:b/>
                <w:i w:val="0"/>
                <w:color w:val="FFFFFF"/>
                <w:sz w:val="22"/>
              </w:rPr>
              <w:t>Step</w:t>
            </w:r>
          </w:p>
        </w:tc>
        <w:tc>
          <w:tcPr>
            <w:tcW w:type="dxa" w:w="5726"/>
            <w:shd w:val="clear" w:color="auto" w:fill="1F3A5F"/>
          </w:tcPr>
          <w:p>
            <w:pPr>
              <w:spacing w:after="40" w:before="40"/>
            </w:pPr>
            <w:r/>
            <w:r>
              <w:rPr>
                <w:rFonts w:ascii="Cambria" w:hAnsi="Cambria"/>
                <w:b/>
                <w:i w:val="0"/>
                <w:color w:val="FFFFFF"/>
                <w:sz w:val="22"/>
              </w:rPr>
              <w:t>Process</w:t>
            </w:r>
          </w:p>
        </w:tc>
      </w:tr>
      <w:tr>
        <w:tc>
          <w:tcPr>
            <w:tcW w:type="dxa" w:w="3685"/>
          </w:tcPr>
          <w:p>
            <w:pPr>
              <w:spacing w:after="40" w:before="40"/>
            </w:pPr>
            <w:r/>
            <w:r>
              <w:rPr>
                <w:rFonts w:ascii="Cambria" w:hAnsi="Cambria"/>
                <w:b w:val="0"/>
                <w:i w:val="0"/>
                <w:sz w:val="22"/>
              </w:rPr>
              <w:t>1. Reporting</w:t>
            </w:r>
          </w:p>
        </w:tc>
        <w:tc>
          <w:tcPr>
            <w:tcW w:type="dxa" w:w="5726"/>
          </w:tcPr>
          <w:p>
            <w:pPr>
              <w:spacing w:after="40" w:before="40"/>
            </w:pPr>
            <w:r/>
            <w:r>
              <w:rPr>
                <w:rFonts w:ascii="Cambria" w:hAnsi="Cambria"/>
                <w:b w:val="0"/>
                <w:i w:val="0"/>
                <w:sz w:val="22"/>
              </w:rPr>
              <w:t>Any instance of intoxication or possession must be reported by supervisors, security personnel, or colleagues to the Registrar or Head of Department.</w:t>
            </w:r>
          </w:p>
        </w:tc>
      </w:tr>
      <w:tr>
        <w:tc>
          <w:tcPr>
            <w:tcW w:type="dxa" w:w="3685"/>
            <w:shd w:val="clear" w:color="auto" w:fill="F0F2F5"/>
          </w:tcPr>
          <w:p>
            <w:pPr>
              <w:spacing w:after="40" w:before="40"/>
            </w:pPr>
            <w:r/>
            <w:r>
              <w:rPr>
                <w:rFonts w:ascii="Cambria" w:hAnsi="Cambria"/>
                <w:b w:val="0"/>
                <w:i w:val="0"/>
                <w:sz w:val="22"/>
              </w:rPr>
              <w:t>2. Verification</w:t>
            </w:r>
          </w:p>
        </w:tc>
        <w:tc>
          <w:tcPr>
            <w:tcW w:type="dxa" w:w="5726"/>
            <w:shd w:val="clear" w:color="auto" w:fill="F0F2F5"/>
          </w:tcPr>
          <w:p>
            <w:pPr>
              <w:spacing w:after="40" w:before="40"/>
            </w:pPr>
            <w:r/>
            <w:r>
              <w:rPr>
                <w:rFonts w:ascii="Cambria" w:hAnsi="Cambria"/>
                <w:b w:val="0"/>
                <w:i w:val="0"/>
                <w:sz w:val="22"/>
              </w:rPr>
              <w:t>The Disciplinary Committee shall verify facts through observation, medical test (if necessary), and witness statements.</w:t>
            </w:r>
          </w:p>
        </w:tc>
      </w:tr>
      <w:tr>
        <w:tc>
          <w:tcPr>
            <w:tcW w:type="dxa" w:w="3685"/>
          </w:tcPr>
          <w:p>
            <w:pPr>
              <w:spacing w:after="40" w:before="40"/>
            </w:pPr>
            <w:r/>
            <w:r>
              <w:rPr>
                <w:rFonts w:ascii="Cambria" w:hAnsi="Cambria"/>
                <w:b w:val="0"/>
                <w:i w:val="0"/>
                <w:sz w:val="22"/>
              </w:rPr>
              <w:t>3. Show Cause Notice</w:t>
            </w:r>
          </w:p>
        </w:tc>
        <w:tc>
          <w:tcPr>
            <w:tcW w:type="dxa" w:w="5726"/>
          </w:tcPr>
          <w:p>
            <w:pPr>
              <w:spacing w:after="40" w:before="40"/>
            </w:pPr>
            <w:r/>
            <w:r>
              <w:rPr>
                <w:rFonts w:ascii="Cambria" w:hAnsi="Cambria"/>
                <w:b w:val="0"/>
                <w:i w:val="0"/>
                <w:sz w:val="22"/>
              </w:rPr>
              <w:t>The employee shall be given an opportunity to explain in writing within 48 hours of notice.</w:t>
            </w:r>
          </w:p>
        </w:tc>
      </w:tr>
      <w:tr>
        <w:tc>
          <w:tcPr>
            <w:tcW w:type="dxa" w:w="3685"/>
            <w:shd w:val="clear" w:color="auto" w:fill="F0F2F5"/>
          </w:tcPr>
          <w:p>
            <w:pPr>
              <w:spacing w:after="40" w:before="40"/>
            </w:pPr>
            <w:r/>
            <w:r>
              <w:rPr>
                <w:rFonts w:ascii="Cambria" w:hAnsi="Cambria"/>
                <w:b w:val="0"/>
                <w:i w:val="0"/>
                <w:sz w:val="22"/>
              </w:rPr>
              <w:t>4. Disciplinary Action</w:t>
            </w:r>
          </w:p>
        </w:tc>
        <w:tc>
          <w:tcPr>
            <w:tcW w:type="dxa" w:w="5726"/>
            <w:shd w:val="clear" w:color="auto" w:fill="F0F2F5"/>
          </w:tcPr>
          <w:p>
            <w:pPr>
              <w:spacing w:after="40" w:before="40"/>
            </w:pPr>
            <w:r/>
            <w:r>
              <w:rPr>
                <w:rFonts w:ascii="Cambria" w:hAnsi="Cambria"/>
                <w:b w:val="0"/>
                <w:i w:val="0"/>
                <w:sz w:val="22"/>
              </w:rPr>
              <w:t>Based on inquiry findings, appropriate disciplinary measures will be taken in line with the Service Conduct and Disciplinary Rules.</w:t>
            </w:r>
          </w:p>
        </w:tc>
      </w:tr>
      <w:tr>
        <w:tc>
          <w:tcPr>
            <w:tcW w:type="dxa" w:w="3685"/>
          </w:tcPr>
          <w:p>
            <w:pPr>
              <w:spacing w:after="40" w:before="40"/>
            </w:pPr>
            <w:r/>
            <w:r>
              <w:rPr>
                <w:rFonts w:ascii="Cambria" w:hAnsi="Cambria"/>
                <w:b w:val="0"/>
                <w:i w:val="0"/>
                <w:sz w:val="22"/>
              </w:rPr>
              <w:t>5. Appeal</w:t>
            </w:r>
          </w:p>
        </w:tc>
        <w:tc>
          <w:tcPr>
            <w:tcW w:type="dxa" w:w="5726"/>
          </w:tcPr>
          <w:p>
            <w:pPr>
              <w:spacing w:after="40" w:before="40"/>
            </w:pPr>
            <w:r/>
            <w:r>
              <w:rPr>
                <w:rFonts w:ascii="Cambria" w:hAnsi="Cambria"/>
                <w:b w:val="0"/>
                <w:i w:val="0"/>
                <w:sz w:val="22"/>
              </w:rPr>
              <w:t>The employee may appeal to the Board of Management (BoM) within 30 days of the decision.</w:t>
            </w:r>
          </w:p>
        </w:tc>
      </w:tr>
    </w:tbl>
    <w:p>
      <w:pPr>
        <w:spacing w:after="40"/>
      </w:pPr>
    </w:p>
    <w:p>
      <w:r>
        <w:rPr>
          <w:rFonts w:ascii="Cambria" w:hAnsi="Cambria"/>
          <w:b/>
          <w:i w:val="0"/>
          <w:sz w:val="22"/>
        </w:rPr>
        <w:t>6. POLICY PRINCIPLES</w:t>
      </w:r>
    </w:p>
    <w:p>
      <w:pPr>
        <w:pStyle w:val="ListBullet"/>
        <w:spacing w:line="276" w:lineRule="auto"/>
        <w:ind w:left="510"/>
      </w:pPr>
      <w:r>
        <w:rPr>
          <w:rFonts w:ascii="Cambria" w:hAnsi="Cambria"/>
          <w:b w:val="0"/>
          <w:i w:val="0"/>
          <w:sz w:val="22"/>
        </w:rPr>
        <w:t>The University campus must remain a drug-free and alcohol-free zone.</w:t>
      </w:r>
    </w:p>
    <w:p>
      <w:pPr>
        <w:pStyle w:val="ListBullet"/>
        <w:spacing w:line="276" w:lineRule="auto"/>
        <w:ind w:left="510"/>
      </w:pPr>
      <w:r>
        <w:rPr>
          <w:rFonts w:ascii="Cambria" w:hAnsi="Cambria"/>
          <w:b w:val="0"/>
          <w:i w:val="0"/>
          <w:sz w:val="22"/>
        </w:rPr>
        <w:t>Employees are expected to act as role models for students by maintaining high ethical and behavioral standards.</w:t>
      </w:r>
    </w:p>
    <w:p>
      <w:pPr>
        <w:pStyle w:val="ListBullet"/>
        <w:spacing w:line="276" w:lineRule="auto"/>
        <w:ind w:left="510"/>
      </w:pPr>
      <w:r>
        <w:rPr>
          <w:rFonts w:ascii="Cambria" w:hAnsi="Cambria"/>
          <w:b w:val="0"/>
          <w:i w:val="0"/>
          <w:sz w:val="22"/>
        </w:rPr>
        <w:t>Violation of this rule affects individual health, safety, and institutional decorum, and will not be condoned under any circumstance.</w:t>
      </w:r>
    </w:p>
    <w:p>
      <w:pPr>
        <w:pStyle w:val="ListBullet"/>
        <w:spacing w:line="276" w:lineRule="auto"/>
        <w:ind w:left="510"/>
      </w:pPr>
      <w:r>
        <w:rPr>
          <w:rFonts w:ascii="Cambria" w:hAnsi="Cambria"/>
          <w:b w:val="0"/>
          <w:i w:val="0"/>
          <w:sz w:val="22"/>
        </w:rPr>
        <w:t>The University encourages rehabilitative counseling or medical support for employees with substance abuse issues, provided they voluntarily seek assistance before disciplinary proceedings begin.</w:t>
      </w:r>
    </w:p>
    <w:p>
      <w:pPr>
        <w:pStyle w:val="ListBullet"/>
        <w:spacing w:line="276" w:lineRule="auto"/>
        <w:ind w:left="510"/>
      </w:pPr>
      <w:r>
        <w:rPr>
          <w:rFonts w:ascii="Cambria" w:hAnsi="Cambria"/>
          <w:b w:val="0"/>
          <w:i w:val="0"/>
          <w:sz w:val="22"/>
        </w:rPr>
        <w:t>The decision of the Board of Management (BoM) regarding any violation shall be final and binding.</w:t>
      </w:r>
    </w:p>
    <w:p>
      <w:r>
        <w:rPr>
          <w:rFonts w:ascii="Cambria" w:hAnsi="Cambria"/>
          <w:b/>
          <w:i w:val="0"/>
          <w:sz w:val="22"/>
        </w:rPr>
        <w:t>7. LEGAL AND REGULATORY REFERENCES</w:t>
      </w:r>
    </w:p>
    <w:p>
      <w:pPr>
        <w:jc w:val="both"/>
      </w:pPr>
      <w:r>
        <w:rPr>
          <w:rFonts w:ascii="Cambria" w:hAnsi="Cambria"/>
          <w:i w:val="0"/>
          <w:sz w:val="22"/>
        </w:rPr>
        <w:t>This policy conforms to:</w:t>
      </w:r>
    </w:p>
    <w:p>
      <w:pPr>
        <w:pStyle w:val="ListBullet"/>
        <w:spacing w:line="276" w:lineRule="auto"/>
        <w:ind w:left="510"/>
      </w:pPr>
      <w:r>
        <w:rPr>
          <w:rFonts w:ascii="Cambria" w:hAnsi="Cambria"/>
          <w:b w:val="0"/>
          <w:i w:val="0"/>
          <w:sz w:val="22"/>
        </w:rPr>
        <w:t>Narcotic Drugs and Psychotropic Substances (NDPS) Act, 1985</w:t>
      </w:r>
    </w:p>
    <w:p>
      <w:pPr>
        <w:pStyle w:val="ListBullet"/>
        <w:spacing w:line="276" w:lineRule="auto"/>
        <w:ind w:left="510"/>
      </w:pPr>
      <w:r>
        <w:rPr>
          <w:rFonts w:ascii="Cambria" w:hAnsi="Cambria"/>
          <w:b w:val="0"/>
          <w:i w:val="0"/>
          <w:sz w:val="22"/>
        </w:rPr>
        <w:t>The Central Civil Services (Conduct) Rules, 1964 — Rule 22 (Intoxicating drinks and drugs)</w:t>
      </w:r>
    </w:p>
    <w:p>
      <w:pPr>
        <w:pStyle w:val="ListBullet"/>
        <w:spacing w:line="276" w:lineRule="auto"/>
        <w:ind w:left="510"/>
      </w:pPr>
      <w:r>
        <w:rPr>
          <w:rFonts w:ascii="Cambria" w:hAnsi="Cambria"/>
          <w:b w:val="0"/>
          <w:i w:val="0"/>
          <w:sz w:val="22"/>
        </w:rPr>
        <w:t>University Grants Commission (UGC) Code of Conduct and Ethics for Employees, 2019</w:t>
      </w:r>
    </w:p>
    <w:p>
      <w:pPr>
        <w:pStyle w:val="ListBullet"/>
        <w:spacing w:line="276" w:lineRule="auto"/>
        <w:ind w:left="510"/>
      </w:pPr>
      <w:r>
        <w:rPr>
          <w:rFonts w:ascii="Cambria" w:hAnsi="Cambria"/>
          <w:b w:val="0"/>
          <w:i w:val="0"/>
          <w:sz w:val="22"/>
        </w:rPr>
        <w:t>AICTE and NAAC HR Governance Frameworks on campus discipline and safety.</w:t>
      </w:r>
    </w:p>
    <w:p>
      <w:pPr>
        <w:jc w:val="both"/>
      </w:pPr>
      <w:r>
        <w:rPr>
          <w:rFonts w:ascii="Cambria" w:hAnsi="Cambria"/>
          <w:i/>
          <w:sz w:val="22"/>
        </w:rPr>
        <w:t>(This is the final sub-policy under Section 67 'Misconduct'. The book's text proceeds directly, with no further numbered misconduct sub-policy or new Section 67 heading, to Section 68 'References' below — an end-of-book bibliography.)</w:t>
      </w:r>
    </w:p>
    <w:p>
      <w:pPr>
        <w:keepNext/>
        <w:spacing w:before="280" w:after="160"/>
      </w:pPr>
      <w:r>
        <w:rPr>
          <w:rFonts w:ascii="Cambria" w:hAnsi="Cambria"/>
          <w:b/>
          <w:color w:val="1F3A5F"/>
          <w:sz w:val="32"/>
        </w:rPr>
        <w:t>68. References</w:t>
      </w:r>
    </w:p>
    <w:p>
      <w:r>
        <w:rPr>
          <w:rFonts w:ascii="Cambria" w:hAnsi="Cambria"/>
          <w:b/>
          <w:i w:val="0"/>
          <w:sz w:val="22"/>
        </w:rPr>
        <w:t>NBA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1</w:t>
            </w:r>
          </w:p>
        </w:tc>
        <w:tc>
          <w:tcPr>
            <w:tcW w:type="dxa" w:w="7314"/>
          </w:tcPr>
          <w:p>
            <w:pPr>
              <w:spacing w:after="40" w:before="40"/>
            </w:pPr>
            <w:r/>
            <w:r>
              <w:rPr>
                <w:rFonts w:ascii="Cambria" w:hAnsi="Cambria"/>
                <w:b w:val="0"/>
                <w:i w:val="0"/>
                <w:sz w:val="22"/>
              </w:rPr>
              <w:t>NBA Accreditation Process for Tier-1 Institutions – Criterion 1: Outcome-Based Curriculum: Vision, Mission, PEOs, Curriculum Structure, CO–PO–PSO Mapping, and Articulation Framework, Kindle Edition, ASIN: B0FPDCG13D</w:t>
            </w:r>
          </w:p>
        </w:tc>
        <w:tc>
          <w:tcPr>
            <w:tcW w:type="dxa" w:w="1417"/>
          </w:tcPr>
          <w:p>
            <w:pPr>
              <w:spacing w:after="40" w:before="40"/>
            </w:pPr>
            <w:r/>
            <w:r>
              <w:rPr>
                <w:rFonts w:ascii="Cambria" w:hAnsi="Cambria"/>
                <w:b w:val="0"/>
                <w:i w:val="0"/>
                <w:sz w:val="22"/>
              </w:rPr>
              <w:t>https://amzn.in/d/4fcc0jE</w:t>
            </w:r>
          </w:p>
        </w:tc>
      </w:tr>
      <w:tr>
        <w:tc>
          <w:tcPr>
            <w:tcW w:type="dxa" w:w="680"/>
            <w:shd w:val="clear" w:color="auto" w:fill="F0F2F5"/>
          </w:tcPr>
          <w:p>
            <w:pPr>
              <w:spacing w:after="40" w:before="40"/>
            </w:pPr>
            <w:r/>
            <w:r>
              <w:rPr>
                <w:rFonts w:ascii="Cambria" w:hAnsi="Cambria"/>
                <w:b w:val="0"/>
                <w:i w:val="0"/>
                <w:sz w:val="22"/>
              </w:rPr>
              <w:t>2</w:t>
            </w:r>
          </w:p>
        </w:tc>
        <w:tc>
          <w:tcPr>
            <w:tcW w:type="dxa" w:w="7314"/>
            <w:shd w:val="clear" w:color="auto" w:fill="F0F2F5"/>
          </w:tcPr>
          <w:p>
            <w:pPr>
              <w:spacing w:after="40" w:before="40"/>
            </w:pPr>
            <w:r/>
            <w:r>
              <w:rPr>
                <w:rFonts w:ascii="Cambria" w:hAnsi="Cambria"/>
                <w:b w:val="0"/>
                <w:i w:val="0"/>
                <w:sz w:val="22"/>
              </w:rPr>
              <w:t>NBA Accreditation Process for Tier-1 Institutions – Criterion 2: Outcome-Based Teaching–Learning (OBTL): A Framework of Systematic Processes, Evidence-Based Practices, and CQI in OBE, Kindle Edition, ASIN: B0FPG4KFB1</w:t>
            </w:r>
          </w:p>
        </w:tc>
        <w:tc>
          <w:tcPr>
            <w:tcW w:type="dxa" w:w="1417"/>
            <w:shd w:val="clear" w:color="auto" w:fill="F0F2F5"/>
          </w:tcPr>
          <w:p>
            <w:pPr>
              <w:spacing w:after="40" w:before="40"/>
            </w:pPr>
            <w:r/>
            <w:r>
              <w:rPr>
                <w:rFonts w:ascii="Cambria" w:hAnsi="Cambria"/>
                <w:b w:val="0"/>
                <w:i w:val="0"/>
                <w:sz w:val="22"/>
              </w:rPr>
              <w:t>https://amzn.in/d/g1bchNl</w:t>
            </w:r>
          </w:p>
        </w:tc>
      </w:tr>
      <w:tr>
        <w:tc>
          <w:tcPr>
            <w:tcW w:type="dxa" w:w="680"/>
          </w:tcPr>
          <w:p>
            <w:pPr>
              <w:spacing w:after="40" w:before="40"/>
            </w:pPr>
            <w:r/>
            <w:r>
              <w:rPr>
                <w:rFonts w:ascii="Cambria" w:hAnsi="Cambria"/>
                <w:b w:val="0"/>
                <w:i w:val="0"/>
                <w:sz w:val="22"/>
              </w:rPr>
              <w:t>3</w:t>
            </w:r>
          </w:p>
        </w:tc>
        <w:tc>
          <w:tcPr>
            <w:tcW w:type="dxa" w:w="7314"/>
          </w:tcPr>
          <w:p>
            <w:pPr>
              <w:spacing w:after="40" w:before="40"/>
            </w:pPr>
            <w:r/>
            <w:r>
              <w:rPr>
                <w:rFonts w:ascii="Cambria" w:hAnsi="Cambria"/>
                <w:b w:val="0"/>
                <w:i w:val="0"/>
                <w:sz w:val="22"/>
              </w:rPr>
              <w:t>NBA Accreditation Process for Tier-1 Institutions – Criterion 3: Outcome-Based Assessment: Framework for Evaluating COs, POs, and PSOs in Compliance with NBA Accreditation Standards, Kindle Edition, ASIN: B0FQBQ21S1</w:t>
            </w:r>
          </w:p>
        </w:tc>
        <w:tc>
          <w:tcPr>
            <w:tcW w:type="dxa" w:w="1417"/>
          </w:tcPr>
          <w:p>
            <w:pPr>
              <w:spacing w:after="40" w:before="40"/>
            </w:pPr>
            <w:r/>
            <w:r>
              <w:rPr>
                <w:rFonts w:ascii="Cambria" w:hAnsi="Cambria"/>
                <w:b w:val="0"/>
                <w:i w:val="0"/>
                <w:sz w:val="22"/>
              </w:rPr>
              <w:t>https://amzn.in/d/a2nGhnx</w:t>
            </w:r>
          </w:p>
        </w:tc>
      </w:tr>
      <w:tr>
        <w:tc>
          <w:tcPr>
            <w:tcW w:type="dxa" w:w="680"/>
            <w:shd w:val="clear" w:color="auto" w:fill="F0F2F5"/>
          </w:tcPr>
          <w:p>
            <w:pPr>
              <w:spacing w:after="40" w:before="40"/>
            </w:pPr>
            <w:r/>
            <w:r>
              <w:rPr>
                <w:rFonts w:ascii="Cambria" w:hAnsi="Cambria"/>
                <w:b w:val="0"/>
                <w:i w:val="0"/>
                <w:sz w:val="22"/>
              </w:rPr>
              <w:t>4</w:t>
            </w:r>
          </w:p>
        </w:tc>
        <w:tc>
          <w:tcPr>
            <w:tcW w:type="dxa" w:w="7314"/>
            <w:shd w:val="clear" w:color="auto" w:fill="F0F2F5"/>
          </w:tcPr>
          <w:p>
            <w:pPr>
              <w:spacing w:after="40" w:before="40"/>
            </w:pPr>
            <w:r/>
            <w:r>
              <w:rPr>
                <w:rFonts w:ascii="Cambria" w:hAnsi="Cambria"/>
                <w:b w:val="0"/>
                <w:i w:val="0"/>
                <w:sz w:val="22"/>
              </w:rPr>
              <w:t>NBA Accreditation Process for Tier-1 Institutions – Criterion 4: Students’ Performance: Evaluating Enrolment, Academic Success, and Career Outcomes in Higher Education, Kindle Edition, ASIN: B0FR3JHMXS</w:t>
            </w:r>
          </w:p>
        </w:tc>
        <w:tc>
          <w:tcPr>
            <w:tcW w:type="dxa" w:w="1417"/>
            <w:shd w:val="clear" w:color="auto" w:fill="F0F2F5"/>
          </w:tcPr>
          <w:p>
            <w:pPr>
              <w:spacing w:after="40" w:before="40"/>
            </w:pPr>
            <w:r/>
            <w:r>
              <w:rPr>
                <w:rFonts w:ascii="Cambria" w:hAnsi="Cambria"/>
                <w:b w:val="0"/>
                <w:i w:val="0"/>
                <w:sz w:val="22"/>
              </w:rPr>
              <w:t>https://amzn.in/d/dry9lRW</w:t>
            </w:r>
          </w:p>
        </w:tc>
      </w:tr>
      <w:tr>
        <w:tc>
          <w:tcPr>
            <w:tcW w:type="dxa" w:w="680"/>
          </w:tcPr>
          <w:p>
            <w:pPr>
              <w:spacing w:after="40" w:before="40"/>
            </w:pPr>
            <w:r/>
            <w:r>
              <w:rPr>
                <w:rFonts w:ascii="Cambria" w:hAnsi="Cambria"/>
                <w:b w:val="0"/>
                <w:i w:val="0"/>
                <w:sz w:val="22"/>
              </w:rPr>
              <w:t>5</w:t>
            </w:r>
          </w:p>
        </w:tc>
        <w:tc>
          <w:tcPr>
            <w:tcW w:type="dxa" w:w="7314"/>
          </w:tcPr>
          <w:p>
            <w:pPr>
              <w:spacing w:after="40" w:before="40"/>
            </w:pPr>
            <w:r/>
            <w:r>
              <w:rPr>
                <w:rFonts w:ascii="Cambria" w:hAnsi="Cambria"/>
                <w:b w:val="0"/>
                <w:i w:val="0"/>
                <w:sz w:val="22"/>
              </w:rPr>
              <w:t>NBA Accreditation Process for Tier-1 Institutions – Criterion 5: Faculty Information: Evaluating Faculty Strength, Qualifications, and Development in Higher Education Institutions, Kindle Edition, ASIN: B0FR3DBZ3B</w:t>
            </w:r>
          </w:p>
        </w:tc>
        <w:tc>
          <w:tcPr>
            <w:tcW w:type="dxa" w:w="1417"/>
          </w:tcPr>
          <w:p>
            <w:pPr>
              <w:spacing w:after="40" w:before="40"/>
            </w:pPr>
            <w:r/>
            <w:r>
              <w:rPr>
                <w:rFonts w:ascii="Cambria" w:hAnsi="Cambria"/>
                <w:b w:val="0"/>
                <w:i w:val="0"/>
                <w:sz w:val="22"/>
              </w:rPr>
              <w:t>https://amzn.in/d/a1344lj</w:t>
            </w:r>
          </w:p>
        </w:tc>
      </w:tr>
      <w:tr>
        <w:tc>
          <w:tcPr>
            <w:tcW w:type="dxa" w:w="680"/>
            <w:shd w:val="clear" w:color="auto" w:fill="F0F2F5"/>
          </w:tcPr>
          <w:p>
            <w:pPr>
              <w:spacing w:after="40" w:before="40"/>
            </w:pPr>
            <w:r/>
            <w:r>
              <w:rPr>
                <w:rFonts w:ascii="Cambria" w:hAnsi="Cambria"/>
                <w:b w:val="0"/>
                <w:i w:val="0"/>
                <w:sz w:val="22"/>
              </w:rPr>
              <w:t>6</w:t>
            </w:r>
          </w:p>
        </w:tc>
        <w:tc>
          <w:tcPr>
            <w:tcW w:type="dxa" w:w="7314"/>
            <w:shd w:val="clear" w:color="auto" w:fill="F0F2F5"/>
          </w:tcPr>
          <w:p>
            <w:pPr>
              <w:spacing w:after="40" w:before="40"/>
            </w:pPr>
            <w:r/>
            <w:r>
              <w:rPr>
                <w:rFonts w:ascii="Cambria" w:hAnsi="Cambria"/>
                <w:b w:val="0"/>
                <w:i w:val="0"/>
                <w:sz w:val="22"/>
              </w:rPr>
              <w:t>NBA Accreditation Process for Tier-1 Institutions – Criterion 6: Faculty Contribution: Recognizing Professional Development, Research, and Institutional Growth, Kindle Edition, ASIN: B0FR1JLR73</w:t>
            </w:r>
          </w:p>
        </w:tc>
        <w:tc>
          <w:tcPr>
            <w:tcW w:type="dxa" w:w="1417"/>
            <w:shd w:val="clear" w:color="auto" w:fill="F0F2F5"/>
          </w:tcPr>
          <w:p>
            <w:pPr>
              <w:spacing w:after="40" w:before="40"/>
            </w:pPr>
            <w:r/>
            <w:r>
              <w:rPr>
                <w:rFonts w:ascii="Cambria" w:hAnsi="Cambria"/>
                <w:b w:val="0"/>
                <w:i w:val="0"/>
                <w:sz w:val="22"/>
              </w:rPr>
              <w:t>https://amzn.in/d/98KXO4k</w:t>
            </w:r>
          </w:p>
        </w:tc>
      </w:tr>
      <w:tr>
        <w:tc>
          <w:tcPr>
            <w:tcW w:type="dxa" w:w="680"/>
          </w:tcPr>
          <w:p>
            <w:pPr>
              <w:spacing w:after="40" w:before="40"/>
            </w:pPr>
            <w:r/>
            <w:r>
              <w:rPr>
                <w:rFonts w:ascii="Cambria" w:hAnsi="Cambria"/>
                <w:b w:val="0"/>
                <w:i w:val="0"/>
                <w:sz w:val="22"/>
              </w:rPr>
              <w:t>7</w:t>
            </w:r>
          </w:p>
        </w:tc>
        <w:tc>
          <w:tcPr>
            <w:tcW w:type="dxa" w:w="7314"/>
          </w:tcPr>
          <w:p>
            <w:pPr>
              <w:spacing w:after="40" w:before="40"/>
            </w:pPr>
            <w:r/>
            <w:r>
              <w:rPr>
                <w:rFonts w:ascii="Cambria" w:hAnsi="Cambria"/>
                <w:b w:val="0"/>
                <w:i w:val="0"/>
                <w:sz w:val="22"/>
              </w:rPr>
              <w:t>NBA Accreditation Process for Tier-1 Institutions – Criterion 7: Facilities and Technical Support: A Comprehensive Guide to Facilities, Laboratories, and Technical Support in Accreditation, Kindle Edition, ASIN: B0FQPHYBRC</w:t>
            </w:r>
          </w:p>
        </w:tc>
        <w:tc>
          <w:tcPr>
            <w:tcW w:type="dxa" w:w="1417"/>
          </w:tcPr>
          <w:p>
            <w:pPr>
              <w:spacing w:after="40" w:before="40"/>
            </w:pPr>
            <w:r/>
            <w:r>
              <w:rPr>
                <w:rFonts w:ascii="Cambria" w:hAnsi="Cambria"/>
                <w:b w:val="0"/>
                <w:i w:val="0"/>
                <w:sz w:val="22"/>
              </w:rPr>
              <w:t>https://amzn.in/d/9kAkdLZ</w:t>
            </w:r>
          </w:p>
        </w:tc>
      </w:tr>
      <w:tr>
        <w:tc>
          <w:tcPr>
            <w:tcW w:type="dxa" w:w="680"/>
            <w:shd w:val="clear" w:color="auto" w:fill="F0F2F5"/>
          </w:tcPr>
          <w:p>
            <w:pPr>
              <w:spacing w:after="40" w:before="40"/>
            </w:pPr>
            <w:r/>
            <w:r>
              <w:rPr>
                <w:rFonts w:ascii="Cambria" w:hAnsi="Cambria"/>
                <w:b w:val="0"/>
                <w:i w:val="0"/>
                <w:sz w:val="22"/>
              </w:rPr>
              <w:t>8</w:t>
            </w:r>
          </w:p>
        </w:tc>
        <w:tc>
          <w:tcPr>
            <w:tcW w:type="dxa" w:w="7314"/>
            <w:shd w:val="clear" w:color="auto" w:fill="F0F2F5"/>
          </w:tcPr>
          <w:p>
            <w:pPr>
              <w:spacing w:after="40" w:before="40"/>
            </w:pPr>
            <w:r/>
            <w:r>
              <w:rPr>
                <w:rFonts w:ascii="Cambria" w:hAnsi="Cambria"/>
                <w:b w:val="0"/>
                <w:i w:val="0"/>
                <w:sz w:val="22"/>
              </w:rPr>
              <w:t>NBA Accreditation Process for Tier-1 Institutions – Criterion 8: Continuous Improvement: Closing the Loop in Outcome-Based Education for Quality Enhancement, Kindle Edition, ASIN: B0FQJ75CNV</w:t>
            </w:r>
          </w:p>
        </w:tc>
        <w:tc>
          <w:tcPr>
            <w:tcW w:type="dxa" w:w="1417"/>
            <w:shd w:val="clear" w:color="auto" w:fill="F0F2F5"/>
          </w:tcPr>
          <w:p>
            <w:pPr>
              <w:spacing w:after="40" w:before="40"/>
            </w:pPr>
            <w:r/>
            <w:r>
              <w:rPr>
                <w:rFonts w:ascii="Cambria" w:hAnsi="Cambria"/>
                <w:b w:val="0"/>
                <w:i w:val="0"/>
                <w:sz w:val="22"/>
              </w:rPr>
              <w:t>https://amzn.in/d/1Vco5Ye</w:t>
            </w:r>
          </w:p>
        </w:tc>
      </w:tr>
      <w:tr>
        <w:tc>
          <w:tcPr>
            <w:tcW w:type="dxa" w:w="680"/>
          </w:tcPr>
          <w:p>
            <w:pPr>
              <w:spacing w:after="40" w:before="40"/>
            </w:pPr>
            <w:r/>
            <w:r>
              <w:rPr>
                <w:rFonts w:ascii="Cambria" w:hAnsi="Cambria"/>
                <w:b w:val="0"/>
                <w:i w:val="0"/>
                <w:sz w:val="22"/>
              </w:rPr>
              <w:t>9</w:t>
            </w:r>
          </w:p>
        </w:tc>
        <w:tc>
          <w:tcPr>
            <w:tcW w:type="dxa" w:w="7314"/>
          </w:tcPr>
          <w:p>
            <w:pPr>
              <w:spacing w:after="40" w:before="40"/>
            </w:pPr>
            <w:r/>
            <w:r>
              <w:rPr>
                <w:rFonts w:ascii="Cambria" w:hAnsi="Cambria"/>
                <w:b w:val="0"/>
                <w:i w:val="0"/>
                <w:sz w:val="22"/>
              </w:rPr>
              <w:t>NBA Accreditation Process for Tier-1 Institutions – Criterion 9: Student Support System and Governance: A Framework for Student Support, Governance, and Institutional Accountability in HEIs, Kindle Edition, ASIN: B0FQJ2KHPC</w:t>
            </w:r>
          </w:p>
        </w:tc>
        <w:tc>
          <w:tcPr>
            <w:tcW w:type="dxa" w:w="1417"/>
          </w:tcPr>
          <w:p>
            <w:pPr>
              <w:spacing w:after="40" w:before="40"/>
            </w:pPr>
            <w:r/>
            <w:r>
              <w:rPr>
                <w:rFonts w:ascii="Cambria" w:hAnsi="Cambria"/>
                <w:b w:val="0"/>
                <w:i w:val="0"/>
                <w:sz w:val="22"/>
              </w:rPr>
              <w:t>https://amzn.in/d/dYBQik0</w:t>
            </w:r>
          </w:p>
        </w:tc>
      </w:tr>
      <w:tr>
        <w:tc>
          <w:tcPr>
            <w:tcW w:type="dxa" w:w="680"/>
            <w:shd w:val="clear" w:color="auto" w:fill="F0F2F5"/>
          </w:tcPr>
          <w:p>
            <w:pPr>
              <w:spacing w:after="40" w:before="40"/>
            </w:pPr>
            <w:r/>
            <w:r>
              <w:rPr>
                <w:rFonts w:ascii="Cambria" w:hAnsi="Cambria"/>
                <w:b w:val="0"/>
                <w:i w:val="0"/>
                <w:sz w:val="22"/>
              </w:rPr>
              <w:t>10</w:t>
            </w:r>
          </w:p>
        </w:tc>
        <w:tc>
          <w:tcPr>
            <w:tcW w:type="dxa" w:w="7314"/>
            <w:shd w:val="clear" w:color="auto" w:fill="F0F2F5"/>
          </w:tcPr>
          <w:p>
            <w:pPr>
              <w:spacing w:after="40" w:before="40"/>
            </w:pPr>
            <w:r/>
            <w:r>
              <w:rPr>
                <w:rFonts w:ascii="Cambria" w:hAnsi="Cambria"/>
                <w:b w:val="0"/>
                <w:i w:val="0"/>
                <w:sz w:val="22"/>
              </w:rPr>
              <w:t>Comprehensive Program-Specific Documentation Framework for National Board of Accreditation (NBA) Accreditation and Re-Accreditation, Kindle Edition, ASIN: B0FVLH85V1</w:t>
            </w:r>
          </w:p>
        </w:tc>
        <w:tc>
          <w:tcPr>
            <w:tcW w:type="dxa" w:w="1417"/>
            <w:shd w:val="clear" w:color="auto" w:fill="F0F2F5"/>
          </w:tcPr>
          <w:p>
            <w:pPr>
              <w:spacing w:after="40" w:before="40"/>
            </w:pPr>
            <w:r/>
            <w:r>
              <w:rPr>
                <w:rFonts w:ascii="Cambria" w:hAnsi="Cambria"/>
                <w:b w:val="0"/>
                <w:i w:val="0"/>
                <w:sz w:val="22"/>
              </w:rPr>
              <w:t>https://amzn.in/d/2l7EdeP</w:t>
            </w:r>
          </w:p>
        </w:tc>
      </w:tr>
      <w:tr>
        <w:tc>
          <w:tcPr>
            <w:tcW w:type="dxa" w:w="680"/>
          </w:tcPr>
          <w:p>
            <w:pPr>
              <w:spacing w:after="40" w:before="40"/>
            </w:pPr>
            <w:r/>
            <w:r>
              <w:rPr>
                <w:rFonts w:ascii="Cambria" w:hAnsi="Cambria"/>
                <w:b w:val="0"/>
                <w:i w:val="0"/>
                <w:sz w:val="22"/>
              </w:rPr>
              <w:t>11</w:t>
            </w:r>
          </w:p>
        </w:tc>
        <w:tc>
          <w:tcPr>
            <w:tcW w:type="dxa" w:w="7314"/>
          </w:tcPr>
          <w:p>
            <w:pPr>
              <w:spacing w:after="40" w:before="40"/>
            </w:pPr>
            <w:r/>
            <w:r>
              <w:rPr>
                <w:rFonts w:ascii="Cambria" w:hAnsi="Cambria"/>
                <w:b w:val="0"/>
                <w:i w:val="0"/>
                <w:sz w:val="22"/>
              </w:rPr>
              <w:t>Comprehensive Institute-Specific Documentation Framework for National Board of Accreditation (NBA) Accreditation and Re-Accreditation, Kindle Edition, ASIN: B0FVMFJR9R</w:t>
            </w:r>
          </w:p>
        </w:tc>
        <w:tc>
          <w:tcPr>
            <w:tcW w:type="dxa" w:w="1417"/>
          </w:tcPr>
          <w:p>
            <w:pPr>
              <w:spacing w:after="40" w:before="40"/>
            </w:pPr>
            <w:r/>
            <w:r>
              <w:rPr>
                <w:rFonts w:ascii="Cambria" w:hAnsi="Cambria"/>
                <w:b w:val="0"/>
                <w:i w:val="0"/>
                <w:sz w:val="22"/>
              </w:rPr>
              <w:t>https://amzn.in/d/h1lRju3</w:t>
            </w:r>
          </w:p>
        </w:tc>
      </w:tr>
      <w:tr>
        <w:tc>
          <w:tcPr>
            <w:tcW w:type="dxa" w:w="680"/>
            <w:shd w:val="clear" w:color="auto" w:fill="F0F2F5"/>
          </w:tcPr>
          <w:p>
            <w:pPr>
              <w:spacing w:after="40" w:before="40"/>
            </w:pPr>
            <w:r/>
            <w:r>
              <w:rPr>
                <w:rFonts w:ascii="Cambria" w:hAnsi="Cambria"/>
                <w:b w:val="0"/>
                <w:i w:val="0"/>
                <w:sz w:val="22"/>
              </w:rPr>
              <w:t>12</w:t>
            </w:r>
          </w:p>
        </w:tc>
        <w:tc>
          <w:tcPr>
            <w:tcW w:type="dxa" w:w="7314"/>
            <w:shd w:val="clear" w:color="auto" w:fill="F0F2F5"/>
          </w:tcPr>
          <w:p>
            <w:pPr>
              <w:spacing w:after="40" w:before="40"/>
            </w:pPr>
            <w:r/>
            <w:r>
              <w:rPr>
                <w:rFonts w:ascii="Cambria" w:hAnsi="Cambria"/>
                <w:b w:val="0"/>
                <w:i w:val="0"/>
                <w:sz w:val="22"/>
              </w:rPr>
              <w:t>NBA Accreditation Process for Tier-2 Institutions – Criterion 8: FIRST YEAR ACADEMICS: Assessment, Evidence Framework, and Continuous Improvement Mechanisms in Foundational Engineering Education, Kindle Edition, ASIN: B0FW4RHR56</w:t>
            </w:r>
          </w:p>
        </w:tc>
        <w:tc>
          <w:tcPr>
            <w:tcW w:type="dxa" w:w="1417"/>
            <w:shd w:val="clear" w:color="auto" w:fill="F0F2F5"/>
          </w:tcPr>
          <w:p>
            <w:pPr>
              <w:spacing w:after="40" w:before="40"/>
            </w:pPr>
            <w:r/>
            <w:r>
              <w:rPr>
                <w:rFonts w:ascii="Cambria" w:hAnsi="Cambria"/>
                <w:b w:val="0"/>
                <w:i w:val="0"/>
                <w:sz w:val="22"/>
              </w:rPr>
              <w:t>https://amzn.in/d/fWEyfEf</w:t>
            </w:r>
          </w:p>
        </w:tc>
      </w:tr>
    </w:tbl>
    <w:p>
      <w:pPr>
        <w:spacing w:after="40"/>
      </w:pPr>
    </w:p>
    <w:p>
      <w:r>
        <w:rPr>
          <w:rFonts w:ascii="Cambria" w:hAnsi="Cambria"/>
          <w:b/>
          <w:i w:val="0"/>
          <w:sz w:val="22"/>
        </w:rPr>
        <w:t>NAAC</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13</w:t>
            </w:r>
          </w:p>
        </w:tc>
        <w:tc>
          <w:tcPr>
            <w:tcW w:type="dxa" w:w="7314"/>
          </w:tcPr>
          <w:p>
            <w:pPr>
              <w:spacing w:after="40" w:before="40"/>
            </w:pPr>
            <w:r/>
            <w:r>
              <w:rPr>
                <w:rFonts w:ascii="Cambria" w:hAnsi="Cambria"/>
                <w:b w:val="0"/>
                <w:i w:val="0"/>
                <w:sz w:val="22"/>
              </w:rPr>
              <w:t>Curricular Aspects under NAAC Accreditation – Criterion 1 for Higher Education Institutions: Ensuring Academic Flexibility, Curriculum Enrichment, and Alignment with NEP 2020, Kindle Edition, ASIN: B0FPR342MM</w:t>
            </w:r>
          </w:p>
        </w:tc>
        <w:tc>
          <w:tcPr>
            <w:tcW w:type="dxa" w:w="1417"/>
          </w:tcPr>
          <w:p>
            <w:pPr>
              <w:spacing w:after="40" w:before="40"/>
            </w:pPr>
            <w:r/>
            <w:r>
              <w:rPr>
                <w:rFonts w:ascii="Cambria" w:hAnsi="Cambria"/>
                <w:b w:val="0"/>
                <w:i w:val="0"/>
                <w:sz w:val="22"/>
              </w:rPr>
              <w:t>https://amzn.in/d/0S10khp</w:t>
            </w:r>
          </w:p>
        </w:tc>
      </w:tr>
      <w:tr>
        <w:tc>
          <w:tcPr>
            <w:tcW w:type="dxa" w:w="680"/>
            <w:shd w:val="clear" w:color="auto" w:fill="F0F2F5"/>
          </w:tcPr>
          <w:p>
            <w:pPr>
              <w:spacing w:after="40" w:before="40"/>
            </w:pPr>
            <w:r/>
            <w:r>
              <w:rPr>
                <w:rFonts w:ascii="Cambria" w:hAnsi="Cambria"/>
                <w:b w:val="0"/>
                <w:i w:val="0"/>
                <w:sz w:val="22"/>
              </w:rPr>
              <w:t>14</w:t>
            </w:r>
          </w:p>
        </w:tc>
        <w:tc>
          <w:tcPr>
            <w:tcW w:type="dxa" w:w="7314"/>
            <w:shd w:val="clear" w:color="auto" w:fill="F0F2F5"/>
          </w:tcPr>
          <w:p>
            <w:pPr>
              <w:spacing w:after="40" w:before="40"/>
            </w:pPr>
            <w:r/>
            <w:r>
              <w:rPr>
                <w:rFonts w:ascii="Cambria" w:hAnsi="Cambria"/>
                <w:b w:val="0"/>
                <w:i w:val="0"/>
                <w:sz w:val="22"/>
              </w:rPr>
              <w:t>Comprehensive Guide for Teaching-Learning and Evaluation under NAAC Accreditation – Criterion 2 for Higher Education Institutions Kindle Edition, ASIN: B0FPRBZ2JH</w:t>
            </w:r>
          </w:p>
        </w:tc>
        <w:tc>
          <w:tcPr>
            <w:tcW w:type="dxa" w:w="1417"/>
            <w:shd w:val="clear" w:color="auto" w:fill="F0F2F5"/>
          </w:tcPr>
          <w:p>
            <w:pPr>
              <w:spacing w:after="40" w:before="40"/>
            </w:pPr>
            <w:r/>
            <w:r>
              <w:rPr>
                <w:rFonts w:ascii="Cambria" w:hAnsi="Cambria"/>
                <w:b w:val="0"/>
                <w:i w:val="0"/>
                <w:sz w:val="22"/>
              </w:rPr>
              <w:t>https://amzn.in/d/37LtI4z</w:t>
            </w:r>
          </w:p>
        </w:tc>
      </w:tr>
      <w:tr>
        <w:tc>
          <w:tcPr>
            <w:tcW w:type="dxa" w:w="680"/>
          </w:tcPr>
          <w:p>
            <w:pPr>
              <w:spacing w:after="40" w:before="40"/>
            </w:pPr>
            <w:r/>
            <w:r>
              <w:rPr>
                <w:rFonts w:ascii="Cambria" w:hAnsi="Cambria"/>
                <w:b w:val="0"/>
                <w:i w:val="0"/>
                <w:sz w:val="22"/>
              </w:rPr>
              <w:t>15</w:t>
            </w:r>
          </w:p>
        </w:tc>
        <w:tc>
          <w:tcPr>
            <w:tcW w:type="dxa" w:w="7314"/>
          </w:tcPr>
          <w:p>
            <w:pPr>
              <w:spacing w:after="40" w:before="40"/>
            </w:pPr>
            <w:r/>
            <w:r>
              <w:rPr>
                <w:rFonts w:ascii="Cambria" w:hAnsi="Cambria"/>
                <w:b w:val="0"/>
                <w:i w:val="0"/>
                <w:sz w:val="22"/>
              </w:rPr>
              <w:t>Comprehensive Guide for Research, Innovations, and Extension under NAAC Accreditation – Criterion 3 for Higher Education Institutions: Quality Assurance in Research, Innovation, and Extension, Kindle Edition, ASIN: B0FR9GFTST</w:t>
            </w:r>
          </w:p>
        </w:tc>
        <w:tc>
          <w:tcPr>
            <w:tcW w:type="dxa" w:w="1417"/>
          </w:tcPr>
          <w:p>
            <w:pPr>
              <w:spacing w:after="40" w:before="40"/>
            </w:pPr>
            <w:r/>
            <w:r>
              <w:rPr>
                <w:rFonts w:ascii="Cambria" w:hAnsi="Cambria"/>
                <w:b w:val="0"/>
                <w:i w:val="0"/>
                <w:sz w:val="22"/>
              </w:rPr>
              <w:t>https://amzn.in/d/06MFYRq</w:t>
            </w:r>
          </w:p>
        </w:tc>
      </w:tr>
      <w:tr>
        <w:tc>
          <w:tcPr>
            <w:tcW w:type="dxa" w:w="680"/>
            <w:shd w:val="clear" w:color="auto" w:fill="F0F2F5"/>
          </w:tcPr>
          <w:p>
            <w:pPr>
              <w:spacing w:after="40" w:before="40"/>
            </w:pPr>
            <w:r/>
            <w:r>
              <w:rPr>
                <w:rFonts w:ascii="Cambria" w:hAnsi="Cambria"/>
                <w:b w:val="0"/>
                <w:i w:val="0"/>
                <w:sz w:val="22"/>
              </w:rPr>
              <w:t>16</w:t>
            </w:r>
          </w:p>
        </w:tc>
        <w:tc>
          <w:tcPr>
            <w:tcW w:type="dxa" w:w="7314"/>
            <w:shd w:val="clear" w:color="auto" w:fill="F0F2F5"/>
          </w:tcPr>
          <w:p>
            <w:pPr>
              <w:spacing w:after="40" w:before="40"/>
            </w:pPr>
            <w:r/>
            <w:r>
              <w:rPr>
                <w:rFonts w:ascii="Cambria" w:hAnsi="Cambria"/>
                <w:b w:val="0"/>
                <w:i w:val="0"/>
                <w:sz w:val="22"/>
              </w:rPr>
              <w:t>Comprehensive Guide for Infrastructure and Learning Resources under NAAC Accreditation – Criterion 4 for Higher Education Institutions: Sustainable, Inclusive, and Future-Ready Learning Ecosystems, Kindle Edition, ASIN: B0FRFFRDPB</w:t>
            </w:r>
          </w:p>
        </w:tc>
        <w:tc>
          <w:tcPr>
            <w:tcW w:type="dxa" w:w="1417"/>
            <w:shd w:val="clear" w:color="auto" w:fill="F0F2F5"/>
          </w:tcPr>
          <w:p>
            <w:pPr>
              <w:spacing w:after="40" w:before="40"/>
            </w:pPr>
            <w:r/>
            <w:r>
              <w:rPr>
                <w:rFonts w:ascii="Cambria" w:hAnsi="Cambria"/>
                <w:b w:val="0"/>
                <w:i w:val="0"/>
                <w:sz w:val="22"/>
              </w:rPr>
              <w:t>https://amzn.in/d/5xlUunj</w:t>
            </w:r>
          </w:p>
        </w:tc>
      </w:tr>
      <w:tr>
        <w:tc>
          <w:tcPr>
            <w:tcW w:type="dxa" w:w="680"/>
          </w:tcPr>
          <w:p>
            <w:pPr>
              <w:spacing w:after="40" w:before="40"/>
            </w:pPr>
            <w:r/>
            <w:r>
              <w:rPr>
                <w:rFonts w:ascii="Cambria" w:hAnsi="Cambria"/>
                <w:b w:val="0"/>
                <w:i w:val="0"/>
                <w:sz w:val="22"/>
              </w:rPr>
              <w:t>17</w:t>
            </w:r>
          </w:p>
        </w:tc>
        <w:tc>
          <w:tcPr>
            <w:tcW w:type="dxa" w:w="7314"/>
          </w:tcPr>
          <w:p>
            <w:pPr>
              <w:spacing w:after="40" w:before="40"/>
            </w:pPr>
            <w:r/>
            <w:r>
              <w:rPr>
                <w:rFonts w:ascii="Cambria" w:hAnsi="Cambria"/>
                <w:b w:val="0"/>
                <w:i w:val="0"/>
                <w:sz w:val="22"/>
              </w:rPr>
              <w:t>Comprehensive Guide for Student Support and Progression under NAAC Accreditation – Criterion 5 for Higher Education Institutions, Kindle Edition, ASIN: B0FRDZKYNG</w:t>
            </w:r>
          </w:p>
        </w:tc>
        <w:tc>
          <w:tcPr>
            <w:tcW w:type="dxa" w:w="1417"/>
          </w:tcPr>
          <w:p>
            <w:pPr>
              <w:spacing w:after="40" w:before="40"/>
            </w:pPr>
            <w:r/>
            <w:r>
              <w:rPr>
                <w:rFonts w:ascii="Cambria" w:hAnsi="Cambria"/>
                <w:b w:val="0"/>
                <w:i w:val="0"/>
                <w:sz w:val="22"/>
              </w:rPr>
              <w:t>https://amzn.in/d/3zP8hvF</w:t>
            </w:r>
          </w:p>
        </w:tc>
      </w:tr>
      <w:tr>
        <w:tc>
          <w:tcPr>
            <w:tcW w:type="dxa" w:w="680"/>
            <w:shd w:val="clear" w:color="auto" w:fill="F0F2F5"/>
          </w:tcPr>
          <w:p>
            <w:pPr>
              <w:spacing w:after="40" w:before="40"/>
            </w:pPr>
            <w:r/>
            <w:r>
              <w:rPr>
                <w:rFonts w:ascii="Cambria" w:hAnsi="Cambria"/>
                <w:b w:val="0"/>
                <w:i w:val="0"/>
                <w:sz w:val="22"/>
              </w:rPr>
              <w:t>18</w:t>
            </w:r>
          </w:p>
        </w:tc>
        <w:tc>
          <w:tcPr>
            <w:tcW w:type="dxa" w:w="7314"/>
            <w:shd w:val="clear" w:color="auto" w:fill="F0F2F5"/>
          </w:tcPr>
          <w:p>
            <w:pPr>
              <w:spacing w:after="40" w:before="40"/>
            </w:pPr>
            <w:r/>
            <w:r>
              <w:rPr>
                <w:rFonts w:ascii="Cambria" w:hAnsi="Cambria"/>
                <w:b w:val="0"/>
                <w:i w:val="0"/>
                <w:sz w:val="22"/>
              </w:rPr>
              <w:t>Comprehensive Guide for Governance, Leadership and Management under NAAC Accreditation – Criterion 6 for Higher Education Institutions, Kindle Edition, ASIN: B0FR8KKXS4</w:t>
            </w:r>
          </w:p>
        </w:tc>
        <w:tc>
          <w:tcPr>
            <w:tcW w:type="dxa" w:w="1417"/>
            <w:shd w:val="clear" w:color="auto" w:fill="F0F2F5"/>
          </w:tcPr>
          <w:p>
            <w:pPr>
              <w:spacing w:after="40" w:before="40"/>
            </w:pPr>
            <w:r/>
            <w:r>
              <w:rPr>
                <w:rFonts w:ascii="Cambria" w:hAnsi="Cambria"/>
                <w:b w:val="0"/>
                <w:i w:val="0"/>
                <w:sz w:val="22"/>
              </w:rPr>
              <w:t>https://amzn.in/d/5dscvoN</w:t>
            </w:r>
          </w:p>
        </w:tc>
      </w:tr>
      <w:tr>
        <w:tc>
          <w:tcPr>
            <w:tcW w:type="dxa" w:w="680"/>
          </w:tcPr>
          <w:p>
            <w:pPr>
              <w:spacing w:after="40" w:before="40"/>
            </w:pPr>
            <w:r/>
            <w:r>
              <w:rPr>
                <w:rFonts w:ascii="Cambria" w:hAnsi="Cambria"/>
                <w:b w:val="0"/>
                <w:i w:val="0"/>
                <w:sz w:val="22"/>
              </w:rPr>
              <w:t>19</w:t>
            </w:r>
          </w:p>
        </w:tc>
        <w:tc>
          <w:tcPr>
            <w:tcW w:type="dxa" w:w="7314"/>
          </w:tcPr>
          <w:p>
            <w:pPr>
              <w:spacing w:after="40" w:before="40"/>
            </w:pPr>
            <w:r/>
            <w:r>
              <w:rPr>
                <w:rFonts w:ascii="Cambria" w:hAnsi="Cambria"/>
                <w:b w:val="0"/>
                <w:i w:val="0"/>
                <w:sz w:val="22"/>
              </w:rPr>
              <w:t>Comprehensive Guide for Institutional Values and Best Practices under NAAC Accreditation – Criterion 7 for Higher Education Institutions: Frameworks, Case Studies, and Evidence for Quality Assurance, Kindle Edition, ASIN: B0FR7WJQJ2</w:t>
            </w:r>
          </w:p>
        </w:tc>
        <w:tc>
          <w:tcPr>
            <w:tcW w:type="dxa" w:w="1417"/>
          </w:tcPr>
          <w:p>
            <w:pPr>
              <w:spacing w:after="40" w:before="40"/>
            </w:pPr>
            <w:r/>
            <w:r>
              <w:rPr>
                <w:rFonts w:ascii="Cambria" w:hAnsi="Cambria"/>
                <w:b w:val="0"/>
                <w:i w:val="0"/>
                <w:sz w:val="22"/>
              </w:rPr>
              <w:t>https://amzn.in/d/6gMGSy4</w:t>
            </w:r>
          </w:p>
        </w:tc>
      </w:tr>
    </w:tbl>
    <w:p>
      <w:pPr>
        <w:spacing w:after="40"/>
      </w:pPr>
    </w:p>
    <w:p>
      <w:r>
        <w:rPr>
          <w:rFonts w:ascii="Cambria" w:hAnsi="Cambria"/>
          <w:b/>
          <w:i w:val="0"/>
          <w:sz w:val="22"/>
        </w:rPr>
        <w:t>QS I-GAUGE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20</w:t>
            </w:r>
          </w:p>
        </w:tc>
        <w:tc>
          <w:tcPr>
            <w:tcW w:type="dxa" w:w="7314"/>
          </w:tcPr>
          <w:p>
            <w:pPr>
              <w:spacing w:after="40" w:before="40"/>
            </w:pPr>
            <w:r/>
            <w:r>
              <w:rPr>
                <w:rFonts w:ascii="Cambria" w:hAnsi="Cambria"/>
                <w:b w:val="0"/>
                <w:i w:val="0"/>
                <w:sz w:val="22"/>
              </w:rPr>
              <w:t>QS I-GAUGE: An Independent Rating Framework for Indian Higher Education, Kindle Edition, ASIN: B0FN4WBGLT</w:t>
            </w:r>
          </w:p>
        </w:tc>
        <w:tc>
          <w:tcPr>
            <w:tcW w:type="dxa" w:w="1417"/>
          </w:tcPr>
          <w:p>
            <w:pPr>
              <w:spacing w:after="40" w:before="40"/>
            </w:pPr>
            <w:r/>
            <w:r>
              <w:rPr>
                <w:rFonts w:ascii="Cambria" w:hAnsi="Cambria"/>
                <w:b w:val="0"/>
                <w:i w:val="0"/>
                <w:sz w:val="22"/>
              </w:rPr>
              <w:t>https://amzn.in/d/2mlYjez</w:t>
            </w:r>
          </w:p>
        </w:tc>
      </w:tr>
    </w:tbl>
    <w:p>
      <w:pPr>
        <w:spacing w:after="40"/>
      </w:pPr>
    </w:p>
    <w:p>
      <w:r>
        <w:rPr>
          <w:rFonts w:ascii="Cambria" w:hAnsi="Cambria"/>
          <w:b/>
          <w:i w:val="0"/>
          <w:sz w:val="22"/>
        </w:rPr>
        <w:t>NIRF</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21</w:t>
            </w:r>
          </w:p>
        </w:tc>
        <w:tc>
          <w:tcPr>
            <w:tcW w:type="dxa" w:w="7314"/>
          </w:tcPr>
          <w:p>
            <w:pPr>
              <w:spacing w:after="40" w:before="40"/>
            </w:pPr>
            <w:r/>
            <w:r>
              <w:rPr>
                <w:rFonts w:ascii="Cambria" w:hAnsi="Cambria"/>
                <w:b w:val="0"/>
                <w:i w:val="0"/>
                <w:sz w:val="22"/>
              </w:rPr>
              <w:t>National Institutional Ranking Framework (NIRF): Transforming Indian Higher Education: A Comprehensive Analysis of Methodology, Parameters, and Impact, Kindle Edition, ASIN: B0FQ5MNVGR</w:t>
            </w:r>
          </w:p>
        </w:tc>
        <w:tc>
          <w:tcPr>
            <w:tcW w:type="dxa" w:w="1417"/>
          </w:tcPr>
          <w:p>
            <w:pPr>
              <w:spacing w:after="40" w:before="40"/>
            </w:pPr>
            <w:r/>
            <w:r>
              <w:rPr>
                <w:rFonts w:ascii="Cambria" w:hAnsi="Cambria"/>
                <w:b w:val="0"/>
                <w:i w:val="0"/>
                <w:sz w:val="22"/>
              </w:rPr>
              <w:t>https://amzn.in/d/hhrZvux</w:t>
            </w:r>
          </w:p>
        </w:tc>
      </w:tr>
    </w:tbl>
    <w:p>
      <w:pPr>
        <w:spacing w:after="40"/>
      </w:pPr>
    </w:p>
    <w:p>
      <w:r>
        <w:rPr>
          <w:rFonts w:ascii="Cambria" w:hAnsi="Cambria"/>
          <w:b/>
          <w:i w:val="0"/>
          <w:sz w:val="22"/>
        </w:rPr>
        <w:t>NEP2020</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22</w:t>
            </w:r>
          </w:p>
        </w:tc>
        <w:tc>
          <w:tcPr>
            <w:tcW w:type="dxa" w:w="7314"/>
          </w:tcPr>
          <w:p>
            <w:pPr>
              <w:spacing w:after="40" w:before="40"/>
            </w:pPr>
            <w:r/>
            <w:r>
              <w:rPr>
                <w:rFonts w:ascii="Cambria" w:hAnsi="Cambria"/>
                <w:b w:val="0"/>
                <w:i w:val="0"/>
                <w:sz w:val="22"/>
              </w:rPr>
              <w:t>National Education Policy 2020: A Transformative Roadmap for Holistic, Inclusive, and Future-Ready Learning in India, Kindle Edition, ASIN: B0F1L321B6</w:t>
            </w:r>
          </w:p>
        </w:tc>
        <w:tc>
          <w:tcPr>
            <w:tcW w:type="dxa" w:w="1417"/>
          </w:tcPr>
          <w:p>
            <w:pPr>
              <w:spacing w:after="40" w:before="40"/>
            </w:pPr>
            <w:r/>
            <w:r>
              <w:rPr>
                <w:rFonts w:ascii="Cambria" w:hAnsi="Cambria"/>
                <w:b w:val="0"/>
                <w:i w:val="0"/>
                <w:sz w:val="22"/>
              </w:rPr>
              <w:t>https://amzn.in/d/eugIo4y</w:t>
            </w:r>
          </w:p>
        </w:tc>
      </w:tr>
    </w:tbl>
    <w:p>
      <w:pPr>
        <w:spacing w:after="40"/>
      </w:pPr>
    </w:p>
    <w:p>
      <w:r>
        <w:rPr>
          <w:rFonts w:ascii="Cambria" w:hAnsi="Cambria"/>
          <w:b/>
          <w:i w:val="0"/>
          <w:sz w:val="22"/>
        </w:rPr>
        <w:t>IQAC</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23</w:t>
            </w:r>
          </w:p>
        </w:tc>
        <w:tc>
          <w:tcPr>
            <w:tcW w:type="dxa" w:w="7314"/>
          </w:tcPr>
          <w:p>
            <w:pPr>
              <w:spacing w:after="40" w:before="40"/>
            </w:pPr>
            <w:r/>
            <w:r>
              <w:rPr>
                <w:rFonts w:ascii="Cambria" w:hAnsi="Cambria"/>
                <w:b w:val="0"/>
                <w:i w:val="0"/>
                <w:sz w:val="22"/>
              </w:rPr>
              <w:t>Internal Quality Assurance Cell (IQAC): A Framework for Sustaining and Enhancing Quality in Higher Education Kindle Edition, ASIN: B0FPLRX4YF</w:t>
            </w:r>
          </w:p>
        </w:tc>
        <w:tc>
          <w:tcPr>
            <w:tcW w:type="dxa" w:w="1417"/>
          </w:tcPr>
          <w:p>
            <w:pPr>
              <w:spacing w:after="40" w:before="40"/>
            </w:pPr>
            <w:r/>
            <w:r>
              <w:rPr>
                <w:rFonts w:ascii="Cambria" w:hAnsi="Cambria"/>
                <w:b w:val="0"/>
                <w:i w:val="0"/>
                <w:sz w:val="22"/>
              </w:rPr>
              <w:t>https://amzn.in/d/8n5aQRb</w:t>
            </w:r>
          </w:p>
        </w:tc>
      </w:tr>
      <w:tr>
        <w:tc>
          <w:tcPr>
            <w:tcW w:type="dxa" w:w="680"/>
            <w:shd w:val="clear" w:color="auto" w:fill="F0F2F5"/>
          </w:tcPr>
          <w:p>
            <w:pPr>
              <w:spacing w:after="40" w:before="40"/>
            </w:pPr>
            <w:r/>
            <w:r>
              <w:rPr>
                <w:rFonts w:ascii="Cambria" w:hAnsi="Cambria"/>
                <w:b w:val="0"/>
                <w:i w:val="0"/>
                <w:sz w:val="22"/>
              </w:rPr>
              <w:t>24</w:t>
            </w:r>
          </w:p>
        </w:tc>
        <w:tc>
          <w:tcPr>
            <w:tcW w:type="dxa" w:w="7314"/>
            <w:shd w:val="clear" w:color="auto" w:fill="F0F2F5"/>
          </w:tcPr>
          <w:p>
            <w:pPr>
              <w:spacing w:after="40" w:before="40"/>
            </w:pPr>
            <w:r/>
            <w:r>
              <w:rPr>
                <w:rFonts w:ascii="Cambria" w:hAnsi="Cambria"/>
                <w:b w:val="0"/>
                <w:i w:val="0"/>
                <w:sz w:val="22"/>
              </w:rPr>
              <w:t>Systematic and Transparent Feedback Mechanism in Higher Education Institutions: Ensuring Continuous Quality Improvement (CQI) and Strengthening NAAC/NBA Accreditation, Kindle Edition, ASIN: B0FPGJ77RC</w:t>
            </w:r>
          </w:p>
        </w:tc>
        <w:tc>
          <w:tcPr>
            <w:tcW w:type="dxa" w:w="1417"/>
            <w:shd w:val="clear" w:color="auto" w:fill="F0F2F5"/>
          </w:tcPr>
          <w:p>
            <w:pPr>
              <w:spacing w:after="40" w:before="40"/>
            </w:pPr>
            <w:r/>
            <w:r>
              <w:rPr>
                <w:rFonts w:ascii="Cambria" w:hAnsi="Cambria"/>
                <w:b w:val="0"/>
                <w:i w:val="0"/>
                <w:sz w:val="22"/>
              </w:rPr>
              <w:t>https://amzn.in/d/emeRiJ3</w:t>
            </w:r>
          </w:p>
        </w:tc>
      </w:tr>
      <w:tr>
        <w:tc>
          <w:tcPr>
            <w:tcW w:type="dxa" w:w="680"/>
          </w:tcPr>
          <w:p>
            <w:pPr>
              <w:spacing w:after="40" w:before="40"/>
            </w:pPr>
            <w:r/>
            <w:r>
              <w:rPr>
                <w:rFonts w:ascii="Cambria" w:hAnsi="Cambria"/>
                <w:b w:val="0"/>
                <w:i w:val="0"/>
                <w:sz w:val="22"/>
              </w:rPr>
              <w:t>25</w:t>
            </w:r>
          </w:p>
        </w:tc>
        <w:tc>
          <w:tcPr>
            <w:tcW w:type="dxa" w:w="7314"/>
          </w:tcPr>
          <w:p>
            <w:pPr>
              <w:spacing w:after="40" w:before="40"/>
            </w:pPr>
            <w:r/>
            <w:r>
              <w:rPr>
                <w:rFonts w:ascii="Cambria" w:hAnsi="Cambria"/>
                <w:b w:val="0"/>
                <w:i w:val="0"/>
                <w:sz w:val="22"/>
              </w:rPr>
              <w:t>Qualitative Metrics (QlM) and Quantitative Metrics (QnM) in Higher Educational Institutions (HEIs): As Applied in NAAC, NBA, and NIRF Frameworks, Kindle Edition, ASIN: B0F6CR212X</w:t>
            </w:r>
          </w:p>
        </w:tc>
        <w:tc>
          <w:tcPr>
            <w:tcW w:type="dxa" w:w="1417"/>
          </w:tcPr>
          <w:p>
            <w:pPr>
              <w:spacing w:after="40" w:before="40"/>
            </w:pPr>
            <w:r/>
            <w:r>
              <w:rPr>
                <w:rFonts w:ascii="Cambria" w:hAnsi="Cambria"/>
                <w:b w:val="0"/>
                <w:i w:val="0"/>
                <w:sz w:val="22"/>
              </w:rPr>
              <w:t>https://amzn.in/d/gUWl02e</w:t>
            </w:r>
          </w:p>
        </w:tc>
      </w:tr>
      <w:tr>
        <w:tc>
          <w:tcPr>
            <w:tcW w:type="dxa" w:w="680"/>
            <w:shd w:val="clear" w:color="auto" w:fill="F0F2F5"/>
          </w:tcPr>
          <w:p>
            <w:pPr>
              <w:spacing w:after="40" w:before="40"/>
            </w:pPr>
            <w:r/>
            <w:r>
              <w:rPr>
                <w:rFonts w:ascii="Cambria" w:hAnsi="Cambria"/>
                <w:b w:val="0"/>
                <w:i w:val="0"/>
                <w:sz w:val="22"/>
              </w:rPr>
              <w:t>26</w:t>
            </w:r>
          </w:p>
        </w:tc>
        <w:tc>
          <w:tcPr>
            <w:tcW w:type="dxa" w:w="7314"/>
            <w:shd w:val="clear" w:color="auto" w:fill="F0F2F5"/>
          </w:tcPr>
          <w:p>
            <w:pPr>
              <w:spacing w:after="40" w:before="40"/>
            </w:pPr>
            <w:r/>
            <w:r>
              <w:rPr>
                <w:rFonts w:ascii="Cambria" w:hAnsi="Cambria"/>
                <w:b w:val="0"/>
                <w:i w:val="0"/>
                <w:sz w:val="22"/>
              </w:rPr>
              <w:t>Statutory and Non-Statutory Committees in Higher Educational Institutions (HEIs): Mandatory by regulatory bodies like AICTE, UGC, NAAC, NBA, etc. Kindle Edition, ASIN: B0F7GHJ863</w:t>
            </w:r>
          </w:p>
        </w:tc>
        <w:tc>
          <w:tcPr>
            <w:tcW w:type="dxa" w:w="1417"/>
            <w:shd w:val="clear" w:color="auto" w:fill="F0F2F5"/>
          </w:tcPr>
          <w:p>
            <w:pPr>
              <w:spacing w:after="40" w:before="40"/>
            </w:pPr>
            <w:r/>
            <w:r>
              <w:rPr>
                <w:rFonts w:ascii="Cambria" w:hAnsi="Cambria"/>
                <w:b w:val="0"/>
                <w:i w:val="0"/>
                <w:sz w:val="22"/>
              </w:rPr>
              <w:t>https://amzn.in/d/gf0LiBn</w:t>
            </w:r>
          </w:p>
        </w:tc>
      </w:tr>
      <w:tr>
        <w:tc>
          <w:tcPr>
            <w:tcW w:type="dxa" w:w="680"/>
          </w:tcPr>
          <w:p>
            <w:pPr>
              <w:spacing w:after="40" w:before="40"/>
            </w:pPr>
            <w:r/>
            <w:r>
              <w:rPr>
                <w:rFonts w:ascii="Cambria" w:hAnsi="Cambria"/>
                <w:b w:val="0"/>
                <w:i w:val="0"/>
                <w:sz w:val="22"/>
              </w:rPr>
              <w:t>27</w:t>
            </w:r>
          </w:p>
        </w:tc>
        <w:tc>
          <w:tcPr>
            <w:tcW w:type="dxa" w:w="7314"/>
          </w:tcPr>
          <w:p>
            <w:pPr>
              <w:spacing w:after="40" w:before="40"/>
            </w:pPr>
            <w:r/>
            <w:r>
              <w:rPr>
                <w:rFonts w:ascii="Cambria" w:hAnsi="Cambria"/>
                <w:b w:val="0"/>
                <w:i w:val="0"/>
                <w:sz w:val="22"/>
              </w:rPr>
              <w:t>Empowering Academic Skilling and Mathematical Modelling through Technical Computing Languages in Higher Education Institutions, Kindle Edition, ASIN: B0FC7TNZNG</w:t>
            </w:r>
          </w:p>
        </w:tc>
        <w:tc>
          <w:tcPr>
            <w:tcW w:type="dxa" w:w="1417"/>
          </w:tcPr>
          <w:p>
            <w:pPr>
              <w:spacing w:after="40" w:before="40"/>
            </w:pPr>
            <w:r/>
            <w:r>
              <w:rPr>
                <w:rFonts w:ascii="Cambria" w:hAnsi="Cambria"/>
                <w:b w:val="0"/>
                <w:i w:val="0"/>
                <w:sz w:val="22"/>
              </w:rPr>
              <w:t>https://amzn.in/d/brIlQwZ</w:t>
            </w:r>
          </w:p>
        </w:tc>
      </w:tr>
      <w:tr>
        <w:tc>
          <w:tcPr>
            <w:tcW w:type="dxa" w:w="680"/>
            <w:shd w:val="clear" w:color="auto" w:fill="F0F2F5"/>
          </w:tcPr>
          <w:p>
            <w:pPr>
              <w:spacing w:after="40" w:before="40"/>
            </w:pPr>
            <w:r/>
            <w:r>
              <w:rPr>
                <w:rFonts w:ascii="Cambria" w:hAnsi="Cambria"/>
                <w:b w:val="0"/>
                <w:i w:val="0"/>
                <w:sz w:val="22"/>
              </w:rPr>
              <w:t>28</w:t>
            </w:r>
          </w:p>
        </w:tc>
        <w:tc>
          <w:tcPr>
            <w:tcW w:type="dxa" w:w="7314"/>
            <w:shd w:val="clear" w:color="auto" w:fill="F0F2F5"/>
          </w:tcPr>
          <w:p>
            <w:pPr>
              <w:spacing w:after="40" w:before="40"/>
            </w:pPr>
            <w:r/>
            <w:r>
              <w:rPr>
                <w:rFonts w:ascii="Cambria" w:hAnsi="Cambria"/>
                <w:b w:val="0"/>
                <w:i w:val="0"/>
                <w:sz w:val="22"/>
              </w:rPr>
              <w:t>Research and Development Transformation in Higher Education Institutions, Kindle Edition, ASIN: B0FB9QFS88</w:t>
            </w:r>
          </w:p>
        </w:tc>
        <w:tc>
          <w:tcPr>
            <w:tcW w:type="dxa" w:w="1417"/>
            <w:shd w:val="clear" w:color="auto" w:fill="F0F2F5"/>
          </w:tcPr>
          <w:p>
            <w:pPr>
              <w:spacing w:after="40" w:before="40"/>
            </w:pPr>
            <w:r/>
            <w:r>
              <w:rPr>
                <w:rFonts w:ascii="Cambria" w:hAnsi="Cambria"/>
                <w:b w:val="0"/>
                <w:i w:val="0"/>
                <w:sz w:val="22"/>
              </w:rPr>
              <w:t>https://amzn.in/d/1uOQZ0o</w:t>
            </w:r>
          </w:p>
        </w:tc>
      </w:tr>
      <w:tr>
        <w:tc>
          <w:tcPr>
            <w:tcW w:type="dxa" w:w="680"/>
          </w:tcPr>
          <w:p>
            <w:pPr>
              <w:spacing w:after="40" w:before="40"/>
            </w:pPr>
            <w:r/>
            <w:r>
              <w:rPr>
                <w:rFonts w:ascii="Cambria" w:hAnsi="Cambria"/>
                <w:b w:val="0"/>
                <w:i w:val="0"/>
                <w:sz w:val="22"/>
              </w:rPr>
              <w:t>29</w:t>
            </w:r>
          </w:p>
        </w:tc>
        <w:tc>
          <w:tcPr>
            <w:tcW w:type="dxa" w:w="7314"/>
          </w:tcPr>
          <w:p>
            <w:pPr>
              <w:spacing w:after="40" w:before="40"/>
            </w:pPr>
            <w:r/>
            <w:r>
              <w:rPr>
                <w:rFonts w:ascii="Cambria" w:hAnsi="Cambria"/>
                <w:b w:val="0"/>
                <w:i w:val="0"/>
                <w:sz w:val="22"/>
              </w:rPr>
              <w:t>Institutional Development Plans in Higher Education: Empowering Institutions for the 21st Century Kindle Edition, ASIN: B0FDBV6D47</w:t>
            </w:r>
          </w:p>
        </w:tc>
        <w:tc>
          <w:tcPr>
            <w:tcW w:type="dxa" w:w="1417"/>
          </w:tcPr>
          <w:p>
            <w:pPr>
              <w:spacing w:after="40" w:before="40"/>
            </w:pPr>
            <w:r/>
            <w:r>
              <w:rPr>
                <w:rFonts w:ascii="Cambria" w:hAnsi="Cambria"/>
                <w:b w:val="0"/>
                <w:i w:val="0"/>
                <w:sz w:val="22"/>
              </w:rPr>
              <w:t>https://amzn.in/d/ckm98I2</w:t>
            </w:r>
          </w:p>
        </w:tc>
      </w:tr>
      <w:tr>
        <w:tc>
          <w:tcPr>
            <w:tcW w:type="dxa" w:w="680"/>
            <w:shd w:val="clear" w:color="auto" w:fill="F0F2F5"/>
          </w:tcPr>
          <w:p>
            <w:pPr>
              <w:spacing w:after="40" w:before="40"/>
            </w:pPr>
            <w:r/>
            <w:r>
              <w:rPr>
                <w:rFonts w:ascii="Cambria" w:hAnsi="Cambria"/>
                <w:b w:val="0"/>
                <w:i w:val="0"/>
                <w:sz w:val="22"/>
              </w:rPr>
              <w:t>30</w:t>
            </w:r>
          </w:p>
        </w:tc>
        <w:tc>
          <w:tcPr>
            <w:tcW w:type="dxa" w:w="7314"/>
            <w:shd w:val="clear" w:color="auto" w:fill="F0F2F5"/>
          </w:tcPr>
          <w:p>
            <w:pPr>
              <w:spacing w:after="40" w:before="40"/>
            </w:pPr>
            <w:r/>
            <w:r>
              <w:rPr>
                <w:rFonts w:ascii="Cambria" w:hAnsi="Cambria"/>
                <w:b w:val="0"/>
                <w:i w:val="0"/>
                <w:sz w:val="22"/>
              </w:rPr>
              <w:t>Comprehensive Academic System in Higher Education Institutions, Kindle Edition, ASIN: B0FF2HDMSG</w:t>
            </w:r>
          </w:p>
        </w:tc>
        <w:tc>
          <w:tcPr>
            <w:tcW w:type="dxa" w:w="1417"/>
            <w:shd w:val="clear" w:color="auto" w:fill="F0F2F5"/>
          </w:tcPr>
          <w:p>
            <w:pPr>
              <w:spacing w:after="40" w:before="40"/>
            </w:pPr>
            <w:r/>
            <w:r>
              <w:rPr>
                <w:rFonts w:ascii="Cambria" w:hAnsi="Cambria"/>
                <w:b w:val="0"/>
                <w:i w:val="0"/>
                <w:sz w:val="22"/>
              </w:rPr>
              <w:t>https://amzn.in/d/dbPMaVL</w:t>
            </w:r>
          </w:p>
        </w:tc>
      </w:tr>
      <w:tr>
        <w:tc>
          <w:tcPr>
            <w:tcW w:type="dxa" w:w="680"/>
          </w:tcPr>
          <w:p>
            <w:pPr>
              <w:spacing w:after="40" w:before="40"/>
            </w:pPr>
            <w:r/>
            <w:r>
              <w:rPr>
                <w:rFonts w:ascii="Cambria" w:hAnsi="Cambria"/>
                <w:b w:val="0"/>
                <w:i w:val="0"/>
                <w:sz w:val="22"/>
              </w:rPr>
              <w:t>31</w:t>
            </w:r>
          </w:p>
        </w:tc>
        <w:tc>
          <w:tcPr>
            <w:tcW w:type="dxa" w:w="7314"/>
          </w:tcPr>
          <w:p>
            <w:pPr>
              <w:spacing w:after="40" w:before="40"/>
            </w:pPr>
            <w:r/>
            <w:r>
              <w:rPr>
                <w:rFonts w:ascii="Cambria" w:hAnsi="Cambria"/>
                <w:b w:val="0"/>
                <w:i w:val="0"/>
                <w:sz w:val="22"/>
              </w:rPr>
              <w:t>Structured Approaches to Teaching, Learning, and Student Engagement in HEIs, Kindle Edition, ASIN: B0DB8QK1B4</w:t>
            </w:r>
          </w:p>
        </w:tc>
        <w:tc>
          <w:tcPr>
            <w:tcW w:type="dxa" w:w="1417"/>
          </w:tcPr>
          <w:p>
            <w:pPr>
              <w:spacing w:after="40" w:before="40"/>
            </w:pPr>
            <w:r/>
            <w:r>
              <w:rPr>
                <w:rFonts w:ascii="Cambria" w:hAnsi="Cambria"/>
                <w:b w:val="0"/>
                <w:i w:val="0"/>
                <w:sz w:val="22"/>
              </w:rPr>
              <w:t>https://amzn.in/d/7jNZrQo</w:t>
            </w:r>
          </w:p>
        </w:tc>
      </w:tr>
      <w:tr>
        <w:tc>
          <w:tcPr>
            <w:tcW w:type="dxa" w:w="680"/>
            <w:shd w:val="clear" w:color="auto" w:fill="F0F2F5"/>
          </w:tcPr>
          <w:p>
            <w:pPr>
              <w:spacing w:after="40" w:before="40"/>
            </w:pPr>
            <w:r/>
            <w:r>
              <w:rPr>
                <w:rFonts w:ascii="Cambria" w:hAnsi="Cambria"/>
                <w:b w:val="0"/>
                <w:i w:val="0"/>
                <w:sz w:val="22"/>
              </w:rPr>
              <w:t>32</w:t>
            </w:r>
          </w:p>
        </w:tc>
        <w:tc>
          <w:tcPr>
            <w:tcW w:type="dxa" w:w="7314"/>
            <w:shd w:val="clear" w:color="auto" w:fill="F0F2F5"/>
          </w:tcPr>
          <w:p>
            <w:pPr>
              <w:spacing w:after="40" w:before="40"/>
            </w:pPr>
            <w:r/>
            <w:r>
              <w:rPr>
                <w:rFonts w:ascii="Cambria" w:hAnsi="Cambria"/>
                <w:b w:val="0"/>
                <w:i w:val="0"/>
                <w:sz w:val="22"/>
              </w:rPr>
              <w:t>Admission Process in Indian Higher Education: A Comprehensive Institutional Guide Kindle Edition, ASIN: B0FFNCPP6P</w:t>
            </w:r>
          </w:p>
        </w:tc>
        <w:tc>
          <w:tcPr>
            <w:tcW w:type="dxa" w:w="1417"/>
            <w:shd w:val="clear" w:color="auto" w:fill="F0F2F5"/>
          </w:tcPr>
          <w:p>
            <w:pPr>
              <w:spacing w:after="40" w:before="40"/>
            </w:pPr>
            <w:r/>
            <w:r>
              <w:rPr>
                <w:rFonts w:ascii="Cambria" w:hAnsi="Cambria"/>
                <w:b w:val="0"/>
                <w:i w:val="0"/>
                <w:sz w:val="22"/>
              </w:rPr>
              <w:t>https://amzn.in/d/0XO6APq</w:t>
            </w:r>
          </w:p>
        </w:tc>
      </w:tr>
      <w:tr>
        <w:tc>
          <w:tcPr>
            <w:tcW w:type="dxa" w:w="680"/>
          </w:tcPr>
          <w:p>
            <w:pPr>
              <w:spacing w:after="40" w:before="40"/>
            </w:pPr>
            <w:r/>
            <w:r>
              <w:rPr>
                <w:rFonts w:ascii="Cambria" w:hAnsi="Cambria"/>
                <w:b w:val="0"/>
                <w:i w:val="0"/>
                <w:sz w:val="22"/>
              </w:rPr>
              <w:t>33</w:t>
            </w:r>
          </w:p>
        </w:tc>
        <w:tc>
          <w:tcPr>
            <w:tcW w:type="dxa" w:w="7314"/>
          </w:tcPr>
          <w:p>
            <w:pPr>
              <w:spacing w:after="40" w:before="40"/>
            </w:pPr>
            <w:r/>
            <w:r>
              <w:rPr>
                <w:rFonts w:ascii="Cambria" w:hAnsi="Cambria"/>
                <w:b w:val="0"/>
                <w:i w:val="0"/>
                <w:sz w:val="22"/>
              </w:rPr>
              <w:t>Strategic Implementation of Best Practices in HEIs: Enhancing Quality, Innovation, and Impact, Kindle Edition, ASIN: B0CZP85QK7</w:t>
            </w:r>
          </w:p>
        </w:tc>
        <w:tc>
          <w:tcPr>
            <w:tcW w:type="dxa" w:w="1417"/>
          </w:tcPr>
          <w:p>
            <w:pPr>
              <w:spacing w:after="40" w:before="40"/>
            </w:pPr>
            <w:r/>
            <w:r>
              <w:rPr>
                <w:rFonts w:ascii="Cambria" w:hAnsi="Cambria"/>
                <w:b w:val="0"/>
                <w:i w:val="0"/>
                <w:sz w:val="22"/>
              </w:rPr>
              <w:t>https://amzn.in/d/5uj5Lkb</w:t>
            </w:r>
          </w:p>
        </w:tc>
      </w:tr>
      <w:tr>
        <w:tc>
          <w:tcPr>
            <w:tcW w:type="dxa" w:w="680"/>
            <w:shd w:val="clear" w:color="auto" w:fill="F0F2F5"/>
          </w:tcPr>
          <w:p>
            <w:pPr>
              <w:spacing w:after="40" w:before="40"/>
            </w:pPr>
            <w:r/>
            <w:r>
              <w:rPr>
                <w:rFonts w:ascii="Cambria" w:hAnsi="Cambria"/>
                <w:b w:val="0"/>
                <w:i w:val="0"/>
                <w:sz w:val="22"/>
              </w:rPr>
              <w:t>34</w:t>
            </w:r>
          </w:p>
        </w:tc>
        <w:tc>
          <w:tcPr>
            <w:tcW w:type="dxa" w:w="7314"/>
            <w:shd w:val="clear" w:color="auto" w:fill="F0F2F5"/>
          </w:tcPr>
          <w:p>
            <w:pPr>
              <w:spacing w:after="40" w:before="40"/>
            </w:pPr>
            <w:r/>
            <w:r>
              <w:rPr>
                <w:rFonts w:ascii="Cambria" w:hAnsi="Cambria"/>
                <w:b w:val="0"/>
                <w:i w:val="0"/>
                <w:sz w:val="22"/>
              </w:rPr>
              <w:t>Outcome-Based Education in Higher Learning: Philosophy, Design, and Impact, Kindle Edition, ASIN: B0FPCB5GHH</w:t>
            </w:r>
          </w:p>
        </w:tc>
        <w:tc>
          <w:tcPr>
            <w:tcW w:type="dxa" w:w="1417"/>
            <w:shd w:val="clear" w:color="auto" w:fill="F0F2F5"/>
          </w:tcPr>
          <w:p>
            <w:pPr>
              <w:spacing w:after="40" w:before="40"/>
            </w:pPr>
            <w:r/>
            <w:r>
              <w:rPr>
                <w:rFonts w:ascii="Cambria" w:hAnsi="Cambria"/>
                <w:b w:val="0"/>
                <w:i w:val="0"/>
                <w:sz w:val="22"/>
              </w:rPr>
              <w:t>https://amzn.in/d/3oGmnue</w:t>
            </w:r>
          </w:p>
        </w:tc>
      </w:tr>
      <w:tr>
        <w:tc>
          <w:tcPr>
            <w:tcW w:type="dxa" w:w="680"/>
          </w:tcPr>
          <w:p>
            <w:pPr>
              <w:spacing w:after="40" w:before="40"/>
            </w:pPr>
            <w:r/>
            <w:r>
              <w:rPr>
                <w:rFonts w:ascii="Cambria" w:hAnsi="Cambria"/>
                <w:b w:val="0"/>
                <w:i w:val="0"/>
                <w:sz w:val="22"/>
              </w:rPr>
              <w:t>35</w:t>
            </w:r>
          </w:p>
        </w:tc>
        <w:tc>
          <w:tcPr>
            <w:tcW w:type="dxa" w:w="7314"/>
          </w:tcPr>
          <w:p>
            <w:pPr>
              <w:spacing w:after="40" w:before="40"/>
            </w:pPr>
            <w:r/>
            <w:r>
              <w:rPr>
                <w:rFonts w:ascii="Cambria" w:hAnsi="Cambria"/>
                <w:b w:val="0"/>
                <w:i w:val="0"/>
                <w:sz w:val="22"/>
              </w:rPr>
              <w:t>Holistic Performance Appraisal and Development: Driving Continuous Quality in Higher Education Institutions, Kindle Edition, ASIN: B0FQN2S8WH</w:t>
            </w:r>
          </w:p>
        </w:tc>
        <w:tc>
          <w:tcPr>
            <w:tcW w:type="dxa" w:w="1417"/>
          </w:tcPr>
          <w:p>
            <w:pPr>
              <w:spacing w:after="40" w:before="40"/>
            </w:pPr>
            <w:r/>
            <w:r>
              <w:rPr>
                <w:rFonts w:ascii="Cambria" w:hAnsi="Cambria"/>
                <w:b w:val="0"/>
                <w:i w:val="0"/>
                <w:sz w:val="22"/>
              </w:rPr>
              <w:t>https://amzn.in/d/bipHsu8</w:t>
            </w:r>
          </w:p>
        </w:tc>
      </w:tr>
      <w:tr>
        <w:tc>
          <w:tcPr>
            <w:tcW w:type="dxa" w:w="680"/>
            <w:shd w:val="clear" w:color="auto" w:fill="F0F2F5"/>
          </w:tcPr>
          <w:p>
            <w:pPr>
              <w:spacing w:after="40" w:before="40"/>
            </w:pPr>
            <w:r/>
            <w:r>
              <w:rPr>
                <w:rFonts w:ascii="Cambria" w:hAnsi="Cambria"/>
                <w:b w:val="0"/>
                <w:i w:val="0"/>
                <w:sz w:val="22"/>
              </w:rPr>
              <w:t>36</w:t>
            </w:r>
          </w:p>
        </w:tc>
        <w:tc>
          <w:tcPr>
            <w:tcW w:type="dxa" w:w="7314"/>
            <w:shd w:val="clear" w:color="auto" w:fill="F0F2F5"/>
          </w:tcPr>
          <w:p>
            <w:pPr>
              <w:spacing w:after="40" w:before="40"/>
            </w:pPr>
            <w:r/>
            <w:r>
              <w:rPr>
                <w:rFonts w:ascii="Cambria" w:hAnsi="Cambria"/>
                <w:b w:val="0"/>
                <w:i w:val="0"/>
                <w:sz w:val="22"/>
              </w:rPr>
              <w:t>Comprehensive Code of Ethics and Conduct for Students in Higher Education Institutions, Kindle Edition, ASIN: B0FQS7V248</w:t>
            </w:r>
          </w:p>
        </w:tc>
        <w:tc>
          <w:tcPr>
            <w:tcW w:type="dxa" w:w="1417"/>
            <w:shd w:val="clear" w:color="auto" w:fill="F0F2F5"/>
          </w:tcPr>
          <w:p>
            <w:pPr>
              <w:spacing w:after="40" w:before="40"/>
            </w:pPr>
            <w:r/>
            <w:r>
              <w:rPr>
                <w:rFonts w:ascii="Cambria" w:hAnsi="Cambria"/>
                <w:b w:val="0"/>
                <w:i w:val="0"/>
                <w:sz w:val="22"/>
              </w:rPr>
              <w:t>https://amzn.in/d/6jfKQnI</w:t>
            </w:r>
          </w:p>
        </w:tc>
      </w:tr>
      <w:tr>
        <w:tc>
          <w:tcPr>
            <w:tcW w:type="dxa" w:w="680"/>
          </w:tcPr>
          <w:p>
            <w:pPr>
              <w:spacing w:after="40" w:before="40"/>
            </w:pPr>
            <w:r/>
            <w:r>
              <w:rPr>
                <w:rFonts w:ascii="Cambria" w:hAnsi="Cambria"/>
                <w:b w:val="0"/>
                <w:i w:val="0"/>
                <w:sz w:val="22"/>
              </w:rPr>
              <w:t>37</w:t>
            </w:r>
          </w:p>
        </w:tc>
        <w:tc>
          <w:tcPr>
            <w:tcW w:type="dxa" w:w="7314"/>
          </w:tcPr>
          <w:p>
            <w:pPr>
              <w:spacing w:after="40" w:before="40"/>
            </w:pPr>
            <w:r/>
            <w:r>
              <w:rPr>
                <w:rFonts w:ascii="Cambria" w:hAnsi="Cambria"/>
                <w:b w:val="0"/>
                <w:i w:val="0"/>
                <w:sz w:val="22"/>
              </w:rPr>
              <w:t>Industry Internship Program: Structure, Guidelines, and Evaluation Framework: Enhancing Employability and Industry Linkages in HEIs, Kindle Edition, ASIN: B0FQLF8385</w:t>
            </w:r>
          </w:p>
        </w:tc>
        <w:tc>
          <w:tcPr>
            <w:tcW w:type="dxa" w:w="1417"/>
          </w:tcPr>
          <w:p>
            <w:pPr>
              <w:spacing w:after="40" w:before="40"/>
            </w:pPr>
            <w:r/>
            <w:r>
              <w:rPr>
                <w:rFonts w:ascii="Cambria" w:hAnsi="Cambria"/>
                <w:b w:val="0"/>
                <w:i w:val="0"/>
                <w:sz w:val="22"/>
              </w:rPr>
              <w:t>https://amzn.in/d/8scRAIj</w:t>
            </w:r>
          </w:p>
        </w:tc>
      </w:tr>
      <w:tr>
        <w:tc>
          <w:tcPr>
            <w:tcW w:type="dxa" w:w="680"/>
            <w:shd w:val="clear" w:color="auto" w:fill="F0F2F5"/>
          </w:tcPr>
          <w:p>
            <w:pPr>
              <w:spacing w:after="40" w:before="40"/>
            </w:pPr>
            <w:r/>
            <w:r>
              <w:rPr>
                <w:rFonts w:ascii="Cambria" w:hAnsi="Cambria"/>
                <w:b w:val="0"/>
                <w:i w:val="0"/>
                <w:sz w:val="22"/>
              </w:rPr>
              <w:t>38</w:t>
            </w:r>
          </w:p>
        </w:tc>
        <w:tc>
          <w:tcPr>
            <w:tcW w:type="dxa" w:w="7314"/>
            <w:shd w:val="clear" w:color="auto" w:fill="F0F2F5"/>
          </w:tcPr>
          <w:p>
            <w:pPr>
              <w:spacing w:after="40" w:before="40"/>
            </w:pPr>
            <w:r/>
            <w:r>
              <w:rPr>
                <w:rFonts w:ascii="Cambria" w:hAnsi="Cambria"/>
                <w:b w:val="0"/>
                <w:i w:val="0"/>
                <w:sz w:val="22"/>
              </w:rPr>
              <w:t>Energy Management and Audit in Indian Educational Institutions: A Blueprint for Sustainable Growth: Mapping Institutional Energy Management to NAAC Criteria, SDG Goals, and QS I-GAUGE Standards, Kindle Edition, ASIN: B0FQZNSBJ5</w:t>
            </w:r>
          </w:p>
        </w:tc>
        <w:tc>
          <w:tcPr>
            <w:tcW w:type="dxa" w:w="1417"/>
            <w:shd w:val="clear" w:color="auto" w:fill="F0F2F5"/>
          </w:tcPr>
          <w:p>
            <w:pPr>
              <w:spacing w:after="40" w:before="40"/>
            </w:pPr>
            <w:r/>
            <w:r>
              <w:rPr>
                <w:rFonts w:ascii="Cambria" w:hAnsi="Cambria"/>
                <w:b w:val="0"/>
                <w:i w:val="0"/>
                <w:sz w:val="22"/>
              </w:rPr>
              <w:t>https://amzn.in/d/eKx5NC9</w:t>
            </w:r>
          </w:p>
        </w:tc>
      </w:tr>
      <w:tr>
        <w:tc>
          <w:tcPr>
            <w:tcW w:type="dxa" w:w="680"/>
          </w:tcPr>
          <w:p>
            <w:pPr>
              <w:spacing w:after="40" w:before="40"/>
            </w:pPr>
            <w:r/>
            <w:r>
              <w:rPr>
                <w:rFonts w:ascii="Cambria" w:hAnsi="Cambria"/>
                <w:b w:val="0"/>
                <w:i w:val="0"/>
                <w:sz w:val="22"/>
              </w:rPr>
              <w:t>39</w:t>
            </w:r>
          </w:p>
        </w:tc>
        <w:tc>
          <w:tcPr>
            <w:tcW w:type="dxa" w:w="7314"/>
          </w:tcPr>
          <w:p>
            <w:pPr>
              <w:spacing w:after="40" w:before="40"/>
            </w:pPr>
            <w:r/>
            <w:r>
              <w:rPr>
                <w:rFonts w:ascii="Cambria" w:hAnsi="Cambria"/>
                <w:b w:val="0"/>
                <w:i w:val="0"/>
                <w:sz w:val="22"/>
              </w:rPr>
              <w:t>Financial Operations and Management Policy in Higher Education Institutions: A Comprehensive Framework Linking Finance Policy to NAAC, NBA, NIRF, QS I-GAUGE, and SDGs, Kindle Edition, ASIN: B0FR1P216J</w:t>
            </w:r>
          </w:p>
        </w:tc>
        <w:tc>
          <w:tcPr>
            <w:tcW w:type="dxa" w:w="1417"/>
          </w:tcPr>
          <w:p>
            <w:pPr>
              <w:spacing w:after="40" w:before="40"/>
            </w:pPr>
            <w:r/>
            <w:r>
              <w:rPr>
                <w:rFonts w:ascii="Cambria" w:hAnsi="Cambria"/>
                <w:b w:val="0"/>
                <w:i w:val="0"/>
                <w:sz w:val="22"/>
              </w:rPr>
              <w:t>https://amzn.in/d/8st88zc</w:t>
            </w:r>
          </w:p>
        </w:tc>
      </w:tr>
      <w:tr>
        <w:tc>
          <w:tcPr>
            <w:tcW w:type="dxa" w:w="680"/>
            <w:shd w:val="clear" w:color="auto" w:fill="F0F2F5"/>
          </w:tcPr>
          <w:p>
            <w:pPr>
              <w:spacing w:after="40" w:before="40"/>
            </w:pPr>
            <w:r/>
            <w:r>
              <w:rPr>
                <w:rFonts w:ascii="Cambria" w:hAnsi="Cambria"/>
                <w:b w:val="0"/>
                <w:i w:val="0"/>
                <w:sz w:val="22"/>
              </w:rPr>
              <w:t>40</w:t>
            </w:r>
          </w:p>
        </w:tc>
        <w:tc>
          <w:tcPr>
            <w:tcW w:type="dxa" w:w="7314"/>
            <w:shd w:val="clear" w:color="auto" w:fill="F0F2F5"/>
          </w:tcPr>
          <w:p>
            <w:pPr>
              <w:spacing w:after="40" w:before="40"/>
            </w:pPr>
            <w:r/>
            <w:r>
              <w:rPr>
                <w:rFonts w:ascii="Cambria" w:hAnsi="Cambria"/>
                <w:b w:val="0"/>
                <w:i w:val="0"/>
                <w:sz w:val="22"/>
              </w:rPr>
              <w:t>Comprehensive Policy Framework for Sustainable Water Management, Conservation, and Auditing in Higher Education Institutions, Kindle Edition, ASIN: B0FR31X1BC</w:t>
            </w:r>
          </w:p>
        </w:tc>
        <w:tc>
          <w:tcPr>
            <w:tcW w:type="dxa" w:w="1417"/>
            <w:shd w:val="clear" w:color="auto" w:fill="F0F2F5"/>
          </w:tcPr>
          <w:p>
            <w:pPr>
              <w:spacing w:after="40" w:before="40"/>
            </w:pPr>
            <w:r/>
            <w:r>
              <w:rPr>
                <w:rFonts w:ascii="Cambria" w:hAnsi="Cambria"/>
                <w:b w:val="0"/>
                <w:i w:val="0"/>
                <w:sz w:val="22"/>
              </w:rPr>
              <w:t>https://amzn.in/d/3i40Lf1</w:t>
            </w:r>
          </w:p>
        </w:tc>
      </w:tr>
      <w:tr>
        <w:tc>
          <w:tcPr>
            <w:tcW w:type="dxa" w:w="680"/>
          </w:tcPr>
          <w:p>
            <w:pPr>
              <w:spacing w:after="40" w:before="40"/>
            </w:pPr>
            <w:r/>
            <w:r>
              <w:rPr>
                <w:rFonts w:ascii="Cambria" w:hAnsi="Cambria"/>
                <w:b w:val="0"/>
                <w:i w:val="0"/>
                <w:sz w:val="22"/>
              </w:rPr>
              <w:t>41</w:t>
            </w:r>
          </w:p>
        </w:tc>
        <w:tc>
          <w:tcPr>
            <w:tcW w:type="dxa" w:w="7314"/>
          </w:tcPr>
          <w:p>
            <w:pPr>
              <w:spacing w:after="40" w:before="40"/>
            </w:pPr>
            <w:r/>
            <w:r>
              <w:rPr>
                <w:rFonts w:ascii="Cambria" w:hAnsi="Cambria"/>
                <w:b w:val="0"/>
                <w:i w:val="0"/>
                <w:sz w:val="22"/>
              </w:rPr>
              <w:t>Comprehensive Framework for Student Grievance, Counselling, Anti-Ragging, and Internal Complaints in HEIs: Mapping Student Support and Protection Mechanisms to NAAC, NBA, NIRF, QS I-GAUGE, and SDGs, Kindle Edition, ASIN: B0FR58L1G8</w:t>
            </w:r>
          </w:p>
        </w:tc>
        <w:tc>
          <w:tcPr>
            <w:tcW w:type="dxa" w:w="1417"/>
          </w:tcPr>
          <w:p>
            <w:pPr>
              <w:spacing w:after="40" w:before="40"/>
            </w:pPr>
            <w:r/>
            <w:r>
              <w:rPr>
                <w:rFonts w:ascii="Cambria" w:hAnsi="Cambria"/>
                <w:b w:val="0"/>
                <w:i w:val="0"/>
                <w:sz w:val="22"/>
              </w:rPr>
              <w:t>https://amzn.in/d/gXvdCpx</w:t>
            </w:r>
          </w:p>
        </w:tc>
      </w:tr>
      <w:tr>
        <w:tc>
          <w:tcPr>
            <w:tcW w:type="dxa" w:w="680"/>
            <w:shd w:val="clear" w:color="auto" w:fill="F0F2F5"/>
          </w:tcPr>
          <w:p>
            <w:pPr>
              <w:spacing w:after="40" w:before="40"/>
            </w:pPr>
            <w:r/>
            <w:r>
              <w:rPr>
                <w:rFonts w:ascii="Cambria" w:hAnsi="Cambria"/>
                <w:b w:val="0"/>
                <w:i w:val="0"/>
                <w:sz w:val="22"/>
              </w:rPr>
              <w:t>42</w:t>
            </w:r>
          </w:p>
        </w:tc>
        <w:tc>
          <w:tcPr>
            <w:tcW w:type="dxa" w:w="7314"/>
            <w:shd w:val="clear" w:color="auto" w:fill="F0F2F5"/>
          </w:tcPr>
          <w:p>
            <w:pPr>
              <w:spacing w:after="40" w:before="40"/>
            </w:pPr>
            <w:r/>
            <w:r>
              <w:rPr>
                <w:rFonts w:ascii="Cambria" w:hAnsi="Cambria"/>
                <w:b w:val="0"/>
                <w:i w:val="0"/>
                <w:sz w:val="22"/>
              </w:rPr>
              <w:t>Student Affairs Policy for Higher Education Institutions (HEIs): Aligning Student Development with NAAC, NBA, NIRF, QS I-GAUGE, and SDG Standards, Kindle Edition, ASIN: B0FR4GW6RB</w:t>
            </w:r>
          </w:p>
        </w:tc>
        <w:tc>
          <w:tcPr>
            <w:tcW w:type="dxa" w:w="1417"/>
            <w:shd w:val="clear" w:color="auto" w:fill="F0F2F5"/>
          </w:tcPr>
          <w:p>
            <w:pPr>
              <w:spacing w:after="40" w:before="40"/>
            </w:pPr>
            <w:r/>
            <w:r>
              <w:rPr>
                <w:rFonts w:ascii="Cambria" w:hAnsi="Cambria"/>
                <w:b w:val="0"/>
                <w:i w:val="0"/>
                <w:sz w:val="22"/>
              </w:rPr>
              <w:t>https://amzn.in/d/2zTHV0B</w:t>
            </w:r>
          </w:p>
        </w:tc>
      </w:tr>
      <w:tr>
        <w:tc>
          <w:tcPr>
            <w:tcW w:type="dxa" w:w="680"/>
          </w:tcPr>
          <w:p>
            <w:pPr>
              <w:spacing w:after="40" w:before="40"/>
            </w:pPr>
            <w:r/>
            <w:r>
              <w:rPr>
                <w:rFonts w:ascii="Cambria" w:hAnsi="Cambria"/>
                <w:b w:val="0"/>
                <w:i w:val="0"/>
                <w:sz w:val="22"/>
              </w:rPr>
              <w:t>43</w:t>
            </w:r>
          </w:p>
        </w:tc>
        <w:tc>
          <w:tcPr>
            <w:tcW w:type="dxa" w:w="7314"/>
          </w:tcPr>
          <w:p>
            <w:pPr>
              <w:spacing w:after="40" w:before="40"/>
            </w:pPr>
            <w:r/>
            <w:r>
              <w:rPr>
                <w:rFonts w:ascii="Cambria" w:hAnsi="Cambria"/>
                <w:b w:val="0"/>
                <w:i w:val="0"/>
                <w:sz w:val="22"/>
              </w:rPr>
              <w:t>Extension and Outreach Services in Higher Education: Leadership, Governance, and Community Engagement Strategies, Kindle Edition, ASIN: B0FRLHXR1G</w:t>
            </w:r>
          </w:p>
        </w:tc>
        <w:tc>
          <w:tcPr>
            <w:tcW w:type="dxa" w:w="1417"/>
          </w:tcPr>
          <w:p>
            <w:pPr>
              <w:spacing w:after="40" w:before="40"/>
            </w:pPr>
            <w:r/>
            <w:r>
              <w:rPr>
                <w:rFonts w:ascii="Cambria" w:hAnsi="Cambria"/>
                <w:b w:val="0"/>
                <w:i w:val="0"/>
                <w:sz w:val="22"/>
              </w:rPr>
              <w:t>https://amzn.in/d/9NE2wGs</w:t>
            </w:r>
          </w:p>
        </w:tc>
      </w:tr>
      <w:tr>
        <w:tc>
          <w:tcPr>
            <w:tcW w:type="dxa" w:w="680"/>
            <w:shd w:val="clear" w:color="auto" w:fill="F0F2F5"/>
          </w:tcPr>
          <w:p>
            <w:pPr>
              <w:spacing w:after="40" w:before="40"/>
            </w:pPr>
            <w:r/>
            <w:r>
              <w:rPr>
                <w:rFonts w:ascii="Cambria" w:hAnsi="Cambria"/>
                <w:b w:val="0"/>
                <w:i w:val="0"/>
                <w:sz w:val="22"/>
              </w:rPr>
              <w:t>44</w:t>
            </w:r>
          </w:p>
        </w:tc>
        <w:tc>
          <w:tcPr>
            <w:tcW w:type="dxa" w:w="7314"/>
            <w:shd w:val="clear" w:color="auto" w:fill="F0F2F5"/>
          </w:tcPr>
          <w:p>
            <w:pPr>
              <w:spacing w:after="40" w:before="40"/>
            </w:pPr>
            <w:r/>
            <w:r>
              <w:rPr>
                <w:rFonts w:ascii="Cambria" w:hAnsi="Cambria"/>
                <w:b w:val="0"/>
                <w:i w:val="0"/>
                <w:sz w:val="22"/>
              </w:rPr>
              <w:t>Central Library: Policies, Procedures, and Best Practices in Higher Education Institutions: Aligning with NAAC, NIRF, NBA, and QS-I Gauge Standards, Kindle Edition, ASIN: B0FRMKX2BX</w:t>
            </w:r>
          </w:p>
        </w:tc>
        <w:tc>
          <w:tcPr>
            <w:tcW w:type="dxa" w:w="1417"/>
            <w:shd w:val="clear" w:color="auto" w:fill="F0F2F5"/>
          </w:tcPr>
          <w:p>
            <w:pPr>
              <w:spacing w:after="40" w:before="40"/>
            </w:pPr>
            <w:r/>
            <w:r>
              <w:rPr>
                <w:rFonts w:ascii="Cambria" w:hAnsi="Cambria"/>
                <w:b w:val="0"/>
                <w:i w:val="0"/>
                <w:sz w:val="22"/>
              </w:rPr>
              <w:t>https://amzn.in/d/9Qfr8S0</w:t>
            </w:r>
          </w:p>
        </w:tc>
      </w:tr>
      <w:tr>
        <w:tc>
          <w:tcPr>
            <w:tcW w:type="dxa" w:w="680"/>
          </w:tcPr>
          <w:p>
            <w:pPr>
              <w:spacing w:after="40" w:before="40"/>
            </w:pPr>
            <w:r/>
            <w:r>
              <w:rPr>
                <w:rFonts w:ascii="Cambria" w:hAnsi="Cambria"/>
                <w:b w:val="0"/>
                <w:i w:val="0"/>
                <w:sz w:val="22"/>
              </w:rPr>
              <w:t>45</w:t>
            </w:r>
          </w:p>
        </w:tc>
        <w:tc>
          <w:tcPr>
            <w:tcW w:type="dxa" w:w="7314"/>
          </w:tcPr>
          <w:p>
            <w:pPr>
              <w:spacing w:after="40" w:before="40"/>
            </w:pPr>
            <w:r/>
            <w:r>
              <w:rPr>
                <w:rFonts w:ascii="Cambria" w:hAnsi="Cambria"/>
                <w:b w:val="0"/>
                <w:i w:val="0"/>
                <w:sz w:val="22"/>
              </w:rPr>
              <w:t>Institutional Policy on Publishing in Higher Education Institutions: Frameworks, Standards, and Best Practices for NAAC, NBA, NIRF, and QS I-GAUGE Compliance, Kindle Edition, ASIN: B0FRRBM6HD</w:t>
            </w:r>
          </w:p>
        </w:tc>
        <w:tc>
          <w:tcPr>
            <w:tcW w:type="dxa" w:w="1417"/>
          </w:tcPr>
          <w:p>
            <w:pPr>
              <w:spacing w:after="40" w:before="40"/>
            </w:pPr>
            <w:r/>
            <w:r>
              <w:rPr>
                <w:rFonts w:ascii="Cambria" w:hAnsi="Cambria"/>
                <w:b w:val="0"/>
                <w:i w:val="0"/>
                <w:sz w:val="22"/>
              </w:rPr>
              <w:t>https://amzn.in/d/0bYPpGu</w:t>
            </w:r>
          </w:p>
        </w:tc>
      </w:tr>
      <w:tr>
        <w:tc>
          <w:tcPr>
            <w:tcW w:type="dxa" w:w="680"/>
            <w:shd w:val="clear" w:color="auto" w:fill="F0F2F5"/>
          </w:tcPr>
          <w:p>
            <w:pPr>
              <w:spacing w:after="40" w:before="40"/>
            </w:pPr>
            <w:r/>
            <w:r>
              <w:rPr>
                <w:rFonts w:ascii="Cambria" w:hAnsi="Cambria"/>
                <w:b w:val="0"/>
                <w:i w:val="0"/>
                <w:sz w:val="22"/>
              </w:rPr>
              <w:t>46</w:t>
            </w:r>
          </w:p>
        </w:tc>
        <w:tc>
          <w:tcPr>
            <w:tcW w:type="dxa" w:w="7314"/>
            <w:shd w:val="clear" w:color="auto" w:fill="F0F2F5"/>
          </w:tcPr>
          <w:p>
            <w:pPr>
              <w:spacing w:after="40" w:before="40"/>
            </w:pPr>
            <w:r/>
            <w:r>
              <w:rPr>
                <w:rFonts w:ascii="Cambria" w:hAnsi="Cambria"/>
                <w:b w:val="0"/>
                <w:i w:val="0"/>
                <w:sz w:val="22"/>
              </w:rPr>
              <w:t>IT Services in Higher Education Institutions (HEIs): Policies, Registers, and Best Practices: Aligning IT Services in HEIs with NAAC, NBA, NIRF, and QS I-GAUGE Accreditation Frameworks, Kindle Edition, ASIN: B0FRRD3W8C</w:t>
            </w:r>
          </w:p>
        </w:tc>
        <w:tc>
          <w:tcPr>
            <w:tcW w:type="dxa" w:w="1417"/>
            <w:shd w:val="clear" w:color="auto" w:fill="F0F2F5"/>
          </w:tcPr>
          <w:p>
            <w:pPr>
              <w:spacing w:after="40" w:before="40"/>
            </w:pPr>
            <w:r/>
            <w:r>
              <w:rPr>
                <w:rFonts w:ascii="Cambria" w:hAnsi="Cambria"/>
                <w:b w:val="0"/>
                <w:i w:val="0"/>
                <w:sz w:val="22"/>
              </w:rPr>
              <w:t>https://amzn.in/d/5wXPUFs</w:t>
            </w:r>
          </w:p>
        </w:tc>
      </w:tr>
      <w:tr>
        <w:tc>
          <w:tcPr>
            <w:tcW w:type="dxa" w:w="680"/>
          </w:tcPr>
          <w:p>
            <w:pPr>
              <w:spacing w:after="40" w:before="40"/>
            </w:pPr>
            <w:r/>
            <w:r>
              <w:rPr>
                <w:rFonts w:ascii="Cambria" w:hAnsi="Cambria"/>
                <w:b w:val="0"/>
                <w:i w:val="0"/>
                <w:sz w:val="22"/>
              </w:rPr>
              <w:t>47</w:t>
            </w:r>
          </w:p>
        </w:tc>
        <w:tc>
          <w:tcPr>
            <w:tcW w:type="dxa" w:w="7314"/>
          </w:tcPr>
          <w:p>
            <w:pPr>
              <w:spacing w:after="40" w:before="40"/>
            </w:pPr>
            <w:r/>
            <w:r>
              <w:rPr>
                <w:rFonts w:ascii="Cambria" w:hAnsi="Cambria"/>
                <w:b w:val="0"/>
                <w:i w:val="0"/>
                <w:sz w:val="22"/>
              </w:rPr>
              <w:t>Physical Facilities, Maintenance, and Construction in Higher Education Institutions (HEIs): Registers, Audit Frameworks, and Accreditation Evidence for NAAC, NIRF, QS I-GAUGE, and NBA, Kindle Edition, ASIN: B0FRYFGLHC</w:t>
            </w:r>
          </w:p>
        </w:tc>
        <w:tc>
          <w:tcPr>
            <w:tcW w:type="dxa" w:w="1417"/>
          </w:tcPr>
          <w:p>
            <w:pPr>
              <w:spacing w:after="40" w:before="40"/>
            </w:pPr>
            <w:r/>
            <w:r>
              <w:rPr>
                <w:rFonts w:ascii="Cambria" w:hAnsi="Cambria"/>
                <w:b w:val="0"/>
                <w:i w:val="0"/>
                <w:sz w:val="22"/>
              </w:rPr>
              <w:t>https://amzn.in/d/fdm0ipL</w:t>
            </w:r>
          </w:p>
        </w:tc>
      </w:tr>
      <w:tr>
        <w:tc>
          <w:tcPr>
            <w:tcW w:type="dxa" w:w="680"/>
            <w:shd w:val="clear" w:color="auto" w:fill="F0F2F5"/>
          </w:tcPr>
          <w:p>
            <w:pPr>
              <w:spacing w:after="40" w:before="40"/>
            </w:pPr>
            <w:r/>
            <w:r>
              <w:rPr>
                <w:rFonts w:ascii="Cambria" w:hAnsi="Cambria"/>
                <w:b w:val="0"/>
                <w:i w:val="0"/>
                <w:sz w:val="22"/>
              </w:rPr>
              <w:t>48</w:t>
            </w:r>
          </w:p>
        </w:tc>
        <w:tc>
          <w:tcPr>
            <w:tcW w:type="dxa" w:w="7314"/>
            <w:shd w:val="clear" w:color="auto" w:fill="F0F2F5"/>
          </w:tcPr>
          <w:p>
            <w:pPr>
              <w:spacing w:after="40" w:before="40"/>
            </w:pPr>
            <w:r/>
            <w:r>
              <w:rPr>
                <w:rFonts w:ascii="Cambria" w:hAnsi="Cambria"/>
                <w:b w:val="0"/>
                <w:i w:val="0"/>
                <w:sz w:val="22"/>
              </w:rPr>
              <w:t>Strategic Development Plan for Higher Education Institutions: Aligning with NEP 2020, SDGs, NAAC, NBA, NIRF, and QS I-GAUGE, Kindle Edition, ASIN: B0FSCTT9ZP</w:t>
            </w:r>
          </w:p>
        </w:tc>
        <w:tc>
          <w:tcPr>
            <w:tcW w:type="dxa" w:w="1417"/>
            <w:shd w:val="clear" w:color="auto" w:fill="F0F2F5"/>
          </w:tcPr>
          <w:p>
            <w:pPr>
              <w:spacing w:after="40" w:before="40"/>
            </w:pPr>
            <w:r/>
            <w:r>
              <w:rPr>
                <w:rFonts w:ascii="Cambria" w:hAnsi="Cambria"/>
                <w:b w:val="0"/>
                <w:i w:val="0"/>
                <w:sz w:val="22"/>
              </w:rPr>
              <w:t>https://amzn.in/d/hGqn55l</w:t>
            </w:r>
          </w:p>
        </w:tc>
      </w:tr>
      <w:tr>
        <w:tc>
          <w:tcPr>
            <w:tcW w:type="dxa" w:w="680"/>
          </w:tcPr>
          <w:p>
            <w:pPr>
              <w:spacing w:after="40" w:before="40"/>
            </w:pPr>
            <w:r/>
            <w:r>
              <w:rPr>
                <w:rFonts w:ascii="Cambria" w:hAnsi="Cambria"/>
                <w:b w:val="0"/>
                <w:i w:val="0"/>
                <w:sz w:val="22"/>
              </w:rPr>
              <w:t>49</w:t>
            </w:r>
          </w:p>
        </w:tc>
        <w:tc>
          <w:tcPr>
            <w:tcW w:type="dxa" w:w="7314"/>
          </w:tcPr>
          <w:p>
            <w:pPr>
              <w:spacing w:after="40" w:before="40"/>
            </w:pPr>
            <w:r/>
            <w:r>
              <w:rPr>
                <w:rFonts w:ascii="Cambria" w:hAnsi="Cambria"/>
                <w:b w:val="0"/>
                <w:i w:val="0"/>
                <w:sz w:val="22"/>
              </w:rPr>
              <w:t>Dean of Planning &amp; Development (DoPD): Architect of Institutional Growth in Higher Education: Institutional Planning, Sustainability, and Accreditation Alignment with NAAC, NBA, NIRF, and QS I-GAUGE, Kindle Edition, ASIN: B0FRZZGMF8</w:t>
            </w:r>
          </w:p>
        </w:tc>
        <w:tc>
          <w:tcPr>
            <w:tcW w:type="dxa" w:w="1417"/>
          </w:tcPr>
          <w:p>
            <w:pPr>
              <w:spacing w:after="40" w:before="40"/>
            </w:pPr>
            <w:r/>
            <w:r>
              <w:rPr>
                <w:rFonts w:ascii="Cambria" w:hAnsi="Cambria"/>
                <w:b w:val="0"/>
                <w:i w:val="0"/>
                <w:sz w:val="22"/>
              </w:rPr>
              <w:t>https://amzn.in/d/cbSxKTJ</w:t>
            </w:r>
          </w:p>
        </w:tc>
      </w:tr>
      <w:tr>
        <w:tc>
          <w:tcPr>
            <w:tcW w:type="dxa" w:w="680"/>
            <w:shd w:val="clear" w:color="auto" w:fill="F0F2F5"/>
          </w:tcPr>
          <w:p>
            <w:pPr>
              <w:spacing w:after="40" w:before="40"/>
            </w:pPr>
            <w:r/>
            <w:r>
              <w:rPr>
                <w:rFonts w:ascii="Cambria" w:hAnsi="Cambria"/>
                <w:b w:val="0"/>
                <w:i w:val="0"/>
                <w:sz w:val="22"/>
              </w:rPr>
              <w:t>50</w:t>
            </w:r>
          </w:p>
        </w:tc>
        <w:tc>
          <w:tcPr>
            <w:tcW w:type="dxa" w:w="7314"/>
            <w:shd w:val="clear" w:color="auto" w:fill="F0F2F5"/>
          </w:tcPr>
          <w:p>
            <w:pPr>
              <w:spacing w:after="40" w:before="40"/>
            </w:pPr>
            <w:r/>
            <w:r>
              <w:rPr>
                <w:rFonts w:ascii="Cambria" w:hAnsi="Cambria"/>
                <w:b w:val="0"/>
                <w:i w:val="0"/>
                <w:sz w:val="22"/>
              </w:rPr>
              <w:t>Dean – IQA and Ranking (DoIQAR): Leadership in Accreditation, Quality Assurance, and Global Benchmarking in Higher Education: Mapping of DoIQAR &amp; Associate Deans to NBA, NAAC, NIRF, and QS I-GAUGE, Kindle Edition, ASIN: B0FS5W7JYP</w:t>
            </w:r>
          </w:p>
        </w:tc>
        <w:tc>
          <w:tcPr>
            <w:tcW w:type="dxa" w:w="1417"/>
            <w:shd w:val="clear" w:color="auto" w:fill="F0F2F5"/>
          </w:tcPr>
          <w:p>
            <w:pPr>
              <w:spacing w:after="40" w:before="40"/>
            </w:pPr>
            <w:r/>
            <w:r>
              <w:rPr>
                <w:rFonts w:ascii="Cambria" w:hAnsi="Cambria"/>
                <w:b w:val="0"/>
                <w:i w:val="0"/>
                <w:sz w:val="22"/>
              </w:rPr>
              <w:t>https://amzn.in/d/aqwjhkT</w:t>
            </w:r>
          </w:p>
        </w:tc>
      </w:tr>
      <w:tr>
        <w:tc>
          <w:tcPr>
            <w:tcW w:type="dxa" w:w="680"/>
          </w:tcPr>
          <w:p>
            <w:pPr>
              <w:spacing w:after="40" w:before="40"/>
            </w:pPr>
            <w:r/>
            <w:r>
              <w:rPr>
                <w:rFonts w:ascii="Cambria" w:hAnsi="Cambria"/>
                <w:b w:val="0"/>
                <w:i w:val="0"/>
                <w:sz w:val="22"/>
              </w:rPr>
              <w:t>51</w:t>
            </w:r>
          </w:p>
        </w:tc>
        <w:tc>
          <w:tcPr>
            <w:tcW w:type="dxa" w:w="7314"/>
          </w:tcPr>
          <w:p>
            <w:pPr>
              <w:spacing w:after="40" w:before="40"/>
            </w:pPr>
            <w:r/>
            <w:r>
              <w:rPr>
                <w:rFonts w:ascii="Cambria" w:hAnsi="Cambria"/>
                <w:b w:val="0"/>
                <w:i w:val="0"/>
                <w:sz w:val="22"/>
              </w:rPr>
              <w:t>Dean – Research &amp; Development (R&amp;D): Leadership in Knowledge Creation and Innovation in Higher Education: Mapping of R&amp;D Leadership to NBA, NAAC, NIRF, and QS I-GAUGE, Kindle Edition, ASIN: B0FS5K7G27</w:t>
            </w:r>
          </w:p>
        </w:tc>
        <w:tc>
          <w:tcPr>
            <w:tcW w:type="dxa" w:w="1417"/>
          </w:tcPr>
          <w:p>
            <w:pPr>
              <w:spacing w:after="40" w:before="40"/>
            </w:pPr>
            <w:r/>
            <w:r>
              <w:rPr>
                <w:rFonts w:ascii="Cambria" w:hAnsi="Cambria"/>
                <w:b w:val="0"/>
                <w:i w:val="0"/>
                <w:sz w:val="22"/>
              </w:rPr>
              <w:t>https://amzn.in/d/9Ffj30s</w:t>
            </w:r>
          </w:p>
        </w:tc>
      </w:tr>
      <w:tr>
        <w:tc>
          <w:tcPr>
            <w:tcW w:type="dxa" w:w="680"/>
            <w:shd w:val="clear" w:color="auto" w:fill="F0F2F5"/>
          </w:tcPr>
          <w:p>
            <w:pPr>
              <w:spacing w:after="40" w:before="40"/>
            </w:pPr>
            <w:r/>
            <w:r>
              <w:rPr>
                <w:rFonts w:ascii="Cambria" w:hAnsi="Cambria"/>
                <w:b w:val="0"/>
                <w:i w:val="0"/>
                <w:sz w:val="22"/>
              </w:rPr>
              <w:t>52</w:t>
            </w:r>
          </w:p>
        </w:tc>
        <w:tc>
          <w:tcPr>
            <w:tcW w:type="dxa" w:w="7314"/>
            <w:shd w:val="clear" w:color="auto" w:fill="F0F2F5"/>
          </w:tcPr>
          <w:p>
            <w:pPr>
              <w:spacing w:after="40" w:before="40"/>
            </w:pPr>
            <w:r/>
            <w:r>
              <w:rPr>
                <w:rFonts w:ascii="Cambria" w:hAnsi="Cambria"/>
                <w:b w:val="0"/>
                <w:i w:val="0"/>
                <w:sz w:val="22"/>
              </w:rPr>
              <w:t>Dean of Academic Affairs: Custodian of Academic Excellence: The Role of the Dean and Associate Deans in Governance, Quality, and Global Benchmarks, Kindle Edition, ASIN: B0FRY8N2SD</w:t>
            </w:r>
          </w:p>
        </w:tc>
        <w:tc>
          <w:tcPr>
            <w:tcW w:type="dxa" w:w="1417"/>
            <w:shd w:val="clear" w:color="auto" w:fill="F0F2F5"/>
          </w:tcPr>
          <w:p>
            <w:pPr>
              <w:spacing w:after="40" w:before="40"/>
            </w:pPr>
            <w:r/>
            <w:r>
              <w:rPr>
                <w:rFonts w:ascii="Cambria" w:hAnsi="Cambria"/>
                <w:b w:val="0"/>
                <w:i w:val="0"/>
                <w:sz w:val="22"/>
              </w:rPr>
              <w:t>https://amzn.in/d/6Fh0u3l</w:t>
            </w:r>
          </w:p>
        </w:tc>
      </w:tr>
      <w:tr>
        <w:tc>
          <w:tcPr>
            <w:tcW w:type="dxa" w:w="680"/>
          </w:tcPr>
          <w:p>
            <w:pPr>
              <w:spacing w:after="40" w:before="40"/>
            </w:pPr>
            <w:r/>
            <w:r>
              <w:rPr>
                <w:rFonts w:ascii="Cambria" w:hAnsi="Cambria"/>
                <w:b w:val="0"/>
                <w:i w:val="0"/>
                <w:sz w:val="22"/>
              </w:rPr>
              <w:t>53</w:t>
            </w:r>
          </w:p>
        </w:tc>
        <w:tc>
          <w:tcPr>
            <w:tcW w:type="dxa" w:w="7314"/>
          </w:tcPr>
          <w:p>
            <w:pPr>
              <w:spacing w:after="40" w:before="40"/>
            </w:pPr>
            <w:r/>
            <w:r>
              <w:rPr>
                <w:rFonts w:ascii="Cambria" w:hAnsi="Cambria"/>
                <w:b w:val="0"/>
                <w:i w:val="0"/>
                <w:sz w:val="22"/>
              </w:rPr>
              <w:t>Skilling Engineers in Civil and Architecture Disciplines: Advancing Academic Competence in Geometric Modeling for Higher Education Institutions, Kindle Edition, ASIN: B0FSJHSSGL</w:t>
            </w:r>
          </w:p>
        </w:tc>
        <w:tc>
          <w:tcPr>
            <w:tcW w:type="dxa" w:w="1417"/>
          </w:tcPr>
          <w:p>
            <w:pPr>
              <w:spacing w:after="40" w:before="40"/>
            </w:pPr>
            <w:r/>
            <w:r>
              <w:rPr>
                <w:rFonts w:ascii="Cambria" w:hAnsi="Cambria"/>
                <w:b w:val="0"/>
                <w:i w:val="0"/>
                <w:sz w:val="22"/>
              </w:rPr>
              <w:t>https://a.co/d/9t8kspY</w:t>
            </w:r>
          </w:p>
        </w:tc>
      </w:tr>
      <w:tr>
        <w:tc>
          <w:tcPr>
            <w:tcW w:type="dxa" w:w="680"/>
            <w:shd w:val="clear" w:color="auto" w:fill="F0F2F5"/>
          </w:tcPr>
          <w:p>
            <w:pPr>
              <w:spacing w:after="40" w:before="40"/>
            </w:pPr>
            <w:r/>
            <w:r>
              <w:rPr>
                <w:rFonts w:ascii="Cambria" w:hAnsi="Cambria"/>
                <w:b w:val="0"/>
                <w:i w:val="0"/>
                <w:sz w:val="22"/>
              </w:rPr>
              <w:t>54</w:t>
            </w:r>
          </w:p>
        </w:tc>
        <w:tc>
          <w:tcPr>
            <w:tcW w:type="dxa" w:w="7314"/>
            <w:shd w:val="clear" w:color="auto" w:fill="F0F2F5"/>
          </w:tcPr>
          <w:p>
            <w:pPr>
              <w:spacing w:after="40" w:before="40"/>
            </w:pPr>
            <w:r/>
            <w:r>
              <w:rPr>
                <w:rFonts w:ascii="Cambria" w:hAnsi="Cambria"/>
                <w:b w:val="0"/>
                <w:i w:val="0"/>
                <w:sz w:val="22"/>
              </w:rPr>
              <w:t>Environmental and Green Audits in Higher Education Institutions: Aligning with NEP 2020, SDGs, NAAC, NBA, NIRF, and QS I-GAUGE, Kindle Edition, ASIN: B0FSX25SNW</w:t>
            </w:r>
          </w:p>
        </w:tc>
        <w:tc>
          <w:tcPr>
            <w:tcW w:type="dxa" w:w="1417"/>
            <w:shd w:val="clear" w:color="auto" w:fill="F0F2F5"/>
          </w:tcPr>
          <w:p>
            <w:pPr>
              <w:spacing w:after="40" w:before="40"/>
            </w:pPr>
            <w:r/>
            <w:r>
              <w:rPr>
                <w:rFonts w:ascii="Cambria" w:hAnsi="Cambria"/>
                <w:b w:val="0"/>
                <w:i w:val="0"/>
                <w:sz w:val="22"/>
              </w:rPr>
              <w:t>https://amzn.in/d/5ZRbuMt</w:t>
            </w:r>
          </w:p>
        </w:tc>
      </w:tr>
      <w:tr>
        <w:tc>
          <w:tcPr>
            <w:tcW w:type="dxa" w:w="680"/>
          </w:tcPr>
          <w:p>
            <w:pPr>
              <w:spacing w:after="40" w:before="40"/>
            </w:pPr>
            <w:r/>
            <w:r>
              <w:rPr>
                <w:rFonts w:ascii="Cambria" w:hAnsi="Cambria"/>
                <w:b w:val="0"/>
                <w:i w:val="0"/>
                <w:sz w:val="22"/>
              </w:rPr>
              <w:t>55</w:t>
            </w:r>
          </w:p>
        </w:tc>
        <w:tc>
          <w:tcPr>
            <w:tcW w:type="dxa" w:w="7314"/>
          </w:tcPr>
          <w:p>
            <w:pPr>
              <w:spacing w:after="40" w:before="40"/>
            </w:pPr>
            <w:r/>
            <w:r>
              <w:rPr>
                <w:rFonts w:ascii="Cambria" w:hAnsi="Cambria"/>
                <w:b w:val="0"/>
                <w:i w:val="0"/>
                <w:sz w:val="22"/>
              </w:rPr>
              <w:t>Head of the Department (HoD) in Higher Education Institutions: Roles and Responsibilities in Academic Activities: Mapping Academic Leadership to NBA, NAAC, NIRF, and QS I-GAUGE Frameworks, Kindle Edition, ASIN: B0FSZL68RT</w:t>
            </w:r>
          </w:p>
        </w:tc>
        <w:tc>
          <w:tcPr>
            <w:tcW w:type="dxa" w:w="1417"/>
          </w:tcPr>
          <w:p>
            <w:pPr>
              <w:spacing w:after="40" w:before="40"/>
            </w:pPr>
            <w:r/>
            <w:r>
              <w:rPr>
                <w:rFonts w:ascii="Cambria" w:hAnsi="Cambria"/>
                <w:b w:val="0"/>
                <w:i w:val="0"/>
                <w:sz w:val="22"/>
              </w:rPr>
              <w:t>https://amzn.in/d/hdb0Dsf</w:t>
            </w:r>
          </w:p>
        </w:tc>
      </w:tr>
      <w:tr>
        <w:tc>
          <w:tcPr>
            <w:tcW w:type="dxa" w:w="680"/>
            <w:shd w:val="clear" w:color="auto" w:fill="F0F2F5"/>
          </w:tcPr>
          <w:p>
            <w:pPr>
              <w:spacing w:after="40" w:before="40"/>
            </w:pPr>
            <w:r/>
            <w:r>
              <w:rPr>
                <w:rFonts w:ascii="Cambria" w:hAnsi="Cambria"/>
                <w:b w:val="0"/>
                <w:i w:val="0"/>
                <w:sz w:val="22"/>
              </w:rPr>
              <w:t>56</w:t>
            </w:r>
          </w:p>
        </w:tc>
        <w:tc>
          <w:tcPr>
            <w:tcW w:type="dxa" w:w="7314"/>
            <w:shd w:val="clear" w:color="auto" w:fill="F0F2F5"/>
          </w:tcPr>
          <w:p>
            <w:pPr>
              <w:spacing w:after="40" w:before="40"/>
            </w:pPr>
            <w:r/>
            <w:r>
              <w:rPr>
                <w:rFonts w:ascii="Cambria" w:hAnsi="Cambria"/>
                <w:b w:val="0"/>
                <w:i w:val="0"/>
                <w:sz w:val="22"/>
              </w:rPr>
              <w:t>Head of the Department (HoD) in Higher Education Institutions: Roles and Responsibilities in R&amp;D Activities: Mapping R&amp;D Leadership to NBA, NAAC, NIRF, and QS I-GAUGE Frameworks, Kindle Edition, ASIN: B0FT3HSTPR</w:t>
            </w:r>
          </w:p>
        </w:tc>
        <w:tc>
          <w:tcPr>
            <w:tcW w:type="dxa" w:w="1417"/>
            <w:shd w:val="clear" w:color="auto" w:fill="F0F2F5"/>
          </w:tcPr>
          <w:p>
            <w:pPr>
              <w:spacing w:after="40" w:before="40"/>
            </w:pPr>
            <w:r/>
            <w:r>
              <w:rPr>
                <w:rFonts w:ascii="Cambria" w:hAnsi="Cambria"/>
                <w:b w:val="0"/>
                <w:i w:val="0"/>
                <w:sz w:val="22"/>
              </w:rPr>
              <w:t>https://amzn.in/d/7R8kSFY</w:t>
            </w:r>
          </w:p>
        </w:tc>
      </w:tr>
      <w:tr>
        <w:tc>
          <w:tcPr>
            <w:tcW w:type="dxa" w:w="680"/>
          </w:tcPr>
          <w:p>
            <w:pPr>
              <w:spacing w:after="40" w:before="40"/>
            </w:pPr>
            <w:r/>
            <w:r>
              <w:rPr>
                <w:rFonts w:ascii="Cambria" w:hAnsi="Cambria"/>
                <w:b w:val="0"/>
                <w:i w:val="0"/>
                <w:sz w:val="22"/>
              </w:rPr>
              <w:t>57</w:t>
            </w:r>
          </w:p>
        </w:tc>
        <w:tc>
          <w:tcPr>
            <w:tcW w:type="dxa" w:w="7314"/>
          </w:tcPr>
          <w:p>
            <w:pPr>
              <w:spacing w:after="40" w:before="40"/>
            </w:pPr>
            <w:r/>
            <w:r>
              <w:rPr>
                <w:rFonts w:ascii="Cambria" w:hAnsi="Cambria"/>
                <w:b w:val="0"/>
                <w:i w:val="0"/>
                <w:sz w:val="22"/>
              </w:rPr>
              <w:t>Head of the Department (HoD) in Higher Education Institutions: Roles and Responsibilities in Industry Relations, Placements (IRP), and Consultancy Activities, Kindle Edition, ASIN: B0FT5CG3F7</w:t>
            </w:r>
          </w:p>
        </w:tc>
        <w:tc>
          <w:tcPr>
            <w:tcW w:type="dxa" w:w="1417"/>
          </w:tcPr>
          <w:p>
            <w:pPr>
              <w:spacing w:after="40" w:before="40"/>
            </w:pPr>
            <w:r/>
            <w:r>
              <w:rPr>
                <w:rFonts w:ascii="Cambria" w:hAnsi="Cambria"/>
                <w:b w:val="0"/>
                <w:i w:val="0"/>
                <w:sz w:val="22"/>
              </w:rPr>
              <w:t>https://amzn.in/d/1NcElZa</w:t>
            </w:r>
          </w:p>
        </w:tc>
      </w:tr>
      <w:tr>
        <w:tc>
          <w:tcPr>
            <w:tcW w:type="dxa" w:w="680"/>
            <w:shd w:val="clear" w:color="auto" w:fill="F0F2F5"/>
          </w:tcPr>
          <w:p>
            <w:pPr>
              <w:spacing w:after="40" w:before="40"/>
            </w:pPr>
            <w:r/>
            <w:r>
              <w:rPr>
                <w:rFonts w:ascii="Cambria" w:hAnsi="Cambria"/>
                <w:b w:val="0"/>
                <w:i w:val="0"/>
                <w:sz w:val="22"/>
              </w:rPr>
              <w:t>58</w:t>
            </w:r>
          </w:p>
        </w:tc>
        <w:tc>
          <w:tcPr>
            <w:tcW w:type="dxa" w:w="7314"/>
            <w:shd w:val="clear" w:color="auto" w:fill="F0F2F5"/>
          </w:tcPr>
          <w:p>
            <w:pPr>
              <w:spacing w:after="40" w:before="40"/>
            </w:pPr>
            <w:r/>
            <w:r>
              <w:rPr>
                <w:rFonts w:ascii="Cambria" w:hAnsi="Cambria"/>
                <w:b w:val="0"/>
                <w:i w:val="0"/>
                <w:sz w:val="22"/>
              </w:rPr>
              <w:t>Executive and Leadership Structure of Universities: Strategic Responsibilities in Higher Education Administration in India, Kindle Edition, ASIN: B0FT626567</w:t>
            </w:r>
          </w:p>
        </w:tc>
        <w:tc>
          <w:tcPr>
            <w:tcW w:type="dxa" w:w="1417"/>
            <w:shd w:val="clear" w:color="auto" w:fill="F0F2F5"/>
          </w:tcPr>
          <w:p>
            <w:pPr>
              <w:spacing w:after="40" w:before="40"/>
            </w:pPr>
            <w:r/>
            <w:r>
              <w:rPr>
                <w:rFonts w:ascii="Cambria" w:hAnsi="Cambria"/>
                <w:b w:val="0"/>
                <w:i w:val="0"/>
                <w:sz w:val="22"/>
              </w:rPr>
              <w:t>https://amzn.in/d/6CmlGtm</w:t>
            </w:r>
          </w:p>
        </w:tc>
      </w:tr>
      <w:tr>
        <w:tc>
          <w:tcPr>
            <w:tcW w:type="dxa" w:w="680"/>
          </w:tcPr>
          <w:p>
            <w:pPr>
              <w:spacing w:after="40" w:before="40"/>
            </w:pPr>
            <w:r/>
            <w:r>
              <w:rPr>
                <w:rFonts w:ascii="Cambria" w:hAnsi="Cambria"/>
                <w:b w:val="0"/>
                <w:i w:val="0"/>
                <w:sz w:val="22"/>
              </w:rPr>
              <w:t>59</w:t>
            </w:r>
          </w:p>
        </w:tc>
        <w:tc>
          <w:tcPr>
            <w:tcW w:type="dxa" w:w="7314"/>
          </w:tcPr>
          <w:p>
            <w:pPr>
              <w:spacing w:after="40" w:before="40"/>
            </w:pPr>
            <w:r/>
            <w:r>
              <w:rPr>
                <w:rFonts w:ascii="Cambria" w:hAnsi="Cambria"/>
                <w:b w:val="0"/>
                <w:i w:val="0"/>
                <w:sz w:val="22"/>
              </w:rPr>
              <w:t>Institutional Seed Money and Internal Research Grant Policy in Higher Educational Institutions (HEIs), Kindle Edition, ASIN: B0CWKLY55W</w:t>
            </w:r>
          </w:p>
        </w:tc>
        <w:tc>
          <w:tcPr>
            <w:tcW w:type="dxa" w:w="1417"/>
          </w:tcPr>
          <w:p>
            <w:pPr>
              <w:spacing w:after="40" w:before="40"/>
            </w:pPr>
            <w:r/>
            <w:r>
              <w:rPr>
                <w:rFonts w:ascii="Cambria" w:hAnsi="Cambria"/>
                <w:b w:val="0"/>
                <w:i w:val="0"/>
                <w:sz w:val="22"/>
              </w:rPr>
              <w:t>https://amzn.in/d/h7uwCI5</w:t>
            </w:r>
          </w:p>
        </w:tc>
      </w:tr>
      <w:tr>
        <w:tc>
          <w:tcPr>
            <w:tcW w:type="dxa" w:w="680"/>
            <w:shd w:val="clear" w:color="auto" w:fill="F0F2F5"/>
          </w:tcPr>
          <w:p>
            <w:pPr>
              <w:spacing w:after="40" w:before="40"/>
            </w:pPr>
            <w:r/>
            <w:r>
              <w:rPr>
                <w:rFonts w:ascii="Cambria" w:hAnsi="Cambria"/>
                <w:b w:val="0"/>
                <w:i w:val="0"/>
                <w:sz w:val="22"/>
              </w:rPr>
              <w:t>60</w:t>
            </w:r>
          </w:p>
        </w:tc>
        <w:tc>
          <w:tcPr>
            <w:tcW w:type="dxa" w:w="7314"/>
            <w:shd w:val="clear" w:color="auto" w:fill="F0F2F5"/>
          </w:tcPr>
          <w:p>
            <w:pPr>
              <w:spacing w:after="40" w:before="40"/>
            </w:pPr>
            <w:r/>
            <w:r>
              <w:rPr>
                <w:rFonts w:ascii="Cambria" w:hAnsi="Cambria"/>
                <w:b w:val="0"/>
                <w:i w:val="0"/>
                <w:sz w:val="22"/>
              </w:rPr>
              <w:t>Dean – Student Affairs (DoSA): Strategic Framework for Student Support and Progression: Mapping of DoSA to NBA, NAAC and QS I-GAUGE, Kindle Edition, ASIN: B0FWZQXJVJ</w:t>
            </w:r>
          </w:p>
        </w:tc>
        <w:tc>
          <w:tcPr>
            <w:tcW w:type="dxa" w:w="1417"/>
            <w:shd w:val="clear" w:color="auto" w:fill="F0F2F5"/>
          </w:tcPr>
          <w:p>
            <w:pPr>
              <w:spacing w:after="40" w:before="40"/>
            </w:pPr>
            <w:r/>
            <w:r>
              <w:rPr>
                <w:rFonts w:ascii="Cambria" w:hAnsi="Cambria"/>
                <w:b w:val="0"/>
                <w:i w:val="0"/>
                <w:sz w:val="22"/>
              </w:rPr>
              <w:t>https://amzn.in/d/3kVcEsM</w:t>
            </w:r>
          </w:p>
        </w:tc>
      </w:tr>
      <w:tr>
        <w:tc>
          <w:tcPr>
            <w:tcW w:type="dxa" w:w="680"/>
          </w:tcPr>
          <w:p>
            <w:pPr>
              <w:spacing w:after="40" w:before="40"/>
            </w:pPr>
            <w:r/>
            <w:r>
              <w:rPr>
                <w:rFonts w:ascii="Cambria" w:hAnsi="Cambria"/>
                <w:b w:val="0"/>
                <w:i w:val="0"/>
                <w:sz w:val="22"/>
              </w:rPr>
              <w:t>61</w:t>
            </w:r>
          </w:p>
        </w:tc>
        <w:tc>
          <w:tcPr>
            <w:tcW w:type="dxa" w:w="7314"/>
          </w:tcPr>
          <w:p>
            <w:pPr>
              <w:spacing w:after="40" w:before="40"/>
            </w:pPr>
            <w:r/>
            <w:r>
              <w:rPr>
                <w:rFonts w:ascii="Cambria" w:hAnsi="Cambria"/>
                <w:b w:val="0"/>
                <w:i w:val="0"/>
                <w:sz w:val="22"/>
              </w:rPr>
              <w:t>Extracurricular Activities in Higher Education Institutions: Framework for Holistic Student Development, Employability, and Accreditation Excellence, Kindle Edition, ASIN: B0DJG376PF</w:t>
            </w:r>
          </w:p>
        </w:tc>
        <w:tc>
          <w:tcPr>
            <w:tcW w:type="dxa" w:w="1417"/>
          </w:tcPr>
          <w:p>
            <w:pPr>
              <w:spacing w:after="40" w:before="40"/>
            </w:pPr>
            <w:r/>
            <w:r>
              <w:rPr>
                <w:rFonts w:ascii="Cambria" w:hAnsi="Cambria"/>
                <w:b w:val="0"/>
                <w:i w:val="0"/>
                <w:sz w:val="22"/>
              </w:rPr>
              <w:t>https://amzn.in/d/85POtYd</w:t>
            </w:r>
          </w:p>
        </w:tc>
      </w:tr>
      <w:tr>
        <w:tc>
          <w:tcPr>
            <w:tcW w:type="dxa" w:w="680"/>
            <w:shd w:val="clear" w:color="auto" w:fill="F0F2F5"/>
          </w:tcPr>
          <w:p>
            <w:pPr>
              <w:spacing w:after="40" w:before="40"/>
            </w:pPr>
            <w:r/>
            <w:r>
              <w:rPr>
                <w:rFonts w:ascii="Cambria" w:hAnsi="Cambria"/>
                <w:b w:val="0"/>
                <w:i w:val="0"/>
                <w:sz w:val="22"/>
              </w:rPr>
              <w:t>62</w:t>
            </w:r>
          </w:p>
        </w:tc>
        <w:tc>
          <w:tcPr>
            <w:tcW w:type="dxa" w:w="7314"/>
            <w:shd w:val="clear" w:color="auto" w:fill="F0F2F5"/>
          </w:tcPr>
          <w:p>
            <w:pPr>
              <w:spacing w:after="40" w:before="40"/>
            </w:pPr>
            <w:r/>
            <w:r>
              <w:rPr>
                <w:rFonts w:ascii="Cambria" w:hAnsi="Cambria"/>
                <w:b w:val="0"/>
                <w:i w:val="0"/>
                <w:sz w:val="22"/>
              </w:rPr>
              <w:t>Comprehensive Policy Framework for External Faculty Engagement (Visiting Faculty, Adjunct Faculty and Professor of Practice) in Higher Education Institutions (HEIs), Kindle Edition, ASIN: B0FXFK3RXK</w:t>
            </w:r>
          </w:p>
        </w:tc>
        <w:tc>
          <w:tcPr>
            <w:tcW w:type="dxa" w:w="1417"/>
            <w:shd w:val="clear" w:color="auto" w:fill="F0F2F5"/>
          </w:tcPr>
          <w:p>
            <w:pPr>
              <w:spacing w:after="40" w:before="40"/>
            </w:pPr>
            <w:r/>
            <w:r>
              <w:rPr>
                <w:rFonts w:ascii="Cambria" w:hAnsi="Cambria"/>
                <w:b w:val="0"/>
                <w:i w:val="0"/>
                <w:sz w:val="22"/>
              </w:rPr>
              <w:t>https://amzn.in/d/0L0QNbO</w:t>
            </w:r>
          </w:p>
        </w:tc>
      </w:tr>
      <w:tr>
        <w:tc>
          <w:tcPr>
            <w:tcW w:type="dxa" w:w="680"/>
          </w:tcPr>
          <w:p>
            <w:pPr>
              <w:spacing w:after="40" w:before="40"/>
            </w:pPr>
            <w:r/>
            <w:r>
              <w:rPr>
                <w:rFonts w:ascii="Cambria" w:hAnsi="Cambria"/>
                <w:b w:val="0"/>
                <w:i w:val="0"/>
                <w:sz w:val="22"/>
              </w:rPr>
              <w:t>63</w:t>
            </w:r>
          </w:p>
        </w:tc>
        <w:tc>
          <w:tcPr>
            <w:tcW w:type="dxa" w:w="7314"/>
          </w:tcPr>
          <w:p>
            <w:pPr>
              <w:spacing w:after="40" w:before="40"/>
            </w:pPr>
            <w:r/>
            <w:r>
              <w:rPr>
                <w:rFonts w:ascii="Cambria" w:hAnsi="Cambria"/>
                <w:b w:val="0"/>
                <w:i w:val="0"/>
                <w:sz w:val="22"/>
              </w:rPr>
              <w:t>Comprehensive Policy Framework for Innovation, Incubation, and Startup Development (IISP) in Higher Education Institutions (HEIs), Kindle Edition, ASIN: B0FXKL7HVX</w:t>
            </w:r>
          </w:p>
        </w:tc>
        <w:tc>
          <w:tcPr>
            <w:tcW w:type="dxa" w:w="1417"/>
          </w:tcPr>
          <w:p>
            <w:pPr>
              <w:spacing w:after="40" w:before="40"/>
            </w:pPr>
            <w:r/>
            <w:r>
              <w:rPr>
                <w:rFonts w:ascii="Cambria" w:hAnsi="Cambria"/>
                <w:b w:val="0"/>
                <w:i w:val="0"/>
                <w:sz w:val="22"/>
              </w:rPr>
              <w:t>https://amzn.in/d/eGkLnl5</w:t>
            </w:r>
          </w:p>
        </w:tc>
      </w:tr>
      <w:tr>
        <w:tc>
          <w:tcPr>
            <w:tcW w:type="dxa" w:w="680"/>
            <w:shd w:val="clear" w:color="auto" w:fill="F0F2F5"/>
          </w:tcPr>
          <w:p>
            <w:pPr>
              <w:spacing w:after="40" w:before="40"/>
            </w:pPr>
            <w:r/>
            <w:r>
              <w:rPr>
                <w:rFonts w:ascii="Cambria" w:hAnsi="Cambria"/>
                <w:b w:val="0"/>
                <w:i w:val="0"/>
                <w:sz w:val="22"/>
              </w:rPr>
              <w:t>64</w:t>
            </w:r>
          </w:p>
        </w:tc>
        <w:tc>
          <w:tcPr>
            <w:tcW w:type="dxa" w:w="7314"/>
            <w:shd w:val="clear" w:color="auto" w:fill="F0F2F5"/>
          </w:tcPr>
          <w:p>
            <w:pPr>
              <w:spacing w:after="40" w:before="40"/>
            </w:pPr>
            <w:r/>
            <w:r>
              <w:rPr>
                <w:rFonts w:ascii="Cambria" w:hAnsi="Cambria"/>
                <w:b w:val="0"/>
                <w:i w:val="0"/>
                <w:sz w:val="22"/>
              </w:rPr>
              <w:t>Comprehensive Guide to Outcome-Based Course File Documentation in Engineering Education: Aligned with NBA, NAAC, and AICTE Outcome-Based Education Frameworks, Kindle Edition, ASIN: B0FZ8SMP1Z</w:t>
            </w:r>
          </w:p>
        </w:tc>
        <w:tc>
          <w:tcPr>
            <w:tcW w:type="dxa" w:w="1417"/>
            <w:shd w:val="clear" w:color="auto" w:fill="F0F2F5"/>
          </w:tcPr>
          <w:p>
            <w:pPr>
              <w:spacing w:after="40" w:before="40"/>
            </w:pPr>
            <w:r/>
            <w:r>
              <w:rPr>
                <w:rFonts w:ascii="Cambria" w:hAnsi="Cambria"/>
                <w:b w:val="0"/>
                <w:i w:val="0"/>
                <w:sz w:val="22"/>
              </w:rPr>
              <w:t>https://amzn.in/d/cRPjrp0</w:t>
            </w:r>
          </w:p>
        </w:tc>
      </w:tr>
      <w:tr>
        <w:tc>
          <w:tcPr>
            <w:tcW w:type="dxa" w:w="680"/>
          </w:tcPr>
          <w:p>
            <w:pPr>
              <w:spacing w:after="40" w:before="40"/>
            </w:pPr>
            <w:r/>
            <w:r>
              <w:rPr>
                <w:rFonts w:ascii="Cambria" w:hAnsi="Cambria"/>
                <w:b w:val="0"/>
                <w:i w:val="0"/>
                <w:sz w:val="22"/>
              </w:rPr>
              <w:t>65</w:t>
            </w:r>
          </w:p>
        </w:tc>
        <w:tc>
          <w:tcPr>
            <w:tcW w:type="dxa" w:w="7314"/>
          </w:tcPr>
          <w:p>
            <w:pPr>
              <w:spacing w:after="40" w:before="40"/>
            </w:pPr>
            <w:r/>
            <w:r>
              <w:rPr>
                <w:rFonts w:ascii="Cambria" w:hAnsi="Cambria"/>
                <w:b w:val="0"/>
                <w:i w:val="0"/>
                <w:sz w:val="22"/>
              </w:rPr>
              <w:t>Head of the Department (HoD) in Higher Education Institutions: A Comprehensive Framework for Faculty and Staff Management, Student Counselling, Academic Auditing, GR, and Departmental Governance, Kindle Edition, ASIN: B0G1G8V9TL</w:t>
            </w:r>
          </w:p>
        </w:tc>
        <w:tc>
          <w:tcPr>
            <w:tcW w:type="dxa" w:w="1417"/>
          </w:tcPr>
          <w:p>
            <w:pPr>
              <w:spacing w:after="40" w:before="40"/>
            </w:pPr>
            <w:r/>
            <w:r>
              <w:rPr>
                <w:rFonts w:ascii="Cambria" w:hAnsi="Cambria"/>
                <w:b w:val="0"/>
                <w:i w:val="0"/>
                <w:sz w:val="22"/>
              </w:rPr>
              <w:t>https://amzn.in/d/0j8wyNN</w:t>
            </w:r>
          </w:p>
        </w:tc>
      </w:tr>
    </w:tbl>
    <w:p>
      <w:pPr>
        <w:spacing w:after="40"/>
      </w:pPr>
    </w:p>
    <w:p>
      <w:r>
        <w:rPr>
          <w:rFonts w:ascii="Cambria" w:hAnsi="Cambria"/>
          <w:b/>
          <w:i w:val="0"/>
          <w:sz w:val="22"/>
        </w:rPr>
        <w:t>SDGs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No.</w:t>
            </w:r>
          </w:p>
        </w:tc>
        <w:tc>
          <w:tcPr>
            <w:tcW w:type="dxa" w:w="7314"/>
            <w:shd w:val="clear" w:color="auto" w:fill="1F3A5F"/>
          </w:tcPr>
          <w:p>
            <w:pPr>
              <w:spacing w:after="40" w:before="40"/>
            </w:pPr>
            <w:r/>
            <w:r>
              <w:rPr>
                <w:rFonts w:ascii="Cambria" w:hAnsi="Cambria"/>
                <w:b/>
                <w:i w:val="0"/>
                <w:color w:val="FFFFFF"/>
                <w:sz w:val="22"/>
              </w:rPr>
              <w:t>Title / Details</w:t>
            </w:r>
          </w:p>
        </w:tc>
        <w:tc>
          <w:tcPr>
            <w:tcW w:type="dxa" w:w="1417"/>
            <w:shd w:val="clear" w:color="auto" w:fill="1F3A5F"/>
          </w:tcPr>
          <w:p>
            <w:pPr>
              <w:spacing w:after="40" w:before="40"/>
            </w:pPr>
            <w:r/>
            <w:r>
              <w:rPr>
                <w:rFonts w:ascii="Cambria" w:hAnsi="Cambria"/>
                <w:b/>
                <w:i w:val="0"/>
                <w:color w:val="FFFFFF"/>
                <w:sz w:val="22"/>
              </w:rPr>
              <w:t>Link</w:t>
            </w:r>
          </w:p>
        </w:tc>
      </w:tr>
      <w:tr>
        <w:tc>
          <w:tcPr>
            <w:tcW w:type="dxa" w:w="680"/>
          </w:tcPr>
          <w:p>
            <w:pPr>
              <w:spacing w:after="40" w:before="40"/>
            </w:pPr>
            <w:r/>
            <w:r>
              <w:rPr>
                <w:rFonts w:ascii="Cambria" w:hAnsi="Cambria"/>
                <w:b w:val="0"/>
                <w:i w:val="0"/>
                <w:sz w:val="22"/>
              </w:rPr>
              <w:t>66</w:t>
            </w:r>
          </w:p>
        </w:tc>
        <w:tc>
          <w:tcPr>
            <w:tcW w:type="dxa" w:w="7314"/>
          </w:tcPr>
          <w:p>
            <w:pPr>
              <w:spacing w:after="40" w:before="40"/>
            </w:pPr>
            <w:r/>
            <w:r>
              <w:rPr>
                <w:rFonts w:ascii="Cambria" w:hAnsi="Cambria"/>
                <w:b w:val="0"/>
                <w:i w:val="0"/>
                <w:sz w:val="22"/>
              </w:rPr>
              <w:t>SDG-1: No Poverty in Higher Education Institutions: Aligning with NAAC, NIRF, NBA, and QS I-GAUGE Frameworks, Kindle Edition, ASIN: B0FRYTT6B1</w:t>
            </w:r>
          </w:p>
        </w:tc>
        <w:tc>
          <w:tcPr>
            <w:tcW w:type="dxa" w:w="1417"/>
          </w:tcPr>
          <w:p>
            <w:pPr>
              <w:spacing w:after="40" w:before="40"/>
            </w:pPr>
            <w:r/>
            <w:r>
              <w:rPr>
                <w:rFonts w:ascii="Cambria" w:hAnsi="Cambria"/>
                <w:b w:val="0"/>
                <w:i w:val="0"/>
                <w:sz w:val="22"/>
              </w:rPr>
              <w:t>https://amzn.in/d/1oTu188</w:t>
            </w:r>
          </w:p>
        </w:tc>
      </w:tr>
      <w:tr>
        <w:tc>
          <w:tcPr>
            <w:tcW w:type="dxa" w:w="680"/>
            <w:shd w:val="clear" w:color="auto" w:fill="F0F2F5"/>
          </w:tcPr>
          <w:p>
            <w:pPr>
              <w:spacing w:after="40" w:before="40"/>
            </w:pPr>
            <w:r/>
            <w:r>
              <w:rPr>
                <w:rFonts w:ascii="Cambria" w:hAnsi="Cambria"/>
                <w:b w:val="0"/>
                <w:i w:val="0"/>
                <w:sz w:val="22"/>
              </w:rPr>
              <w:t>67</w:t>
            </w:r>
          </w:p>
        </w:tc>
        <w:tc>
          <w:tcPr>
            <w:tcW w:type="dxa" w:w="7314"/>
            <w:shd w:val="clear" w:color="auto" w:fill="F0F2F5"/>
          </w:tcPr>
          <w:p>
            <w:pPr>
              <w:spacing w:after="40" w:before="40"/>
            </w:pPr>
            <w:r/>
            <w:r>
              <w:rPr>
                <w:rFonts w:ascii="Cambria" w:hAnsi="Cambria"/>
                <w:b w:val="0"/>
                <w:i w:val="0"/>
                <w:sz w:val="22"/>
              </w:rPr>
              <w:t>SDG-2: Zero Hunger in Higher Education Institutions: Aligning with NAAC, NIRF, NBA, and QS I-GAUGE Frameworks, Kindle Edition, ASIN: B0FRYWPQ1N</w:t>
            </w:r>
          </w:p>
        </w:tc>
        <w:tc>
          <w:tcPr>
            <w:tcW w:type="dxa" w:w="1417"/>
            <w:shd w:val="clear" w:color="auto" w:fill="F0F2F5"/>
          </w:tcPr>
          <w:p>
            <w:pPr>
              <w:spacing w:after="40" w:before="40"/>
            </w:pPr>
            <w:r/>
            <w:r>
              <w:rPr>
                <w:rFonts w:ascii="Cambria" w:hAnsi="Cambria"/>
                <w:b w:val="0"/>
                <w:i w:val="0"/>
                <w:sz w:val="22"/>
              </w:rPr>
              <w:t>https://amzn.in/d/2RlKCrz</w:t>
            </w:r>
          </w:p>
        </w:tc>
      </w:tr>
      <w:tr>
        <w:tc>
          <w:tcPr>
            <w:tcW w:type="dxa" w:w="680"/>
          </w:tcPr>
          <w:p>
            <w:pPr>
              <w:spacing w:after="40" w:before="40"/>
            </w:pPr>
            <w:r/>
            <w:r>
              <w:rPr>
                <w:rFonts w:ascii="Cambria" w:hAnsi="Cambria"/>
                <w:b w:val="0"/>
                <w:i w:val="0"/>
                <w:sz w:val="22"/>
              </w:rPr>
              <w:t>68</w:t>
            </w:r>
          </w:p>
        </w:tc>
        <w:tc>
          <w:tcPr>
            <w:tcW w:type="dxa" w:w="7314"/>
          </w:tcPr>
          <w:p>
            <w:pPr>
              <w:spacing w:after="40" w:before="40"/>
            </w:pPr>
            <w:r/>
            <w:r>
              <w:rPr>
                <w:rFonts w:ascii="Cambria" w:hAnsi="Cambria"/>
                <w:b w:val="0"/>
                <w:i w:val="0"/>
                <w:sz w:val="22"/>
              </w:rPr>
              <w:t>SDG-3: Good Health and Well-Being in Higher Education Institutions: Aligning with NAAC, NIRF, NBA, and QS I-GAUGE Frameworks, Kindle Edition, ASIN: B0FWJQS1DK</w:t>
            </w:r>
          </w:p>
        </w:tc>
        <w:tc>
          <w:tcPr>
            <w:tcW w:type="dxa" w:w="1417"/>
          </w:tcPr>
          <w:p>
            <w:pPr>
              <w:spacing w:after="40" w:before="40"/>
            </w:pPr>
            <w:r/>
            <w:r>
              <w:rPr>
                <w:rFonts w:ascii="Cambria" w:hAnsi="Cambria"/>
                <w:b w:val="0"/>
                <w:i w:val="0"/>
                <w:sz w:val="22"/>
              </w:rPr>
              <w:t>https://amzn.in/d/7dbK89Z</w:t>
            </w:r>
          </w:p>
        </w:tc>
      </w:tr>
      <w:tr>
        <w:tc>
          <w:tcPr>
            <w:tcW w:type="dxa" w:w="680"/>
            <w:shd w:val="clear" w:color="auto" w:fill="F0F2F5"/>
          </w:tcPr>
          <w:p>
            <w:pPr>
              <w:spacing w:after="40" w:before="40"/>
            </w:pPr>
            <w:r/>
            <w:r>
              <w:rPr>
                <w:rFonts w:ascii="Cambria" w:hAnsi="Cambria"/>
                <w:b w:val="0"/>
                <w:i w:val="0"/>
                <w:sz w:val="22"/>
              </w:rPr>
              <w:t>69</w:t>
            </w:r>
          </w:p>
        </w:tc>
        <w:tc>
          <w:tcPr>
            <w:tcW w:type="dxa" w:w="7314"/>
            <w:shd w:val="clear" w:color="auto" w:fill="F0F2F5"/>
          </w:tcPr>
          <w:p>
            <w:pPr>
              <w:spacing w:after="40" w:before="40"/>
            </w:pPr>
            <w:r/>
            <w:r>
              <w:rPr>
                <w:rFonts w:ascii="Cambria" w:hAnsi="Cambria"/>
                <w:b w:val="0"/>
                <w:i w:val="0"/>
                <w:sz w:val="22"/>
              </w:rPr>
              <w:t>SDG-4: Quality Education in Higher Education Institutions: Aligning with NAAC, NIRF, NBA, and QS I-GAUGE Frameworks, Kindle Edition, ASIN: B0FVDRFW1R</w:t>
            </w:r>
          </w:p>
        </w:tc>
        <w:tc>
          <w:tcPr>
            <w:tcW w:type="dxa" w:w="1417"/>
            <w:shd w:val="clear" w:color="auto" w:fill="F0F2F5"/>
          </w:tcPr>
          <w:p>
            <w:pPr>
              <w:spacing w:after="40" w:before="40"/>
            </w:pPr>
            <w:r/>
            <w:r>
              <w:rPr>
                <w:rFonts w:ascii="Cambria" w:hAnsi="Cambria"/>
                <w:b w:val="0"/>
                <w:i w:val="0"/>
                <w:sz w:val="22"/>
              </w:rPr>
              <w:t>https://amzn.in/d/aRKVWFv</w:t>
            </w:r>
          </w:p>
        </w:tc>
      </w:tr>
      <w:tr>
        <w:tc>
          <w:tcPr>
            <w:tcW w:type="dxa" w:w="680"/>
          </w:tcPr>
          <w:p>
            <w:pPr>
              <w:spacing w:after="40" w:before="40"/>
            </w:pPr>
            <w:r/>
            <w:r>
              <w:rPr>
                <w:rFonts w:ascii="Cambria" w:hAnsi="Cambria"/>
                <w:b w:val="0"/>
                <w:i w:val="0"/>
                <w:sz w:val="22"/>
              </w:rPr>
              <w:t>70</w:t>
            </w:r>
          </w:p>
        </w:tc>
        <w:tc>
          <w:tcPr>
            <w:tcW w:type="dxa" w:w="7314"/>
          </w:tcPr>
          <w:p>
            <w:pPr>
              <w:spacing w:after="40" w:before="40"/>
            </w:pPr>
            <w:r/>
            <w:r>
              <w:rPr>
                <w:rFonts w:ascii="Cambria" w:hAnsi="Cambria"/>
                <w:b w:val="0"/>
                <w:i w:val="0"/>
                <w:sz w:val="22"/>
              </w:rPr>
              <w:t>SDG-5: Gender Equality in Higher Education Institutions: Aligning with NAAC, NIRF, NBA, and QS I-GAUGE Frameworks, Kindle Edition, ASIN: B0FVS6QH5H</w:t>
            </w:r>
          </w:p>
        </w:tc>
        <w:tc>
          <w:tcPr>
            <w:tcW w:type="dxa" w:w="1417"/>
          </w:tcPr>
          <w:p>
            <w:pPr>
              <w:spacing w:after="40" w:before="40"/>
            </w:pPr>
            <w:r/>
            <w:r>
              <w:rPr>
                <w:rFonts w:ascii="Cambria" w:hAnsi="Cambria"/>
                <w:b w:val="0"/>
                <w:i w:val="0"/>
                <w:sz w:val="22"/>
              </w:rPr>
              <w:t>https://amzn.in/d/bZdzy2n</w:t>
            </w:r>
          </w:p>
        </w:tc>
      </w:tr>
      <w:tr>
        <w:tc>
          <w:tcPr>
            <w:tcW w:type="dxa" w:w="680"/>
            <w:shd w:val="clear" w:color="auto" w:fill="F0F2F5"/>
          </w:tcPr>
          <w:p>
            <w:pPr>
              <w:spacing w:after="40" w:before="40"/>
            </w:pPr>
            <w:r/>
            <w:r>
              <w:rPr>
                <w:rFonts w:ascii="Cambria" w:hAnsi="Cambria"/>
                <w:b w:val="0"/>
                <w:i w:val="0"/>
                <w:sz w:val="22"/>
              </w:rPr>
              <w:t>71</w:t>
            </w:r>
          </w:p>
        </w:tc>
        <w:tc>
          <w:tcPr>
            <w:tcW w:type="dxa" w:w="7314"/>
            <w:shd w:val="clear" w:color="auto" w:fill="F0F2F5"/>
          </w:tcPr>
          <w:p>
            <w:pPr>
              <w:spacing w:after="40" w:before="40"/>
            </w:pPr>
            <w:r/>
            <w:r>
              <w:rPr>
                <w:rFonts w:ascii="Cambria" w:hAnsi="Cambria"/>
                <w:b w:val="0"/>
                <w:i w:val="0"/>
                <w:sz w:val="22"/>
              </w:rPr>
              <w:t>SDG-6: Clean Water and Sanitation in Higher Education Institutions: Aligning with NAAC, NIRF, NBA, and QS I-GAUGE Frameworks, Kindle Edition, ASIN: B0FSCB6SDL</w:t>
            </w:r>
          </w:p>
        </w:tc>
        <w:tc>
          <w:tcPr>
            <w:tcW w:type="dxa" w:w="1417"/>
            <w:shd w:val="clear" w:color="auto" w:fill="F0F2F5"/>
          </w:tcPr>
          <w:p>
            <w:pPr>
              <w:spacing w:after="40" w:before="40"/>
            </w:pPr>
            <w:r/>
            <w:r>
              <w:rPr>
                <w:rFonts w:ascii="Cambria" w:hAnsi="Cambria"/>
                <w:b w:val="0"/>
                <w:i w:val="0"/>
                <w:sz w:val="22"/>
              </w:rPr>
              <w:t>https://amzn.in/d/gX6SiHT</w:t>
            </w:r>
          </w:p>
        </w:tc>
      </w:tr>
      <w:tr>
        <w:tc>
          <w:tcPr>
            <w:tcW w:type="dxa" w:w="680"/>
          </w:tcPr>
          <w:p>
            <w:pPr>
              <w:spacing w:after="40" w:before="40"/>
            </w:pPr>
            <w:r/>
            <w:r>
              <w:rPr>
                <w:rFonts w:ascii="Cambria" w:hAnsi="Cambria"/>
                <w:b w:val="0"/>
                <w:i w:val="0"/>
                <w:sz w:val="22"/>
              </w:rPr>
              <w:t>72</w:t>
            </w:r>
          </w:p>
        </w:tc>
        <w:tc>
          <w:tcPr>
            <w:tcW w:type="dxa" w:w="7314"/>
          </w:tcPr>
          <w:p>
            <w:pPr>
              <w:spacing w:after="40" w:before="40"/>
            </w:pPr>
            <w:r/>
            <w:r>
              <w:rPr>
                <w:rFonts w:ascii="Cambria" w:hAnsi="Cambria"/>
                <w:b w:val="0"/>
                <w:i w:val="0"/>
                <w:sz w:val="22"/>
              </w:rPr>
              <w:t>SDG-7: Affordable and Clean Energy in Higher Education Institutions: Aligning with NAAC, NIRF, NBA, and QS I-GAUGE Frameworks, Kindle Edition, ASIN: B0FS9SYXC7</w:t>
            </w:r>
          </w:p>
        </w:tc>
        <w:tc>
          <w:tcPr>
            <w:tcW w:type="dxa" w:w="1417"/>
          </w:tcPr>
          <w:p>
            <w:pPr>
              <w:spacing w:after="40" w:before="40"/>
            </w:pPr>
            <w:r/>
            <w:r>
              <w:rPr>
                <w:rFonts w:ascii="Cambria" w:hAnsi="Cambria"/>
                <w:b w:val="0"/>
                <w:i w:val="0"/>
                <w:sz w:val="22"/>
              </w:rPr>
              <w:t>https://amzn.in/d/bErE7x8</w:t>
            </w:r>
          </w:p>
        </w:tc>
      </w:tr>
      <w:tr>
        <w:tc>
          <w:tcPr>
            <w:tcW w:type="dxa" w:w="680"/>
            <w:shd w:val="clear" w:color="auto" w:fill="F0F2F5"/>
          </w:tcPr>
          <w:p>
            <w:pPr>
              <w:spacing w:after="40" w:before="40"/>
            </w:pPr>
            <w:r/>
            <w:r>
              <w:rPr>
                <w:rFonts w:ascii="Cambria" w:hAnsi="Cambria"/>
                <w:b w:val="0"/>
                <w:i w:val="0"/>
                <w:sz w:val="22"/>
              </w:rPr>
              <w:t>73</w:t>
            </w:r>
          </w:p>
        </w:tc>
        <w:tc>
          <w:tcPr>
            <w:tcW w:type="dxa" w:w="7314"/>
            <w:shd w:val="clear" w:color="auto" w:fill="F0F2F5"/>
          </w:tcPr>
          <w:p>
            <w:pPr>
              <w:spacing w:after="40" w:before="40"/>
            </w:pPr>
            <w:r/>
            <w:r>
              <w:rPr>
                <w:rFonts w:ascii="Cambria" w:hAnsi="Cambria"/>
                <w:b w:val="0"/>
                <w:i w:val="0"/>
                <w:sz w:val="22"/>
              </w:rPr>
              <w:t>SDG-8: Decent Work and Economic Growth in Higher Education Institutions: Aligning with NAAC, NIRF, NBA, and QS I-GAUGE Frameworks, Kindle Edition, ASIN: B0FWR2PH33</w:t>
            </w:r>
          </w:p>
        </w:tc>
        <w:tc>
          <w:tcPr>
            <w:tcW w:type="dxa" w:w="1417"/>
            <w:shd w:val="clear" w:color="auto" w:fill="F0F2F5"/>
          </w:tcPr>
          <w:p>
            <w:pPr>
              <w:spacing w:after="40" w:before="40"/>
            </w:pPr>
            <w:r/>
            <w:r>
              <w:rPr>
                <w:rFonts w:ascii="Cambria" w:hAnsi="Cambria"/>
                <w:b w:val="0"/>
                <w:i w:val="0"/>
                <w:sz w:val="22"/>
              </w:rPr>
              <w:t>https://amzn.in/d/2hizjjW</w:t>
            </w:r>
          </w:p>
        </w:tc>
      </w:tr>
      <w:tr>
        <w:tc>
          <w:tcPr>
            <w:tcW w:type="dxa" w:w="680"/>
          </w:tcPr>
          <w:p>
            <w:pPr>
              <w:spacing w:after="40" w:before="40"/>
            </w:pPr>
            <w:r/>
            <w:r>
              <w:rPr>
                <w:rFonts w:ascii="Cambria" w:hAnsi="Cambria"/>
                <w:b w:val="0"/>
                <w:i w:val="0"/>
                <w:sz w:val="22"/>
              </w:rPr>
              <w:t>74</w:t>
            </w:r>
          </w:p>
        </w:tc>
        <w:tc>
          <w:tcPr>
            <w:tcW w:type="dxa" w:w="7314"/>
          </w:tcPr>
          <w:p>
            <w:pPr>
              <w:spacing w:after="40" w:before="40"/>
            </w:pPr>
            <w:r/>
            <w:r>
              <w:rPr>
                <w:rFonts w:ascii="Cambria" w:hAnsi="Cambria"/>
                <w:b w:val="0"/>
                <w:i w:val="0"/>
                <w:sz w:val="22"/>
              </w:rPr>
              <w:t>SDG-9: Industry, Innovation and Infrastructure in Higher Education Institutions: Aligning with NAAC, NIRF, NBA, and QS I-GAUGE Frameworks, Kindle Edition, ASIN: B0FY1WHBFG</w:t>
            </w:r>
          </w:p>
        </w:tc>
        <w:tc>
          <w:tcPr>
            <w:tcW w:type="dxa" w:w="1417"/>
          </w:tcPr>
          <w:p>
            <w:pPr>
              <w:spacing w:after="40" w:before="40"/>
            </w:pPr>
            <w:r/>
            <w:r>
              <w:rPr>
                <w:rFonts w:ascii="Cambria" w:hAnsi="Cambria"/>
                <w:b w:val="0"/>
                <w:i w:val="0"/>
                <w:sz w:val="22"/>
              </w:rPr>
              <w:t>https://amzn.in/d/ftI1Ul6</w:t>
            </w:r>
          </w:p>
        </w:tc>
      </w:tr>
      <w:tr>
        <w:tc>
          <w:tcPr>
            <w:tcW w:type="dxa" w:w="680"/>
            <w:shd w:val="clear" w:color="auto" w:fill="F0F2F5"/>
          </w:tcPr>
          <w:p>
            <w:pPr>
              <w:spacing w:after="40" w:before="40"/>
            </w:pPr>
            <w:r/>
            <w:r>
              <w:rPr>
                <w:rFonts w:ascii="Cambria" w:hAnsi="Cambria"/>
                <w:b w:val="0"/>
                <w:i w:val="0"/>
                <w:sz w:val="22"/>
              </w:rPr>
              <w:t>75</w:t>
            </w:r>
          </w:p>
        </w:tc>
        <w:tc>
          <w:tcPr>
            <w:tcW w:type="dxa" w:w="7314"/>
            <w:shd w:val="clear" w:color="auto" w:fill="F0F2F5"/>
          </w:tcPr>
          <w:p>
            <w:pPr>
              <w:spacing w:after="40" w:before="40"/>
            </w:pPr>
            <w:r/>
            <w:r>
              <w:rPr>
                <w:rFonts w:ascii="Cambria" w:hAnsi="Cambria"/>
                <w:b w:val="0"/>
                <w:i w:val="0"/>
                <w:sz w:val="22"/>
              </w:rPr>
              <w:t>SDG-10: Reduced Inequalities in Higher Education Institutions: Aligning with NAAC, NIRF, NBA, and QS I-GAUGE Frameworks, Kindle Edition, ASIN: B0FXQRJBSN</w:t>
            </w:r>
          </w:p>
        </w:tc>
        <w:tc>
          <w:tcPr>
            <w:tcW w:type="dxa" w:w="1417"/>
            <w:shd w:val="clear" w:color="auto" w:fill="F0F2F5"/>
          </w:tcPr>
          <w:p>
            <w:pPr>
              <w:spacing w:after="40" w:before="40"/>
            </w:pPr>
            <w:r/>
            <w:r>
              <w:rPr>
                <w:rFonts w:ascii="Cambria" w:hAnsi="Cambria"/>
                <w:b w:val="0"/>
                <w:i w:val="0"/>
                <w:sz w:val="22"/>
              </w:rPr>
              <w:t>https://amzn.in/d/7DeGbt8</w:t>
            </w:r>
          </w:p>
        </w:tc>
      </w:tr>
      <w:tr>
        <w:tc>
          <w:tcPr>
            <w:tcW w:type="dxa" w:w="680"/>
          </w:tcPr>
          <w:p>
            <w:pPr>
              <w:spacing w:after="40" w:before="40"/>
            </w:pPr>
            <w:r/>
            <w:r>
              <w:rPr>
                <w:rFonts w:ascii="Cambria" w:hAnsi="Cambria"/>
                <w:b w:val="0"/>
                <w:i w:val="0"/>
                <w:sz w:val="22"/>
              </w:rPr>
              <w:t>76</w:t>
            </w:r>
          </w:p>
        </w:tc>
        <w:tc>
          <w:tcPr>
            <w:tcW w:type="dxa" w:w="7314"/>
          </w:tcPr>
          <w:p>
            <w:pPr>
              <w:spacing w:after="40" w:before="40"/>
            </w:pPr>
            <w:r/>
            <w:r>
              <w:rPr>
                <w:rFonts w:ascii="Cambria" w:hAnsi="Cambria"/>
                <w:b w:val="0"/>
                <w:i w:val="0"/>
                <w:sz w:val="22"/>
              </w:rPr>
              <w:t>SDG-11: Sustainable Cities and Communities in Higher Education Institutions: Aligning with NAAC, NIRF, NBA, and QS I-GAUGE Frameworks, Kindle Edition, ASIN: B0FS181BL2</w:t>
            </w:r>
          </w:p>
        </w:tc>
        <w:tc>
          <w:tcPr>
            <w:tcW w:type="dxa" w:w="1417"/>
          </w:tcPr>
          <w:p>
            <w:pPr>
              <w:spacing w:after="40" w:before="40"/>
            </w:pPr>
            <w:r/>
            <w:r>
              <w:rPr>
                <w:rFonts w:ascii="Cambria" w:hAnsi="Cambria"/>
                <w:b w:val="0"/>
                <w:i w:val="0"/>
                <w:sz w:val="22"/>
              </w:rPr>
              <w:t>https://amzn.in/d/3sv8FFT</w:t>
            </w:r>
          </w:p>
        </w:tc>
      </w:tr>
      <w:tr>
        <w:tc>
          <w:tcPr>
            <w:tcW w:type="dxa" w:w="680"/>
            <w:shd w:val="clear" w:color="auto" w:fill="F0F2F5"/>
          </w:tcPr>
          <w:p>
            <w:pPr>
              <w:spacing w:after="40" w:before="40"/>
            </w:pPr>
            <w:r/>
            <w:r>
              <w:rPr>
                <w:rFonts w:ascii="Cambria" w:hAnsi="Cambria"/>
                <w:b w:val="0"/>
                <w:i w:val="0"/>
                <w:sz w:val="22"/>
              </w:rPr>
              <w:t>77</w:t>
            </w:r>
          </w:p>
        </w:tc>
        <w:tc>
          <w:tcPr>
            <w:tcW w:type="dxa" w:w="7314"/>
            <w:shd w:val="clear" w:color="auto" w:fill="F0F2F5"/>
          </w:tcPr>
          <w:p>
            <w:pPr>
              <w:spacing w:after="40" w:before="40"/>
            </w:pPr>
            <w:r/>
            <w:r>
              <w:rPr>
                <w:rFonts w:ascii="Cambria" w:hAnsi="Cambria"/>
                <w:b w:val="0"/>
                <w:i w:val="0"/>
                <w:sz w:val="22"/>
              </w:rPr>
              <w:t>SDG-12: Responsible Consumption and Production: Aligning with NAAC, NIRF, NBA, and QS I-GAUGE Frameworks, Kindle Edition, ASIN: B0FX3QJ8RV</w:t>
            </w:r>
          </w:p>
        </w:tc>
        <w:tc>
          <w:tcPr>
            <w:tcW w:type="dxa" w:w="1417"/>
            <w:shd w:val="clear" w:color="auto" w:fill="F0F2F5"/>
          </w:tcPr>
          <w:p>
            <w:pPr>
              <w:spacing w:after="40" w:before="40"/>
            </w:pPr>
            <w:r/>
            <w:r>
              <w:rPr>
                <w:rFonts w:ascii="Cambria" w:hAnsi="Cambria"/>
                <w:b w:val="0"/>
                <w:i w:val="0"/>
                <w:sz w:val="22"/>
              </w:rPr>
              <w:t>https://amzn.in/d/3sICeRi</w:t>
            </w:r>
          </w:p>
        </w:tc>
      </w:tr>
      <w:tr>
        <w:tc>
          <w:tcPr>
            <w:tcW w:type="dxa" w:w="680"/>
          </w:tcPr>
          <w:p>
            <w:pPr>
              <w:spacing w:after="40" w:before="40"/>
            </w:pPr>
            <w:r/>
            <w:r>
              <w:rPr>
                <w:rFonts w:ascii="Cambria" w:hAnsi="Cambria"/>
                <w:b w:val="0"/>
                <w:i w:val="0"/>
                <w:sz w:val="22"/>
              </w:rPr>
              <w:t>78</w:t>
            </w:r>
          </w:p>
        </w:tc>
        <w:tc>
          <w:tcPr>
            <w:tcW w:type="dxa" w:w="7314"/>
          </w:tcPr>
          <w:p>
            <w:pPr>
              <w:spacing w:after="40" w:before="40"/>
            </w:pPr>
            <w:r/>
            <w:r>
              <w:rPr>
                <w:rFonts w:ascii="Cambria" w:hAnsi="Cambria"/>
                <w:b w:val="0"/>
                <w:i w:val="0"/>
                <w:sz w:val="22"/>
              </w:rPr>
              <w:t>SDG-13: Climate action in Higher Education Institutions: Aligning with NAAC, NIRF, NBA, and QS I-GAUGE Frameworks, Kindle Edition, ASIN: B0FYQ6N2YW</w:t>
            </w:r>
          </w:p>
        </w:tc>
        <w:tc>
          <w:tcPr>
            <w:tcW w:type="dxa" w:w="1417"/>
          </w:tcPr>
          <w:p>
            <w:pPr>
              <w:spacing w:after="40" w:before="40"/>
            </w:pPr>
            <w:r/>
            <w:r>
              <w:rPr>
                <w:rFonts w:ascii="Cambria" w:hAnsi="Cambria"/>
                <w:b w:val="0"/>
                <w:i w:val="0"/>
                <w:sz w:val="22"/>
              </w:rPr>
              <w:t>https://amzn.in/d/296oEOV</w:t>
            </w:r>
          </w:p>
        </w:tc>
      </w:tr>
      <w:tr>
        <w:tc>
          <w:tcPr>
            <w:tcW w:type="dxa" w:w="680"/>
            <w:shd w:val="clear" w:color="auto" w:fill="F0F2F5"/>
          </w:tcPr>
          <w:p>
            <w:pPr>
              <w:spacing w:after="40" w:before="40"/>
            </w:pPr>
            <w:r/>
            <w:r>
              <w:rPr>
                <w:rFonts w:ascii="Cambria" w:hAnsi="Cambria"/>
                <w:b w:val="0"/>
                <w:i w:val="0"/>
                <w:sz w:val="22"/>
              </w:rPr>
              <w:t>79</w:t>
            </w:r>
          </w:p>
        </w:tc>
        <w:tc>
          <w:tcPr>
            <w:tcW w:type="dxa" w:w="7314"/>
            <w:shd w:val="clear" w:color="auto" w:fill="F0F2F5"/>
          </w:tcPr>
          <w:p>
            <w:pPr>
              <w:spacing w:after="40" w:before="40"/>
            </w:pPr>
            <w:r/>
            <w:r>
              <w:rPr>
                <w:rFonts w:ascii="Cambria" w:hAnsi="Cambria"/>
                <w:b w:val="0"/>
                <w:i w:val="0"/>
                <w:sz w:val="22"/>
              </w:rPr>
              <w:t>SDG-14: Life Below Water in Higher Education Institutions: Aligning with NAAC, NIRF, NBA, and QS I-GAUGE Frameworks, Kindle Edition, ASIN: B0G1LZNCBX</w:t>
            </w:r>
          </w:p>
        </w:tc>
        <w:tc>
          <w:tcPr>
            <w:tcW w:type="dxa" w:w="1417"/>
            <w:shd w:val="clear" w:color="auto" w:fill="F0F2F5"/>
          </w:tcPr>
          <w:p>
            <w:pPr>
              <w:spacing w:after="40" w:before="40"/>
            </w:pPr>
            <w:r/>
            <w:r>
              <w:rPr>
                <w:rFonts w:ascii="Cambria" w:hAnsi="Cambria"/>
                <w:b w:val="0"/>
                <w:i w:val="0"/>
                <w:sz w:val="22"/>
              </w:rPr>
              <w:t>https://amzn.in/d/akhEJvQ</w:t>
            </w:r>
          </w:p>
        </w:tc>
      </w:tr>
      <w:tr>
        <w:tc>
          <w:tcPr>
            <w:tcW w:type="dxa" w:w="680"/>
          </w:tcPr>
          <w:p>
            <w:pPr>
              <w:spacing w:after="40" w:before="40"/>
            </w:pPr>
            <w:r/>
            <w:r>
              <w:rPr>
                <w:rFonts w:ascii="Cambria" w:hAnsi="Cambria"/>
                <w:b w:val="0"/>
                <w:i w:val="0"/>
                <w:sz w:val="22"/>
              </w:rPr>
              <w:t>80</w:t>
            </w:r>
          </w:p>
        </w:tc>
        <w:tc>
          <w:tcPr>
            <w:tcW w:type="dxa" w:w="7314"/>
          </w:tcPr>
          <w:p>
            <w:pPr>
              <w:spacing w:after="40" w:before="40"/>
            </w:pPr>
            <w:r/>
            <w:r>
              <w:rPr>
                <w:rFonts w:ascii="Cambria" w:hAnsi="Cambria"/>
                <w:b w:val="0"/>
                <w:i w:val="0"/>
                <w:sz w:val="22"/>
              </w:rPr>
              <w:t>SDG-15: Life on Land in Higher Education Institutions: Aligning with NAAC, NIRF, NBA, and QS I-GAUGE Frameworks, Kindle Edition, ASIN: B0G1T3ZC18</w:t>
            </w:r>
          </w:p>
        </w:tc>
        <w:tc>
          <w:tcPr>
            <w:tcW w:type="dxa" w:w="1417"/>
          </w:tcPr>
          <w:p>
            <w:pPr>
              <w:spacing w:after="40" w:before="40"/>
            </w:pPr>
            <w:r/>
            <w:r>
              <w:rPr>
                <w:rFonts w:ascii="Cambria" w:hAnsi="Cambria"/>
                <w:b w:val="0"/>
                <w:i w:val="0"/>
                <w:sz w:val="22"/>
              </w:rPr>
              <w:t>https://amzn.in/d/hpNoMps</w:t>
            </w:r>
          </w:p>
        </w:tc>
      </w:tr>
      <w:tr>
        <w:tc>
          <w:tcPr>
            <w:tcW w:type="dxa" w:w="680"/>
            <w:shd w:val="clear" w:color="auto" w:fill="F0F2F5"/>
          </w:tcPr>
          <w:p>
            <w:pPr>
              <w:spacing w:after="40" w:before="40"/>
            </w:pPr>
            <w:r/>
            <w:r>
              <w:rPr>
                <w:rFonts w:ascii="Cambria" w:hAnsi="Cambria"/>
                <w:b w:val="0"/>
                <w:i w:val="0"/>
                <w:sz w:val="22"/>
              </w:rPr>
              <w:t>81</w:t>
            </w:r>
          </w:p>
        </w:tc>
        <w:tc>
          <w:tcPr>
            <w:tcW w:type="dxa" w:w="7314"/>
            <w:shd w:val="clear" w:color="auto" w:fill="F0F2F5"/>
          </w:tcPr>
          <w:p>
            <w:pPr>
              <w:spacing w:after="40" w:before="40"/>
            </w:pPr>
            <w:r/>
            <w:r>
              <w:rPr>
                <w:rFonts w:ascii="Cambria" w:hAnsi="Cambria"/>
                <w:b w:val="0"/>
                <w:i w:val="0"/>
                <w:sz w:val="22"/>
              </w:rPr>
              <w:t>SDG-16: Peace, Justice, and Strong Institutions in Higher Education Institutions: Aligning with NAAC, NIRF, NBA, and QS I-GAUGE Frameworks, Kindle Edition, ASIN: B0G249SQPM</w:t>
            </w:r>
          </w:p>
        </w:tc>
        <w:tc>
          <w:tcPr>
            <w:tcW w:type="dxa" w:w="1417"/>
            <w:shd w:val="clear" w:color="auto" w:fill="F0F2F5"/>
          </w:tcPr>
          <w:p>
            <w:pPr>
              <w:spacing w:after="40" w:before="40"/>
            </w:pPr>
            <w:r/>
            <w:r>
              <w:rPr>
                <w:rFonts w:ascii="Cambria" w:hAnsi="Cambria"/>
                <w:b w:val="0"/>
                <w:i w:val="0"/>
                <w:sz w:val="22"/>
              </w:rPr>
              <w:t>https://amzn.in/d/9qSsEVK</w:t>
            </w:r>
          </w:p>
        </w:tc>
      </w:tr>
      <w:tr>
        <w:tc>
          <w:tcPr>
            <w:tcW w:type="dxa" w:w="680"/>
          </w:tcPr>
          <w:p>
            <w:pPr>
              <w:spacing w:after="40" w:before="40"/>
            </w:pPr>
            <w:r/>
            <w:r>
              <w:rPr>
                <w:rFonts w:ascii="Cambria" w:hAnsi="Cambria"/>
                <w:b w:val="0"/>
                <w:i w:val="0"/>
                <w:sz w:val="22"/>
              </w:rPr>
              <w:t>82</w:t>
            </w:r>
          </w:p>
        </w:tc>
        <w:tc>
          <w:tcPr>
            <w:tcW w:type="dxa" w:w="7314"/>
          </w:tcPr>
          <w:p>
            <w:pPr>
              <w:spacing w:after="40" w:before="40"/>
            </w:pPr>
            <w:r/>
            <w:r>
              <w:rPr>
                <w:rFonts w:ascii="Cambria" w:hAnsi="Cambria"/>
                <w:b w:val="0"/>
                <w:i w:val="0"/>
                <w:sz w:val="22"/>
              </w:rPr>
              <w:t>SDG-17: Partnerships for the Goals in Higher Education Institutions: Aligning with NAAC, NIRF, NBA, and QS I-GAUGE Frameworks, Kindle Edition, ASIN: B0G1XTPLRQ</w:t>
            </w:r>
          </w:p>
        </w:tc>
        <w:tc>
          <w:tcPr>
            <w:tcW w:type="dxa" w:w="1417"/>
          </w:tcPr>
          <w:p>
            <w:pPr>
              <w:spacing w:after="40" w:before="40"/>
            </w:pPr>
            <w:r/>
            <w:r>
              <w:rPr>
                <w:rFonts w:ascii="Cambria" w:hAnsi="Cambria"/>
                <w:b w:val="0"/>
                <w:i w:val="0"/>
                <w:sz w:val="22"/>
              </w:rPr>
              <w:t>https://amzn.in/d/iaoMSPf</w:t>
            </w:r>
          </w:p>
        </w:tc>
      </w:tr>
      <w:tr>
        <w:tc>
          <w:tcPr>
            <w:tcW w:type="dxa" w:w="680"/>
            <w:shd w:val="clear" w:color="auto" w:fill="F0F2F5"/>
          </w:tcPr>
          <w:p>
            <w:pPr>
              <w:spacing w:after="40" w:before="40"/>
            </w:pPr>
            <w:r/>
            <w:r>
              <w:rPr>
                <w:rFonts w:ascii="Cambria" w:hAnsi="Cambria"/>
                <w:b w:val="0"/>
                <w:i w:val="0"/>
                <w:sz w:val="22"/>
              </w:rPr>
              <w:t>83</w:t>
            </w:r>
          </w:p>
        </w:tc>
        <w:tc>
          <w:tcPr>
            <w:tcW w:type="dxa" w:w="7314"/>
            <w:shd w:val="clear" w:color="auto" w:fill="F0F2F5"/>
          </w:tcPr>
          <w:p>
            <w:pPr>
              <w:spacing w:after="40" w:before="40"/>
            </w:pPr>
            <w:r/>
            <w:r>
              <w:rPr>
                <w:rFonts w:ascii="Cambria" w:hAnsi="Cambria"/>
                <w:b w:val="0"/>
                <w:i w:val="0"/>
                <w:sz w:val="22"/>
              </w:rPr>
              <w:t>Broadening and Consolidating the Integration of ESDGs in University Systems: Aligning with NAAC, NIRF, NBA, and QS I-GAUGE Frameworks, Kindle Edition, ASIN: B0FYDBPKK7</w:t>
            </w:r>
          </w:p>
        </w:tc>
        <w:tc>
          <w:tcPr>
            <w:tcW w:type="dxa" w:w="1417"/>
            <w:shd w:val="clear" w:color="auto" w:fill="F0F2F5"/>
          </w:tcPr>
          <w:p>
            <w:pPr>
              <w:spacing w:after="40" w:before="40"/>
            </w:pPr>
            <w:r/>
            <w:r>
              <w:rPr>
                <w:rFonts w:ascii="Cambria" w:hAnsi="Cambria"/>
                <w:b w:val="0"/>
                <w:i w:val="0"/>
                <w:sz w:val="22"/>
              </w:rPr>
              <w:t>https://amzn.in/d/cYhNRaA</w:t>
            </w:r>
          </w:p>
        </w:tc>
      </w:tr>
      <w:tr>
        <w:tc>
          <w:tcPr>
            <w:tcW w:type="dxa" w:w="680"/>
          </w:tcPr>
          <w:p>
            <w:pPr>
              <w:spacing w:after="40" w:before="40"/>
            </w:pPr>
            <w:r/>
            <w:r>
              <w:rPr>
                <w:rFonts w:ascii="Cambria" w:hAnsi="Cambria"/>
                <w:b w:val="0"/>
                <w:i w:val="0"/>
                <w:sz w:val="22"/>
              </w:rPr>
              <w:t>84</w:t>
            </w:r>
          </w:p>
        </w:tc>
        <w:tc>
          <w:tcPr>
            <w:tcW w:type="dxa" w:w="7314"/>
          </w:tcPr>
          <w:p>
            <w:pPr>
              <w:spacing w:after="40" w:before="40"/>
            </w:pPr>
            <w:r/>
            <w:r>
              <w:rPr>
                <w:rFonts w:ascii="Cambria" w:hAnsi="Cambria"/>
                <w:b w:val="0"/>
                <w:i w:val="0"/>
                <w:sz w:val="22"/>
              </w:rPr>
              <w:t>Understanding and Integrating Education for the Sustainable Development Goals (ESDGs) in universities: Aligning with NAAC, NIRF, NBA, and QS I-GAUGE Frameworks, Kindle Edition, ASIN: B0FYMVW3M5</w:t>
            </w:r>
          </w:p>
        </w:tc>
        <w:tc>
          <w:tcPr>
            <w:tcW w:type="dxa" w:w="1417"/>
          </w:tcPr>
          <w:p>
            <w:pPr>
              <w:spacing w:after="40" w:before="40"/>
            </w:pPr>
            <w:r/>
            <w:r>
              <w:rPr>
                <w:rFonts w:ascii="Cambria" w:hAnsi="Cambria"/>
                <w:b w:val="0"/>
                <w:i w:val="0"/>
                <w:sz w:val="22"/>
              </w:rPr>
              <w:t>https://amzn.in/d/93AcIOZ</w:t>
            </w:r>
          </w:p>
        </w:tc>
      </w:tr>
      <w:tr>
        <w:tc>
          <w:tcPr>
            <w:tcW w:type="dxa" w:w="680"/>
            <w:shd w:val="clear" w:color="auto" w:fill="F0F2F5"/>
          </w:tcPr>
          <w:p>
            <w:pPr>
              <w:spacing w:after="40" w:before="40"/>
            </w:pPr>
            <w:r/>
            <w:r>
              <w:rPr>
                <w:rFonts w:ascii="Cambria" w:hAnsi="Cambria"/>
                <w:b w:val="0"/>
                <w:i w:val="0"/>
                <w:sz w:val="22"/>
              </w:rPr>
              <w:t>85</w:t>
            </w:r>
          </w:p>
        </w:tc>
        <w:tc>
          <w:tcPr>
            <w:tcW w:type="dxa" w:w="7314"/>
            <w:shd w:val="clear" w:color="auto" w:fill="F0F2F5"/>
          </w:tcPr>
          <w:p>
            <w:pPr>
              <w:spacing w:after="40" w:before="40"/>
            </w:pPr>
            <w:r/>
            <w:r>
              <w:rPr>
                <w:rFonts w:ascii="Cambria" w:hAnsi="Cambria"/>
                <w:b w:val="0"/>
                <w:i w:val="0"/>
                <w:sz w:val="22"/>
              </w:rPr>
              <w:t>Transforming Universities for the Education and Sustainable Development Goals (ESDGs): Aligning with NAAC, NIRF, NBA, and QS I-GAUGE Frameworks, Kindle Edition, ASIN: B0G2B4QGS6</w:t>
            </w:r>
          </w:p>
        </w:tc>
        <w:tc>
          <w:tcPr>
            <w:tcW w:type="dxa" w:w="1417"/>
            <w:shd w:val="clear" w:color="auto" w:fill="F0F2F5"/>
          </w:tcPr>
          <w:p>
            <w:pPr>
              <w:spacing w:after="40" w:before="40"/>
            </w:pPr>
            <w:r/>
            <w:r>
              <w:rPr>
                <w:rFonts w:ascii="Cambria" w:hAnsi="Cambria"/>
                <w:b w:val="0"/>
                <w:i w:val="0"/>
                <w:sz w:val="22"/>
              </w:rPr>
              <w:t>https://amzn.in/d/dj4Uc2p</w:t>
            </w:r>
          </w:p>
        </w:tc>
      </w:tr>
    </w:tbl>
    <w:p>
      <w:pPr>
        <w:spacing w:after="40"/>
      </w:pPr>
    </w:p>
    <w:p>
      <w:pPr>
        <w:jc w:val="both"/>
      </w:pPr>
      <w:r>
        <w:rPr>
          <w:rFonts w:ascii="Cambria" w:hAnsi="Cambria"/>
          <w:i/>
          <w:sz w:val="22"/>
        </w:rPr>
        <w:t>(End of book. The final image in the supplied set, Screenshot (11544).png / source pg 356, ends with reference item 85, the last entry of Section 68 'References' — a natural, complete end of the book's content, not a mid-sentence truncation.)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