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mbria" w:hAnsi="Cambria" w:eastAsia="Cambria"/>
          <w:b/>
          <w:i w:val="0"/>
          <w:color w:val="C00000"/>
          <w:sz w:val="48"/>
        </w:rPr>
        <w:t>SDG-3: Good Health</w:t>
      </w:r>
    </w:p>
    <w:p>
      <w:pPr>
        <w:spacing w:after="80"/>
        <w:jc w:val="center"/>
      </w:pPr>
      <w:r>
        <w:rPr>
          <w:rFonts w:ascii="Cambria" w:hAnsi="Cambria" w:eastAsia="Cambria"/>
          <w:b/>
          <w:i w:val="0"/>
          <w:color w:val="C00000"/>
          <w:sz w:val="48"/>
        </w:rPr>
        <w:t>and Well-Being</w:t>
      </w:r>
    </w:p>
    <w:p>
      <w:pPr>
        <w:spacing w:after="80"/>
        <w:jc w:val="center"/>
      </w:pPr>
      <w:r>
        <w:rPr>
          <w:rFonts w:ascii="Cambria" w:hAnsi="Cambria" w:eastAsia="Cambria"/>
          <w:b/>
          <w:i w:val="0"/>
          <w:color w:val="C00000"/>
          <w:sz w:val="48"/>
        </w:rPr>
        <w:t>in Higher Education</w:t>
      </w:r>
    </w:p>
    <w:p>
      <w:pPr>
        <w:spacing w:after="80"/>
        <w:jc w:val="center"/>
      </w:pPr>
      <w:r>
        <w:rPr>
          <w:rFonts w:ascii="Cambria" w:hAnsi="Cambria" w:eastAsia="Cambria"/>
          <w:b/>
          <w:i w:val="0"/>
          <w:color w:val="C00000"/>
          <w:sz w:val="48"/>
        </w:rPr>
        <w:t>Institutions</w:t>
      </w:r>
    </w:p>
    <w:p>
      <w:pPr>
        <w:spacing w:before="200" w:after="600"/>
        <w:jc w:val="center"/>
      </w:pPr>
      <w:r>
        <w:rPr>
          <w:rFonts w:ascii="Cambria" w:hAnsi="Cambria" w:eastAsia="Cambria"/>
          <w:b/>
          <w:i w:val="0"/>
          <w:sz w:val="26"/>
        </w:rPr>
        <w:t>Aligning with NAAC, NIRF, NBA, and QS I-GAUGE Frameworks</w:t>
      </w:r>
    </w:p>
    <w:p>
      <w:pPr>
        <w:spacing w:after="40"/>
        <w:jc w:val="center"/>
      </w:pPr>
      <w:r>
        <w:rPr>
          <w:rFonts w:ascii="Cambria" w:hAnsi="Cambria" w:eastAsia="Cambria"/>
          <w:b/>
          <w:i w:val="0"/>
          <w:sz w:val="22"/>
        </w:rPr>
        <w:t>Dr Venkata Rama Krishna Tottempudi</w:t>
      </w:r>
    </w:p>
    <w:p>
      <w:pPr>
        <w:spacing w:after="320"/>
        <w:jc w:val="center"/>
      </w:pPr>
      <w:r>
        <w:rPr>
          <w:rFonts w:ascii="Cambria" w:hAnsi="Cambria" w:eastAsia="Cambria"/>
          <w:b/>
          <w:i w:val="0"/>
          <w:sz w:val="22"/>
        </w:rPr>
        <w:t>Professor, Avanthi Institute of Engineering &amp; Technology</w:t>
      </w:r>
    </w:p>
    <w:p>
      <w:pPr>
        <w:spacing w:after="40"/>
        <w:jc w:val="center"/>
      </w:pPr>
      <w:r>
        <w:rPr>
          <w:rFonts w:ascii="Cambria" w:hAnsi="Cambria" w:eastAsia="Cambria"/>
          <w:b/>
          <w:i w:val="0"/>
          <w:sz w:val="22"/>
        </w:rPr>
        <w:t>Sai Saran Tottempudi</w:t>
      </w:r>
    </w:p>
    <w:p>
      <w:pPr>
        <w:spacing w:after="320"/>
        <w:jc w:val="center"/>
      </w:pPr>
      <w:r>
        <w:rPr>
          <w:rFonts w:ascii="Cambria" w:hAnsi="Cambria" w:eastAsia="Cambria"/>
          <w:b/>
          <w:i w:val="0"/>
          <w:sz w:val="22"/>
        </w:rPr>
        <w:t>Lecturer, Avanthi Institute of Engineering &amp; Technology</w:t>
      </w:r>
    </w:p>
    <w:p>
      <w:r>
        <w:br w:type="page"/>
      </w:r>
    </w:p>
    <w:p>
      <w:pPr>
        <w:spacing w:before="280" w:after="160"/>
      </w:pPr>
      <w:r>
        <w:rPr>
          <w:rFonts w:ascii="Cambria" w:hAnsi="Cambria" w:eastAsia="Cambria"/>
          <w:b/>
          <w:i w:val="0"/>
          <w:color w:val="1F3A5F"/>
          <w:sz w:val="27"/>
        </w:rPr>
        <w:t>ACKNOWLEDGEMENT</w:t>
      </w:r>
    </w:p>
    <w:p>
      <w:pPr>
        <w:spacing w:line="276" w:lineRule="auto" w:after="120"/>
        <w:jc w:val="both"/>
      </w:pPr>
      <w:r>
        <w:rPr>
          <w:rFonts w:ascii="Cambria" w:hAnsi="Cambria" w:eastAsia="Cambria"/>
          <w:b w:val="0"/>
          <w:i w:val="0"/>
          <w:sz w:val="22"/>
        </w:rPr>
        <w:t>The achievement of Sustainable Development Goal 3 (SDG-3): Good Health and Well-Being within Higher Education Institutions (HEIs) reflects the joint efforts of numerous stakeholders devoted to the cause of sustainable human development. The integration of health, wellness, and sustainability into the higher education framework has been made possible through the continuous support and guidance of national, regional, and institutional bodies.</w:t>
      </w:r>
    </w:p>
    <w:p>
      <w:pPr>
        <w:spacing w:line="276" w:lineRule="auto" w:after="120"/>
        <w:jc w:val="both"/>
      </w:pPr>
      <w:r>
        <w:rPr>
          <w:rFonts w:ascii="Cambria" w:hAnsi="Cambria" w:eastAsia="Cambria"/>
          <w:b w:val="0"/>
          <w:i w:val="0"/>
          <w:sz w:val="22"/>
        </w:rPr>
        <w:t>We sincerely extend our gratitude to the Ministry of Education, Government of India, and the University Grants Commission (UGC) for their visionary leadership in aligning educational systems with the global Sustainable Development Goals. Their initiatives have encouraged the inclusion of holistic health, mental well-being, and sustainable lifestyles within academic curricula and institutional culture.</w:t>
      </w:r>
    </w:p>
    <w:p>
      <w:pPr>
        <w:spacing w:line="276" w:lineRule="auto" w:after="120"/>
        <w:jc w:val="both"/>
      </w:pPr>
      <w:r>
        <w:rPr>
          <w:rFonts w:ascii="Cambria" w:hAnsi="Cambria" w:eastAsia="Cambria"/>
          <w:b w:val="0"/>
          <w:i w:val="0"/>
          <w:sz w:val="22"/>
        </w:rPr>
        <w:t>Our appreciation is also directed toward the World Health Organization (WHO) and the United Nations Development Programme (UNDP) for their global frameworks, data-driven insights, and policy recommendations that have guided the Indian higher education sector in implementing the objectives of SDG-3.</w:t>
      </w:r>
    </w:p>
    <w:p>
      <w:pPr>
        <w:spacing w:line="276" w:lineRule="auto" w:after="120"/>
        <w:jc w:val="both"/>
      </w:pPr>
      <w:r>
        <w:rPr>
          <w:rFonts w:ascii="Cambria" w:hAnsi="Cambria" w:eastAsia="Cambria"/>
          <w:b w:val="0"/>
          <w:i w:val="0"/>
          <w:sz w:val="22"/>
        </w:rPr>
        <w:t>We acknowledge the dedicated contributions of regulatory and accreditation bodies, including AICTE, NAAC, ICMR, ICAR, and the Ministry of AYUSH, for their initiatives that encourage interdisciplinary collaboration between education, medicine, and community development. Their support has enabled HEIs to become active participants in public health awareness, preventive healthcare, and wellness promotion.</w:t>
      </w:r>
    </w:p>
    <w:p>
      <w:pPr>
        <w:spacing w:line="276" w:lineRule="auto" w:after="120"/>
        <w:jc w:val="both"/>
      </w:pPr>
      <w:r>
        <w:rPr>
          <w:rFonts w:ascii="Cambria" w:hAnsi="Cambria" w:eastAsia="Cambria"/>
          <w:b w:val="0"/>
          <w:i w:val="0"/>
          <w:sz w:val="22"/>
        </w:rPr>
        <w:t>Special recognition is given to faculty members, researchers, and students across universities and colleges for their commitment to advancing physical, mental, and emotional health through campus-based wellness programs, yoga and meditation initiatives, drug abuse prevention campaigns, and health-awareness workshops.</w:t>
      </w:r>
    </w:p>
    <w:p>
      <w:pPr>
        <w:spacing w:line="276" w:lineRule="auto" w:after="120"/>
        <w:jc w:val="both"/>
      </w:pPr>
      <w:r>
        <w:rPr>
          <w:rFonts w:ascii="Cambria" w:hAnsi="Cambria" w:eastAsia="Cambria"/>
          <w:b w:val="0"/>
          <w:i w:val="0"/>
          <w:sz w:val="22"/>
        </w:rPr>
        <w:t>We also express gratitude to local health departments, NGOs, and community organizations that have collaborated with educational institutions to extend healthcare access, organize vaccination drives, and conduct rural health awareness programs. Their partnerships have been instrumental in bridging the gap between academic knowledge and real-world impact.</w:t>
      </w:r>
    </w:p>
    <w:p/>
    <w:p>
      <w:pPr>
        <w:spacing w:line="276" w:lineRule="auto" w:after="120"/>
        <w:jc w:val="both"/>
      </w:pPr>
      <w:r>
        <w:rPr>
          <w:rFonts w:ascii="Cambria" w:hAnsi="Cambria" w:eastAsia="Cambria"/>
          <w:b w:val="0"/>
          <w:i w:val="0"/>
          <w:sz w:val="22"/>
        </w:rPr>
        <w:t xml:space="preserve">My heartfelt thanks to </w:t>
      </w:r>
      <w:r>
        <w:rPr>
          <w:rFonts w:ascii="Cambria" w:hAnsi="Cambria" w:eastAsia="Cambria"/>
          <w:b/>
          <w:i w:val="0"/>
          <w:sz w:val="22"/>
        </w:rPr>
        <w:t>Smt. M. Gnaneshwari, Chairperson -AIET,</w:t>
      </w:r>
      <w:r>
        <w:rPr>
          <w:rFonts w:ascii="Cambria" w:hAnsi="Cambria" w:eastAsia="Cambria"/>
          <w:b w:val="0"/>
          <w:i w:val="0"/>
          <w:sz w:val="22"/>
        </w:rPr>
        <w:t xml:space="preserve"> for his constant encouragement, and to </w:t>
      </w:r>
      <w:r>
        <w:rPr>
          <w:rFonts w:ascii="Cambria" w:hAnsi="Cambria" w:eastAsia="Cambria"/>
          <w:b/>
          <w:i w:val="0"/>
          <w:sz w:val="22"/>
        </w:rPr>
        <w:t>Sri. M. Srinivasa Rao,</w:t>
      </w:r>
      <w:r>
        <w:rPr>
          <w:rFonts w:ascii="Cambria" w:hAnsi="Cambria" w:eastAsia="Cambria"/>
          <w:b w:val="0"/>
          <w:i w:val="0"/>
          <w:sz w:val="22"/>
        </w:rPr>
        <w:t xml:space="preserve"> Ex Minister Govt. Of AP, Member of Legislative Assembly, Bheemili., for providing the necessary facilities and support to bring this book to completion.</w:t>
      </w:r>
    </w:p>
    <w:p>
      <w:pPr>
        <w:spacing w:line="276" w:lineRule="auto" w:after="120"/>
        <w:jc w:val="both"/>
      </w:pPr>
      <w:r>
        <w:rPr>
          <w:rFonts w:ascii="Cambria" w:hAnsi="Cambria" w:eastAsia="Cambria"/>
          <w:b w:val="0"/>
          <w:i w:val="0"/>
          <w:sz w:val="22"/>
        </w:rPr>
        <w:t xml:space="preserve">In addition, I gratefully acknowledge the support of </w:t>
      </w:r>
      <w:r>
        <w:rPr>
          <w:rFonts w:ascii="Cambria" w:hAnsi="Cambria" w:eastAsia="Cambria"/>
          <w:b/>
          <w:i w:val="0"/>
          <w:sz w:val="22"/>
        </w:rPr>
        <w:t>Dr. A.Chandra Sekhar and Dr.B.Murali Krishna</w:t>
      </w:r>
      <w:r>
        <w:rPr>
          <w:rFonts w:ascii="Cambria" w:hAnsi="Cambria" w:eastAsia="Cambria"/>
          <w:b w:val="0"/>
          <w:i w:val="0"/>
          <w:sz w:val="22"/>
        </w:rPr>
        <w:t>, whose contributions have been invaluable.</w:t>
      </w:r>
    </w:p>
    <w:p>
      <w:pPr>
        <w:spacing w:line="276" w:lineRule="auto" w:after="120"/>
        <w:jc w:val="both"/>
      </w:pPr>
      <w:r>
        <w:rPr>
          <w:rFonts w:ascii="Cambria" w:hAnsi="Cambria" w:eastAsia="Cambria"/>
          <w:b w:val="0"/>
          <w:i w:val="0"/>
          <w:sz w:val="22"/>
        </w:rPr>
        <w:t xml:space="preserve">Most importantly, I must thank my wife and best friend, </w:t>
      </w:r>
      <w:r>
        <w:rPr>
          <w:rFonts w:ascii="Cambria" w:hAnsi="Cambria" w:eastAsia="Cambria"/>
          <w:b/>
          <w:i w:val="0"/>
          <w:sz w:val="22"/>
        </w:rPr>
        <w:t>Sailaja Tottempudi</w:t>
      </w:r>
      <w:r>
        <w:rPr>
          <w:rFonts w:ascii="Cambria" w:hAnsi="Cambria" w:eastAsia="Cambria"/>
          <w:b w:val="0"/>
          <w:i w:val="0"/>
          <w:sz w:val="22"/>
        </w:rPr>
        <w:t>, for her unwavering support and strength through every phase of this journey.</w:t>
      </w:r>
    </w:p>
    <w:p>
      <w:pPr>
        <w:spacing w:line="276" w:lineRule="auto" w:after="120"/>
        <w:jc w:val="both"/>
      </w:pPr>
      <w:r>
        <w:rPr>
          <w:rFonts w:ascii="Cambria" w:hAnsi="Cambria" w:eastAsia="Cambria"/>
          <w:b w:val="0"/>
          <w:i w:val="0"/>
          <w:sz w:val="22"/>
        </w:rPr>
        <w:t>Finally, I express my deep gratitude to my family and well-wishers for their continuous encouragement and moral support throughout this endeavor.</w:t>
      </w:r>
    </w:p>
    <w:p>
      <w:pPr>
        <w:spacing w:line="276" w:lineRule="auto" w:after="120"/>
        <w:jc w:val="both"/>
      </w:pPr>
      <w:r>
        <w:rPr>
          <w:rFonts w:ascii="Cambria" w:hAnsi="Cambria" w:eastAsia="Cambria"/>
          <w:b w:val="0"/>
          <w:i w:val="0"/>
          <w:sz w:val="22"/>
        </w:rPr>
        <w:t>This book is a humble contribution toward building a more quality-conscious, outcome-oriented, and institutionally accountable higher education ecosystem in India.</w:t>
      </w:r>
    </w:p>
    <w:p/>
    <w:p>
      <w:r>
        <w:rPr>
          <w:rFonts w:ascii="Cambria" w:hAnsi="Cambria" w:eastAsia="Cambria"/>
          <w:b/>
          <w:i w:val="0"/>
          <w:sz w:val="22"/>
        </w:rPr>
        <w:t>Dr. V. Rama Krishna Tottempudi</w:t>
      </w:r>
    </w:p>
    <w:p>
      <w:r>
        <w:rPr>
          <w:rFonts w:ascii="Cambria" w:hAnsi="Cambria" w:eastAsia="Cambria"/>
          <w:b/>
          <w:i w:val="0"/>
          <w:sz w:val="22"/>
        </w:rPr>
        <w:t>Sai Saran Tottempudi</w:t>
      </w:r>
    </w:p>
    <w:p/>
    <w:p>
      <w:pPr>
        <w:spacing w:before="280" w:after="160"/>
      </w:pPr>
      <w:r>
        <w:rPr>
          <w:rFonts w:ascii="Cambria" w:hAnsi="Cambria" w:eastAsia="Cambria"/>
          <w:b/>
          <w:i w:val="0"/>
          <w:color w:val="1F3A5F"/>
          <w:sz w:val="27"/>
        </w:rPr>
        <w:t>About Dr. T. V. Rama Krishna</w:t>
      </w:r>
    </w:p>
    <w:p>
      <w:pPr>
        <w:spacing w:line="276" w:lineRule="auto" w:after="120"/>
        <w:jc w:val="both"/>
      </w:pPr>
      <w:r>
        <w:rPr>
          <w:rFonts w:ascii="Cambria" w:hAnsi="Cambria" w:eastAsia="Cambria"/>
          <w:b w:val="0"/>
          <w:i w:val="0"/>
          <w:sz w:val="22"/>
        </w:rPr>
        <w:t xml:space="preserve">Dr. T. V. Rama Krishna is a distinguished academician, researcher, and administrator with </w:t>
      </w:r>
      <w:r>
        <w:rPr>
          <w:rFonts w:ascii="Cambria" w:hAnsi="Cambria" w:eastAsia="Cambria"/>
          <w:b/>
          <w:i w:val="0"/>
          <w:sz w:val="22"/>
        </w:rPr>
        <w:t>25 years of teaching experience</w:t>
      </w:r>
      <w:r>
        <w:rPr>
          <w:rFonts w:ascii="Cambria" w:hAnsi="Cambria" w:eastAsia="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line="276" w:lineRule="auto" w:after="120"/>
        <w:jc w:val="both"/>
      </w:pPr>
      <w:r>
        <w:rPr>
          <w:rFonts w:ascii="Cambria" w:hAnsi="Cambria" w:eastAsia="Cambria"/>
          <w:b w:val="0"/>
          <w:i w:val="0"/>
          <w:sz w:val="22"/>
        </w:rPr>
        <w:t xml:space="preserve">He has successfully </w:t>
      </w:r>
      <w:r>
        <w:rPr>
          <w:rFonts w:ascii="Cambria" w:hAnsi="Cambria" w:eastAsia="Cambria"/>
          <w:b/>
          <w:i w:val="0"/>
          <w:sz w:val="22"/>
        </w:rPr>
        <w:t>guided 5 Ph.D. scholars</w:t>
      </w:r>
      <w:r>
        <w:rPr>
          <w:rFonts w:ascii="Cambria" w:hAnsi="Cambria" w:eastAsia="Cambria"/>
          <w:b w:val="0"/>
          <w:i w:val="0"/>
          <w:sz w:val="22"/>
        </w:rPr>
        <w:t xml:space="preserve"> and continues to serve as a </w:t>
      </w:r>
      <w:r>
        <w:rPr>
          <w:rFonts w:ascii="Cambria" w:hAnsi="Cambria" w:eastAsia="Cambria"/>
          <w:b/>
          <w:i w:val="0"/>
          <w:sz w:val="22"/>
        </w:rPr>
        <w:t>recognized research supervisor</w:t>
      </w:r>
      <w:r>
        <w:rPr>
          <w:rFonts w:ascii="Cambria" w:hAnsi="Cambria" w:eastAsia="Cambria"/>
          <w:b w:val="0"/>
          <w:i w:val="0"/>
          <w:sz w:val="22"/>
        </w:rPr>
        <w:t xml:space="preserve"> at </w:t>
      </w:r>
      <w:r>
        <w:rPr>
          <w:rFonts w:ascii="Cambria" w:hAnsi="Cambria" w:eastAsia="Cambria"/>
          <w:b/>
          <w:i w:val="0"/>
          <w:sz w:val="22"/>
        </w:rPr>
        <w:t>Andhra University</w:t>
      </w:r>
      <w:r>
        <w:rPr>
          <w:rFonts w:ascii="Cambria" w:hAnsi="Cambria" w:eastAsia="Cambria"/>
          <w:b w:val="0"/>
          <w:i w:val="0"/>
          <w:sz w:val="22"/>
        </w:rPr>
        <w:t xml:space="preserve">, </w:t>
      </w:r>
      <w:r>
        <w:rPr>
          <w:rFonts w:ascii="Cambria" w:hAnsi="Cambria" w:eastAsia="Cambria"/>
          <w:b/>
          <w:i w:val="0"/>
          <w:sz w:val="22"/>
        </w:rPr>
        <w:t>JNTU Ananthapuram</w:t>
      </w:r>
      <w:r>
        <w:rPr>
          <w:rFonts w:ascii="Cambria" w:hAnsi="Cambria" w:eastAsia="Cambria"/>
          <w:b w:val="0"/>
          <w:i w:val="0"/>
          <w:sz w:val="22"/>
        </w:rPr>
        <w:t xml:space="preserve">, </w:t>
      </w:r>
      <w:r>
        <w:rPr>
          <w:rFonts w:ascii="Cambria" w:hAnsi="Cambria" w:eastAsia="Cambria"/>
          <w:b/>
          <w:i w:val="0"/>
          <w:sz w:val="22"/>
        </w:rPr>
        <w:t>Koneru Lakshmaiah Education Foundation (KLEF) University</w:t>
      </w:r>
      <w:r>
        <w:rPr>
          <w:rFonts w:ascii="Cambria" w:hAnsi="Cambria" w:eastAsia="Cambria"/>
          <w:b w:val="0"/>
          <w:i w:val="0"/>
          <w:sz w:val="22"/>
        </w:rPr>
        <w:t xml:space="preserve">, and </w:t>
      </w:r>
      <w:r>
        <w:rPr>
          <w:rFonts w:ascii="Cambria" w:hAnsi="Cambria" w:eastAsia="Cambria"/>
          <w:b/>
          <w:i w:val="0"/>
          <w:sz w:val="22"/>
        </w:rPr>
        <w:t>Sri Chandrasekharendra Saraswathi Viswa Mahavidyalaya University</w:t>
      </w:r>
      <w:r>
        <w:rPr>
          <w:rFonts w:ascii="Cambria" w:hAnsi="Cambria" w:eastAsia="Cambria"/>
          <w:b w:val="0"/>
          <w:i w:val="0"/>
          <w:sz w:val="22"/>
        </w:rPr>
        <w:t>. His supervision has fostered high-quality research outcomes in engineering, technology, and applied sciences.</w:t>
      </w:r>
    </w:p>
    <w:p>
      <w:pPr>
        <w:spacing w:line="276" w:lineRule="auto" w:after="120"/>
        <w:jc w:val="both"/>
      </w:pPr>
      <w:r>
        <w:rPr>
          <w:rFonts w:ascii="Cambria" w:hAnsi="Cambria" w:eastAsia="Cambria"/>
          <w:b w:val="0"/>
          <w:i w:val="0"/>
          <w:sz w:val="22"/>
        </w:rPr>
        <w:t xml:space="preserve">Dr. Rama Krishna is a prolific researcher with an extensive publication record of </w:t>
      </w:r>
      <w:r>
        <w:rPr>
          <w:rFonts w:ascii="Cambria" w:hAnsi="Cambria" w:eastAsia="Cambria"/>
          <w:b/>
          <w:i w:val="0"/>
          <w:sz w:val="22"/>
        </w:rPr>
        <w:t>97 research papers</w:t>
      </w:r>
      <w:r>
        <w:rPr>
          <w:rFonts w:ascii="Cambria" w:hAnsi="Cambria" w:eastAsia="Cambria"/>
          <w:b w:val="0"/>
          <w:i w:val="0"/>
          <w:sz w:val="22"/>
        </w:rPr>
        <w:t xml:space="preserve">, including </w:t>
      </w:r>
      <w:r>
        <w:rPr>
          <w:rFonts w:ascii="Cambria" w:hAnsi="Cambria" w:eastAsia="Cambria"/>
          <w:b/>
          <w:i w:val="0"/>
          <w:sz w:val="22"/>
        </w:rPr>
        <w:t>50 indexed in Scopus</w:t>
      </w:r>
      <w:r>
        <w:rPr>
          <w:rFonts w:ascii="Cambria" w:hAnsi="Cambria" w:eastAsia="Cambria"/>
          <w:b w:val="0"/>
          <w:i w:val="0"/>
          <w:sz w:val="22"/>
        </w:rPr>
        <w:t xml:space="preserve"> and </w:t>
      </w:r>
      <w:r>
        <w:rPr>
          <w:rFonts w:ascii="Cambria" w:hAnsi="Cambria" w:eastAsia="Cambria"/>
          <w:b/>
          <w:i w:val="0"/>
          <w:sz w:val="22"/>
        </w:rPr>
        <w:t>3 in SCI journals</w:t>
      </w:r>
      <w:r>
        <w:rPr>
          <w:rFonts w:ascii="Cambria" w:hAnsi="Cambria" w:eastAsia="Cambria"/>
          <w:b w:val="0"/>
          <w:i w:val="0"/>
          <w:sz w:val="22"/>
        </w:rPr>
        <w:t>. His research expertise is widely recognized, and his profile can be accessed here: Scopus Author ID – 56397099300.</w:t>
      </w:r>
    </w:p>
    <w:p>
      <w:pPr>
        <w:spacing w:line="276" w:lineRule="auto" w:after="120"/>
        <w:jc w:val="both"/>
      </w:pPr>
      <w:r>
        <w:rPr>
          <w:rFonts w:ascii="Cambria" w:hAnsi="Cambria" w:eastAsia="Cambria"/>
          <w:b w:val="0"/>
          <w:i w:val="0"/>
          <w:sz w:val="22"/>
        </w:rPr>
        <w:t xml:space="preserve">Dr. T. V. Rama Krishna has held several distinguished academic and administrative positions across reputed institutions in Andhra Pradesh and Telangana. At </w:t>
      </w:r>
      <w:r>
        <w:rPr>
          <w:rFonts w:ascii="Cambria" w:hAnsi="Cambria" w:eastAsia="Cambria"/>
          <w:b/>
          <w:i w:val="0"/>
          <w:sz w:val="22"/>
        </w:rPr>
        <w:t>Sanketika Vidya Parishad Engineering College (SVPEC)</w:t>
      </w:r>
      <w:r>
        <w:rPr>
          <w:rFonts w:ascii="Cambria" w:hAnsi="Cambria" w:eastAsia="Cambria"/>
          <w:b w:val="0"/>
          <w:i w:val="0"/>
          <w:sz w:val="22"/>
        </w:rPr>
        <w:t xml:space="preserve">, he served as the </w:t>
      </w:r>
      <w:r>
        <w:rPr>
          <w:rFonts w:ascii="Cambria" w:hAnsi="Cambria" w:eastAsia="Cambria"/>
          <w:b/>
          <w:i w:val="0"/>
          <w:sz w:val="22"/>
        </w:rPr>
        <w:t>Ratified Principal from Andhra University</w:t>
      </w:r>
      <w:r>
        <w:rPr>
          <w:rFonts w:ascii="Cambria" w:hAnsi="Cambria" w:eastAsia="Cambria"/>
          <w:b w:val="0"/>
          <w:i w:val="0"/>
          <w:sz w:val="22"/>
        </w:rPr>
        <w:t xml:space="preserve">, where he also took on responsibilities as </w:t>
      </w:r>
      <w:r>
        <w:rPr>
          <w:rFonts w:ascii="Cambria" w:hAnsi="Cambria" w:eastAsia="Cambria"/>
          <w:b/>
          <w:i w:val="0"/>
          <w:sz w:val="22"/>
        </w:rPr>
        <w:t>Dean of Academics</w:t>
      </w:r>
      <w:r>
        <w:rPr>
          <w:rFonts w:ascii="Cambria" w:hAnsi="Cambria" w:eastAsia="Cambria"/>
          <w:b w:val="0"/>
          <w:i w:val="0"/>
          <w:sz w:val="22"/>
        </w:rPr>
        <w:t xml:space="preserve">, </w:t>
      </w:r>
      <w:r>
        <w:rPr>
          <w:rFonts w:ascii="Cambria" w:hAnsi="Cambria" w:eastAsia="Cambria"/>
          <w:b/>
          <w:i w:val="0"/>
          <w:sz w:val="22"/>
        </w:rPr>
        <w:t>Ratified Professor</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 xml:space="preserve">, a statutory body under UGC. He later contributed as the </w:t>
      </w:r>
      <w:r>
        <w:rPr>
          <w:rFonts w:ascii="Cambria" w:hAnsi="Cambria" w:eastAsia="Cambria"/>
          <w:b/>
          <w:i w:val="0"/>
          <w:sz w:val="22"/>
        </w:rPr>
        <w:t>Ratified Principal from JNTU, Hyderabad</w:t>
      </w:r>
      <w:r>
        <w:rPr>
          <w:rFonts w:ascii="Cambria" w:hAnsi="Cambria" w:eastAsia="Cambria"/>
          <w:b w:val="0"/>
          <w:i w:val="0"/>
          <w:sz w:val="22"/>
        </w:rPr>
        <w:t xml:space="preserve"> at </w:t>
      </w:r>
      <w:r>
        <w:rPr>
          <w:rFonts w:ascii="Cambria" w:hAnsi="Cambria" w:eastAsia="Cambria"/>
          <w:b/>
          <w:i w:val="0"/>
          <w:sz w:val="22"/>
        </w:rPr>
        <w:t>Bharat Institute of Engineering and Technology (BIET)</w:t>
      </w:r>
      <w:r>
        <w:rPr>
          <w:rFonts w:ascii="Cambria" w:hAnsi="Cambria" w:eastAsia="Cambria"/>
          <w:b w:val="0"/>
          <w:i w:val="0"/>
          <w:sz w:val="22"/>
        </w:rPr>
        <w:t xml:space="preserve">, where his primary duties included serving as </w:t>
      </w:r>
      <w:r>
        <w:rPr>
          <w:rFonts w:ascii="Cambria" w:hAnsi="Cambria" w:eastAsia="Cambria"/>
          <w:b/>
          <w:i w:val="0"/>
          <w:sz w:val="22"/>
        </w:rPr>
        <w:t>Dean of Academics</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w:t>
      </w:r>
    </w:p>
    <w:p>
      <w:pPr>
        <w:spacing w:line="276" w:lineRule="auto" w:after="120"/>
        <w:jc w:val="both"/>
      </w:pPr>
      <w:r>
        <w:rPr>
          <w:rFonts w:ascii="Cambria" w:hAnsi="Cambria" w:eastAsia="Cambria"/>
          <w:b w:val="0"/>
          <w:i w:val="0"/>
          <w:sz w:val="22"/>
        </w:rPr>
        <w:t xml:space="preserve">At </w:t>
      </w:r>
      <w:r>
        <w:rPr>
          <w:rFonts w:ascii="Cambria" w:hAnsi="Cambria" w:eastAsia="Cambria"/>
          <w:b/>
          <w:i w:val="0"/>
          <w:sz w:val="22"/>
        </w:rPr>
        <w:t>Sasi Institute of Technology and Engineering (SITE)</w:t>
      </w:r>
      <w:r>
        <w:rPr>
          <w:rFonts w:ascii="Cambria" w:hAnsi="Cambria" w:eastAsia="Cambria"/>
          <w:b w:val="0"/>
          <w:i w:val="0"/>
          <w:sz w:val="22"/>
        </w:rPr>
        <w:t xml:space="preserve">, he functioned as a </w:t>
      </w:r>
      <w:r>
        <w:rPr>
          <w:rFonts w:ascii="Cambria" w:hAnsi="Cambria" w:eastAsia="Cambria"/>
          <w:b/>
          <w:i w:val="0"/>
          <w:sz w:val="22"/>
        </w:rPr>
        <w:t>Ratified Professor from JNTUK, Kakinada</w:t>
      </w:r>
      <w:r>
        <w:rPr>
          <w:rFonts w:ascii="Cambria" w:hAnsi="Cambria" w:eastAsia="Cambria"/>
          <w:b w:val="0"/>
          <w:i w:val="0"/>
          <w:sz w:val="22"/>
        </w:rPr>
        <w:t xml:space="preserve">, while also serving as </w:t>
      </w:r>
      <w:r>
        <w:rPr>
          <w:rFonts w:ascii="Cambria" w:hAnsi="Cambria" w:eastAsia="Cambria"/>
          <w:b/>
          <w:i w:val="0"/>
          <w:sz w:val="22"/>
        </w:rPr>
        <w:t>Principal</w:t>
      </w:r>
      <w:r>
        <w:rPr>
          <w:rFonts w:ascii="Cambria" w:hAnsi="Cambria" w:eastAsia="Cambria"/>
          <w:b w:val="0"/>
          <w:i w:val="0"/>
          <w:sz w:val="22"/>
        </w:rPr>
        <w:t xml:space="preserve"> and </w:t>
      </w:r>
      <w:r>
        <w:rPr>
          <w:rFonts w:ascii="Cambria" w:hAnsi="Cambria" w:eastAsia="Cambria"/>
          <w:b/>
          <w:i w:val="0"/>
          <w:sz w:val="22"/>
        </w:rPr>
        <w:t>Dean of Academics</w:t>
      </w:r>
      <w:r>
        <w:rPr>
          <w:rFonts w:ascii="Cambria" w:hAnsi="Cambria" w:eastAsia="Cambria"/>
          <w:b w:val="0"/>
          <w:i w:val="0"/>
          <w:sz w:val="22"/>
        </w:rPr>
        <w:t xml:space="preserve">. His statutory and governance roles at SITE included </w:t>
      </w:r>
      <w:r>
        <w:rPr>
          <w:rFonts w:ascii="Cambria" w:hAnsi="Cambria" w:eastAsia="Cambria"/>
          <w:b/>
          <w:i w:val="0"/>
          <w:sz w:val="22"/>
        </w:rPr>
        <w:t>Governing Body Member</w:t>
      </w:r>
      <w:r>
        <w:rPr>
          <w:rFonts w:ascii="Cambria" w:hAnsi="Cambria" w:eastAsia="Cambria"/>
          <w:b w:val="0"/>
          <w:i w:val="0"/>
          <w:sz w:val="22"/>
        </w:rPr>
        <w:t xml:space="preserve">, </w:t>
      </w:r>
      <w:r>
        <w:rPr>
          <w:rFonts w:ascii="Cambria" w:hAnsi="Cambria" w:eastAsia="Cambria"/>
          <w:b/>
          <w:i w:val="0"/>
          <w:sz w:val="22"/>
        </w:rPr>
        <w:t>Academic Council Member Secretary</w:t>
      </w:r>
      <w:r>
        <w:rPr>
          <w:rFonts w:ascii="Cambria" w:hAnsi="Cambria" w:eastAsia="Cambria"/>
          <w:b w:val="0"/>
          <w:i w:val="0"/>
          <w:sz w:val="22"/>
        </w:rPr>
        <w:t xml:space="preserve">, </w:t>
      </w:r>
      <w:r>
        <w:rPr>
          <w:rFonts w:ascii="Cambria" w:hAnsi="Cambria" w:eastAsia="Cambria"/>
          <w:b/>
          <w:i w:val="0"/>
          <w:sz w:val="22"/>
        </w:rPr>
        <w:t>BoS Member</w:t>
      </w:r>
      <w:r>
        <w:rPr>
          <w:rFonts w:ascii="Cambria" w:hAnsi="Cambria" w:eastAsia="Cambria"/>
          <w:b w:val="0"/>
          <w:i w:val="0"/>
          <w:sz w:val="22"/>
        </w:rPr>
        <w:t xml:space="preserve">, </w:t>
      </w:r>
      <w:r>
        <w:rPr>
          <w:rFonts w:ascii="Cambria" w:hAnsi="Cambria" w:eastAsia="Cambria"/>
          <w:b/>
          <w:i w:val="0"/>
          <w:sz w:val="22"/>
        </w:rPr>
        <w:t>Finance Committee Coordinator</w:t>
      </w:r>
      <w:r>
        <w:rPr>
          <w:rFonts w:ascii="Cambria" w:hAnsi="Cambria" w:eastAsia="Cambria"/>
          <w:b w:val="0"/>
          <w:i w:val="0"/>
          <w:sz w:val="22"/>
        </w:rPr>
        <w:t xml:space="preserve">, </w:t>
      </w:r>
      <w:r>
        <w:rPr>
          <w:rFonts w:ascii="Cambria" w:hAnsi="Cambria" w:eastAsia="Cambria"/>
          <w:b/>
          <w:i w:val="0"/>
          <w:sz w:val="22"/>
        </w:rPr>
        <w:t>Planning &amp; Development Committee Coordinator</w:t>
      </w:r>
      <w:r>
        <w:rPr>
          <w:rFonts w:ascii="Cambria" w:hAnsi="Cambria" w:eastAsia="Cambria"/>
          <w:b w:val="0"/>
          <w:i w:val="0"/>
          <w:sz w:val="22"/>
        </w:rPr>
        <w:t xml:space="preserve">, </w:t>
      </w:r>
      <w:r>
        <w:rPr>
          <w:rFonts w:ascii="Cambria" w:hAnsi="Cambria" w:eastAsia="Cambria"/>
          <w:b/>
          <w:i w:val="0"/>
          <w:sz w:val="22"/>
        </w:rPr>
        <w:t>NAAC Coordinator</w:t>
      </w:r>
      <w:r>
        <w:rPr>
          <w:rFonts w:ascii="Cambria" w:hAnsi="Cambria" w:eastAsia="Cambria"/>
          <w:b w:val="0"/>
          <w:i w:val="0"/>
          <w:sz w:val="22"/>
        </w:rPr>
        <w:t xml:space="preserve">, </w:t>
      </w:r>
      <w:r>
        <w:rPr>
          <w:rFonts w:ascii="Cambria" w:hAnsi="Cambria" w:eastAsia="Cambria"/>
          <w:b/>
          <w:i w:val="0"/>
          <w:sz w:val="22"/>
        </w:rPr>
        <w:t>IQAC Coordinator</w:t>
      </w:r>
      <w:r>
        <w:rPr>
          <w:rFonts w:ascii="Cambria" w:hAnsi="Cambria" w:eastAsia="Cambria"/>
          <w:b w:val="0"/>
          <w:i w:val="0"/>
          <w:sz w:val="22"/>
        </w:rPr>
        <w:t xml:space="preserve">, and </w:t>
      </w:r>
      <w:r>
        <w:rPr>
          <w:rFonts w:ascii="Cambria" w:hAnsi="Cambria" w:eastAsia="Cambria"/>
          <w:b/>
          <w:i w:val="0"/>
          <w:sz w:val="22"/>
        </w:rPr>
        <w:t>NBA Coordinator</w:t>
      </w:r>
      <w:r>
        <w:rPr>
          <w:rFonts w:ascii="Cambria" w:hAnsi="Cambria" w:eastAsia="Cambria"/>
          <w:b w:val="0"/>
          <w:i w:val="0"/>
          <w:sz w:val="22"/>
        </w:rPr>
        <w:t>, reflecting his extensive expertise in quality assurance and institutional governance.</w:t>
      </w:r>
    </w:p>
    <w:p>
      <w:pPr>
        <w:spacing w:line="276" w:lineRule="auto" w:after="120"/>
        <w:jc w:val="both"/>
      </w:pPr>
      <w:r>
        <w:rPr>
          <w:rFonts w:ascii="Cambria" w:hAnsi="Cambria" w:eastAsia="Cambria"/>
          <w:b w:val="0"/>
          <w:i w:val="0"/>
          <w:sz w:val="22"/>
        </w:rPr>
        <w:t xml:space="preserve">At </w:t>
      </w:r>
      <w:r>
        <w:rPr>
          <w:rFonts w:ascii="Cambria" w:hAnsi="Cambria" w:eastAsia="Cambria"/>
          <w:b/>
          <w:i w:val="0"/>
          <w:sz w:val="22"/>
        </w:rPr>
        <w:t>Koneru Lakshmaiah College of Engineering (KLCE) / KLEF University</w:t>
      </w:r>
      <w:r>
        <w:rPr>
          <w:rFonts w:ascii="Cambria" w:hAnsi="Cambria" w:eastAsia="Cambria"/>
          <w:b w:val="0"/>
          <w:i w:val="0"/>
          <w:sz w:val="22"/>
        </w:rPr>
        <w:t xml:space="preserve">, Dr. Rama Krishna contributed as a </w:t>
      </w:r>
      <w:r>
        <w:rPr>
          <w:rFonts w:ascii="Cambria" w:hAnsi="Cambria" w:eastAsia="Cambria"/>
          <w:b/>
          <w:i w:val="0"/>
          <w:sz w:val="22"/>
        </w:rPr>
        <w:t>Ratified Professor</w:t>
      </w:r>
      <w:r>
        <w:rPr>
          <w:rFonts w:ascii="Cambria" w:hAnsi="Cambria" w:eastAsia="Cambria"/>
          <w:b w:val="0"/>
          <w:i w:val="0"/>
          <w:sz w:val="22"/>
        </w:rPr>
        <w:t xml:space="preserve">, </w:t>
      </w:r>
      <w:r>
        <w:rPr>
          <w:rFonts w:ascii="Cambria" w:hAnsi="Cambria" w:eastAsia="Cambria"/>
          <w:b/>
          <w:i w:val="0"/>
          <w:sz w:val="22"/>
        </w:rPr>
        <w:t>Director of e-Resources</w:t>
      </w:r>
      <w:r>
        <w:rPr>
          <w:rFonts w:ascii="Cambria" w:hAnsi="Cambria" w:eastAsia="Cambria"/>
          <w:b w:val="0"/>
          <w:i w:val="0"/>
          <w:sz w:val="22"/>
        </w:rPr>
        <w:t xml:space="preserve">, </w:t>
      </w:r>
      <w:r>
        <w:rPr>
          <w:rFonts w:ascii="Cambria" w:hAnsi="Cambria" w:eastAsia="Cambria"/>
          <w:b/>
          <w:i w:val="0"/>
          <w:sz w:val="22"/>
        </w:rPr>
        <w:t>Associate Dean of Academics</w:t>
      </w:r>
      <w:r>
        <w:rPr>
          <w:rFonts w:ascii="Cambria" w:hAnsi="Cambria" w:eastAsia="Cambria"/>
          <w:b w:val="0"/>
          <w:i w:val="0"/>
          <w:sz w:val="22"/>
        </w:rPr>
        <w:t xml:space="preserve">, and </w:t>
      </w:r>
      <w:r>
        <w:rPr>
          <w:rFonts w:ascii="Cambria" w:hAnsi="Cambria" w:eastAsia="Cambria"/>
          <w:b/>
          <w:i w:val="0"/>
          <w:sz w:val="22"/>
        </w:rPr>
        <w:t>Associate Dean of Library Resources &amp; Technical Services and Certificate Courses</w:t>
      </w:r>
      <w:r>
        <w:rPr>
          <w:rFonts w:ascii="Cambria" w:hAnsi="Cambria" w:eastAsia="Cambria"/>
          <w:b w:val="0"/>
          <w:i w:val="0"/>
          <w:sz w:val="22"/>
        </w:rPr>
        <w:t xml:space="preserve">. Additionally, he served as </w:t>
      </w:r>
      <w:r>
        <w:rPr>
          <w:rFonts w:ascii="Cambria" w:hAnsi="Cambria" w:eastAsia="Cambria"/>
          <w:b/>
          <w:i w:val="0"/>
          <w:sz w:val="22"/>
        </w:rPr>
        <w:t>Professor In-Charge of Certificate Courses and the Central Library</w:t>
      </w:r>
      <w:r>
        <w:rPr>
          <w:rFonts w:ascii="Cambria" w:hAnsi="Cambria" w:eastAsia="Cambria"/>
          <w:b w:val="0"/>
          <w:i w:val="0"/>
          <w:sz w:val="22"/>
        </w:rPr>
        <w:t xml:space="preserve">, while also holding statutory roles as </w:t>
      </w:r>
      <w:r>
        <w:rPr>
          <w:rFonts w:ascii="Cambria" w:hAnsi="Cambria" w:eastAsia="Cambria"/>
          <w:b/>
          <w:i w:val="0"/>
          <w:sz w:val="22"/>
        </w:rPr>
        <w:t>Academic Council Member</w:t>
      </w:r>
      <w:r>
        <w:rPr>
          <w:rFonts w:ascii="Cambria" w:hAnsi="Cambria" w:eastAsia="Cambria"/>
          <w:b w:val="0"/>
          <w:i w:val="0"/>
          <w:sz w:val="22"/>
        </w:rPr>
        <w:t xml:space="preserve"> and </w:t>
      </w:r>
      <w:r>
        <w:rPr>
          <w:rFonts w:ascii="Cambria" w:hAnsi="Cambria" w:eastAsia="Cambria"/>
          <w:b/>
          <w:i w:val="0"/>
          <w:sz w:val="22"/>
        </w:rPr>
        <w:t>BoS Member</w:t>
      </w:r>
      <w:r>
        <w:rPr>
          <w:rFonts w:ascii="Cambria" w:hAnsi="Cambria" w:eastAsia="Cambria"/>
          <w:b w:val="0"/>
          <w:i w:val="0"/>
          <w:sz w:val="22"/>
        </w:rPr>
        <w:t xml:space="preserve"> under UGC guidelines.</w:t>
      </w:r>
    </w:p>
    <w:p>
      <w:pPr>
        <w:spacing w:line="276" w:lineRule="auto" w:after="120"/>
        <w:jc w:val="both"/>
      </w:pPr>
      <w:r>
        <w:rPr>
          <w:rFonts w:ascii="Cambria" w:hAnsi="Cambria" w:eastAsia="Cambria"/>
          <w:b w:val="0"/>
          <w:i w:val="0"/>
          <w:sz w:val="22"/>
        </w:rPr>
        <w:t xml:space="preserve">Earlier in his career, at </w:t>
      </w:r>
      <w:r>
        <w:rPr>
          <w:rFonts w:ascii="Cambria" w:hAnsi="Cambria" w:eastAsia="Cambria"/>
          <w:b/>
          <w:i w:val="0"/>
          <w:sz w:val="22"/>
        </w:rPr>
        <w:t>R.V.R. &amp; J.C. College of Engineering</w:t>
      </w:r>
      <w:r>
        <w:rPr>
          <w:rFonts w:ascii="Cambria" w:hAnsi="Cambria" w:eastAsia="Cambria"/>
          <w:b w:val="0"/>
          <w:i w:val="0"/>
          <w:sz w:val="22"/>
        </w:rPr>
        <w:t xml:space="preserve">, he was ratified as an </w:t>
      </w:r>
      <w:r>
        <w:rPr>
          <w:rFonts w:ascii="Cambria" w:hAnsi="Cambria" w:eastAsia="Cambria"/>
          <w:b/>
          <w:i w:val="0"/>
          <w:sz w:val="22"/>
        </w:rPr>
        <w:t>Assistant Professor</w:t>
      </w:r>
      <w:r>
        <w:rPr>
          <w:rFonts w:ascii="Cambria" w:hAnsi="Cambria" w:eastAsia="Cambria"/>
          <w:b w:val="0"/>
          <w:i w:val="0"/>
          <w:sz w:val="22"/>
        </w:rPr>
        <w:t xml:space="preserve"> and subsequently promoted to </w:t>
      </w:r>
      <w:r>
        <w:rPr>
          <w:rFonts w:ascii="Cambria" w:hAnsi="Cambria" w:eastAsia="Cambria"/>
          <w:b/>
          <w:i w:val="0"/>
          <w:sz w:val="22"/>
        </w:rPr>
        <w:t>Associate Professor</w:t>
      </w:r>
      <w:r>
        <w:rPr>
          <w:rFonts w:ascii="Cambria" w:hAnsi="Cambria" w:eastAsia="Cambria"/>
          <w:b w:val="0"/>
          <w:i w:val="0"/>
          <w:sz w:val="22"/>
        </w:rPr>
        <w:t xml:space="preserve"> under Acharya Nagarjuna University. During this period, he also served as </w:t>
      </w:r>
      <w:r>
        <w:rPr>
          <w:rFonts w:ascii="Cambria" w:hAnsi="Cambria" w:eastAsia="Cambria"/>
          <w:b/>
          <w:i w:val="0"/>
          <w:sz w:val="22"/>
        </w:rPr>
        <w:t>NBA Criterion 7 In-Charge</w:t>
      </w:r>
      <w:r>
        <w:rPr>
          <w:rFonts w:ascii="Cambria" w:hAnsi="Cambria" w:eastAsia="Cambria"/>
          <w:b w:val="0"/>
          <w:i w:val="0"/>
          <w:sz w:val="22"/>
        </w:rPr>
        <w:t>, focusing on infrastructure, facilities, and sustainability in accreditation processes.</w:t>
      </w:r>
    </w:p>
    <w:p>
      <w:pPr>
        <w:spacing w:line="276" w:lineRule="auto" w:after="120"/>
        <w:jc w:val="both"/>
      </w:pPr>
      <w:r>
        <w:rPr>
          <w:rFonts w:ascii="Cambria" w:hAnsi="Cambria" w:eastAsia="Cambria"/>
          <w:b w:val="0"/>
          <w:i w:val="0"/>
          <w:sz w:val="22"/>
        </w:rPr>
        <w:t xml:space="preserve">With his </w:t>
      </w:r>
      <w:r>
        <w:rPr>
          <w:rFonts w:ascii="Cambria" w:hAnsi="Cambria" w:eastAsia="Cambria"/>
          <w:b/>
          <w:i w:val="0"/>
          <w:sz w:val="22"/>
        </w:rPr>
        <w:t>25 years of teaching</w:t>
      </w:r>
      <w:r>
        <w:rPr>
          <w:rFonts w:ascii="Cambria" w:hAnsi="Cambria" w:eastAsia="Cambria"/>
          <w:b w:val="0"/>
          <w:i w:val="0"/>
          <w:sz w:val="22"/>
        </w:rPr>
        <w:t xml:space="preserve">, </w:t>
      </w:r>
      <w:r>
        <w:rPr>
          <w:rFonts w:ascii="Cambria" w:hAnsi="Cambria" w:eastAsia="Cambria"/>
          <w:b/>
          <w:i w:val="0"/>
          <w:sz w:val="22"/>
        </w:rPr>
        <w:t>5 awarded Ph.D.s</w:t>
      </w:r>
      <w:r>
        <w:rPr>
          <w:rFonts w:ascii="Cambria" w:hAnsi="Cambria" w:eastAsia="Cambria"/>
          <w:b w:val="0"/>
          <w:i w:val="0"/>
          <w:sz w:val="22"/>
        </w:rPr>
        <w:t xml:space="preserve">, </w:t>
      </w:r>
      <w:r>
        <w:rPr>
          <w:rFonts w:ascii="Cambria" w:hAnsi="Cambria" w:eastAsia="Cambria"/>
          <w:b/>
          <w:i w:val="0"/>
          <w:sz w:val="22"/>
        </w:rPr>
        <w:t>97 publications</w:t>
      </w:r>
      <w:r>
        <w:rPr>
          <w:rFonts w:ascii="Cambria" w:hAnsi="Cambria" w:eastAsia="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line="276" w:lineRule="auto" w:after="120"/>
        <w:jc w:val="both"/>
      </w:pPr>
      <w:r>
        <w:rPr>
          <w:rFonts w:ascii="Cambria" w:hAnsi="Cambria" w:eastAsia="Cambria"/>
          <w:b w:val="0"/>
          <w:i w:val="0"/>
          <w:sz w:val="22"/>
        </w:rPr>
        <w:t>LinkedIn Profile: Dr. Tottempudi Venkata Rama Krishna</w:t>
      </w:r>
    </w:p>
    <w:p>
      <w:r>
        <w:br w:type="page"/>
      </w:r>
    </w:p>
    <w:p>
      <w:pPr>
        <w:spacing w:before="280" w:after="160"/>
      </w:pPr>
      <w:r>
        <w:rPr>
          <w:rFonts w:ascii="Cambria" w:hAnsi="Cambria" w:eastAsia="Cambria"/>
          <w:b/>
          <w:i w:val="0"/>
          <w:color w:val="1F3A5F"/>
          <w:sz w:val="27"/>
        </w:rPr>
        <w:t>Abstract</w:t>
      </w:r>
    </w:p>
    <w:p>
      <w:pPr>
        <w:spacing w:line="276" w:lineRule="auto" w:after="120"/>
        <w:jc w:val="both"/>
      </w:pPr>
      <w:r>
        <w:rPr>
          <w:rFonts w:ascii="Cambria" w:hAnsi="Cambria" w:eastAsia="Cambria"/>
          <w:b w:val="0"/>
          <w:i w:val="0"/>
          <w:sz w:val="22"/>
        </w:rPr>
        <w:t>The Sustainable Development Goal 3 (SDG-3) — Good Health and Well-Being — emphasizes ensuring healthy lives and promoting well-being for all at all ages. Within the framework of Higher Education Institutions (HEIs), the integration of SDG-3 reflects a transformative approach toward developing institutions as centers of health awareness, preventive education, and community engagement. HEIs serve as critical agents in promoting physical, mental, and emotional health through education, research, innovation, and social outreach.</w:t>
      </w:r>
    </w:p>
    <w:p>
      <w:pPr>
        <w:spacing w:line="276" w:lineRule="auto" w:after="120"/>
        <w:jc w:val="both"/>
      </w:pPr>
      <w:r>
        <w:rPr>
          <w:rFonts w:ascii="Cambria" w:hAnsi="Cambria" w:eastAsia="Cambria"/>
          <w:b w:val="0"/>
          <w:i w:val="0"/>
          <w:sz w:val="22"/>
        </w:rPr>
        <w:t>This goal aligns with the World Health Organization’s (WHO) global mandate to strengthen health systems, combat diseases, improve maternal and child health, and ensure universal access to healthcare services. It encompasses thirteen targets addressing major global health challenges such as maternal and child mortality, infectious and non-communicable diseases, mental health, substance abuse, pollution-related illnesses, and universal health coverage. The implementation of SDG-3 within HEIs provides an opportunity to integrate wellness education, research on public health issues, and institutional policies that promote sustainable health practices across campuses.</w:t>
      </w:r>
    </w:p>
    <w:p>
      <w:pPr>
        <w:spacing w:line="276" w:lineRule="auto" w:after="120"/>
        <w:jc w:val="both"/>
      </w:pPr>
      <w:r>
        <w:rPr>
          <w:rFonts w:ascii="Cambria" w:hAnsi="Cambria" w:eastAsia="Cambria"/>
          <w:b w:val="0"/>
          <w:i w:val="0"/>
          <w:sz w:val="22"/>
        </w:rPr>
        <w:t>HEIs contribute to SDG-3 through initiatives such as the establishment of yoga and meditation centers, counseling and mental health services, drug addiction monitoring systems, and collaborative research with health organizations. Through interdisciplinary teaching and partnerships with government bodies like the University Grants Commission (UGC), AICTE, ICMR, and the Ministry of AYUSH, universities are promoting a culture of health consciousness and sustainability. Moreover, HEIs play a vital role in capacity building by training healthcare professionals, organizing awareness campaigns, and implementing community-based wellness programs.</w:t>
      </w:r>
    </w:p>
    <w:p>
      <w:pPr>
        <w:spacing w:line="276" w:lineRule="auto" w:after="120"/>
        <w:jc w:val="both"/>
      </w:pPr>
      <w:r>
        <w:rPr>
          <w:rFonts w:ascii="Cambria" w:hAnsi="Cambria" w:eastAsia="Cambria"/>
          <w:b w:val="0"/>
          <w:i w:val="0"/>
          <w:sz w:val="22"/>
        </w:rPr>
        <w:t>The incorporation of SDG-3 into the academic environment ensures that health and well-being are recognized as integral components of sustainable education. It enables the development of socially responsible graduates who are equipped to address global health challenges while contributing to national and international well-being agendas. By aligning institutional policies with SDG-3, HEIs not only enhance the quality of education but also foster an environment that prioritizes human health, equity, and sustainable living—ensuring that no one is left behind in the pursuit of a healthier, more resilient future.</w:t>
      </w:r>
    </w:p>
    <w:p>
      <w:r>
        <w:br w:type="page"/>
      </w:r>
    </w:p>
    <w:p>
      <w:pPr>
        <w:spacing w:before="280" w:after="160"/>
      </w:pPr>
      <w:r>
        <w:rPr>
          <w:rFonts w:ascii="Cambria" w:hAnsi="Cambria" w:eastAsia="Cambria"/>
          <w:b/>
          <w:i w:val="0"/>
          <w:color w:val="1F3A5F"/>
          <w:sz w:val="27"/>
        </w:rPr>
        <w:t>Table of Contents</w:t>
      </w:r>
    </w:p>
    <w:tbl>
      <w:tblPr>
        <w:tblW w:type="auto" w:w="0"/>
        <w:jc w:val="center"/>
        <w:tblLook w:firstColumn="1" w:firstRow="1" w:lastColumn="0" w:lastRow="0" w:noHBand="0" w:noVBand="1" w:val="04A0"/>
        <w:tblLayout w:type="fixed"/>
      </w:tblPr>
      <w:tblGrid>
        <w:gridCol w:w="850"/>
        <w:gridCol w:w="7541"/>
        <w:gridCol w:w="1020"/>
      </w:tblGrid>
      <w:tr>
        <w:tc>
          <w:tcPr>
            <w:tcW w:type="dxa" w:w="850"/>
            <w:shd w:val="clear" w:color="auto" w:fill="1F3A5F"/>
            <w:tcW w:w="850" w:type="dxa"/>
          </w:tcPr>
          <w:p>
            <w:r>
              <w:rPr>
                <w:rFonts w:ascii="Cambria" w:hAnsi="Cambria" w:eastAsia="Cambria"/>
                <w:b/>
                <w:i w:val="0"/>
                <w:color w:val="FFFFFF"/>
                <w:sz w:val="22"/>
              </w:rPr>
              <w:t>S. No</w:t>
            </w:r>
          </w:p>
        </w:tc>
        <w:tc>
          <w:tcPr>
            <w:tcW w:type="dxa" w:w="7540"/>
            <w:shd w:val="clear" w:color="auto" w:fill="1F3A5F"/>
            <w:tcW w:w="7541" w:type="dxa"/>
          </w:tcPr>
          <w:p>
            <w:r>
              <w:rPr>
                <w:rFonts w:ascii="Cambria" w:hAnsi="Cambria" w:eastAsia="Cambria"/>
                <w:b/>
                <w:i w:val="0"/>
                <w:color w:val="FFFFFF"/>
                <w:sz w:val="22"/>
              </w:rPr>
              <w:t>Content</w:t>
            </w:r>
          </w:p>
        </w:tc>
        <w:tc>
          <w:tcPr>
            <w:tcW w:type="dxa" w:w="1020"/>
            <w:shd w:val="clear" w:color="auto" w:fill="1F3A5F"/>
            <w:tcW w:w="1020" w:type="dxa"/>
          </w:tcPr>
          <w:p>
            <w:r>
              <w:rPr>
                <w:rFonts w:ascii="Cambria" w:hAnsi="Cambria" w:eastAsia="Cambria"/>
                <w:b/>
                <w:i w:val="0"/>
                <w:color w:val="FFFFFF"/>
                <w:sz w:val="22"/>
              </w:rPr>
              <w:t>Pg. No</w:t>
            </w:r>
          </w:p>
        </w:tc>
      </w:tr>
      <w:tr>
        <w:tc>
          <w:tcPr>
            <w:tcW w:type="dxa" w:w="850"/>
            <w:tcW w:w="850" w:type="dxa"/>
          </w:tcPr>
          <w:p>
            <w:pPr>
              <w:jc w:val="center"/>
            </w:pPr>
            <w:r>
              <w:rPr>
                <w:rFonts w:ascii="Cambria" w:hAnsi="Cambria" w:eastAsia="Cambria"/>
                <w:b w:val="0"/>
                <w:i w:val="0"/>
                <w:sz w:val="22"/>
              </w:rPr>
              <w:t>1</w:t>
            </w:r>
          </w:p>
        </w:tc>
        <w:tc>
          <w:tcPr>
            <w:tcW w:type="dxa" w:w="7540"/>
            <w:tcW w:w="7541" w:type="dxa"/>
          </w:tcPr>
          <w:p>
            <w:r>
              <w:rPr>
                <w:rFonts w:ascii="Cambria" w:hAnsi="Cambria" w:eastAsia="Cambria"/>
                <w:b w:val="0"/>
                <w:i w:val="0"/>
                <w:sz w:val="22"/>
              </w:rPr>
              <w:t>SDG-3: Ensure Healthy Lives and Promote Well-being for All at All Ages</w:t>
            </w:r>
          </w:p>
        </w:tc>
        <w:tc>
          <w:tcPr>
            <w:tcW w:type="dxa" w:w="1020"/>
            <w:tcW w:w="1020" w:type="dxa"/>
          </w:tcPr>
          <w:p>
            <w:pPr>
              <w:jc w:val="center"/>
            </w:pPr>
            <w:r>
              <w:rPr>
                <w:rFonts w:ascii="Cambria" w:hAnsi="Cambria" w:eastAsia="Cambria"/>
                <w:b w:val="0"/>
                <w:i w:val="0"/>
                <w:sz w:val="22"/>
              </w:rPr>
              <w:t>001</w:t>
            </w:r>
          </w:p>
        </w:tc>
      </w:tr>
      <w:tr>
        <w:tc>
          <w:tcPr>
            <w:tcW w:type="dxa" w:w="850"/>
            <w:shd w:val="clear" w:color="auto" w:fill="DCE6F1"/>
            <w:tcW w:w="850" w:type="dxa"/>
          </w:tcPr>
          <w:p>
            <w:pPr>
              <w:jc w:val="center"/>
            </w:pPr>
            <w:r>
              <w:rPr>
                <w:rFonts w:ascii="Cambria" w:hAnsi="Cambria" w:eastAsia="Cambria"/>
                <w:b w:val="0"/>
                <w:i w:val="0"/>
                <w:sz w:val="22"/>
              </w:rPr>
              <w:t>2</w:t>
            </w:r>
          </w:p>
        </w:tc>
        <w:tc>
          <w:tcPr>
            <w:tcW w:type="dxa" w:w="7540"/>
            <w:shd w:val="clear" w:color="auto" w:fill="DCE6F1"/>
            <w:tcW w:w="7541" w:type="dxa"/>
          </w:tcPr>
          <w:p>
            <w:r>
              <w:rPr>
                <w:rFonts w:ascii="Cambria" w:hAnsi="Cambria" w:eastAsia="Cambria"/>
                <w:b w:val="0"/>
                <w:i w:val="0"/>
                <w:sz w:val="22"/>
              </w:rPr>
              <w:t>United Nations Targets and Indicators for SDG-3: Good Health and Well-Being</w:t>
            </w:r>
          </w:p>
        </w:tc>
        <w:tc>
          <w:tcPr>
            <w:tcW w:type="dxa" w:w="1020"/>
            <w:shd w:val="clear" w:color="auto" w:fill="DCE6F1"/>
            <w:tcW w:w="1020" w:type="dxa"/>
          </w:tcPr>
          <w:p>
            <w:pPr>
              <w:jc w:val="center"/>
            </w:pPr>
            <w:r>
              <w:rPr>
                <w:rFonts w:ascii="Cambria" w:hAnsi="Cambria" w:eastAsia="Cambria"/>
                <w:b w:val="0"/>
                <w:i w:val="0"/>
                <w:sz w:val="22"/>
              </w:rPr>
              <w:t>004</w:t>
            </w:r>
          </w:p>
        </w:tc>
      </w:tr>
      <w:tr>
        <w:tc>
          <w:tcPr>
            <w:tcW w:type="dxa" w:w="850"/>
            <w:tcW w:w="850" w:type="dxa"/>
          </w:tcPr>
          <w:p>
            <w:pPr>
              <w:jc w:val="center"/>
            </w:pPr>
            <w:r>
              <w:rPr>
                <w:rFonts w:ascii="Cambria" w:hAnsi="Cambria" w:eastAsia="Cambria"/>
                <w:b w:val="0"/>
                <w:i w:val="0"/>
                <w:sz w:val="22"/>
              </w:rPr>
              <w:t>3</w:t>
            </w:r>
          </w:p>
        </w:tc>
        <w:tc>
          <w:tcPr>
            <w:tcW w:type="dxa" w:w="7540"/>
            <w:tcW w:w="7541" w:type="dxa"/>
          </w:tcPr>
          <w:p>
            <w:r>
              <w:rPr>
                <w:rFonts w:ascii="Cambria" w:hAnsi="Cambria" w:eastAsia="Cambria"/>
                <w:b w:val="0"/>
                <w:i w:val="0"/>
                <w:sz w:val="22"/>
              </w:rPr>
              <w:t>Child Health and Mortality under SDG-3: Global Overview and Challenges</w:t>
            </w:r>
          </w:p>
        </w:tc>
        <w:tc>
          <w:tcPr>
            <w:tcW w:type="dxa" w:w="1020"/>
            <w:tcW w:w="1020" w:type="dxa"/>
          </w:tcPr>
          <w:p>
            <w:pPr>
              <w:jc w:val="center"/>
            </w:pPr>
            <w:r>
              <w:rPr>
                <w:rFonts w:ascii="Cambria" w:hAnsi="Cambria" w:eastAsia="Cambria"/>
                <w:b w:val="0"/>
                <w:i w:val="0"/>
                <w:sz w:val="22"/>
              </w:rPr>
              <w:t>007</w:t>
            </w:r>
          </w:p>
        </w:tc>
      </w:tr>
      <w:tr>
        <w:tc>
          <w:tcPr>
            <w:tcW w:type="dxa" w:w="850"/>
            <w:shd w:val="clear" w:color="auto" w:fill="DCE6F1"/>
            <w:tcW w:w="850" w:type="dxa"/>
          </w:tcPr>
          <w:p>
            <w:pPr>
              <w:jc w:val="center"/>
            </w:pPr>
            <w:r>
              <w:rPr>
                <w:rFonts w:ascii="Cambria" w:hAnsi="Cambria" w:eastAsia="Cambria"/>
                <w:b w:val="0"/>
                <w:i w:val="0"/>
                <w:sz w:val="22"/>
              </w:rPr>
              <w:t>4</w:t>
            </w:r>
          </w:p>
        </w:tc>
        <w:tc>
          <w:tcPr>
            <w:tcW w:type="dxa" w:w="7540"/>
            <w:shd w:val="clear" w:color="auto" w:fill="DCE6F1"/>
            <w:tcW w:w="7541" w:type="dxa"/>
          </w:tcPr>
          <w:p>
            <w:r>
              <w:rPr>
                <w:rFonts w:ascii="Cambria" w:hAnsi="Cambria" w:eastAsia="Cambria"/>
                <w:b w:val="0"/>
                <w:i w:val="0"/>
                <w:sz w:val="22"/>
              </w:rPr>
              <w:t>Maternal Health and Mortality under SDG-3: Global Trends, Challenges, and Interventions</w:t>
            </w:r>
          </w:p>
        </w:tc>
        <w:tc>
          <w:tcPr>
            <w:tcW w:type="dxa" w:w="1020"/>
            <w:shd w:val="clear" w:color="auto" w:fill="DCE6F1"/>
            <w:tcW w:w="1020" w:type="dxa"/>
          </w:tcPr>
          <w:p>
            <w:pPr>
              <w:jc w:val="center"/>
            </w:pPr>
            <w:r>
              <w:rPr>
                <w:rFonts w:ascii="Cambria" w:hAnsi="Cambria" w:eastAsia="Cambria"/>
                <w:b w:val="0"/>
                <w:i w:val="0"/>
                <w:sz w:val="22"/>
              </w:rPr>
              <w:t>009</w:t>
            </w:r>
          </w:p>
        </w:tc>
      </w:tr>
      <w:tr>
        <w:tc>
          <w:tcPr>
            <w:tcW w:type="dxa" w:w="850"/>
            <w:tcW w:w="850" w:type="dxa"/>
          </w:tcPr>
          <w:p>
            <w:pPr>
              <w:jc w:val="center"/>
            </w:pPr>
            <w:r>
              <w:rPr>
                <w:rFonts w:ascii="Cambria" w:hAnsi="Cambria" w:eastAsia="Cambria"/>
                <w:b w:val="0"/>
                <w:i w:val="0"/>
                <w:sz w:val="22"/>
              </w:rPr>
              <w:t>5</w:t>
            </w:r>
          </w:p>
        </w:tc>
        <w:tc>
          <w:tcPr>
            <w:tcW w:type="dxa" w:w="7540"/>
            <w:tcW w:w="7541" w:type="dxa"/>
          </w:tcPr>
          <w:p>
            <w:r>
              <w:rPr>
                <w:rFonts w:ascii="Cambria" w:hAnsi="Cambria" w:eastAsia="Cambria"/>
                <w:b w:val="0"/>
                <w:i w:val="0"/>
                <w:sz w:val="22"/>
              </w:rPr>
              <w:t>HIV/AIDS, Malaria, and Other Communicable Diseases under SDG-3: Global Situation, Challenges, and Progress</w:t>
            </w:r>
          </w:p>
        </w:tc>
        <w:tc>
          <w:tcPr>
            <w:tcW w:type="dxa" w:w="1020"/>
            <w:tcW w:w="1020" w:type="dxa"/>
          </w:tcPr>
          <w:p>
            <w:pPr>
              <w:jc w:val="center"/>
            </w:pPr>
            <w:r>
              <w:rPr>
                <w:rFonts w:ascii="Cambria" w:hAnsi="Cambria" w:eastAsia="Cambria"/>
                <w:b w:val="0"/>
                <w:i w:val="0"/>
                <w:sz w:val="22"/>
              </w:rPr>
              <w:t>012</w:t>
            </w:r>
          </w:p>
        </w:tc>
      </w:tr>
      <w:tr>
        <w:tc>
          <w:tcPr>
            <w:tcW w:type="dxa" w:w="850"/>
            <w:shd w:val="clear" w:color="auto" w:fill="DCE6F1"/>
            <w:tcW w:w="850" w:type="dxa"/>
          </w:tcPr>
          <w:p>
            <w:pPr>
              <w:jc w:val="center"/>
            </w:pPr>
            <w:r>
              <w:rPr>
                <w:rFonts w:ascii="Cambria" w:hAnsi="Cambria" w:eastAsia="Cambria"/>
                <w:b w:val="0"/>
                <w:i w:val="0"/>
                <w:sz w:val="22"/>
              </w:rPr>
              <w:t>6</w:t>
            </w:r>
          </w:p>
        </w:tc>
        <w:tc>
          <w:tcPr>
            <w:tcW w:type="dxa" w:w="7540"/>
            <w:shd w:val="clear" w:color="auto" w:fill="DCE6F1"/>
            <w:tcW w:w="7541" w:type="dxa"/>
          </w:tcPr>
          <w:p>
            <w:r>
              <w:rPr>
                <w:rFonts w:ascii="Cambria" w:hAnsi="Cambria" w:eastAsia="Cambria"/>
                <w:b w:val="0"/>
                <w:i w:val="0"/>
                <w:sz w:val="22"/>
              </w:rPr>
              <w:t>Reducing Maternal Mortality in India: Progress, Challenges, and Key Initiatives under SDG-3</w:t>
            </w:r>
          </w:p>
        </w:tc>
        <w:tc>
          <w:tcPr>
            <w:tcW w:type="dxa" w:w="1020"/>
            <w:shd w:val="clear" w:color="auto" w:fill="DCE6F1"/>
            <w:tcW w:w="1020" w:type="dxa"/>
          </w:tcPr>
          <w:p>
            <w:pPr>
              <w:jc w:val="center"/>
            </w:pPr>
            <w:r>
              <w:rPr>
                <w:rFonts w:ascii="Cambria" w:hAnsi="Cambria" w:eastAsia="Cambria"/>
                <w:b w:val="0"/>
                <w:i w:val="0"/>
                <w:sz w:val="22"/>
              </w:rPr>
              <w:t>015</w:t>
            </w:r>
          </w:p>
        </w:tc>
      </w:tr>
      <w:tr>
        <w:tc>
          <w:tcPr>
            <w:tcW w:type="dxa" w:w="850"/>
            <w:tcW w:w="850" w:type="dxa"/>
          </w:tcPr>
          <w:p>
            <w:pPr>
              <w:jc w:val="center"/>
            </w:pPr>
            <w:r>
              <w:rPr>
                <w:rFonts w:ascii="Cambria" w:hAnsi="Cambria" w:eastAsia="Cambria"/>
                <w:b w:val="0"/>
                <w:i w:val="0"/>
                <w:sz w:val="22"/>
              </w:rPr>
              <w:t>7</w:t>
            </w:r>
          </w:p>
        </w:tc>
        <w:tc>
          <w:tcPr>
            <w:tcW w:type="dxa" w:w="7540"/>
            <w:tcW w:w="7541" w:type="dxa"/>
          </w:tcPr>
          <w:p>
            <w:r>
              <w:rPr>
                <w:rFonts w:ascii="Cambria" w:hAnsi="Cambria" w:eastAsia="Cambria"/>
                <w:b w:val="0"/>
                <w:i w:val="0"/>
                <w:sz w:val="22"/>
              </w:rPr>
              <w:t>Ending All Preventable Deaths Under Five Years of Age: India’s Progress and Strategic Initiatives under SDG-3</w:t>
            </w:r>
          </w:p>
        </w:tc>
        <w:tc>
          <w:tcPr>
            <w:tcW w:type="dxa" w:w="1020"/>
            <w:tcW w:w="1020" w:type="dxa"/>
          </w:tcPr>
          <w:p>
            <w:pPr>
              <w:jc w:val="center"/>
            </w:pPr>
            <w:r>
              <w:rPr>
                <w:rFonts w:ascii="Cambria" w:hAnsi="Cambria" w:eastAsia="Cambria"/>
                <w:b w:val="0"/>
                <w:i w:val="0"/>
                <w:sz w:val="22"/>
              </w:rPr>
              <w:t>018</w:t>
            </w:r>
          </w:p>
        </w:tc>
      </w:tr>
      <w:tr>
        <w:tc>
          <w:tcPr>
            <w:tcW w:type="dxa" w:w="850"/>
            <w:shd w:val="clear" w:color="auto" w:fill="DCE6F1"/>
            <w:tcW w:w="850" w:type="dxa"/>
          </w:tcPr>
          <w:p>
            <w:pPr>
              <w:jc w:val="center"/>
            </w:pPr>
            <w:r>
              <w:rPr>
                <w:rFonts w:ascii="Cambria" w:hAnsi="Cambria" w:eastAsia="Cambria"/>
                <w:b w:val="0"/>
                <w:i w:val="0"/>
                <w:sz w:val="22"/>
              </w:rPr>
              <w:t>8</w:t>
            </w:r>
          </w:p>
        </w:tc>
        <w:tc>
          <w:tcPr>
            <w:tcW w:type="dxa" w:w="7540"/>
            <w:shd w:val="clear" w:color="auto" w:fill="DCE6F1"/>
            <w:tcW w:w="7541" w:type="dxa"/>
          </w:tcPr>
          <w:p>
            <w:r>
              <w:rPr>
                <w:rFonts w:ascii="Cambria" w:hAnsi="Cambria" w:eastAsia="Cambria"/>
                <w:b w:val="0"/>
                <w:i w:val="0"/>
                <w:sz w:val="22"/>
              </w:rPr>
              <w:t>Fighting Communicable Diseases in India: Progress, Challenges, and Key Initiatives under SDG-3</w:t>
            </w:r>
          </w:p>
        </w:tc>
        <w:tc>
          <w:tcPr>
            <w:tcW w:type="dxa" w:w="1020"/>
            <w:shd w:val="clear" w:color="auto" w:fill="DCE6F1"/>
            <w:tcW w:w="1020" w:type="dxa"/>
          </w:tcPr>
          <w:p>
            <w:pPr>
              <w:jc w:val="center"/>
            </w:pPr>
            <w:r>
              <w:rPr>
                <w:rFonts w:ascii="Cambria" w:hAnsi="Cambria" w:eastAsia="Cambria"/>
                <w:b w:val="0"/>
                <w:i w:val="0"/>
                <w:sz w:val="22"/>
              </w:rPr>
              <w:t>021</w:t>
            </w:r>
          </w:p>
        </w:tc>
      </w:tr>
      <w:tr>
        <w:tc>
          <w:tcPr>
            <w:tcW w:type="dxa" w:w="850"/>
            <w:tcW w:w="850" w:type="dxa"/>
          </w:tcPr>
          <w:p>
            <w:pPr>
              <w:jc w:val="center"/>
            </w:pPr>
            <w:r>
              <w:rPr>
                <w:rFonts w:ascii="Cambria" w:hAnsi="Cambria" w:eastAsia="Cambria"/>
                <w:b w:val="0"/>
                <w:i w:val="0"/>
                <w:sz w:val="22"/>
              </w:rPr>
              <w:t>9</w:t>
            </w:r>
          </w:p>
        </w:tc>
        <w:tc>
          <w:tcPr>
            <w:tcW w:type="dxa" w:w="7540"/>
            <w:tcW w:w="7541" w:type="dxa"/>
          </w:tcPr>
          <w:p>
            <w:r>
              <w:rPr>
                <w:rFonts w:ascii="Cambria" w:hAnsi="Cambria" w:eastAsia="Cambria"/>
                <w:b w:val="0"/>
                <w:i w:val="0"/>
                <w:sz w:val="22"/>
              </w:rPr>
              <w:t>Reducing Mortality from Non-Communicable Diseases and Promoting Mental Health under SDG-3</w:t>
            </w:r>
          </w:p>
        </w:tc>
        <w:tc>
          <w:tcPr>
            <w:tcW w:type="dxa" w:w="1020"/>
            <w:tcW w:w="1020" w:type="dxa"/>
          </w:tcPr>
          <w:p>
            <w:pPr>
              <w:jc w:val="center"/>
            </w:pPr>
            <w:r>
              <w:rPr>
                <w:rFonts w:ascii="Cambria" w:hAnsi="Cambria" w:eastAsia="Cambria"/>
                <w:b w:val="0"/>
                <w:i w:val="0"/>
                <w:sz w:val="22"/>
              </w:rPr>
              <w:t>024</w:t>
            </w:r>
          </w:p>
        </w:tc>
      </w:tr>
      <w:tr>
        <w:tc>
          <w:tcPr>
            <w:tcW w:type="dxa" w:w="850"/>
            <w:shd w:val="clear" w:color="auto" w:fill="DCE6F1"/>
            <w:tcW w:w="850" w:type="dxa"/>
          </w:tcPr>
          <w:p>
            <w:pPr>
              <w:jc w:val="center"/>
            </w:pPr>
            <w:r>
              <w:rPr>
                <w:rFonts w:ascii="Cambria" w:hAnsi="Cambria" w:eastAsia="Cambria"/>
                <w:b w:val="0"/>
                <w:i w:val="0"/>
                <w:sz w:val="22"/>
              </w:rPr>
              <w:t>10</w:t>
            </w:r>
          </w:p>
        </w:tc>
        <w:tc>
          <w:tcPr>
            <w:tcW w:type="dxa" w:w="7540"/>
            <w:shd w:val="clear" w:color="auto" w:fill="DCE6F1"/>
            <w:tcW w:w="7541" w:type="dxa"/>
          </w:tcPr>
          <w:p>
            <w:r>
              <w:rPr>
                <w:rFonts w:ascii="Cambria" w:hAnsi="Cambria" w:eastAsia="Cambria"/>
                <w:b w:val="0"/>
                <w:i w:val="0"/>
                <w:sz w:val="22"/>
              </w:rPr>
              <w:t>Preventing and Treating Substance Abuse: Policies, Challenges, and Initiatives under SDG-3</w:t>
            </w:r>
          </w:p>
        </w:tc>
        <w:tc>
          <w:tcPr>
            <w:tcW w:type="dxa" w:w="1020"/>
            <w:shd w:val="clear" w:color="auto" w:fill="DCE6F1"/>
            <w:tcW w:w="1020" w:type="dxa"/>
          </w:tcPr>
          <w:p>
            <w:pPr>
              <w:jc w:val="center"/>
            </w:pPr>
            <w:r>
              <w:rPr>
                <w:rFonts w:ascii="Cambria" w:hAnsi="Cambria" w:eastAsia="Cambria"/>
                <w:b w:val="0"/>
                <w:i w:val="0"/>
                <w:sz w:val="22"/>
              </w:rPr>
              <w:t>027</w:t>
            </w:r>
          </w:p>
        </w:tc>
      </w:tr>
      <w:tr>
        <w:tc>
          <w:tcPr>
            <w:tcW w:type="dxa" w:w="850"/>
            <w:tcW w:w="850" w:type="dxa"/>
          </w:tcPr>
          <w:p>
            <w:pPr>
              <w:jc w:val="center"/>
            </w:pPr>
            <w:r>
              <w:rPr>
                <w:rFonts w:ascii="Cambria" w:hAnsi="Cambria" w:eastAsia="Cambria"/>
                <w:b w:val="0"/>
                <w:i w:val="0"/>
                <w:sz w:val="22"/>
              </w:rPr>
              <w:t>11</w:t>
            </w:r>
          </w:p>
        </w:tc>
        <w:tc>
          <w:tcPr>
            <w:tcW w:type="dxa" w:w="7540"/>
            <w:tcW w:w="7541" w:type="dxa"/>
          </w:tcPr>
          <w:p>
            <w:r>
              <w:rPr>
                <w:rFonts w:ascii="Cambria" w:hAnsi="Cambria" w:eastAsia="Cambria"/>
                <w:b w:val="0"/>
                <w:i w:val="0"/>
                <w:sz w:val="22"/>
              </w:rPr>
              <w:t>Reducing Road Injuries and Deaths under SDG-3: Policies, Progress, and Preventive Strategies</w:t>
            </w:r>
          </w:p>
        </w:tc>
        <w:tc>
          <w:tcPr>
            <w:tcW w:type="dxa" w:w="1020"/>
            <w:tcW w:w="1020" w:type="dxa"/>
          </w:tcPr>
          <w:p>
            <w:pPr>
              <w:jc w:val="center"/>
            </w:pPr>
            <w:r>
              <w:rPr>
                <w:rFonts w:ascii="Cambria" w:hAnsi="Cambria" w:eastAsia="Cambria"/>
                <w:b w:val="0"/>
                <w:i w:val="0"/>
                <w:sz w:val="22"/>
              </w:rPr>
              <w:t>030</w:t>
            </w:r>
          </w:p>
        </w:tc>
      </w:tr>
      <w:tr>
        <w:tc>
          <w:tcPr>
            <w:tcW w:type="dxa" w:w="850"/>
            <w:shd w:val="clear" w:color="auto" w:fill="DCE6F1"/>
            <w:tcW w:w="850" w:type="dxa"/>
          </w:tcPr>
          <w:p>
            <w:pPr>
              <w:jc w:val="center"/>
            </w:pPr>
            <w:r>
              <w:rPr>
                <w:rFonts w:ascii="Cambria" w:hAnsi="Cambria" w:eastAsia="Cambria"/>
                <w:b w:val="0"/>
                <w:i w:val="0"/>
                <w:sz w:val="22"/>
              </w:rPr>
              <w:t>12</w:t>
            </w:r>
          </w:p>
        </w:tc>
        <w:tc>
          <w:tcPr>
            <w:tcW w:type="dxa" w:w="7540"/>
            <w:shd w:val="clear" w:color="auto" w:fill="DCE6F1"/>
            <w:tcW w:w="7541" w:type="dxa"/>
          </w:tcPr>
          <w:p>
            <w:r>
              <w:rPr>
                <w:rFonts w:ascii="Cambria" w:hAnsi="Cambria" w:eastAsia="Cambria"/>
                <w:b w:val="0"/>
                <w:i w:val="0"/>
                <w:sz w:val="22"/>
              </w:rPr>
              <w:t>Universal Access to Sexual and Reproductive Health Care, Family Planning, and Education under SDG-3</w:t>
            </w:r>
          </w:p>
        </w:tc>
        <w:tc>
          <w:tcPr>
            <w:tcW w:type="dxa" w:w="1020"/>
            <w:shd w:val="clear" w:color="auto" w:fill="DCE6F1"/>
            <w:tcW w:w="1020" w:type="dxa"/>
          </w:tcPr>
          <w:p>
            <w:pPr>
              <w:jc w:val="center"/>
            </w:pPr>
            <w:r>
              <w:rPr>
                <w:rFonts w:ascii="Cambria" w:hAnsi="Cambria" w:eastAsia="Cambria"/>
                <w:b w:val="0"/>
                <w:i w:val="0"/>
                <w:sz w:val="22"/>
              </w:rPr>
              <w:t>033</w:t>
            </w:r>
          </w:p>
        </w:tc>
      </w:tr>
      <w:tr>
        <w:tc>
          <w:tcPr>
            <w:tcW w:type="dxa" w:w="850"/>
            <w:tcW w:w="850" w:type="dxa"/>
          </w:tcPr>
          <w:p>
            <w:pPr>
              <w:jc w:val="center"/>
            </w:pPr>
            <w:r>
              <w:rPr>
                <w:rFonts w:ascii="Cambria" w:hAnsi="Cambria" w:eastAsia="Cambria"/>
                <w:b w:val="0"/>
                <w:i w:val="0"/>
                <w:sz w:val="22"/>
              </w:rPr>
              <w:t>13</w:t>
            </w:r>
          </w:p>
        </w:tc>
        <w:tc>
          <w:tcPr>
            <w:tcW w:type="dxa" w:w="7540"/>
            <w:tcW w:w="7541" w:type="dxa"/>
          </w:tcPr>
          <w:p>
            <w:r>
              <w:rPr>
                <w:rFonts w:ascii="Cambria" w:hAnsi="Cambria" w:eastAsia="Cambria"/>
                <w:b w:val="0"/>
                <w:i w:val="0"/>
                <w:sz w:val="22"/>
              </w:rPr>
              <w:t>Achieving Universal Health Coverage under SDG-3: Ensuring Equitable Access to Affordable and Quality Healthcare in India</w:t>
            </w:r>
          </w:p>
        </w:tc>
        <w:tc>
          <w:tcPr>
            <w:tcW w:type="dxa" w:w="1020"/>
            <w:tcW w:w="1020" w:type="dxa"/>
          </w:tcPr>
          <w:p>
            <w:pPr>
              <w:jc w:val="center"/>
            </w:pPr>
            <w:r>
              <w:rPr>
                <w:rFonts w:ascii="Cambria" w:hAnsi="Cambria" w:eastAsia="Cambria"/>
                <w:b w:val="0"/>
                <w:i w:val="0"/>
                <w:sz w:val="22"/>
              </w:rPr>
              <w:t>036</w:t>
            </w:r>
          </w:p>
        </w:tc>
      </w:tr>
      <w:tr>
        <w:tc>
          <w:tcPr>
            <w:tcW w:type="dxa" w:w="850"/>
            <w:shd w:val="clear" w:color="auto" w:fill="DCE6F1"/>
            <w:tcW w:w="850" w:type="dxa"/>
          </w:tcPr>
          <w:p>
            <w:pPr>
              <w:jc w:val="center"/>
            </w:pPr>
            <w:r>
              <w:rPr>
                <w:rFonts w:ascii="Cambria" w:hAnsi="Cambria" w:eastAsia="Cambria"/>
                <w:b w:val="0"/>
                <w:i w:val="0"/>
                <w:sz w:val="22"/>
              </w:rPr>
              <w:t>14</w:t>
            </w:r>
          </w:p>
        </w:tc>
        <w:tc>
          <w:tcPr>
            <w:tcW w:type="dxa" w:w="7540"/>
            <w:shd w:val="clear" w:color="auto" w:fill="DCE6F1"/>
            <w:tcW w:w="7541" w:type="dxa"/>
          </w:tcPr>
          <w:p>
            <w:r>
              <w:rPr>
                <w:rFonts w:ascii="Cambria" w:hAnsi="Cambria" w:eastAsia="Cambria"/>
                <w:b w:val="0"/>
                <w:i w:val="0"/>
                <w:sz w:val="22"/>
              </w:rPr>
              <w:t>Reducing Illnesses and Deaths from Hazardous Chemicals and Pollution under SDG-3: Strengthening Environmental Health and Sustainable Development in India</w:t>
            </w:r>
          </w:p>
        </w:tc>
        <w:tc>
          <w:tcPr>
            <w:tcW w:type="dxa" w:w="1020"/>
            <w:shd w:val="clear" w:color="auto" w:fill="DCE6F1"/>
            <w:tcW w:w="1020" w:type="dxa"/>
          </w:tcPr>
          <w:p>
            <w:pPr>
              <w:jc w:val="center"/>
            </w:pPr>
            <w:r>
              <w:rPr>
                <w:rFonts w:ascii="Cambria" w:hAnsi="Cambria" w:eastAsia="Cambria"/>
                <w:b w:val="0"/>
                <w:i w:val="0"/>
                <w:sz w:val="22"/>
              </w:rPr>
              <w:t>039</w:t>
            </w:r>
          </w:p>
        </w:tc>
      </w:tr>
      <w:tr>
        <w:tc>
          <w:tcPr>
            <w:tcW w:type="dxa" w:w="850"/>
            <w:tcW w:w="850" w:type="dxa"/>
          </w:tcPr>
          <w:p>
            <w:pPr>
              <w:jc w:val="center"/>
            </w:pPr>
            <w:r>
              <w:rPr>
                <w:rFonts w:ascii="Cambria" w:hAnsi="Cambria" w:eastAsia="Cambria"/>
                <w:b w:val="0"/>
                <w:i w:val="0"/>
                <w:sz w:val="22"/>
              </w:rPr>
              <w:t>15</w:t>
            </w:r>
          </w:p>
        </w:tc>
        <w:tc>
          <w:tcPr>
            <w:tcW w:type="dxa" w:w="7540"/>
            <w:tcW w:w="7541" w:type="dxa"/>
          </w:tcPr>
          <w:p>
            <w:r>
              <w:rPr>
                <w:rFonts w:ascii="Cambria" w:hAnsi="Cambria" w:eastAsia="Cambria"/>
                <w:b w:val="0"/>
                <w:i w:val="0"/>
                <w:sz w:val="22"/>
              </w:rPr>
              <w:t>Key Recommendations to Achieve SDG-3: Ensuring Good Health and Well-Being through Education, Research, and Institutional Innovation</w:t>
            </w:r>
          </w:p>
        </w:tc>
        <w:tc>
          <w:tcPr>
            <w:tcW w:type="dxa" w:w="1020"/>
            <w:tcW w:w="1020" w:type="dxa"/>
          </w:tcPr>
          <w:p>
            <w:pPr>
              <w:jc w:val="center"/>
            </w:pPr>
            <w:r>
              <w:rPr>
                <w:rFonts w:ascii="Cambria" w:hAnsi="Cambria" w:eastAsia="Cambria"/>
                <w:b w:val="0"/>
                <w:i w:val="0"/>
                <w:sz w:val="22"/>
              </w:rPr>
              <w:t>043</w:t>
            </w:r>
          </w:p>
        </w:tc>
      </w:tr>
      <w:tr>
        <w:tc>
          <w:tcPr>
            <w:tcW w:type="dxa" w:w="850"/>
            <w:shd w:val="clear" w:color="auto" w:fill="DCE6F1"/>
            <w:tcW w:w="850" w:type="dxa"/>
          </w:tcPr>
          <w:p>
            <w:pPr>
              <w:jc w:val="center"/>
            </w:pPr>
            <w:r>
              <w:rPr>
                <w:rFonts w:ascii="Cambria" w:hAnsi="Cambria" w:eastAsia="Cambria"/>
                <w:b w:val="0"/>
                <w:i w:val="0"/>
                <w:sz w:val="22"/>
              </w:rPr>
              <w:t>16</w:t>
            </w:r>
          </w:p>
        </w:tc>
        <w:tc>
          <w:tcPr>
            <w:tcW w:type="dxa" w:w="7540"/>
            <w:shd w:val="clear" w:color="auto" w:fill="DCE6F1"/>
            <w:tcW w:w="7541" w:type="dxa"/>
          </w:tcPr>
          <w:p>
            <w:r>
              <w:rPr>
                <w:rFonts w:ascii="Cambria" w:hAnsi="Cambria" w:eastAsia="Cambria"/>
                <w:b w:val="0"/>
                <w:i w:val="0"/>
                <w:sz w:val="22"/>
              </w:rPr>
              <w:t>Building Infrastructure for Yoga, Meditation, and Counselling</w:t>
            </w:r>
          </w:p>
        </w:tc>
        <w:tc>
          <w:tcPr>
            <w:tcW w:type="dxa" w:w="1020"/>
            <w:shd w:val="clear" w:color="auto" w:fill="DCE6F1"/>
            <w:tcW w:w="1020" w:type="dxa"/>
          </w:tcPr>
          <w:p>
            <w:pPr>
              <w:jc w:val="center"/>
            </w:pPr>
            <w:r>
              <w:rPr>
                <w:rFonts w:ascii="Cambria" w:hAnsi="Cambria" w:eastAsia="Cambria"/>
                <w:b w:val="0"/>
                <w:i w:val="0"/>
                <w:sz w:val="22"/>
              </w:rPr>
              <w:t>045</w:t>
            </w:r>
          </w:p>
        </w:tc>
      </w:tr>
      <w:tr>
        <w:tc>
          <w:tcPr>
            <w:tcW w:type="dxa" w:w="850"/>
            <w:tcW w:w="850" w:type="dxa"/>
          </w:tcPr>
          <w:p>
            <w:pPr>
              <w:jc w:val="center"/>
            </w:pPr>
            <w:r>
              <w:rPr>
                <w:rFonts w:ascii="Cambria" w:hAnsi="Cambria" w:eastAsia="Cambria"/>
                <w:b w:val="0"/>
                <w:i w:val="0"/>
                <w:sz w:val="22"/>
              </w:rPr>
              <w:t>17</w:t>
            </w:r>
          </w:p>
        </w:tc>
        <w:tc>
          <w:tcPr>
            <w:tcW w:type="dxa" w:w="7540"/>
            <w:tcW w:w="7541" w:type="dxa"/>
          </w:tcPr>
          <w:p>
            <w:r>
              <w:rPr>
                <w:rFonts w:ascii="Cambria" w:hAnsi="Cambria" w:eastAsia="Cambria"/>
                <w:b w:val="0"/>
                <w:i w:val="0"/>
                <w:sz w:val="22"/>
              </w:rPr>
              <w:t>Promoting Health and Wellness Centres through Mission Vikas Pariwar</w:t>
            </w:r>
          </w:p>
        </w:tc>
        <w:tc>
          <w:tcPr>
            <w:tcW w:type="dxa" w:w="1020"/>
            <w:tcW w:w="1020" w:type="dxa"/>
          </w:tcPr>
          <w:p>
            <w:pPr>
              <w:jc w:val="center"/>
            </w:pPr>
            <w:r>
              <w:rPr>
                <w:rFonts w:ascii="Cambria" w:hAnsi="Cambria" w:eastAsia="Cambria"/>
                <w:b w:val="0"/>
                <w:i w:val="0"/>
                <w:sz w:val="22"/>
              </w:rPr>
              <w:t>047</w:t>
            </w:r>
          </w:p>
        </w:tc>
      </w:tr>
      <w:tr>
        <w:tc>
          <w:tcPr>
            <w:tcW w:type="dxa" w:w="850"/>
            <w:shd w:val="clear" w:color="auto" w:fill="DCE6F1"/>
            <w:tcW w:w="850" w:type="dxa"/>
          </w:tcPr>
          <w:p>
            <w:pPr>
              <w:jc w:val="center"/>
            </w:pPr>
            <w:r>
              <w:rPr>
                <w:rFonts w:ascii="Cambria" w:hAnsi="Cambria" w:eastAsia="Cambria"/>
                <w:b w:val="0"/>
                <w:i w:val="0"/>
                <w:sz w:val="22"/>
              </w:rPr>
              <w:t>18</w:t>
            </w:r>
          </w:p>
        </w:tc>
        <w:tc>
          <w:tcPr>
            <w:tcW w:type="dxa" w:w="7540"/>
            <w:shd w:val="clear" w:color="auto" w:fill="DCE6F1"/>
            <w:tcW w:w="7541" w:type="dxa"/>
          </w:tcPr>
          <w:p>
            <w:r>
              <w:rPr>
                <w:rFonts w:ascii="Cambria" w:hAnsi="Cambria" w:eastAsia="Cambria"/>
                <w:b w:val="0"/>
                <w:i w:val="0"/>
                <w:sz w:val="22"/>
              </w:rPr>
              <w:t>Expanding Medical Seats and Addressing Doctor Shortage in India</w:t>
            </w:r>
          </w:p>
        </w:tc>
        <w:tc>
          <w:tcPr>
            <w:tcW w:type="dxa" w:w="1020"/>
            <w:shd w:val="clear" w:color="auto" w:fill="DCE6F1"/>
            <w:tcW w:w="1020" w:type="dxa"/>
          </w:tcPr>
          <w:p>
            <w:pPr>
              <w:jc w:val="center"/>
            </w:pPr>
            <w:r>
              <w:rPr>
                <w:rFonts w:ascii="Cambria" w:hAnsi="Cambria" w:eastAsia="Cambria"/>
                <w:b w:val="0"/>
                <w:i w:val="0"/>
                <w:sz w:val="22"/>
              </w:rPr>
              <w:t>049</w:t>
            </w:r>
          </w:p>
        </w:tc>
      </w:tr>
      <w:tr>
        <w:tc>
          <w:tcPr>
            <w:tcW w:type="dxa" w:w="850"/>
            <w:tcW w:w="850" w:type="dxa"/>
          </w:tcPr>
          <w:p>
            <w:pPr>
              <w:jc w:val="center"/>
            </w:pPr>
            <w:r>
              <w:rPr>
                <w:rFonts w:ascii="Cambria" w:hAnsi="Cambria" w:eastAsia="Cambria"/>
                <w:b w:val="0"/>
                <w:i w:val="0"/>
                <w:sz w:val="22"/>
              </w:rPr>
              <w:t>19</w:t>
            </w:r>
          </w:p>
        </w:tc>
        <w:tc>
          <w:tcPr>
            <w:tcW w:type="dxa" w:w="7540"/>
            <w:tcW w:w="7541" w:type="dxa"/>
          </w:tcPr>
          <w:p>
            <w:r>
              <w:rPr>
                <w:rFonts w:ascii="Cambria" w:hAnsi="Cambria" w:eastAsia="Cambria"/>
                <w:b w:val="0"/>
                <w:i w:val="0"/>
                <w:sz w:val="22"/>
              </w:rPr>
              <w:t>Making Medical Education Affordable and Accessible: Innovative Models to Balance Quality, Cost, and Capacity in Achieving SDG-3</w:t>
            </w:r>
          </w:p>
        </w:tc>
        <w:tc>
          <w:tcPr>
            <w:tcW w:type="dxa" w:w="1020"/>
            <w:tcW w:w="1020" w:type="dxa"/>
          </w:tcPr>
          <w:p>
            <w:pPr>
              <w:jc w:val="center"/>
            </w:pPr>
            <w:r>
              <w:rPr>
                <w:rFonts w:ascii="Cambria" w:hAnsi="Cambria" w:eastAsia="Cambria"/>
                <w:b w:val="0"/>
                <w:i w:val="0"/>
                <w:sz w:val="22"/>
              </w:rPr>
              <w:t>051</w:t>
            </w:r>
          </w:p>
        </w:tc>
      </w:tr>
      <w:tr>
        <w:tc>
          <w:tcPr>
            <w:tcW w:type="dxa" w:w="850"/>
            <w:shd w:val="clear" w:color="auto" w:fill="DCE6F1"/>
            <w:tcW w:w="850" w:type="dxa"/>
          </w:tcPr>
          <w:p>
            <w:pPr>
              <w:jc w:val="center"/>
            </w:pPr>
            <w:r>
              <w:rPr>
                <w:rFonts w:ascii="Cambria" w:hAnsi="Cambria" w:eastAsia="Cambria"/>
                <w:b w:val="0"/>
                <w:i w:val="0"/>
                <w:sz w:val="22"/>
              </w:rPr>
              <w:t>20</w:t>
            </w:r>
          </w:p>
        </w:tc>
        <w:tc>
          <w:tcPr>
            <w:tcW w:type="dxa" w:w="7540"/>
            <w:shd w:val="clear" w:color="auto" w:fill="DCE6F1"/>
            <w:tcW w:w="7541" w:type="dxa"/>
          </w:tcPr>
          <w:p>
            <w:r>
              <w:rPr>
                <w:rFonts w:ascii="Cambria" w:hAnsi="Cambria" w:eastAsia="Cambria"/>
                <w:b w:val="0"/>
                <w:i w:val="0"/>
                <w:sz w:val="22"/>
              </w:rPr>
              <w:t>Establishing Mandatory Drug Addiction Monitoring Systems in Higher Education Institutions (HEIs) to Promote SDG-3: Good Health and Well-Being</w:t>
            </w:r>
          </w:p>
        </w:tc>
        <w:tc>
          <w:tcPr>
            <w:tcW w:type="dxa" w:w="1020"/>
            <w:shd w:val="clear" w:color="auto" w:fill="DCE6F1"/>
            <w:tcW w:w="1020" w:type="dxa"/>
          </w:tcPr>
          <w:p>
            <w:pPr>
              <w:jc w:val="center"/>
            </w:pPr>
            <w:r>
              <w:rPr>
                <w:rFonts w:ascii="Cambria" w:hAnsi="Cambria" w:eastAsia="Cambria"/>
                <w:b w:val="0"/>
                <w:i w:val="0"/>
                <w:sz w:val="22"/>
              </w:rPr>
              <w:t>053</w:t>
            </w:r>
          </w:p>
        </w:tc>
      </w:tr>
      <w:tr>
        <w:tc>
          <w:tcPr>
            <w:tcW w:type="dxa" w:w="850"/>
            <w:tcW w:w="850" w:type="dxa"/>
          </w:tcPr>
          <w:p>
            <w:pPr>
              <w:jc w:val="center"/>
            </w:pPr>
            <w:r>
              <w:rPr>
                <w:rFonts w:ascii="Cambria" w:hAnsi="Cambria" w:eastAsia="Cambria"/>
                <w:b w:val="0"/>
                <w:i w:val="0"/>
                <w:sz w:val="22"/>
              </w:rPr>
              <w:t>21</w:t>
            </w:r>
          </w:p>
        </w:tc>
        <w:tc>
          <w:tcPr>
            <w:tcW w:type="dxa" w:w="7540"/>
            <w:tcW w:w="7541" w:type="dxa"/>
          </w:tcPr>
          <w:p>
            <w:r>
              <w:rPr>
                <w:rFonts w:ascii="Cambria" w:hAnsi="Cambria" w:eastAsia="Cambria"/>
                <w:b w:val="0"/>
                <w:i w:val="0"/>
                <w:sz w:val="22"/>
              </w:rPr>
              <w:t>Integrating Community-Based Internships and Training Initiatives in Medical HEIs to Achieve SDG-3: Strengthening Primary Healthcare and Community Workforce</w:t>
            </w:r>
          </w:p>
        </w:tc>
        <w:tc>
          <w:tcPr>
            <w:tcW w:type="dxa" w:w="1020"/>
            <w:tcW w:w="1020" w:type="dxa"/>
          </w:tcPr>
          <w:p>
            <w:pPr>
              <w:jc w:val="center"/>
            </w:pPr>
            <w:r>
              <w:rPr>
                <w:rFonts w:ascii="Cambria" w:hAnsi="Cambria" w:eastAsia="Cambria"/>
                <w:b w:val="0"/>
                <w:i w:val="0"/>
                <w:sz w:val="22"/>
              </w:rPr>
              <w:t>055</w:t>
            </w:r>
          </w:p>
        </w:tc>
      </w:tr>
      <w:tr>
        <w:tc>
          <w:tcPr>
            <w:tcW w:type="dxa" w:w="850"/>
            <w:shd w:val="clear" w:color="auto" w:fill="DCE6F1"/>
            <w:tcW w:w="850" w:type="dxa"/>
          </w:tcPr>
          <w:p>
            <w:pPr>
              <w:jc w:val="center"/>
            </w:pPr>
            <w:r>
              <w:rPr>
                <w:rFonts w:ascii="Cambria" w:hAnsi="Cambria" w:eastAsia="Cambria"/>
                <w:b w:val="0"/>
                <w:i w:val="0"/>
                <w:sz w:val="22"/>
              </w:rPr>
              <w:t>22</w:t>
            </w:r>
          </w:p>
        </w:tc>
        <w:tc>
          <w:tcPr>
            <w:tcW w:type="dxa" w:w="7540"/>
            <w:shd w:val="clear" w:color="auto" w:fill="DCE6F1"/>
            <w:tcW w:w="7541" w:type="dxa"/>
          </w:tcPr>
          <w:p>
            <w:r>
              <w:rPr>
                <w:rFonts w:ascii="Cambria" w:hAnsi="Cambria" w:eastAsia="Cambria"/>
                <w:b w:val="0"/>
                <w:i w:val="0"/>
                <w:sz w:val="22"/>
              </w:rPr>
              <w:t>Strengthening HEI–Pharmaceutical Industry Collaboration and Promoting Traditional Medicine (CAMS) to Advance SDG-3: Innovation, Research, and Inclusive Healthcare</w:t>
            </w:r>
          </w:p>
        </w:tc>
        <w:tc>
          <w:tcPr>
            <w:tcW w:type="dxa" w:w="1020"/>
            <w:shd w:val="clear" w:color="auto" w:fill="DCE6F1"/>
            <w:tcW w:w="1020" w:type="dxa"/>
          </w:tcPr>
          <w:p>
            <w:pPr>
              <w:jc w:val="center"/>
            </w:pPr>
            <w:r>
              <w:rPr>
                <w:rFonts w:ascii="Cambria" w:hAnsi="Cambria" w:eastAsia="Cambria"/>
                <w:b w:val="0"/>
                <w:i w:val="0"/>
                <w:sz w:val="22"/>
              </w:rPr>
              <w:t>057</w:t>
            </w:r>
          </w:p>
        </w:tc>
      </w:tr>
      <w:tr>
        <w:tc>
          <w:tcPr>
            <w:tcW w:type="dxa" w:w="850"/>
            <w:tcW w:w="850" w:type="dxa"/>
          </w:tcPr>
          <w:p>
            <w:pPr>
              <w:jc w:val="center"/>
            </w:pPr>
            <w:r>
              <w:rPr>
                <w:rFonts w:ascii="Cambria" w:hAnsi="Cambria" w:eastAsia="Cambria"/>
                <w:b w:val="0"/>
                <w:i w:val="0"/>
                <w:sz w:val="22"/>
              </w:rPr>
              <w:t>23</w:t>
            </w:r>
          </w:p>
        </w:tc>
        <w:tc>
          <w:tcPr>
            <w:tcW w:type="dxa" w:w="7540"/>
            <w:tcW w:w="7541" w:type="dxa"/>
          </w:tcPr>
          <w:p>
            <w:r>
              <w:rPr>
                <w:rFonts w:ascii="Cambria" w:hAnsi="Cambria" w:eastAsia="Cambria"/>
                <w:b w:val="0"/>
                <w:i w:val="0"/>
                <w:sz w:val="22"/>
              </w:rPr>
              <w:t>The Global Significance of SDG-3 – Ensuring Good Health and Well-Being for All</w:t>
            </w:r>
          </w:p>
        </w:tc>
        <w:tc>
          <w:tcPr>
            <w:tcW w:type="dxa" w:w="1020"/>
            <w:tcW w:w="1020" w:type="dxa"/>
          </w:tcPr>
          <w:p>
            <w:pPr>
              <w:jc w:val="center"/>
            </w:pPr>
            <w:r>
              <w:rPr>
                <w:rFonts w:ascii="Cambria" w:hAnsi="Cambria" w:eastAsia="Cambria"/>
                <w:b w:val="0"/>
                <w:i w:val="0"/>
                <w:sz w:val="22"/>
              </w:rPr>
              <w:t>059</w:t>
            </w:r>
          </w:p>
        </w:tc>
      </w:tr>
      <w:tr>
        <w:tc>
          <w:tcPr>
            <w:tcW w:type="dxa" w:w="850"/>
            <w:shd w:val="clear" w:color="auto" w:fill="DCE6F1"/>
            <w:tcW w:w="850" w:type="dxa"/>
          </w:tcPr>
          <w:p>
            <w:pPr>
              <w:jc w:val="center"/>
            </w:pPr>
            <w:r>
              <w:rPr>
                <w:rFonts w:ascii="Cambria" w:hAnsi="Cambria" w:eastAsia="Cambria"/>
                <w:b w:val="0"/>
                <w:i w:val="0"/>
                <w:sz w:val="22"/>
              </w:rPr>
              <w:t>24</w:t>
            </w:r>
          </w:p>
        </w:tc>
        <w:tc>
          <w:tcPr>
            <w:tcW w:type="dxa" w:w="7540"/>
            <w:shd w:val="clear" w:color="auto" w:fill="DCE6F1"/>
            <w:tcW w:w="7541" w:type="dxa"/>
          </w:tcPr>
          <w:p>
            <w:r>
              <w:rPr>
                <w:rFonts w:ascii="Cambria" w:hAnsi="Cambria" w:eastAsia="Cambria"/>
                <w:b w:val="0"/>
                <w:i w:val="0"/>
                <w:sz w:val="22"/>
              </w:rPr>
              <w:t>A Global Commitment to Health, Well-Being, and Environmental Sustainability</w:t>
            </w:r>
          </w:p>
        </w:tc>
        <w:tc>
          <w:tcPr>
            <w:tcW w:type="dxa" w:w="1020"/>
            <w:shd w:val="clear" w:color="auto" w:fill="DCE6F1"/>
            <w:tcW w:w="1020" w:type="dxa"/>
          </w:tcPr>
          <w:p>
            <w:pPr>
              <w:jc w:val="center"/>
            </w:pPr>
            <w:r>
              <w:rPr>
                <w:rFonts w:ascii="Cambria" w:hAnsi="Cambria" w:eastAsia="Cambria"/>
                <w:b w:val="0"/>
                <w:i w:val="0"/>
                <w:sz w:val="22"/>
              </w:rPr>
              <w:t>061</w:t>
            </w:r>
          </w:p>
        </w:tc>
      </w:tr>
      <w:tr>
        <w:tc>
          <w:tcPr>
            <w:tcW w:type="dxa" w:w="850"/>
            <w:tcW w:w="850" w:type="dxa"/>
          </w:tcPr>
          <w:p>
            <w:pPr>
              <w:jc w:val="center"/>
            </w:pPr>
            <w:r>
              <w:rPr>
                <w:rFonts w:ascii="Cambria" w:hAnsi="Cambria" w:eastAsia="Cambria"/>
                <w:b w:val="0"/>
                <w:i w:val="0"/>
                <w:sz w:val="22"/>
              </w:rPr>
              <w:t>25</w:t>
            </w:r>
          </w:p>
        </w:tc>
        <w:tc>
          <w:tcPr>
            <w:tcW w:type="dxa" w:w="7540"/>
            <w:tcW w:w="7541" w:type="dxa"/>
          </w:tcPr>
          <w:p>
            <w:r>
              <w:rPr>
                <w:rFonts w:ascii="Cambria" w:hAnsi="Cambria" w:eastAsia="Cambria"/>
                <w:b w:val="0"/>
                <w:i w:val="0"/>
                <w:sz w:val="22"/>
              </w:rPr>
              <w:t>UGC Initiatives through HEIs to Promote Global Health and Well-Being under SDG-3: The Role of Yoga and Mindfulness in Education</w:t>
            </w:r>
          </w:p>
        </w:tc>
        <w:tc>
          <w:tcPr>
            <w:tcW w:type="dxa" w:w="1020"/>
            <w:tcW w:w="1020" w:type="dxa"/>
          </w:tcPr>
          <w:p>
            <w:pPr>
              <w:jc w:val="center"/>
            </w:pPr>
            <w:r>
              <w:rPr>
                <w:rFonts w:ascii="Cambria" w:hAnsi="Cambria" w:eastAsia="Cambria"/>
                <w:b w:val="0"/>
                <w:i w:val="0"/>
                <w:sz w:val="22"/>
              </w:rPr>
              <w:t>063</w:t>
            </w:r>
          </w:p>
        </w:tc>
      </w:tr>
      <w:tr>
        <w:tc>
          <w:tcPr>
            <w:tcW w:type="dxa" w:w="850"/>
            <w:shd w:val="clear" w:color="auto" w:fill="DCE6F1"/>
            <w:tcW w:w="850" w:type="dxa"/>
          </w:tcPr>
          <w:p>
            <w:pPr>
              <w:jc w:val="center"/>
            </w:pPr>
            <w:r>
              <w:rPr>
                <w:rFonts w:ascii="Cambria" w:hAnsi="Cambria" w:eastAsia="Cambria"/>
                <w:b w:val="0"/>
                <w:i w:val="0"/>
                <w:sz w:val="22"/>
              </w:rPr>
              <w:t>26</w:t>
            </w:r>
          </w:p>
        </w:tc>
        <w:tc>
          <w:tcPr>
            <w:tcW w:type="dxa" w:w="7540"/>
            <w:shd w:val="clear" w:color="auto" w:fill="DCE6F1"/>
            <w:tcW w:w="7541" w:type="dxa"/>
          </w:tcPr>
          <w:p>
            <w:r>
              <w:rPr>
                <w:rFonts w:ascii="Cambria" w:hAnsi="Cambria" w:eastAsia="Cambria"/>
                <w:b w:val="0"/>
                <w:i w:val="0"/>
                <w:sz w:val="22"/>
              </w:rPr>
              <w:t>Government of India Initiatives through the Ministry of AYUSH and UGC to Promote Yoga, Naturopathy, and Traditional Medicine for Achieving SDG-3</w:t>
            </w:r>
          </w:p>
        </w:tc>
        <w:tc>
          <w:tcPr>
            <w:tcW w:type="dxa" w:w="1020"/>
            <w:shd w:val="clear" w:color="auto" w:fill="DCE6F1"/>
            <w:tcW w:w="1020" w:type="dxa"/>
          </w:tcPr>
          <w:p>
            <w:pPr>
              <w:jc w:val="center"/>
            </w:pPr>
            <w:r>
              <w:rPr>
                <w:rFonts w:ascii="Cambria" w:hAnsi="Cambria" w:eastAsia="Cambria"/>
                <w:b w:val="0"/>
                <w:i w:val="0"/>
                <w:sz w:val="22"/>
              </w:rPr>
              <w:t>065</w:t>
            </w:r>
          </w:p>
        </w:tc>
      </w:tr>
      <w:tr>
        <w:tc>
          <w:tcPr>
            <w:tcW w:type="dxa" w:w="850"/>
            <w:tcW w:w="850" w:type="dxa"/>
          </w:tcPr>
          <w:p>
            <w:pPr>
              <w:jc w:val="center"/>
            </w:pPr>
            <w:r>
              <w:rPr>
                <w:rFonts w:ascii="Cambria" w:hAnsi="Cambria" w:eastAsia="Cambria"/>
                <w:b w:val="0"/>
                <w:i w:val="0"/>
                <w:sz w:val="22"/>
              </w:rPr>
              <w:t>27</w:t>
            </w:r>
          </w:p>
        </w:tc>
        <w:tc>
          <w:tcPr>
            <w:tcW w:type="dxa" w:w="7540"/>
            <w:tcW w:w="7541" w:type="dxa"/>
          </w:tcPr>
          <w:p>
            <w:r>
              <w:rPr>
                <w:rFonts w:ascii="Cambria" w:hAnsi="Cambria" w:eastAsia="Cambria"/>
                <w:b w:val="0"/>
                <w:i w:val="0"/>
                <w:sz w:val="22"/>
              </w:rPr>
              <w:t>Global Academic Contributions to SDG-3: The University of Manchester’s Research and Community Health Initiatives</w:t>
            </w:r>
          </w:p>
        </w:tc>
        <w:tc>
          <w:tcPr>
            <w:tcW w:type="dxa" w:w="1020"/>
            <w:tcW w:w="1020" w:type="dxa"/>
          </w:tcPr>
          <w:p>
            <w:pPr>
              <w:jc w:val="center"/>
            </w:pPr>
            <w:r>
              <w:rPr>
                <w:rFonts w:ascii="Cambria" w:hAnsi="Cambria" w:eastAsia="Cambria"/>
                <w:b w:val="0"/>
                <w:i w:val="0"/>
                <w:sz w:val="22"/>
              </w:rPr>
              <w:t>067</w:t>
            </w:r>
          </w:p>
        </w:tc>
      </w:tr>
      <w:tr>
        <w:tc>
          <w:tcPr>
            <w:tcW w:type="dxa" w:w="850"/>
            <w:shd w:val="clear" w:color="auto" w:fill="DCE6F1"/>
            <w:tcW w:w="850" w:type="dxa"/>
          </w:tcPr>
          <w:p>
            <w:pPr>
              <w:jc w:val="center"/>
            </w:pPr>
            <w:r>
              <w:rPr>
                <w:rFonts w:ascii="Cambria" w:hAnsi="Cambria" w:eastAsia="Cambria"/>
                <w:b w:val="0"/>
                <w:i w:val="0"/>
                <w:sz w:val="22"/>
              </w:rPr>
              <w:t>28</w:t>
            </w:r>
          </w:p>
        </w:tc>
        <w:tc>
          <w:tcPr>
            <w:tcW w:type="dxa" w:w="7540"/>
            <w:shd w:val="clear" w:color="auto" w:fill="DCE6F1"/>
            <w:tcW w:w="7541" w:type="dxa"/>
          </w:tcPr>
          <w:p>
            <w:r>
              <w:rPr>
                <w:rFonts w:ascii="Cambria" w:hAnsi="Cambria" w:eastAsia="Cambria"/>
                <w:b w:val="0"/>
                <w:i w:val="0"/>
                <w:sz w:val="22"/>
              </w:rPr>
              <w:t>Promoting SDG Awareness through MOOCs: A Fast-Track Approach for HEIs to Implement Sustainable Development Goals</w:t>
            </w:r>
          </w:p>
        </w:tc>
        <w:tc>
          <w:tcPr>
            <w:tcW w:type="dxa" w:w="1020"/>
            <w:shd w:val="clear" w:color="auto" w:fill="DCE6F1"/>
            <w:tcW w:w="1020" w:type="dxa"/>
          </w:tcPr>
          <w:p>
            <w:pPr>
              <w:jc w:val="center"/>
            </w:pPr>
            <w:r>
              <w:rPr>
                <w:rFonts w:ascii="Cambria" w:hAnsi="Cambria" w:eastAsia="Cambria"/>
                <w:b w:val="0"/>
                <w:i w:val="0"/>
                <w:sz w:val="22"/>
              </w:rPr>
              <w:t>069</w:t>
            </w:r>
          </w:p>
        </w:tc>
      </w:tr>
      <w:tr>
        <w:tc>
          <w:tcPr>
            <w:tcW w:type="dxa" w:w="850"/>
            <w:tcW w:w="850" w:type="dxa"/>
          </w:tcPr>
          <w:p>
            <w:pPr>
              <w:jc w:val="center"/>
            </w:pPr>
            <w:r>
              <w:rPr>
                <w:rFonts w:ascii="Cambria" w:hAnsi="Cambria" w:eastAsia="Cambria"/>
                <w:b w:val="0"/>
                <w:i w:val="0"/>
                <w:sz w:val="22"/>
              </w:rPr>
              <w:t>29</w:t>
            </w:r>
          </w:p>
        </w:tc>
        <w:tc>
          <w:tcPr>
            <w:tcW w:type="dxa" w:w="7540"/>
            <w:tcW w:w="7541" w:type="dxa"/>
          </w:tcPr>
          <w:p>
            <w:r>
              <w:rPr>
                <w:rFonts w:ascii="Cambria" w:hAnsi="Cambria" w:eastAsia="Cambria"/>
                <w:b w:val="0"/>
                <w:i w:val="0"/>
                <w:sz w:val="22"/>
              </w:rPr>
              <w:t>Recommended Actions for Higher Education Institutions (HEIs) to Achieve SDG-3: Good Health and Well-Being</w:t>
            </w:r>
          </w:p>
        </w:tc>
        <w:tc>
          <w:tcPr>
            <w:tcW w:type="dxa" w:w="1020"/>
            <w:tcW w:w="1020" w:type="dxa"/>
          </w:tcPr>
          <w:p>
            <w:pPr>
              <w:jc w:val="center"/>
            </w:pPr>
            <w:r>
              <w:rPr>
                <w:rFonts w:ascii="Cambria" w:hAnsi="Cambria" w:eastAsia="Cambria"/>
                <w:b w:val="0"/>
                <w:i w:val="0"/>
                <w:sz w:val="22"/>
              </w:rPr>
              <w:t>075</w:t>
            </w:r>
          </w:p>
        </w:tc>
      </w:tr>
      <w:tr>
        <w:tc>
          <w:tcPr>
            <w:tcW w:type="dxa" w:w="850"/>
            <w:shd w:val="clear" w:color="auto" w:fill="DCE6F1"/>
            <w:tcW w:w="850" w:type="dxa"/>
          </w:tcPr>
          <w:p>
            <w:pPr>
              <w:jc w:val="center"/>
            </w:pPr>
            <w:r>
              <w:rPr>
                <w:rFonts w:ascii="Cambria" w:hAnsi="Cambria" w:eastAsia="Cambria"/>
                <w:b w:val="0"/>
                <w:i w:val="0"/>
                <w:sz w:val="22"/>
              </w:rPr>
              <w:t>30</w:t>
            </w:r>
          </w:p>
        </w:tc>
        <w:tc>
          <w:tcPr>
            <w:tcW w:type="dxa" w:w="7540"/>
            <w:shd w:val="clear" w:color="auto" w:fill="DCE6F1"/>
            <w:tcW w:w="7541" w:type="dxa"/>
          </w:tcPr>
          <w:p>
            <w:r>
              <w:rPr>
                <w:rFonts w:ascii="Cambria" w:hAnsi="Cambria" w:eastAsia="Cambria"/>
                <w:b w:val="0"/>
                <w:i w:val="0"/>
                <w:sz w:val="22"/>
              </w:rPr>
              <w:t>SDG-3 Target 3.1 and Minimal Recommended Actions for Higher Education Institutions (HEIs): Reducing Maternal Mortality through Education, Awareness, and Community Engagement</w:t>
            </w:r>
          </w:p>
        </w:tc>
        <w:tc>
          <w:tcPr>
            <w:tcW w:type="dxa" w:w="1020"/>
            <w:shd w:val="clear" w:color="auto" w:fill="DCE6F1"/>
            <w:tcW w:w="1020" w:type="dxa"/>
          </w:tcPr>
          <w:p>
            <w:pPr>
              <w:jc w:val="center"/>
            </w:pPr>
            <w:r>
              <w:rPr>
                <w:rFonts w:ascii="Cambria" w:hAnsi="Cambria" w:eastAsia="Cambria"/>
                <w:b w:val="0"/>
                <w:i w:val="0"/>
                <w:sz w:val="22"/>
              </w:rPr>
              <w:t>077</w:t>
            </w:r>
          </w:p>
        </w:tc>
      </w:tr>
      <w:tr>
        <w:tc>
          <w:tcPr>
            <w:tcW w:type="dxa" w:w="850"/>
            <w:tcW w:w="850" w:type="dxa"/>
          </w:tcPr>
          <w:p>
            <w:pPr>
              <w:jc w:val="center"/>
            </w:pPr>
            <w:r>
              <w:rPr>
                <w:rFonts w:ascii="Cambria" w:hAnsi="Cambria" w:eastAsia="Cambria"/>
                <w:b w:val="0"/>
                <w:i w:val="0"/>
                <w:sz w:val="22"/>
              </w:rPr>
              <w:t>31</w:t>
            </w:r>
          </w:p>
        </w:tc>
        <w:tc>
          <w:tcPr>
            <w:tcW w:type="dxa" w:w="7540"/>
            <w:tcW w:w="7541" w:type="dxa"/>
          </w:tcPr>
          <w:p>
            <w:r>
              <w:rPr>
                <w:rFonts w:ascii="Cambria" w:hAnsi="Cambria" w:eastAsia="Cambria"/>
                <w:b w:val="0"/>
                <w:i w:val="0"/>
                <w:sz w:val="22"/>
              </w:rPr>
              <w:t>SDG-3 Target 3.2 and Minimal Recommended Actions for Higher Education Institutions (HEIs): Reducing Preventable Deaths of Newborns and Children under 5 Years of Age</w:t>
            </w:r>
          </w:p>
        </w:tc>
        <w:tc>
          <w:tcPr>
            <w:tcW w:type="dxa" w:w="1020"/>
            <w:tcW w:w="1020" w:type="dxa"/>
          </w:tcPr>
          <w:p>
            <w:pPr>
              <w:jc w:val="center"/>
            </w:pPr>
            <w:r>
              <w:rPr>
                <w:rFonts w:ascii="Cambria" w:hAnsi="Cambria" w:eastAsia="Cambria"/>
                <w:b w:val="0"/>
                <w:i w:val="0"/>
                <w:sz w:val="22"/>
              </w:rPr>
              <w:t>080</w:t>
            </w:r>
          </w:p>
        </w:tc>
      </w:tr>
      <w:tr>
        <w:tc>
          <w:tcPr>
            <w:tcW w:type="dxa" w:w="850"/>
            <w:shd w:val="clear" w:color="auto" w:fill="DCE6F1"/>
            <w:tcW w:w="850" w:type="dxa"/>
          </w:tcPr>
          <w:p>
            <w:pPr>
              <w:jc w:val="center"/>
            </w:pPr>
            <w:r>
              <w:rPr>
                <w:rFonts w:ascii="Cambria" w:hAnsi="Cambria" w:eastAsia="Cambria"/>
                <w:b w:val="0"/>
                <w:i w:val="0"/>
                <w:sz w:val="22"/>
              </w:rPr>
              <w:t>32</w:t>
            </w:r>
          </w:p>
        </w:tc>
        <w:tc>
          <w:tcPr>
            <w:tcW w:type="dxa" w:w="7540"/>
            <w:shd w:val="clear" w:color="auto" w:fill="DCE6F1"/>
            <w:tcW w:w="7541" w:type="dxa"/>
          </w:tcPr>
          <w:p>
            <w:r>
              <w:rPr>
                <w:rFonts w:ascii="Cambria" w:hAnsi="Cambria" w:eastAsia="Cambria"/>
                <w:b w:val="0"/>
                <w:i w:val="0"/>
                <w:sz w:val="22"/>
              </w:rPr>
              <w:t>SDG-3 Target 3.3 and Minimal Recommended Actions for Higher Education Institutions (HEIs): Combating Communicable Diseases and Promoting Health and Well-Being on Campuses</w:t>
            </w:r>
          </w:p>
        </w:tc>
        <w:tc>
          <w:tcPr>
            <w:tcW w:type="dxa" w:w="1020"/>
            <w:shd w:val="clear" w:color="auto" w:fill="DCE6F1"/>
            <w:tcW w:w="1020" w:type="dxa"/>
          </w:tcPr>
          <w:p>
            <w:pPr>
              <w:jc w:val="center"/>
            </w:pPr>
            <w:r>
              <w:rPr>
                <w:rFonts w:ascii="Cambria" w:hAnsi="Cambria" w:eastAsia="Cambria"/>
                <w:b w:val="0"/>
                <w:i w:val="0"/>
                <w:sz w:val="22"/>
              </w:rPr>
              <w:t>082</w:t>
            </w:r>
          </w:p>
        </w:tc>
      </w:tr>
      <w:tr>
        <w:tc>
          <w:tcPr>
            <w:tcW w:type="dxa" w:w="850"/>
            <w:tcW w:w="850" w:type="dxa"/>
          </w:tcPr>
          <w:p>
            <w:pPr>
              <w:jc w:val="center"/>
            </w:pPr>
            <w:r>
              <w:rPr>
                <w:rFonts w:ascii="Cambria" w:hAnsi="Cambria" w:eastAsia="Cambria"/>
                <w:b w:val="0"/>
                <w:i w:val="0"/>
                <w:sz w:val="22"/>
              </w:rPr>
              <w:t>33</w:t>
            </w:r>
          </w:p>
        </w:tc>
        <w:tc>
          <w:tcPr>
            <w:tcW w:type="dxa" w:w="7540"/>
            <w:tcW w:w="7541" w:type="dxa"/>
          </w:tcPr>
          <w:p>
            <w:r>
              <w:rPr>
                <w:rFonts w:ascii="Cambria" w:hAnsi="Cambria" w:eastAsia="Cambria"/>
                <w:b w:val="0"/>
                <w:i w:val="0"/>
                <w:sz w:val="22"/>
              </w:rPr>
              <w:t>SDG-3 Target 3.4 and Minimal Recommended Actions for Higher Education Institutions (HEIs): Reducing Non-Communicable Diseases and Promoting Mental Well-Being</w:t>
            </w:r>
          </w:p>
        </w:tc>
        <w:tc>
          <w:tcPr>
            <w:tcW w:type="dxa" w:w="1020"/>
            <w:tcW w:w="1020" w:type="dxa"/>
          </w:tcPr>
          <w:p>
            <w:pPr>
              <w:jc w:val="center"/>
            </w:pPr>
            <w:r>
              <w:rPr>
                <w:rFonts w:ascii="Cambria" w:hAnsi="Cambria" w:eastAsia="Cambria"/>
                <w:b w:val="0"/>
                <w:i w:val="0"/>
                <w:sz w:val="22"/>
              </w:rPr>
              <w:t>085</w:t>
            </w:r>
          </w:p>
        </w:tc>
      </w:tr>
      <w:tr>
        <w:tc>
          <w:tcPr>
            <w:tcW w:type="dxa" w:w="850"/>
            <w:shd w:val="clear" w:color="auto" w:fill="DCE6F1"/>
            <w:tcW w:w="850" w:type="dxa"/>
          </w:tcPr>
          <w:p>
            <w:pPr>
              <w:jc w:val="center"/>
            </w:pPr>
            <w:r>
              <w:rPr>
                <w:rFonts w:ascii="Cambria" w:hAnsi="Cambria" w:eastAsia="Cambria"/>
                <w:b w:val="0"/>
                <w:i w:val="0"/>
                <w:sz w:val="22"/>
              </w:rPr>
              <w:t>34</w:t>
            </w:r>
          </w:p>
        </w:tc>
        <w:tc>
          <w:tcPr>
            <w:tcW w:type="dxa" w:w="7540"/>
            <w:shd w:val="clear" w:color="auto" w:fill="DCE6F1"/>
            <w:tcW w:w="7541" w:type="dxa"/>
          </w:tcPr>
          <w:p>
            <w:r>
              <w:rPr>
                <w:rFonts w:ascii="Cambria" w:hAnsi="Cambria" w:eastAsia="Cambria"/>
                <w:b w:val="0"/>
                <w:i w:val="0"/>
                <w:sz w:val="22"/>
              </w:rPr>
              <w:t>SDG-3 Target 3.5 and Minimal Recommended Actions for Higher Education Institutions (HEIs): Prevention and Treatment of Substance Abuse and Drug Addiction</w:t>
            </w:r>
          </w:p>
        </w:tc>
        <w:tc>
          <w:tcPr>
            <w:tcW w:type="dxa" w:w="1020"/>
            <w:shd w:val="clear" w:color="auto" w:fill="DCE6F1"/>
            <w:tcW w:w="1020" w:type="dxa"/>
          </w:tcPr>
          <w:p>
            <w:pPr>
              <w:jc w:val="center"/>
            </w:pPr>
            <w:r>
              <w:rPr>
                <w:rFonts w:ascii="Cambria" w:hAnsi="Cambria" w:eastAsia="Cambria"/>
                <w:b w:val="0"/>
                <w:i w:val="0"/>
                <w:sz w:val="22"/>
              </w:rPr>
              <w:t>088</w:t>
            </w:r>
          </w:p>
        </w:tc>
      </w:tr>
      <w:tr>
        <w:tc>
          <w:tcPr>
            <w:tcW w:type="dxa" w:w="850"/>
            <w:tcW w:w="850" w:type="dxa"/>
          </w:tcPr>
          <w:p>
            <w:pPr>
              <w:jc w:val="center"/>
            </w:pPr>
            <w:r>
              <w:rPr>
                <w:rFonts w:ascii="Cambria" w:hAnsi="Cambria" w:eastAsia="Cambria"/>
                <w:b w:val="0"/>
                <w:i w:val="0"/>
                <w:sz w:val="22"/>
              </w:rPr>
              <w:t>35</w:t>
            </w:r>
          </w:p>
        </w:tc>
        <w:tc>
          <w:tcPr>
            <w:tcW w:type="dxa" w:w="7540"/>
            <w:tcW w:w="7541" w:type="dxa"/>
          </w:tcPr>
          <w:p>
            <w:r>
              <w:rPr>
                <w:rFonts w:ascii="Cambria" w:hAnsi="Cambria" w:eastAsia="Cambria"/>
                <w:b w:val="0"/>
                <w:i w:val="0"/>
                <w:sz w:val="22"/>
              </w:rPr>
              <w:t>SDG-3 Target 3.6 and Minimal Recommended Actions for Higher Education Institutions (HEIs): Reducing Injuries and Deaths from Road Accidents through Training and Safety Education</w:t>
            </w:r>
          </w:p>
        </w:tc>
        <w:tc>
          <w:tcPr>
            <w:tcW w:type="dxa" w:w="1020"/>
            <w:tcW w:w="1020" w:type="dxa"/>
          </w:tcPr>
          <w:p>
            <w:pPr>
              <w:jc w:val="center"/>
            </w:pPr>
            <w:r>
              <w:rPr>
                <w:rFonts w:ascii="Cambria" w:hAnsi="Cambria" w:eastAsia="Cambria"/>
                <w:b w:val="0"/>
                <w:i w:val="0"/>
                <w:sz w:val="22"/>
              </w:rPr>
              <w:t>091</w:t>
            </w:r>
          </w:p>
        </w:tc>
      </w:tr>
      <w:tr>
        <w:tc>
          <w:tcPr>
            <w:tcW w:type="dxa" w:w="850"/>
            <w:shd w:val="clear" w:color="auto" w:fill="DCE6F1"/>
            <w:tcW w:w="850" w:type="dxa"/>
          </w:tcPr>
          <w:p>
            <w:pPr>
              <w:jc w:val="center"/>
            </w:pPr>
            <w:r>
              <w:rPr>
                <w:rFonts w:ascii="Cambria" w:hAnsi="Cambria" w:eastAsia="Cambria"/>
                <w:b w:val="0"/>
                <w:i w:val="0"/>
                <w:sz w:val="22"/>
              </w:rPr>
              <w:t>36</w:t>
            </w:r>
          </w:p>
        </w:tc>
        <w:tc>
          <w:tcPr>
            <w:tcW w:type="dxa" w:w="7540"/>
            <w:shd w:val="clear" w:color="auto" w:fill="DCE6F1"/>
            <w:tcW w:w="7541" w:type="dxa"/>
          </w:tcPr>
          <w:p>
            <w:r>
              <w:rPr>
                <w:rFonts w:ascii="Cambria" w:hAnsi="Cambria" w:eastAsia="Cambria"/>
                <w:b w:val="0"/>
                <w:i w:val="0"/>
                <w:sz w:val="22"/>
              </w:rPr>
              <w:t>SDG-3 Target 3.7 and Minimal Recommended Actions for Higher Education Institutions (HEIs): Ensuring Access to Sexual and Reproductive Health Services for Women</w:t>
            </w:r>
          </w:p>
        </w:tc>
        <w:tc>
          <w:tcPr>
            <w:tcW w:type="dxa" w:w="1020"/>
            <w:shd w:val="clear" w:color="auto" w:fill="DCE6F1"/>
            <w:tcW w:w="1020" w:type="dxa"/>
          </w:tcPr>
          <w:p>
            <w:pPr>
              <w:jc w:val="center"/>
            </w:pPr>
            <w:r>
              <w:rPr>
                <w:rFonts w:ascii="Cambria" w:hAnsi="Cambria" w:eastAsia="Cambria"/>
                <w:b w:val="0"/>
                <w:i w:val="0"/>
                <w:sz w:val="22"/>
              </w:rPr>
              <w:t>093</w:t>
            </w:r>
          </w:p>
        </w:tc>
      </w:tr>
      <w:tr>
        <w:tc>
          <w:tcPr>
            <w:tcW w:type="dxa" w:w="850"/>
            <w:tcW w:w="850" w:type="dxa"/>
          </w:tcPr>
          <w:p>
            <w:pPr>
              <w:jc w:val="center"/>
            </w:pPr>
            <w:r>
              <w:rPr>
                <w:rFonts w:ascii="Cambria" w:hAnsi="Cambria" w:eastAsia="Cambria"/>
                <w:b w:val="0"/>
                <w:i w:val="0"/>
                <w:sz w:val="22"/>
              </w:rPr>
              <w:t>37</w:t>
            </w:r>
          </w:p>
        </w:tc>
        <w:tc>
          <w:tcPr>
            <w:tcW w:type="dxa" w:w="7540"/>
            <w:tcW w:w="7541" w:type="dxa"/>
          </w:tcPr>
          <w:p>
            <w:r>
              <w:rPr>
                <w:rFonts w:ascii="Cambria" w:hAnsi="Cambria" w:eastAsia="Cambria"/>
                <w:b w:val="0"/>
                <w:i w:val="0"/>
                <w:sz w:val="22"/>
              </w:rPr>
              <w:t>SDG-3 Target 3.8 and Minimal Recommended Actions for Higher Education Institutions (HEIs): Ensuring Universal Health Coverage and Financial Protection for Employees</w:t>
            </w:r>
          </w:p>
        </w:tc>
        <w:tc>
          <w:tcPr>
            <w:tcW w:type="dxa" w:w="1020"/>
            <w:tcW w:w="1020" w:type="dxa"/>
          </w:tcPr>
          <w:p>
            <w:pPr>
              <w:jc w:val="center"/>
            </w:pPr>
            <w:r>
              <w:rPr>
                <w:rFonts w:ascii="Cambria" w:hAnsi="Cambria" w:eastAsia="Cambria"/>
                <w:b w:val="0"/>
                <w:i w:val="0"/>
                <w:sz w:val="22"/>
              </w:rPr>
              <w:t>096</w:t>
            </w:r>
          </w:p>
        </w:tc>
      </w:tr>
      <w:tr>
        <w:tc>
          <w:tcPr>
            <w:tcW w:type="dxa" w:w="850"/>
            <w:shd w:val="clear" w:color="auto" w:fill="DCE6F1"/>
            <w:tcW w:w="850" w:type="dxa"/>
          </w:tcPr>
          <w:p>
            <w:pPr>
              <w:jc w:val="center"/>
            </w:pPr>
            <w:r>
              <w:rPr>
                <w:rFonts w:ascii="Cambria" w:hAnsi="Cambria" w:eastAsia="Cambria"/>
                <w:b w:val="0"/>
                <w:i w:val="0"/>
                <w:sz w:val="22"/>
              </w:rPr>
              <w:t>38</w:t>
            </w:r>
          </w:p>
        </w:tc>
        <w:tc>
          <w:tcPr>
            <w:tcW w:type="dxa" w:w="7540"/>
            <w:shd w:val="clear" w:color="auto" w:fill="DCE6F1"/>
            <w:tcW w:w="7541" w:type="dxa"/>
          </w:tcPr>
          <w:p>
            <w:r>
              <w:rPr>
                <w:rFonts w:ascii="Cambria" w:hAnsi="Cambria" w:eastAsia="Cambria"/>
                <w:b w:val="0"/>
                <w:i w:val="0"/>
                <w:sz w:val="22"/>
              </w:rPr>
              <w:t>SDG-3 Target 3.9 and Minimal Recommended Actions for Higher Education Institutions (HEIs): Ensuring Healthy Environments through Cleanliness, Waste Management, and Pollution Control</w:t>
            </w:r>
          </w:p>
        </w:tc>
        <w:tc>
          <w:tcPr>
            <w:tcW w:type="dxa" w:w="1020"/>
            <w:shd w:val="clear" w:color="auto" w:fill="DCE6F1"/>
            <w:tcW w:w="1020" w:type="dxa"/>
          </w:tcPr>
          <w:p>
            <w:pPr>
              <w:jc w:val="center"/>
            </w:pPr>
            <w:r>
              <w:rPr>
                <w:rFonts w:ascii="Cambria" w:hAnsi="Cambria" w:eastAsia="Cambria"/>
                <w:b w:val="0"/>
                <w:i w:val="0"/>
                <w:sz w:val="22"/>
              </w:rPr>
              <w:t>099</w:t>
            </w:r>
          </w:p>
        </w:tc>
      </w:tr>
      <w:tr>
        <w:tc>
          <w:tcPr>
            <w:tcW w:type="dxa" w:w="850"/>
            <w:tcW w:w="850" w:type="dxa"/>
          </w:tcPr>
          <w:p>
            <w:pPr>
              <w:jc w:val="center"/>
            </w:pPr>
            <w:r>
              <w:rPr>
                <w:rFonts w:ascii="Cambria" w:hAnsi="Cambria" w:eastAsia="Cambria"/>
                <w:b w:val="0"/>
                <w:i w:val="0"/>
                <w:sz w:val="22"/>
              </w:rPr>
              <w:t>39</w:t>
            </w:r>
          </w:p>
        </w:tc>
        <w:tc>
          <w:tcPr>
            <w:tcW w:type="dxa" w:w="7540"/>
            <w:tcW w:w="7541" w:type="dxa"/>
          </w:tcPr>
          <w:p>
            <w:r>
              <w:rPr>
                <w:rFonts w:ascii="Cambria" w:hAnsi="Cambria" w:eastAsia="Cambria"/>
                <w:b w:val="0"/>
                <w:i w:val="0"/>
                <w:sz w:val="22"/>
              </w:rPr>
              <w:t>Proposed Research Agenda for Higher Education Institutions (HEIs) and Governmental Bodies under SDG-3: Good Health and Well-Being</w:t>
            </w:r>
          </w:p>
        </w:tc>
        <w:tc>
          <w:tcPr>
            <w:tcW w:type="dxa" w:w="1020"/>
            <w:tcW w:w="1020" w:type="dxa"/>
          </w:tcPr>
          <w:p>
            <w:pPr>
              <w:jc w:val="center"/>
            </w:pPr>
            <w:r>
              <w:rPr>
                <w:rFonts w:ascii="Cambria" w:hAnsi="Cambria" w:eastAsia="Cambria"/>
                <w:b w:val="0"/>
                <w:i w:val="0"/>
                <w:sz w:val="22"/>
              </w:rPr>
              <w:t>101</w:t>
            </w:r>
          </w:p>
        </w:tc>
      </w:tr>
      <w:tr>
        <w:tc>
          <w:tcPr>
            <w:tcW w:type="dxa" w:w="850"/>
            <w:shd w:val="clear" w:color="auto" w:fill="DCE6F1"/>
            <w:tcW w:w="850" w:type="dxa"/>
          </w:tcPr>
          <w:p>
            <w:pPr>
              <w:jc w:val="center"/>
            </w:pPr>
            <w:r>
              <w:rPr>
                <w:rFonts w:ascii="Cambria" w:hAnsi="Cambria" w:eastAsia="Cambria"/>
                <w:b w:val="0"/>
                <w:i w:val="0"/>
                <w:sz w:val="22"/>
              </w:rPr>
              <w:t>40</w:t>
            </w:r>
          </w:p>
        </w:tc>
        <w:tc>
          <w:tcPr>
            <w:tcW w:type="dxa" w:w="7540"/>
            <w:shd w:val="clear" w:color="auto" w:fill="DCE6F1"/>
            <w:tcW w:w="7541" w:type="dxa"/>
          </w:tcPr>
          <w:p>
            <w:r>
              <w:rPr>
                <w:rFonts w:ascii="Cambria" w:hAnsi="Cambria" w:eastAsia="Cambria"/>
                <w:b w:val="0"/>
                <w:i w:val="0"/>
                <w:sz w:val="22"/>
              </w:rPr>
              <w:t>Detailed Policy and Plan Framework for Achieving SDG-3: Good Health and Well-Being through Institutional and Governmental Collaboration</w:t>
            </w:r>
          </w:p>
        </w:tc>
        <w:tc>
          <w:tcPr>
            <w:tcW w:type="dxa" w:w="1020"/>
            <w:shd w:val="clear" w:color="auto" w:fill="DCE6F1"/>
            <w:tcW w:w="1020" w:type="dxa"/>
          </w:tcPr>
          <w:p>
            <w:pPr>
              <w:jc w:val="center"/>
            </w:pPr>
            <w:r>
              <w:rPr>
                <w:rFonts w:ascii="Cambria" w:hAnsi="Cambria" w:eastAsia="Cambria"/>
                <w:b w:val="0"/>
                <w:i w:val="0"/>
                <w:sz w:val="22"/>
              </w:rPr>
              <w:t>104</w:t>
            </w:r>
          </w:p>
        </w:tc>
      </w:tr>
      <w:tr>
        <w:tc>
          <w:tcPr>
            <w:tcW w:type="dxa" w:w="850"/>
            <w:tcW w:w="850" w:type="dxa"/>
          </w:tcPr>
          <w:p>
            <w:pPr>
              <w:jc w:val="center"/>
            </w:pPr>
            <w:r>
              <w:rPr>
                <w:rFonts w:ascii="Cambria" w:hAnsi="Cambria" w:eastAsia="Cambria"/>
                <w:b w:val="0"/>
                <w:i w:val="0"/>
                <w:sz w:val="22"/>
              </w:rPr>
              <w:t>41</w:t>
            </w:r>
          </w:p>
        </w:tc>
        <w:tc>
          <w:tcPr>
            <w:tcW w:type="dxa" w:w="7540"/>
            <w:tcW w:w="7541" w:type="dxa"/>
          </w:tcPr>
          <w:p>
            <w:r>
              <w:rPr>
                <w:rFonts w:ascii="Cambria" w:hAnsi="Cambria" w:eastAsia="Cambria"/>
                <w:b w:val="0"/>
                <w:i w:val="0"/>
                <w:sz w:val="22"/>
              </w:rPr>
              <w:t>Response and Resilience: Strengthening Preparedness and Emergency Health Response Systems in HEIs under SDG-3</w:t>
            </w:r>
          </w:p>
        </w:tc>
        <w:tc>
          <w:tcPr>
            <w:tcW w:type="dxa" w:w="1020"/>
            <w:tcW w:w="1020" w:type="dxa"/>
          </w:tcPr>
          <w:p>
            <w:pPr>
              <w:jc w:val="center"/>
            </w:pPr>
            <w:r>
              <w:rPr>
                <w:rFonts w:ascii="Cambria" w:hAnsi="Cambria" w:eastAsia="Cambria"/>
                <w:b w:val="0"/>
                <w:i w:val="0"/>
                <w:sz w:val="22"/>
              </w:rPr>
              <w:t>108</w:t>
            </w:r>
          </w:p>
        </w:tc>
      </w:tr>
      <w:tr>
        <w:tc>
          <w:tcPr>
            <w:tcW w:type="dxa" w:w="850"/>
            <w:shd w:val="clear" w:color="auto" w:fill="DCE6F1"/>
            <w:tcW w:w="850" w:type="dxa"/>
          </w:tcPr>
          <w:p>
            <w:pPr>
              <w:jc w:val="center"/>
            </w:pPr>
            <w:r>
              <w:rPr>
                <w:rFonts w:ascii="Cambria" w:hAnsi="Cambria" w:eastAsia="Cambria"/>
                <w:b w:val="0"/>
                <w:i w:val="0"/>
                <w:sz w:val="22"/>
              </w:rPr>
              <w:t>42</w:t>
            </w:r>
          </w:p>
        </w:tc>
        <w:tc>
          <w:tcPr>
            <w:tcW w:type="dxa" w:w="7540"/>
            <w:shd w:val="clear" w:color="auto" w:fill="DCE6F1"/>
            <w:tcW w:w="7541" w:type="dxa"/>
          </w:tcPr>
          <w:p>
            <w:r>
              <w:rPr>
                <w:rFonts w:ascii="Cambria" w:hAnsi="Cambria" w:eastAsia="Cambria"/>
                <w:b w:val="0"/>
                <w:i w:val="0"/>
                <w:sz w:val="22"/>
              </w:rPr>
              <w:t>Investments: Strengthening Health Systems and Research Infrastructure under SDG-3</w:t>
            </w:r>
          </w:p>
        </w:tc>
        <w:tc>
          <w:tcPr>
            <w:tcW w:type="dxa" w:w="1020"/>
            <w:shd w:val="clear" w:color="auto" w:fill="DCE6F1"/>
            <w:tcW w:w="1020" w:type="dxa"/>
          </w:tcPr>
          <w:p>
            <w:pPr>
              <w:jc w:val="center"/>
            </w:pPr>
            <w:r>
              <w:rPr>
                <w:rFonts w:ascii="Cambria" w:hAnsi="Cambria" w:eastAsia="Cambria"/>
                <w:b w:val="0"/>
                <w:i w:val="0"/>
                <w:sz w:val="22"/>
              </w:rPr>
              <w:t>111</w:t>
            </w:r>
          </w:p>
        </w:tc>
      </w:tr>
      <w:tr>
        <w:tc>
          <w:tcPr>
            <w:tcW w:type="dxa" w:w="850"/>
            <w:tcW w:w="850" w:type="dxa"/>
          </w:tcPr>
          <w:p>
            <w:pPr>
              <w:jc w:val="center"/>
            </w:pPr>
            <w:r>
              <w:rPr>
                <w:rFonts w:ascii="Cambria" w:hAnsi="Cambria" w:eastAsia="Cambria"/>
                <w:b w:val="0"/>
                <w:i w:val="0"/>
                <w:sz w:val="22"/>
              </w:rPr>
              <w:t>43</w:t>
            </w:r>
          </w:p>
        </w:tc>
        <w:tc>
          <w:tcPr>
            <w:tcW w:type="dxa" w:w="7540"/>
            <w:tcW w:w="7541" w:type="dxa"/>
          </w:tcPr>
          <w:p>
            <w:r>
              <w:rPr>
                <w:rFonts w:ascii="Cambria" w:hAnsi="Cambria" w:eastAsia="Cambria"/>
                <w:b w:val="0"/>
                <w:i w:val="0"/>
                <w:sz w:val="22"/>
              </w:rPr>
              <w:t>Quality of Care: Implementing WHO Standards for Respectful and Effective Patient Care in Alignment with SDG-3</w:t>
            </w:r>
          </w:p>
        </w:tc>
        <w:tc>
          <w:tcPr>
            <w:tcW w:type="dxa" w:w="1020"/>
            <w:tcW w:w="1020" w:type="dxa"/>
          </w:tcPr>
          <w:p>
            <w:pPr>
              <w:jc w:val="center"/>
            </w:pPr>
            <w:r>
              <w:rPr>
                <w:rFonts w:ascii="Cambria" w:hAnsi="Cambria" w:eastAsia="Cambria"/>
                <w:b w:val="0"/>
                <w:i w:val="0"/>
                <w:sz w:val="22"/>
              </w:rPr>
              <w:t>114</w:t>
            </w:r>
          </w:p>
        </w:tc>
      </w:tr>
      <w:tr>
        <w:tc>
          <w:tcPr>
            <w:tcW w:type="dxa" w:w="850"/>
            <w:shd w:val="clear" w:color="auto" w:fill="DCE6F1"/>
            <w:tcW w:w="850" w:type="dxa"/>
          </w:tcPr>
          <w:p>
            <w:pPr>
              <w:jc w:val="center"/>
            </w:pPr>
            <w:r>
              <w:rPr>
                <w:rFonts w:ascii="Cambria" w:hAnsi="Cambria" w:eastAsia="Cambria"/>
                <w:b w:val="0"/>
                <w:i w:val="0"/>
                <w:sz w:val="22"/>
              </w:rPr>
              <w:t>44</w:t>
            </w:r>
          </w:p>
        </w:tc>
        <w:tc>
          <w:tcPr>
            <w:tcW w:type="dxa" w:w="7540"/>
            <w:shd w:val="clear" w:color="auto" w:fill="DCE6F1"/>
            <w:tcW w:w="7541" w:type="dxa"/>
          </w:tcPr>
          <w:p>
            <w:r>
              <w:rPr>
                <w:rFonts w:ascii="Cambria" w:hAnsi="Cambria" w:eastAsia="Cambria"/>
                <w:b w:val="0"/>
                <w:i w:val="0"/>
                <w:sz w:val="22"/>
              </w:rPr>
              <w:t>Health Workforce: Strategies for Strengthening Human Resources in Healthcare to Achieve SDG-3</w:t>
            </w:r>
          </w:p>
        </w:tc>
        <w:tc>
          <w:tcPr>
            <w:tcW w:type="dxa" w:w="1020"/>
            <w:shd w:val="clear" w:color="auto" w:fill="DCE6F1"/>
            <w:tcW w:w="1020" w:type="dxa"/>
          </w:tcPr>
          <w:p>
            <w:pPr>
              <w:jc w:val="center"/>
            </w:pPr>
            <w:r>
              <w:rPr>
                <w:rFonts w:ascii="Cambria" w:hAnsi="Cambria" w:eastAsia="Cambria"/>
                <w:b w:val="0"/>
                <w:i w:val="0"/>
                <w:sz w:val="22"/>
              </w:rPr>
              <w:t>117</w:t>
            </w:r>
          </w:p>
        </w:tc>
      </w:tr>
      <w:tr>
        <w:tc>
          <w:tcPr>
            <w:tcW w:type="dxa" w:w="850"/>
            <w:tcW w:w="850" w:type="dxa"/>
          </w:tcPr>
          <w:p>
            <w:pPr>
              <w:jc w:val="center"/>
            </w:pPr>
            <w:r>
              <w:rPr>
                <w:rFonts w:ascii="Cambria" w:hAnsi="Cambria" w:eastAsia="Cambria"/>
                <w:b w:val="0"/>
                <w:i w:val="0"/>
                <w:sz w:val="22"/>
              </w:rPr>
              <w:t>45</w:t>
            </w:r>
          </w:p>
        </w:tc>
        <w:tc>
          <w:tcPr>
            <w:tcW w:type="dxa" w:w="7540"/>
            <w:tcW w:w="7541" w:type="dxa"/>
          </w:tcPr>
          <w:p>
            <w:r>
              <w:rPr>
                <w:rFonts w:ascii="Cambria" w:hAnsi="Cambria" w:eastAsia="Cambria"/>
                <w:b w:val="0"/>
                <w:i w:val="0"/>
                <w:sz w:val="22"/>
              </w:rPr>
              <w:t>Medical Commodities and Technologies: Ensuring Access, Quality, and Equity in Healthcare under SDG-3</w:t>
            </w:r>
          </w:p>
        </w:tc>
        <w:tc>
          <w:tcPr>
            <w:tcW w:type="dxa" w:w="1020"/>
            <w:tcW w:w="1020" w:type="dxa"/>
          </w:tcPr>
          <w:p>
            <w:pPr>
              <w:jc w:val="center"/>
            </w:pPr>
            <w:r>
              <w:rPr>
                <w:rFonts w:ascii="Cambria" w:hAnsi="Cambria" w:eastAsia="Cambria"/>
                <w:b w:val="0"/>
                <w:i w:val="0"/>
                <w:sz w:val="22"/>
              </w:rPr>
              <w:t>121</w:t>
            </w:r>
          </w:p>
        </w:tc>
      </w:tr>
      <w:tr>
        <w:tc>
          <w:tcPr>
            <w:tcW w:type="dxa" w:w="850"/>
            <w:shd w:val="clear" w:color="auto" w:fill="DCE6F1"/>
            <w:tcW w:w="850" w:type="dxa"/>
          </w:tcPr>
          <w:p>
            <w:pPr>
              <w:jc w:val="center"/>
            </w:pPr>
            <w:r>
              <w:rPr>
                <w:rFonts w:ascii="Cambria" w:hAnsi="Cambria" w:eastAsia="Cambria"/>
                <w:b w:val="0"/>
                <w:i w:val="0"/>
                <w:sz w:val="22"/>
              </w:rPr>
              <w:t>46</w:t>
            </w:r>
          </w:p>
        </w:tc>
        <w:tc>
          <w:tcPr>
            <w:tcW w:type="dxa" w:w="7540"/>
            <w:shd w:val="clear" w:color="auto" w:fill="DCE6F1"/>
            <w:tcW w:w="7541" w:type="dxa"/>
          </w:tcPr>
          <w:p>
            <w:r>
              <w:rPr>
                <w:rFonts w:ascii="Cambria" w:hAnsi="Cambria" w:eastAsia="Cambria"/>
                <w:b w:val="0"/>
                <w:i w:val="0"/>
                <w:sz w:val="22"/>
              </w:rPr>
              <w:t>Data for Action: Strengthening Health Information Systems to Monitor Neonatal Mortality and Disease Spread under SDG-3</w:t>
            </w:r>
          </w:p>
        </w:tc>
        <w:tc>
          <w:tcPr>
            <w:tcW w:type="dxa" w:w="1020"/>
            <w:shd w:val="clear" w:color="auto" w:fill="DCE6F1"/>
            <w:tcW w:w="1020" w:type="dxa"/>
          </w:tcPr>
          <w:p>
            <w:pPr>
              <w:jc w:val="center"/>
            </w:pPr>
            <w:r>
              <w:rPr>
                <w:rFonts w:ascii="Cambria" w:hAnsi="Cambria" w:eastAsia="Cambria"/>
                <w:b w:val="0"/>
                <w:i w:val="0"/>
                <w:sz w:val="22"/>
              </w:rPr>
              <w:t>125</w:t>
            </w:r>
          </w:p>
        </w:tc>
      </w:tr>
      <w:tr>
        <w:tc>
          <w:tcPr>
            <w:tcW w:type="dxa" w:w="850"/>
            <w:tcW w:w="850" w:type="dxa"/>
          </w:tcPr>
          <w:p>
            <w:pPr>
              <w:jc w:val="center"/>
            </w:pPr>
            <w:r>
              <w:rPr>
                <w:rFonts w:ascii="Cambria" w:hAnsi="Cambria" w:eastAsia="Cambria"/>
                <w:b w:val="0"/>
                <w:i w:val="0"/>
                <w:sz w:val="22"/>
              </w:rPr>
              <w:t>47</w:t>
            </w:r>
          </w:p>
        </w:tc>
        <w:tc>
          <w:tcPr>
            <w:tcW w:type="dxa" w:w="7540"/>
            <w:tcW w:w="7541" w:type="dxa"/>
          </w:tcPr>
          <w:p>
            <w:r>
              <w:rPr>
                <w:rFonts w:ascii="Cambria" w:hAnsi="Cambria" w:eastAsia="Cambria"/>
                <w:b w:val="0"/>
                <w:i w:val="0"/>
                <w:sz w:val="22"/>
              </w:rPr>
              <w:t>Research and Innovation: Promoting Collaborative Studies for Holistic Health and Alternative Medicine under SDG-3</w:t>
            </w:r>
          </w:p>
        </w:tc>
        <w:tc>
          <w:tcPr>
            <w:tcW w:type="dxa" w:w="1020"/>
            <w:tcW w:w="1020" w:type="dxa"/>
          </w:tcPr>
          <w:p>
            <w:pPr>
              <w:jc w:val="center"/>
            </w:pPr>
            <w:r>
              <w:rPr>
                <w:rFonts w:ascii="Cambria" w:hAnsi="Cambria" w:eastAsia="Cambria"/>
                <w:b w:val="0"/>
                <w:i w:val="0"/>
                <w:sz w:val="22"/>
              </w:rPr>
              <w:t>128</w:t>
            </w:r>
          </w:p>
        </w:tc>
      </w:tr>
      <w:tr>
        <w:tc>
          <w:tcPr>
            <w:tcW w:type="dxa" w:w="850"/>
            <w:shd w:val="clear" w:color="auto" w:fill="DCE6F1"/>
            <w:tcW w:w="850" w:type="dxa"/>
          </w:tcPr>
          <w:p>
            <w:pPr>
              <w:jc w:val="center"/>
            </w:pPr>
            <w:r>
              <w:rPr>
                <w:rFonts w:ascii="Cambria" w:hAnsi="Cambria" w:eastAsia="Cambria"/>
                <w:b w:val="0"/>
                <w:i w:val="0"/>
                <w:sz w:val="22"/>
              </w:rPr>
              <w:t>48</w:t>
            </w:r>
          </w:p>
        </w:tc>
        <w:tc>
          <w:tcPr>
            <w:tcW w:type="dxa" w:w="7540"/>
            <w:shd w:val="clear" w:color="auto" w:fill="DCE6F1"/>
            <w:tcW w:w="7541" w:type="dxa"/>
          </w:tcPr>
          <w:p>
            <w:r>
              <w:rPr>
                <w:rFonts w:ascii="Cambria" w:hAnsi="Cambria" w:eastAsia="Cambria"/>
                <w:b w:val="0"/>
                <w:i w:val="0"/>
                <w:sz w:val="22"/>
              </w:rPr>
              <w:t>Accountability: Strengthening Governance, Transparency, and Stakeholder Coordination to Improve Health Outcomes under SDG-3</w:t>
            </w:r>
          </w:p>
        </w:tc>
        <w:tc>
          <w:tcPr>
            <w:tcW w:type="dxa" w:w="1020"/>
            <w:shd w:val="clear" w:color="auto" w:fill="DCE6F1"/>
            <w:tcW w:w="1020" w:type="dxa"/>
          </w:tcPr>
          <w:p>
            <w:pPr>
              <w:jc w:val="center"/>
            </w:pPr>
            <w:r>
              <w:rPr>
                <w:rFonts w:ascii="Cambria" w:hAnsi="Cambria" w:eastAsia="Cambria"/>
                <w:b w:val="0"/>
                <w:i w:val="0"/>
                <w:sz w:val="22"/>
              </w:rPr>
              <w:t>131</w:t>
            </w:r>
          </w:p>
        </w:tc>
      </w:tr>
      <w:tr>
        <w:tc>
          <w:tcPr>
            <w:tcW w:type="dxa" w:w="850"/>
            <w:tcW w:w="850" w:type="dxa"/>
          </w:tcPr>
          <w:p>
            <w:pPr>
              <w:jc w:val="center"/>
            </w:pPr>
            <w:r>
              <w:rPr>
                <w:rFonts w:ascii="Cambria" w:hAnsi="Cambria" w:eastAsia="Cambria"/>
                <w:b w:val="0"/>
                <w:i w:val="0"/>
                <w:sz w:val="22"/>
              </w:rPr>
              <w:t>49</w:t>
            </w:r>
          </w:p>
        </w:tc>
        <w:tc>
          <w:tcPr>
            <w:tcW w:type="dxa" w:w="7540"/>
            <w:tcW w:w="7541" w:type="dxa"/>
          </w:tcPr>
          <w:p>
            <w:r>
              <w:rPr>
                <w:rFonts w:ascii="Cambria" w:hAnsi="Cambria" w:eastAsia="Cambria"/>
                <w:b w:val="0"/>
                <w:i w:val="0"/>
                <w:sz w:val="22"/>
              </w:rPr>
              <w:t>SDG-3 Target 3.1 and Minimal Recommended Actions for Government and Policymakers: Reducing Maternal Mortality and Improving Maternal Health</w:t>
            </w:r>
          </w:p>
        </w:tc>
        <w:tc>
          <w:tcPr>
            <w:tcW w:type="dxa" w:w="1020"/>
            <w:tcW w:w="1020" w:type="dxa"/>
          </w:tcPr>
          <w:p>
            <w:pPr>
              <w:jc w:val="center"/>
            </w:pPr>
            <w:r>
              <w:rPr>
                <w:rFonts w:ascii="Cambria" w:hAnsi="Cambria" w:eastAsia="Cambria"/>
                <w:b w:val="0"/>
                <w:i w:val="0"/>
                <w:sz w:val="22"/>
              </w:rPr>
              <w:t>134</w:t>
            </w:r>
          </w:p>
        </w:tc>
      </w:tr>
      <w:tr>
        <w:tc>
          <w:tcPr>
            <w:tcW w:type="dxa" w:w="850"/>
            <w:shd w:val="clear" w:color="auto" w:fill="DCE6F1"/>
            <w:tcW w:w="850" w:type="dxa"/>
          </w:tcPr>
          <w:p>
            <w:pPr>
              <w:jc w:val="center"/>
            </w:pPr>
            <w:r>
              <w:rPr>
                <w:rFonts w:ascii="Cambria" w:hAnsi="Cambria" w:eastAsia="Cambria"/>
                <w:b w:val="0"/>
                <w:i w:val="0"/>
                <w:sz w:val="22"/>
              </w:rPr>
              <w:t>50</w:t>
            </w:r>
          </w:p>
        </w:tc>
        <w:tc>
          <w:tcPr>
            <w:tcW w:type="dxa" w:w="7540"/>
            <w:shd w:val="clear" w:color="auto" w:fill="DCE6F1"/>
            <w:tcW w:w="7541" w:type="dxa"/>
          </w:tcPr>
          <w:p>
            <w:r>
              <w:rPr>
                <w:rFonts w:ascii="Cambria" w:hAnsi="Cambria" w:eastAsia="Cambria"/>
                <w:b w:val="0"/>
                <w:i w:val="0"/>
                <w:sz w:val="22"/>
              </w:rPr>
              <w:t>SDG-3 Target 3.2 and Minimal Recommended Actions for Government and Policymakers: Ending Preventable Deaths of Newborns and Children Under 5</w:t>
            </w:r>
          </w:p>
        </w:tc>
        <w:tc>
          <w:tcPr>
            <w:tcW w:type="dxa" w:w="1020"/>
            <w:shd w:val="clear" w:color="auto" w:fill="DCE6F1"/>
            <w:tcW w:w="1020" w:type="dxa"/>
          </w:tcPr>
          <w:p>
            <w:pPr>
              <w:jc w:val="center"/>
            </w:pPr>
            <w:r>
              <w:rPr>
                <w:rFonts w:ascii="Cambria" w:hAnsi="Cambria" w:eastAsia="Cambria"/>
                <w:b w:val="0"/>
                <w:i w:val="0"/>
                <w:sz w:val="22"/>
              </w:rPr>
              <w:t>137</w:t>
            </w:r>
          </w:p>
        </w:tc>
      </w:tr>
      <w:tr>
        <w:tc>
          <w:tcPr>
            <w:tcW w:type="dxa" w:w="850"/>
            <w:tcW w:w="850" w:type="dxa"/>
          </w:tcPr>
          <w:p>
            <w:pPr>
              <w:jc w:val="center"/>
            </w:pPr>
            <w:r>
              <w:rPr>
                <w:rFonts w:ascii="Cambria" w:hAnsi="Cambria" w:eastAsia="Cambria"/>
                <w:b w:val="0"/>
                <w:i w:val="0"/>
                <w:sz w:val="22"/>
              </w:rPr>
              <w:t>51</w:t>
            </w:r>
          </w:p>
        </w:tc>
        <w:tc>
          <w:tcPr>
            <w:tcW w:type="dxa" w:w="7540"/>
            <w:tcW w:w="7541" w:type="dxa"/>
          </w:tcPr>
          <w:p>
            <w:r>
              <w:rPr>
                <w:rFonts w:ascii="Cambria" w:hAnsi="Cambria" w:eastAsia="Cambria"/>
                <w:b w:val="0"/>
                <w:i w:val="0"/>
                <w:sz w:val="22"/>
              </w:rPr>
              <w:t>SDG-3 Target 3.3 and Minimal Recommended Actions for Government and Policymakers: Preventing Communicable Diseases through HPV Awareness, Testing, and Vaccination</w:t>
            </w:r>
          </w:p>
        </w:tc>
        <w:tc>
          <w:tcPr>
            <w:tcW w:type="dxa" w:w="1020"/>
            <w:tcW w:w="1020" w:type="dxa"/>
          </w:tcPr>
          <w:p>
            <w:pPr>
              <w:jc w:val="center"/>
            </w:pPr>
            <w:r>
              <w:rPr>
                <w:rFonts w:ascii="Cambria" w:hAnsi="Cambria" w:eastAsia="Cambria"/>
                <w:b w:val="0"/>
                <w:i w:val="0"/>
                <w:sz w:val="22"/>
              </w:rPr>
              <w:t>140</w:t>
            </w:r>
          </w:p>
        </w:tc>
      </w:tr>
      <w:tr>
        <w:tc>
          <w:tcPr>
            <w:tcW w:type="dxa" w:w="850"/>
            <w:shd w:val="clear" w:color="auto" w:fill="DCE6F1"/>
            <w:tcW w:w="850" w:type="dxa"/>
          </w:tcPr>
          <w:p>
            <w:pPr>
              <w:jc w:val="center"/>
            </w:pPr>
            <w:r>
              <w:rPr>
                <w:rFonts w:ascii="Cambria" w:hAnsi="Cambria" w:eastAsia="Cambria"/>
                <w:b w:val="0"/>
                <w:i w:val="0"/>
                <w:sz w:val="22"/>
              </w:rPr>
              <w:t>52</w:t>
            </w:r>
          </w:p>
        </w:tc>
        <w:tc>
          <w:tcPr>
            <w:tcW w:type="dxa" w:w="7540"/>
            <w:shd w:val="clear" w:color="auto" w:fill="DCE6F1"/>
            <w:tcW w:w="7541" w:type="dxa"/>
          </w:tcPr>
          <w:p>
            <w:r>
              <w:rPr>
                <w:rFonts w:ascii="Cambria" w:hAnsi="Cambria" w:eastAsia="Cambria"/>
                <w:b w:val="0"/>
                <w:i w:val="0"/>
                <w:sz w:val="22"/>
              </w:rPr>
              <w:t>SDG-3 Target 3.4 and Minimal Recommended Actions for Government and Policymakers: Reducing Non-Communicable Diseases and Promoting Mental and Physical Well-Being</w:t>
            </w:r>
          </w:p>
        </w:tc>
        <w:tc>
          <w:tcPr>
            <w:tcW w:type="dxa" w:w="1020"/>
            <w:shd w:val="clear" w:color="auto" w:fill="DCE6F1"/>
            <w:tcW w:w="1020" w:type="dxa"/>
          </w:tcPr>
          <w:p>
            <w:pPr>
              <w:jc w:val="center"/>
            </w:pPr>
            <w:r>
              <w:rPr>
                <w:rFonts w:ascii="Cambria" w:hAnsi="Cambria" w:eastAsia="Cambria"/>
                <w:b w:val="0"/>
                <w:i w:val="0"/>
                <w:sz w:val="22"/>
              </w:rPr>
              <w:t>143</w:t>
            </w:r>
          </w:p>
        </w:tc>
      </w:tr>
      <w:tr>
        <w:tc>
          <w:tcPr>
            <w:tcW w:type="dxa" w:w="850"/>
            <w:tcW w:w="850" w:type="dxa"/>
          </w:tcPr>
          <w:p>
            <w:pPr>
              <w:jc w:val="center"/>
            </w:pPr>
            <w:r>
              <w:rPr>
                <w:rFonts w:ascii="Cambria" w:hAnsi="Cambria" w:eastAsia="Cambria"/>
                <w:b w:val="0"/>
                <w:i w:val="0"/>
                <w:sz w:val="22"/>
              </w:rPr>
              <w:t>53</w:t>
            </w:r>
          </w:p>
        </w:tc>
        <w:tc>
          <w:tcPr>
            <w:tcW w:type="dxa" w:w="7540"/>
            <w:tcW w:w="7541" w:type="dxa"/>
          </w:tcPr>
          <w:p>
            <w:r>
              <w:rPr>
                <w:rFonts w:ascii="Cambria" w:hAnsi="Cambria" w:eastAsia="Cambria"/>
                <w:b w:val="0"/>
                <w:i w:val="0"/>
                <w:sz w:val="22"/>
              </w:rPr>
              <w:t>SDG-3 Target 3.5 and Minimal Recommended Actions for Government and Policymakers: Strengthening Drug Abuse Prevention, Rehabilitation, and Public Awareness</w:t>
            </w:r>
          </w:p>
        </w:tc>
        <w:tc>
          <w:tcPr>
            <w:tcW w:type="dxa" w:w="1020"/>
            <w:tcW w:w="1020" w:type="dxa"/>
          </w:tcPr>
          <w:p>
            <w:pPr>
              <w:jc w:val="center"/>
            </w:pPr>
            <w:r>
              <w:rPr>
                <w:rFonts w:ascii="Cambria" w:hAnsi="Cambria" w:eastAsia="Cambria"/>
                <w:b w:val="0"/>
                <w:i w:val="0"/>
                <w:sz w:val="22"/>
              </w:rPr>
              <w:t>147</w:t>
            </w:r>
          </w:p>
        </w:tc>
      </w:tr>
      <w:tr>
        <w:tc>
          <w:tcPr>
            <w:tcW w:type="dxa" w:w="850"/>
            <w:shd w:val="clear" w:color="auto" w:fill="DCE6F1"/>
            <w:tcW w:w="850" w:type="dxa"/>
          </w:tcPr>
          <w:p>
            <w:pPr>
              <w:jc w:val="center"/>
            </w:pPr>
            <w:r>
              <w:rPr>
                <w:rFonts w:ascii="Cambria" w:hAnsi="Cambria" w:eastAsia="Cambria"/>
                <w:b w:val="0"/>
                <w:i w:val="0"/>
                <w:sz w:val="22"/>
              </w:rPr>
              <w:t>54</w:t>
            </w:r>
          </w:p>
        </w:tc>
        <w:tc>
          <w:tcPr>
            <w:tcW w:type="dxa" w:w="7540"/>
            <w:shd w:val="clear" w:color="auto" w:fill="DCE6F1"/>
            <w:tcW w:w="7541" w:type="dxa"/>
          </w:tcPr>
          <w:p>
            <w:r>
              <w:rPr>
                <w:rFonts w:ascii="Cambria" w:hAnsi="Cambria" w:eastAsia="Cambria"/>
                <w:b w:val="0"/>
                <w:i w:val="0"/>
                <w:sz w:val="22"/>
              </w:rPr>
              <w:t>SDG-3 Target 3.6 and Minimal Recommended Actions for Government and Policymakers: Strengthening Emergency Response and Road Safety Education</w:t>
            </w:r>
          </w:p>
        </w:tc>
        <w:tc>
          <w:tcPr>
            <w:tcW w:type="dxa" w:w="1020"/>
            <w:shd w:val="clear" w:color="auto" w:fill="DCE6F1"/>
            <w:tcW w:w="1020" w:type="dxa"/>
          </w:tcPr>
          <w:p>
            <w:pPr>
              <w:jc w:val="center"/>
            </w:pPr>
            <w:r>
              <w:rPr>
                <w:rFonts w:ascii="Cambria" w:hAnsi="Cambria" w:eastAsia="Cambria"/>
                <w:b w:val="0"/>
                <w:i w:val="0"/>
                <w:sz w:val="22"/>
              </w:rPr>
              <w:t>150</w:t>
            </w:r>
          </w:p>
        </w:tc>
      </w:tr>
      <w:tr>
        <w:tc>
          <w:tcPr>
            <w:tcW w:type="dxa" w:w="850"/>
            <w:tcW w:w="850" w:type="dxa"/>
          </w:tcPr>
          <w:p>
            <w:pPr>
              <w:jc w:val="center"/>
            </w:pPr>
            <w:r>
              <w:rPr>
                <w:rFonts w:ascii="Cambria" w:hAnsi="Cambria" w:eastAsia="Cambria"/>
                <w:b w:val="0"/>
                <w:i w:val="0"/>
                <w:sz w:val="22"/>
              </w:rPr>
              <w:t>55</w:t>
            </w:r>
          </w:p>
        </w:tc>
        <w:tc>
          <w:tcPr>
            <w:tcW w:type="dxa" w:w="7540"/>
            <w:tcW w:w="7541" w:type="dxa"/>
          </w:tcPr>
          <w:p>
            <w:r>
              <w:rPr>
                <w:rFonts w:ascii="Cambria" w:hAnsi="Cambria" w:eastAsia="Cambria"/>
                <w:b w:val="0"/>
                <w:i w:val="0"/>
                <w:sz w:val="22"/>
              </w:rPr>
              <w:t>SDG-3 Target 3.7 and Minimal Recommended Actions for Government and Policymakers: Expanding Mission Vikas Parivar and Strengthening Sexual and Reproductive Health Services through HEIs</w:t>
            </w:r>
          </w:p>
        </w:tc>
        <w:tc>
          <w:tcPr>
            <w:tcW w:type="dxa" w:w="1020"/>
            <w:tcW w:w="1020" w:type="dxa"/>
          </w:tcPr>
          <w:p>
            <w:pPr>
              <w:jc w:val="center"/>
            </w:pPr>
            <w:r>
              <w:rPr>
                <w:rFonts w:ascii="Cambria" w:hAnsi="Cambria" w:eastAsia="Cambria"/>
                <w:b w:val="0"/>
                <w:i w:val="0"/>
                <w:sz w:val="22"/>
              </w:rPr>
              <w:t>153</w:t>
            </w:r>
          </w:p>
        </w:tc>
      </w:tr>
      <w:tr>
        <w:tc>
          <w:tcPr>
            <w:tcW w:type="dxa" w:w="850"/>
            <w:shd w:val="clear" w:color="auto" w:fill="DCE6F1"/>
            <w:tcW w:w="850" w:type="dxa"/>
          </w:tcPr>
          <w:p>
            <w:pPr>
              <w:jc w:val="center"/>
            </w:pPr>
            <w:r>
              <w:rPr>
                <w:rFonts w:ascii="Cambria" w:hAnsi="Cambria" w:eastAsia="Cambria"/>
                <w:b w:val="0"/>
                <w:i w:val="0"/>
                <w:sz w:val="22"/>
              </w:rPr>
              <w:t>56</w:t>
            </w:r>
          </w:p>
        </w:tc>
        <w:tc>
          <w:tcPr>
            <w:tcW w:type="dxa" w:w="7540"/>
            <w:shd w:val="clear" w:color="auto" w:fill="DCE6F1"/>
            <w:tcW w:w="7541" w:type="dxa"/>
          </w:tcPr>
          <w:p>
            <w:r>
              <w:rPr>
                <w:rFonts w:ascii="Cambria" w:hAnsi="Cambria" w:eastAsia="Cambria"/>
                <w:b w:val="0"/>
                <w:i w:val="0"/>
                <w:sz w:val="22"/>
              </w:rPr>
              <w:t>SDG-3 Target 3.8 and Minimal Recommended Actions for Government and Policymakers: Achieving Universal Health Coverage through Affordable Health Insurance and Accessible Diagnostic Services</w:t>
            </w:r>
          </w:p>
        </w:tc>
        <w:tc>
          <w:tcPr>
            <w:tcW w:type="dxa" w:w="1020"/>
            <w:shd w:val="clear" w:color="auto" w:fill="DCE6F1"/>
            <w:tcW w:w="1020" w:type="dxa"/>
          </w:tcPr>
          <w:p>
            <w:pPr>
              <w:jc w:val="center"/>
            </w:pPr>
            <w:r>
              <w:rPr>
                <w:rFonts w:ascii="Cambria" w:hAnsi="Cambria" w:eastAsia="Cambria"/>
                <w:b w:val="0"/>
                <w:i w:val="0"/>
                <w:sz w:val="22"/>
              </w:rPr>
              <w:t>156</w:t>
            </w:r>
          </w:p>
        </w:tc>
      </w:tr>
      <w:tr>
        <w:tc>
          <w:tcPr>
            <w:tcW w:type="dxa" w:w="850"/>
            <w:tcW w:w="850" w:type="dxa"/>
          </w:tcPr>
          <w:p>
            <w:pPr>
              <w:jc w:val="center"/>
            </w:pPr>
            <w:r>
              <w:rPr>
                <w:rFonts w:ascii="Cambria" w:hAnsi="Cambria" w:eastAsia="Cambria"/>
                <w:b w:val="0"/>
                <w:i w:val="0"/>
                <w:sz w:val="22"/>
              </w:rPr>
              <w:t>57</w:t>
            </w:r>
          </w:p>
        </w:tc>
        <w:tc>
          <w:tcPr>
            <w:tcW w:type="dxa" w:w="7540"/>
            <w:tcW w:w="7541" w:type="dxa"/>
          </w:tcPr>
          <w:p>
            <w:r>
              <w:rPr>
                <w:rFonts w:ascii="Cambria" w:hAnsi="Cambria" w:eastAsia="Cambria"/>
                <w:b w:val="0"/>
                <w:i w:val="0"/>
                <w:sz w:val="22"/>
              </w:rPr>
              <w:t>SDG-3 Target 3.9 and Minimal Recommended Actions for Government and Policymakers: Reducing Pollution-Related Health Risks through Sustainable Environmental and Institutional Practices</w:t>
            </w:r>
          </w:p>
        </w:tc>
        <w:tc>
          <w:tcPr>
            <w:tcW w:type="dxa" w:w="1020"/>
            <w:tcW w:w="1020" w:type="dxa"/>
          </w:tcPr>
          <w:p>
            <w:pPr>
              <w:jc w:val="center"/>
            </w:pPr>
            <w:r>
              <w:rPr>
                <w:rFonts w:ascii="Cambria" w:hAnsi="Cambria" w:eastAsia="Cambria"/>
                <w:b w:val="0"/>
                <w:i w:val="0"/>
                <w:sz w:val="22"/>
              </w:rPr>
              <w:t>159</w:t>
            </w:r>
          </w:p>
        </w:tc>
      </w:tr>
      <w:tr>
        <w:tc>
          <w:tcPr>
            <w:tcW w:type="dxa" w:w="850"/>
            <w:shd w:val="clear" w:color="auto" w:fill="DCE6F1"/>
            <w:tcW w:w="850" w:type="dxa"/>
          </w:tcPr>
          <w:p>
            <w:pPr>
              <w:jc w:val="center"/>
            </w:pPr>
            <w:r>
              <w:rPr>
                <w:rFonts w:ascii="Cambria" w:hAnsi="Cambria" w:eastAsia="Cambria"/>
                <w:b w:val="0"/>
                <w:i w:val="0"/>
                <w:sz w:val="22"/>
              </w:rPr>
              <w:t>58</w:t>
            </w:r>
          </w:p>
        </w:tc>
        <w:tc>
          <w:tcPr>
            <w:tcW w:type="dxa" w:w="7540"/>
            <w:shd w:val="clear" w:color="auto" w:fill="DCE6F1"/>
            <w:tcW w:w="7541" w:type="dxa"/>
          </w:tcPr>
          <w:p>
            <w:r>
              <w:rPr>
                <w:rFonts w:ascii="Cambria" w:hAnsi="Cambria" w:eastAsia="Cambria"/>
                <w:b w:val="0"/>
                <w:i w:val="0"/>
                <w:sz w:val="22"/>
              </w:rPr>
              <w:t>SDG-3 Target 3.A and Minimal Recommended Actions for Government and Policymakers: State-Wise Allocation of Health Projects to HEIs for Implementing the WHO Framework Convention</w:t>
            </w:r>
          </w:p>
        </w:tc>
        <w:tc>
          <w:tcPr>
            <w:tcW w:type="dxa" w:w="1020"/>
            <w:shd w:val="clear" w:color="auto" w:fill="DCE6F1"/>
            <w:tcW w:w="1020" w:type="dxa"/>
          </w:tcPr>
          <w:p>
            <w:pPr>
              <w:jc w:val="center"/>
            </w:pPr>
            <w:r>
              <w:rPr>
                <w:rFonts w:ascii="Cambria" w:hAnsi="Cambria" w:eastAsia="Cambria"/>
                <w:b w:val="0"/>
                <w:i w:val="0"/>
                <w:sz w:val="22"/>
              </w:rPr>
              <w:t>162</w:t>
            </w:r>
          </w:p>
        </w:tc>
      </w:tr>
      <w:tr>
        <w:tc>
          <w:tcPr>
            <w:tcW w:type="dxa" w:w="850"/>
            <w:tcW w:w="850" w:type="dxa"/>
          </w:tcPr>
          <w:p>
            <w:pPr>
              <w:jc w:val="center"/>
            </w:pPr>
            <w:r>
              <w:rPr>
                <w:rFonts w:ascii="Cambria" w:hAnsi="Cambria" w:eastAsia="Cambria"/>
                <w:b w:val="0"/>
                <w:i w:val="0"/>
                <w:sz w:val="22"/>
              </w:rPr>
              <w:t>59</w:t>
            </w:r>
          </w:p>
        </w:tc>
        <w:tc>
          <w:tcPr>
            <w:tcW w:type="dxa" w:w="7540"/>
            <w:tcW w:w="7541" w:type="dxa"/>
          </w:tcPr>
          <w:p>
            <w:r>
              <w:rPr>
                <w:rFonts w:ascii="Cambria" w:hAnsi="Cambria" w:eastAsia="Cambria"/>
                <w:b w:val="0"/>
                <w:i w:val="0"/>
                <w:sz w:val="22"/>
              </w:rPr>
              <w:t>SDG-3 Target 3.B and Minimal Recommended Actions for Government and Policymakers: Promoting Collaboration, Traditional Medicine, and Innovation for Essential Drug Development</w:t>
            </w:r>
          </w:p>
        </w:tc>
        <w:tc>
          <w:tcPr>
            <w:tcW w:type="dxa" w:w="1020"/>
            <w:tcW w:w="1020" w:type="dxa"/>
          </w:tcPr>
          <w:p>
            <w:pPr>
              <w:jc w:val="center"/>
            </w:pPr>
            <w:r>
              <w:rPr>
                <w:rFonts w:ascii="Cambria" w:hAnsi="Cambria" w:eastAsia="Cambria"/>
                <w:b w:val="0"/>
                <w:i w:val="0"/>
                <w:sz w:val="22"/>
              </w:rPr>
              <w:t>165</w:t>
            </w:r>
          </w:p>
        </w:tc>
      </w:tr>
      <w:tr>
        <w:tc>
          <w:tcPr>
            <w:tcW w:type="dxa" w:w="850"/>
            <w:shd w:val="clear" w:color="auto" w:fill="DCE6F1"/>
            <w:tcW w:w="850" w:type="dxa"/>
          </w:tcPr>
          <w:p>
            <w:pPr>
              <w:jc w:val="center"/>
            </w:pPr>
            <w:r>
              <w:rPr>
                <w:rFonts w:ascii="Cambria" w:hAnsi="Cambria" w:eastAsia="Cambria"/>
                <w:b w:val="0"/>
                <w:i w:val="0"/>
                <w:sz w:val="22"/>
              </w:rPr>
              <w:t>60</w:t>
            </w:r>
          </w:p>
        </w:tc>
        <w:tc>
          <w:tcPr>
            <w:tcW w:type="dxa" w:w="7540"/>
            <w:shd w:val="clear" w:color="auto" w:fill="DCE6F1"/>
            <w:tcW w:w="7541" w:type="dxa"/>
          </w:tcPr>
          <w:p>
            <w:r>
              <w:rPr>
                <w:rFonts w:ascii="Cambria" w:hAnsi="Cambria" w:eastAsia="Cambria"/>
                <w:b w:val="0"/>
                <w:i w:val="0"/>
                <w:sz w:val="22"/>
              </w:rPr>
              <w:t>SDG-3 Target 3.C and Minimal Recommended Actions for Government and Policymakers: Strengthening the Health Workforce, Education, Research, and Funding for Sustainable Healthcare Systems</w:t>
            </w:r>
          </w:p>
        </w:tc>
        <w:tc>
          <w:tcPr>
            <w:tcW w:type="dxa" w:w="1020"/>
            <w:shd w:val="clear" w:color="auto" w:fill="DCE6F1"/>
            <w:tcW w:w="1020" w:type="dxa"/>
          </w:tcPr>
          <w:p>
            <w:pPr>
              <w:jc w:val="center"/>
            </w:pPr>
            <w:r>
              <w:rPr>
                <w:rFonts w:ascii="Cambria" w:hAnsi="Cambria" w:eastAsia="Cambria"/>
                <w:b w:val="0"/>
                <w:i w:val="0"/>
                <w:sz w:val="22"/>
              </w:rPr>
              <w:t>168</w:t>
            </w:r>
          </w:p>
        </w:tc>
      </w:tr>
      <w:tr>
        <w:tc>
          <w:tcPr>
            <w:tcW w:type="dxa" w:w="850"/>
            <w:tcW w:w="850" w:type="dxa"/>
          </w:tcPr>
          <w:p>
            <w:pPr>
              <w:jc w:val="center"/>
            </w:pPr>
            <w:r>
              <w:rPr>
                <w:rFonts w:ascii="Cambria" w:hAnsi="Cambria" w:eastAsia="Cambria"/>
                <w:b w:val="0"/>
                <w:i w:val="0"/>
                <w:sz w:val="22"/>
              </w:rPr>
              <w:t>61</w:t>
            </w:r>
          </w:p>
        </w:tc>
        <w:tc>
          <w:tcPr>
            <w:tcW w:type="dxa" w:w="7540"/>
            <w:tcW w:w="7541" w:type="dxa"/>
          </w:tcPr>
          <w:p>
            <w:r>
              <w:rPr>
                <w:rFonts w:ascii="Cambria" w:hAnsi="Cambria" w:eastAsia="Cambria"/>
                <w:b w:val="0"/>
                <w:i w:val="0"/>
                <w:sz w:val="22"/>
              </w:rPr>
              <w:t>SDG-3 Target 3.D and Minimal Recommended Actions for Government and Policymakers: Facilitating Global Technology Transfer for Managing Health Risks</w:t>
            </w:r>
          </w:p>
        </w:tc>
        <w:tc>
          <w:tcPr>
            <w:tcW w:type="dxa" w:w="1020"/>
            <w:tcW w:w="1020" w:type="dxa"/>
          </w:tcPr>
          <w:p>
            <w:pPr>
              <w:jc w:val="center"/>
            </w:pPr>
            <w:r>
              <w:rPr>
                <w:rFonts w:ascii="Cambria" w:hAnsi="Cambria" w:eastAsia="Cambria"/>
                <w:b w:val="0"/>
                <w:i w:val="0"/>
                <w:sz w:val="22"/>
              </w:rPr>
              <w:t>171</w:t>
            </w:r>
          </w:p>
        </w:tc>
      </w:tr>
      <w:tr>
        <w:tc>
          <w:tcPr>
            <w:tcW w:type="dxa" w:w="850"/>
            <w:shd w:val="clear" w:color="auto" w:fill="DCE6F1"/>
            <w:tcW w:w="850" w:type="dxa"/>
          </w:tcPr>
          <w:p>
            <w:pPr>
              <w:jc w:val="center"/>
            </w:pPr>
            <w:r>
              <w:rPr>
                <w:rFonts w:ascii="Cambria" w:hAnsi="Cambria" w:eastAsia="Cambria"/>
                <w:b w:val="0"/>
                <w:i w:val="0"/>
                <w:sz w:val="22"/>
              </w:rPr>
              <w:t>62</w:t>
            </w:r>
          </w:p>
        </w:tc>
        <w:tc>
          <w:tcPr>
            <w:tcW w:type="dxa" w:w="7540"/>
            <w:shd w:val="clear" w:color="auto" w:fill="DCE6F1"/>
            <w:tcW w:w="7541" w:type="dxa"/>
          </w:tcPr>
          <w:p>
            <w:r>
              <w:rPr>
                <w:rFonts w:ascii="Cambria" w:hAnsi="Cambria" w:eastAsia="Cambria"/>
                <w:b w:val="0"/>
                <w:i w:val="0"/>
                <w:sz w:val="22"/>
              </w:rPr>
              <w:t>Role of Regulatory and Research Bodies in Fostering Quality Education, Research, and Professional Training for Achieving SDG-3</w:t>
            </w:r>
          </w:p>
        </w:tc>
        <w:tc>
          <w:tcPr>
            <w:tcW w:type="dxa" w:w="1020"/>
            <w:shd w:val="clear" w:color="auto" w:fill="DCE6F1"/>
            <w:tcW w:w="1020" w:type="dxa"/>
          </w:tcPr>
          <w:p>
            <w:pPr>
              <w:jc w:val="center"/>
            </w:pPr>
            <w:r>
              <w:rPr>
                <w:rFonts w:ascii="Cambria" w:hAnsi="Cambria" w:eastAsia="Cambria"/>
                <w:b w:val="0"/>
                <w:i w:val="0"/>
                <w:sz w:val="22"/>
              </w:rPr>
              <w:t>174</w:t>
            </w:r>
          </w:p>
        </w:tc>
      </w:tr>
      <w:tr>
        <w:tc>
          <w:tcPr>
            <w:tcW w:type="dxa" w:w="850"/>
            <w:tcW w:w="850" w:type="dxa"/>
          </w:tcPr>
          <w:p>
            <w:pPr>
              <w:jc w:val="center"/>
            </w:pPr>
            <w:r>
              <w:rPr>
                <w:rFonts w:ascii="Cambria" w:hAnsi="Cambria" w:eastAsia="Cambria"/>
                <w:b w:val="0"/>
                <w:i w:val="0"/>
                <w:sz w:val="22"/>
              </w:rPr>
              <w:t>63</w:t>
            </w:r>
          </w:p>
        </w:tc>
        <w:tc>
          <w:tcPr>
            <w:tcW w:type="dxa" w:w="7540"/>
            <w:tcW w:w="7541" w:type="dxa"/>
          </w:tcPr>
          <w:p>
            <w:r>
              <w:rPr>
                <w:rFonts w:ascii="Cambria" w:hAnsi="Cambria" w:eastAsia="Cambria"/>
                <w:b w:val="0"/>
                <w:i w:val="0"/>
                <w:sz w:val="22"/>
              </w:rPr>
              <w:t>Minimal Recommended Actions for Regulatory Bodies under SDG-3: Strengthening Health-Oriented Academic Programs in HEIs</w:t>
            </w:r>
          </w:p>
        </w:tc>
        <w:tc>
          <w:tcPr>
            <w:tcW w:type="dxa" w:w="1020"/>
            <w:tcW w:w="1020" w:type="dxa"/>
          </w:tcPr>
          <w:p>
            <w:pPr>
              <w:jc w:val="center"/>
            </w:pPr>
            <w:r>
              <w:rPr>
                <w:rFonts w:ascii="Cambria" w:hAnsi="Cambria" w:eastAsia="Cambria"/>
                <w:b w:val="0"/>
                <w:i w:val="0"/>
                <w:sz w:val="22"/>
              </w:rPr>
              <w:t>177</w:t>
            </w:r>
          </w:p>
        </w:tc>
      </w:tr>
      <w:tr>
        <w:tc>
          <w:tcPr>
            <w:tcW w:type="dxa" w:w="850"/>
            <w:shd w:val="clear" w:color="auto" w:fill="DCE6F1"/>
            <w:tcW w:w="850" w:type="dxa"/>
          </w:tcPr>
          <w:p>
            <w:pPr>
              <w:jc w:val="center"/>
            </w:pPr>
            <w:r>
              <w:rPr>
                <w:rFonts w:ascii="Cambria" w:hAnsi="Cambria" w:eastAsia="Cambria"/>
                <w:b w:val="0"/>
                <w:i w:val="0"/>
                <w:sz w:val="22"/>
              </w:rPr>
              <w:t>64</w:t>
            </w:r>
          </w:p>
        </w:tc>
        <w:tc>
          <w:tcPr>
            <w:tcW w:type="dxa" w:w="7540"/>
            <w:shd w:val="clear" w:color="auto" w:fill="DCE6F1"/>
            <w:tcW w:w="7541" w:type="dxa"/>
          </w:tcPr>
          <w:p>
            <w:r>
              <w:rPr>
                <w:rFonts w:ascii="Cambria" w:hAnsi="Cambria" w:eastAsia="Cambria"/>
                <w:b w:val="0"/>
                <w:i w:val="0"/>
                <w:sz w:val="22"/>
              </w:rPr>
              <w:t>Research Programs on SDG-3: Doctorate (Ph.D.) in Sustainable Development for Advancing Global Health and Well-Being</w:t>
            </w:r>
          </w:p>
        </w:tc>
        <w:tc>
          <w:tcPr>
            <w:tcW w:type="dxa" w:w="1020"/>
            <w:shd w:val="clear" w:color="auto" w:fill="DCE6F1"/>
            <w:tcW w:w="1020" w:type="dxa"/>
          </w:tcPr>
          <w:p>
            <w:pPr>
              <w:jc w:val="center"/>
            </w:pPr>
            <w:r>
              <w:rPr>
                <w:rFonts w:ascii="Cambria" w:hAnsi="Cambria" w:eastAsia="Cambria"/>
                <w:b w:val="0"/>
                <w:i w:val="0"/>
                <w:sz w:val="22"/>
              </w:rPr>
              <w:t>180</w:t>
            </w:r>
          </w:p>
        </w:tc>
      </w:tr>
      <w:tr>
        <w:tc>
          <w:tcPr>
            <w:tcW w:type="dxa" w:w="850"/>
            <w:tcW w:w="850" w:type="dxa"/>
          </w:tcPr>
          <w:p>
            <w:pPr>
              <w:jc w:val="center"/>
            </w:pPr>
            <w:r>
              <w:rPr>
                <w:rFonts w:ascii="Cambria" w:hAnsi="Cambria" w:eastAsia="Cambria"/>
                <w:b w:val="0"/>
                <w:i w:val="0"/>
                <w:sz w:val="22"/>
              </w:rPr>
              <w:t>65</w:t>
            </w:r>
          </w:p>
        </w:tc>
        <w:tc>
          <w:tcPr>
            <w:tcW w:type="dxa" w:w="7540"/>
            <w:tcW w:w="7541" w:type="dxa"/>
          </w:tcPr>
          <w:p>
            <w:r>
              <w:rPr>
                <w:rFonts w:ascii="Cambria" w:hAnsi="Cambria" w:eastAsia="Cambria"/>
                <w:b w:val="0"/>
                <w:i w:val="0"/>
                <w:sz w:val="22"/>
              </w:rPr>
              <w:t>Encouraging Cross-Faculty and Interdisciplinary Collaboration on SDG-3: Integrating Diverse Perspectives for Holistic Health and Sustainable Development</w:t>
            </w:r>
          </w:p>
        </w:tc>
        <w:tc>
          <w:tcPr>
            <w:tcW w:type="dxa" w:w="1020"/>
            <w:tcW w:w="1020" w:type="dxa"/>
          </w:tcPr>
          <w:p>
            <w:pPr>
              <w:jc w:val="center"/>
            </w:pPr>
            <w:r>
              <w:rPr>
                <w:rFonts w:ascii="Cambria" w:hAnsi="Cambria" w:eastAsia="Cambria"/>
                <w:b w:val="0"/>
                <w:i w:val="0"/>
                <w:sz w:val="22"/>
              </w:rPr>
              <w:t>183</w:t>
            </w:r>
          </w:p>
        </w:tc>
      </w:tr>
      <w:tr>
        <w:tc>
          <w:tcPr>
            <w:tcW w:type="dxa" w:w="850"/>
            <w:shd w:val="clear" w:color="auto" w:fill="DCE6F1"/>
            <w:tcW w:w="850" w:type="dxa"/>
          </w:tcPr>
          <w:p>
            <w:pPr>
              <w:jc w:val="center"/>
            </w:pPr>
            <w:r>
              <w:rPr>
                <w:rFonts w:ascii="Cambria" w:hAnsi="Cambria" w:eastAsia="Cambria"/>
                <w:b w:val="0"/>
                <w:i w:val="0"/>
                <w:sz w:val="22"/>
              </w:rPr>
              <w:t>66</w:t>
            </w:r>
          </w:p>
        </w:tc>
        <w:tc>
          <w:tcPr>
            <w:tcW w:type="dxa" w:w="7540"/>
            <w:shd w:val="clear" w:color="auto" w:fill="DCE6F1"/>
            <w:tcW w:w="7541" w:type="dxa"/>
          </w:tcPr>
          <w:p>
            <w:r>
              <w:rPr>
                <w:rFonts w:ascii="Cambria" w:hAnsi="Cambria" w:eastAsia="Cambria"/>
                <w:b w:val="0"/>
                <w:i w:val="0"/>
                <w:sz w:val="22"/>
              </w:rPr>
              <w:t>Organizing SDG-3 Related Workshops and Conferences in Universities: Platforms for Collaboration, Knowledge Exchange, and Research Advancement</w:t>
            </w:r>
          </w:p>
        </w:tc>
        <w:tc>
          <w:tcPr>
            <w:tcW w:type="dxa" w:w="1020"/>
            <w:shd w:val="clear" w:color="auto" w:fill="DCE6F1"/>
            <w:tcW w:w="1020" w:type="dxa"/>
          </w:tcPr>
          <w:p>
            <w:pPr>
              <w:jc w:val="center"/>
            </w:pPr>
            <w:r>
              <w:rPr>
                <w:rFonts w:ascii="Cambria" w:hAnsi="Cambria" w:eastAsia="Cambria"/>
                <w:b w:val="0"/>
                <w:i w:val="0"/>
                <w:sz w:val="22"/>
              </w:rPr>
              <w:t>186</w:t>
            </w:r>
          </w:p>
        </w:tc>
      </w:tr>
      <w:tr>
        <w:tc>
          <w:tcPr>
            <w:tcW w:type="dxa" w:w="850"/>
            <w:tcW w:w="850" w:type="dxa"/>
          </w:tcPr>
          <w:p>
            <w:pPr>
              <w:jc w:val="center"/>
            </w:pPr>
            <w:r>
              <w:rPr>
                <w:rFonts w:ascii="Cambria" w:hAnsi="Cambria" w:eastAsia="Cambria"/>
                <w:b w:val="0"/>
                <w:i w:val="0"/>
                <w:sz w:val="22"/>
              </w:rPr>
              <w:t>67</w:t>
            </w:r>
          </w:p>
        </w:tc>
        <w:tc>
          <w:tcPr>
            <w:tcW w:type="dxa" w:w="7540"/>
            <w:tcW w:w="7541" w:type="dxa"/>
          </w:tcPr>
          <w:p>
            <w:r>
              <w:rPr>
                <w:rFonts w:ascii="Cambria" w:hAnsi="Cambria" w:eastAsia="Cambria"/>
                <w:b w:val="0"/>
                <w:i w:val="0"/>
                <w:sz w:val="22"/>
              </w:rPr>
              <w:t>Funding Support to Higher Education Institutions (HEIs) for Advancing Research and Education in Sustainability and SDG-3</w:t>
            </w:r>
          </w:p>
        </w:tc>
        <w:tc>
          <w:tcPr>
            <w:tcW w:type="dxa" w:w="1020"/>
            <w:tcW w:w="1020" w:type="dxa"/>
          </w:tcPr>
          <w:p>
            <w:pPr>
              <w:jc w:val="center"/>
            </w:pPr>
            <w:r>
              <w:rPr>
                <w:rFonts w:ascii="Cambria" w:hAnsi="Cambria" w:eastAsia="Cambria"/>
                <w:b w:val="0"/>
                <w:i w:val="0"/>
                <w:sz w:val="22"/>
              </w:rPr>
              <w:t>189</w:t>
            </w:r>
          </w:p>
        </w:tc>
      </w:tr>
      <w:tr>
        <w:tc>
          <w:tcPr>
            <w:tcW w:type="dxa" w:w="850"/>
            <w:shd w:val="clear" w:color="auto" w:fill="DCE6F1"/>
            <w:tcW w:w="850" w:type="dxa"/>
          </w:tcPr>
          <w:p>
            <w:pPr>
              <w:jc w:val="center"/>
            </w:pPr>
            <w:r>
              <w:rPr>
                <w:rFonts w:ascii="Cambria" w:hAnsi="Cambria" w:eastAsia="Cambria"/>
                <w:b w:val="0"/>
                <w:i w:val="0"/>
                <w:sz w:val="22"/>
              </w:rPr>
              <w:t>68</w:t>
            </w:r>
          </w:p>
        </w:tc>
        <w:tc>
          <w:tcPr>
            <w:tcW w:type="dxa" w:w="7540"/>
            <w:shd w:val="clear" w:color="auto" w:fill="DCE6F1"/>
            <w:tcW w:w="7541" w:type="dxa"/>
          </w:tcPr>
          <w:p>
            <w:r>
              <w:rPr>
                <w:rFonts w:ascii="Cambria" w:hAnsi="Cambria" w:eastAsia="Cambria"/>
                <w:b w:val="0"/>
                <w:i w:val="0"/>
                <w:sz w:val="22"/>
              </w:rPr>
              <w:t>Designing All-India Level Tests Based on SDG-3: Integrating Sustainability and Health Awareness into National Examinations and Admissions</w:t>
            </w:r>
          </w:p>
        </w:tc>
        <w:tc>
          <w:tcPr>
            <w:tcW w:type="dxa" w:w="1020"/>
            <w:shd w:val="clear" w:color="auto" w:fill="DCE6F1"/>
            <w:tcW w:w="1020" w:type="dxa"/>
          </w:tcPr>
          <w:p>
            <w:pPr>
              <w:jc w:val="center"/>
            </w:pPr>
            <w:r>
              <w:rPr>
                <w:rFonts w:ascii="Cambria" w:hAnsi="Cambria" w:eastAsia="Cambria"/>
                <w:b w:val="0"/>
                <w:i w:val="0"/>
                <w:sz w:val="22"/>
              </w:rPr>
              <w:t>192</w:t>
            </w:r>
          </w:p>
        </w:tc>
      </w:tr>
      <w:tr>
        <w:tc>
          <w:tcPr>
            <w:tcW w:type="dxa" w:w="850"/>
            <w:tcW w:w="850" w:type="dxa"/>
          </w:tcPr>
          <w:p>
            <w:pPr>
              <w:jc w:val="center"/>
            </w:pPr>
            <w:r>
              <w:rPr>
                <w:rFonts w:ascii="Cambria" w:hAnsi="Cambria" w:eastAsia="Cambria"/>
                <w:b w:val="0"/>
                <w:i w:val="0"/>
                <w:sz w:val="22"/>
              </w:rPr>
              <w:t>69</w:t>
            </w:r>
          </w:p>
        </w:tc>
        <w:tc>
          <w:tcPr>
            <w:tcW w:type="dxa" w:w="7540"/>
            <w:tcW w:w="7541" w:type="dxa"/>
          </w:tcPr>
          <w:p>
            <w:r>
              <w:rPr>
                <w:rFonts w:ascii="Cambria" w:hAnsi="Cambria" w:eastAsia="Cambria"/>
                <w:b w:val="0"/>
                <w:i w:val="0"/>
                <w:sz w:val="22"/>
              </w:rPr>
              <w:t>Conducting Audits to Monitor the Quality of Research and Education on SDG-3 in Higher Education Institutions (HEIs)</w:t>
            </w:r>
          </w:p>
        </w:tc>
        <w:tc>
          <w:tcPr>
            <w:tcW w:type="dxa" w:w="1020"/>
            <w:tcW w:w="1020" w:type="dxa"/>
          </w:tcPr>
          <w:p>
            <w:pPr>
              <w:jc w:val="center"/>
            </w:pPr>
            <w:r>
              <w:rPr>
                <w:rFonts w:ascii="Cambria" w:hAnsi="Cambria" w:eastAsia="Cambria"/>
                <w:b w:val="0"/>
                <w:i w:val="0"/>
                <w:sz w:val="22"/>
              </w:rPr>
              <w:t>196</w:t>
            </w:r>
          </w:p>
        </w:tc>
      </w:tr>
      <w:tr>
        <w:tc>
          <w:tcPr>
            <w:tcW w:type="dxa" w:w="850"/>
            <w:shd w:val="clear" w:color="auto" w:fill="DCE6F1"/>
            <w:tcW w:w="850" w:type="dxa"/>
          </w:tcPr>
          <w:p>
            <w:pPr>
              <w:jc w:val="center"/>
            </w:pPr>
            <w:r>
              <w:rPr>
                <w:rFonts w:ascii="Cambria" w:hAnsi="Cambria" w:eastAsia="Cambria"/>
                <w:b w:val="0"/>
                <w:i w:val="0"/>
                <w:sz w:val="22"/>
              </w:rPr>
              <w:t>70</w:t>
            </w:r>
          </w:p>
        </w:tc>
        <w:tc>
          <w:tcPr>
            <w:tcW w:type="dxa" w:w="7540"/>
            <w:shd w:val="clear" w:color="auto" w:fill="DCE6F1"/>
            <w:tcW w:w="7541" w:type="dxa"/>
          </w:tcPr>
          <w:p>
            <w:r>
              <w:rPr>
                <w:rFonts w:ascii="Cambria" w:hAnsi="Cambria" w:eastAsia="Cambria"/>
                <w:b w:val="0"/>
                <w:i w:val="0"/>
                <w:sz w:val="22"/>
              </w:rPr>
              <w:t>Recommendations to Central and State Governments for Strengthening Higher Education in Sustainability and SDGs with a Focus on SDG-3</w:t>
            </w:r>
          </w:p>
        </w:tc>
        <w:tc>
          <w:tcPr>
            <w:tcW w:type="dxa" w:w="1020"/>
            <w:shd w:val="clear" w:color="auto" w:fill="DCE6F1"/>
            <w:tcW w:w="1020" w:type="dxa"/>
          </w:tcPr>
          <w:p>
            <w:pPr>
              <w:jc w:val="center"/>
            </w:pPr>
            <w:r>
              <w:rPr>
                <w:rFonts w:ascii="Cambria" w:hAnsi="Cambria" w:eastAsia="Cambria"/>
                <w:b w:val="0"/>
                <w:i w:val="0"/>
                <w:sz w:val="22"/>
              </w:rPr>
              <w:t>200</w:t>
            </w:r>
          </w:p>
        </w:tc>
      </w:tr>
      <w:tr>
        <w:tc>
          <w:tcPr>
            <w:tcW w:type="dxa" w:w="850"/>
            <w:tcW w:w="850" w:type="dxa"/>
          </w:tcPr>
          <w:p>
            <w:pPr>
              <w:jc w:val="center"/>
            </w:pPr>
            <w:r>
              <w:rPr>
                <w:rFonts w:ascii="Cambria" w:hAnsi="Cambria" w:eastAsia="Cambria"/>
                <w:b w:val="0"/>
                <w:i w:val="0"/>
                <w:sz w:val="22"/>
              </w:rPr>
              <w:t>71</w:t>
            </w:r>
          </w:p>
        </w:tc>
        <w:tc>
          <w:tcPr>
            <w:tcW w:type="dxa" w:w="7540"/>
            <w:tcW w:w="7541" w:type="dxa"/>
          </w:tcPr>
          <w:p>
            <w:r>
              <w:rPr>
                <w:rFonts w:ascii="Cambria" w:hAnsi="Cambria" w:eastAsia="Cambria"/>
                <w:b w:val="0"/>
                <w:i w:val="0"/>
                <w:sz w:val="22"/>
              </w:rPr>
              <w:t>The Role of Higher Education Institutions in Advancing SDG-3: Promoting Good Health and Well-Being for All</w:t>
            </w:r>
          </w:p>
        </w:tc>
        <w:tc>
          <w:tcPr>
            <w:tcW w:type="dxa" w:w="1020"/>
            <w:tcW w:w="1020" w:type="dxa"/>
          </w:tcPr>
          <w:p>
            <w:pPr>
              <w:jc w:val="center"/>
            </w:pPr>
            <w:r>
              <w:rPr>
                <w:rFonts w:ascii="Cambria" w:hAnsi="Cambria" w:eastAsia="Cambria"/>
                <w:b w:val="0"/>
                <w:i w:val="0"/>
                <w:sz w:val="22"/>
              </w:rPr>
              <w:t>204</w:t>
            </w:r>
          </w:p>
        </w:tc>
      </w:tr>
      <w:tr>
        <w:tc>
          <w:tcPr>
            <w:tcW w:type="dxa" w:w="850"/>
            <w:shd w:val="clear" w:color="auto" w:fill="DCE6F1"/>
            <w:tcW w:w="850" w:type="dxa"/>
          </w:tcPr>
          <w:p>
            <w:pPr>
              <w:jc w:val="center"/>
            </w:pPr>
            <w:r>
              <w:rPr>
                <w:rFonts w:ascii="Cambria" w:hAnsi="Cambria" w:eastAsia="Cambria"/>
                <w:b w:val="0"/>
                <w:i w:val="0"/>
                <w:sz w:val="22"/>
              </w:rPr>
              <w:t>72</w:t>
            </w:r>
          </w:p>
        </w:tc>
        <w:tc>
          <w:tcPr>
            <w:tcW w:type="dxa" w:w="7540"/>
            <w:shd w:val="clear" w:color="auto" w:fill="DCE6F1"/>
            <w:tcW w:w="7541" w:type="dxa"/>
          </w:tcPr>
          <w:p>
            <w:r>
              <w:rPr>
                <w:rFonts w:ascii="Cambria" w:hAnsi="Cambria" w:eastAsia="Cambria"/>
                <w:b w:val="0"/>
                <w:i w:val="0"/>
                <w:sz w:val="22"/>
              </w:rPr>
              <w:t>References</w:t>
            </w:r>
          </w:p>
        </w:tc>
        <w:tc>
          <w:tcPr>
            <w:tcW w:type="dxa" w:w="1020"/>
            <w:shd w:val="clear" w:color="auto" w:fill="DCE6F1"/>
            <w:tcW w:w="1020" w:type="dxa"/>
          </w:tcPr>
          <w:p>
            <w:pPr>
              <w:jc w:val="center"/>
            </w:pPr>
            <w:r>
              <w:rPr>
                <w:rFonts w:ascii="Cambria" w:hAnsi="Cambria" w:eastAsia="Cambria"/>
                <w:b w:val="0"/>
                <w:i w:val="0"/>
                <w:sz w:val="22"/>
              </w:rPr>
              <w:t>206</w:t>
            </w:r>
          </w:p>
        </w:tc>
      </w:tr>
    </w:tbl>
    <w:p>
      <w:r>
        <w:br w:type="page"/>
      </w:r>
    </w:p>
    <w:p>
      <w:pPr>
        <w:spacing w:before="360" w:after="200"/>
      </w:pPr>
      <w:r>
        <w:rPr>
          <w:rFonts w:ascii="Cambria" w:hAnsi="Cambria" w:eastAsia="Cambria"/>
          <w:b/>
          <w:i w:val="0"/>
          <w:color w:val="1F3A5F"/>
          <w:sz w:val="32"/>
        </w:rPr>
        <w:t>1. SDG-3: Ensure Healthy Lives and Promote Well-being for All at All Ages</w:t>
      </w:r>
    </w:p>
    <w:p>
      <w:pPr>
        <w:spacing w:before="200" w:after="120"/>
      </w:pPr>
      <w:r>
        <w:rPr>
          <w:rFonts w:ascii="Cambria" w:hAnsi="Cambria" w:eastAsia="Cambria"/>
          <w:b/>
          <w:i w:val="0"/>
          <w:color w:val="1F3A5F"/>
          <w:sz w:val="24"/>
        </w:rPr>
        <w:t>SDG-3: Good Health and Well-Being</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3 of the United Nations Sustainable Development Goals (SDGs) aims to ensure healthy lives and promote well-being for all at all ages.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recognizes health as a fundamental human right and a cornerstone of sustainable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SDG-3 emphasizes the importance of universal health coverage (UHC), access to affordable medicines and vaccines, strengthening health systems, and addressing environmental determinants of health.</w:t>
      </w:r>
    </w:p>
    <w:p>
      <w:pPr>
        <w:spacing w:line="276" w:lineRule="auto" w:after="120"/>
      </w:pPr>
      <w:r>
        <w:rPr>
          <w:rFonts w:ascii="Cambria" w:hAnsi="Cambria" w:eastAsia="Cambria"/>
          <w:b w:val="0"/>
          <w:i w:val="0"/>
          <w:sz w:val="22"/>
        </w:rPr>
        <w:t>Vision: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build a world where every individual enjoys physical, mental, and social well-being, free from preventable diseases, and supported by resilient healthcare systems.</w:t>
      </w:r>
    </w:p>
    <w:p>
      <w:pPr>
        <w:spacing w:line="276" w:lineRule="auto" w:after="120"/>
      </w:pPr>
      <w:r>
        <w:rPr>
          <w:rFonts w:ascii="Cambria" w:hAnsi="Cambria" w:eastAsia="Cambria"/>
          <w:b w:val="0"/>
          <w:i w:val="0"/>
          <w:sz w:val="22"/>
        </w:rPr>
        <w:t>Key Focus Areas of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Maternal and Child Health:</w:t>
      </w:r>
      <w:r>
        <w:rPr>
          <w:rFonts w:ascii="Cambria" w:hAnsi="Cambria" w:eastAsia="Cambria"/>
          <w:b w:val="0"/>
          <w:i w:val="0"/>
          <w:sz w:val="22"/>
        </w:rPr>
        <w:t xml:space="preserve"> Reduce maternal and infant mortality through safe births and neonatal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Communicable Diseases:</w:t>
      </w:r>
      <w:r>
        <w:rPr>
          <w:rFonts w:ascii="Cambria" w:hAnsi="Cambria" w:eastAsia="Cambria"/>
          <w:b w:val="0"/>
          <w:i w:val="0"/>
          <w:sz w:val="22"/>
        </w:rPr>
        <w:t xml:space="preserve"> Eradicate AIDS, tuberculosis, malaria, and neglected tropical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Non-Communicable Diseases (NCDs):</w:t>
      </w:r>
      <w:r>
        <w:rPr>
          <w:rFonts w:ascii="Cambria" w:hAnsi="Cambria" w:eastAsia="Cambria"/>
          <w:b w:val="0"/>
          <w:i w:val="0"/>
          <w:sz w:val="22"/>
        </w:rPr>
        <w:t xml:space="preserve"> Prevent and treat lifestyle-related diseases such as cancer, diabetes, and cardiovascular conditions.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Mental Health:</w:t>
      </w:r>
      <w:r>
        <w:rPr>
          <w:rFonts w:ascii="Cambria" w:hAnsi="Cambria" w:eastAsia="Cambria"/>
          <w:b w:val="0"/>
          <w:i w:val="0"/>
          <w:sz w:val="22"/>
        </w:rPr>
        <w:t xml:space="preserve"> Promote psychological well-being and reduce suicide rates.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Substance Abuse:</w:t>
      </w:r>
      <w:r>
        <w:rPr>
          <w:rFonts w:ascii="Cambria" w:hAnsi="Cambria" w:eastAsia="Cambria"/>
          <w:b w:val="0"/>
          <w:i w:val="0"/>
          <w:sz w:val="22"/>
        </w:rPr>
        <w:t xml:space="preserve"> Control drug addiction and harmful alcohol consumption through rehabilitation and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Road Safety:</w:t>
      </w:r>
      <w:r>
        <w:rPr>
          <w:rFonts w:ascii="Cambria" w:hAnsi="Cambria" w:eastAsia="Cambria"/>
          <w:b w:val="0"/>
          <w:i w:val="0"/>
          <w:sz w:val="22"/>
        </w:rPr>
        <w:t xml:space="preserve"> Minimize global deaths and injuries caused by traffic accidents.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Reproductive Health:</w:t>
      </w:r>
      <w:r>
        <w:rPr>
          <w:rFonts w:ascii="Cambria" w:hAnsi="Cambria" w:eastAsia="Cambria"/>
          <w:b w:val="0"/>
          <w:i w:val="0"/>
          <w:sz w:val="22"/>
        </w:rPr>
        <w:t xml:space="preserve"> Ensure universal access to reproductive healthcare and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Pollution and Environmental Health:</w:t>
      </w:r>
      <w:r>
        <w:rPr>
          <w:rFonts w:ascii="Cambria" w:hAnsi="Cambria" w:eastAsia="Cambria"/>
          <w:b w:val="0"/>
          <w:i w:val="0"/>
          <w:sz w:val="22"/>
        </w:rPr>
        <w:t xml:space="preserve"> Reduce illness and mortality caused by air, water, and soil pollution.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Healthcare Access:</w:t>
      </w:r>
      <w:r>
        <w:rPr>
          <w:rFonts w:ascii="Cambria" w:hAnsi="Cambria" w:eastAsia="Cambria"/>
          <w:b w:val="0"/>
          <w:i w:val="0"/>
          <w:sz w:val="22"/>
        </w:rPr>
        <w:t xml:space="preserve"> Achieve universal health coverage, ensuring affordability and accessibility.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Health Workforce:</w:t>
      </w:r>
      <w:r>
        <w:rPr>
          <w:rFonts w:ascii="Cambria" w:hAnsi="Cambria" w:eastAsia="Cambria"/>
          <w:b w:val="0"/>
          <w:i w:val="0"/>
          <w:sz w:val="22"/>
        </w:rPr>
        <w:t xml:space="preserve"> Strengthen healthcare capacity, training, and global health governance.</w:t>
      </w:r>
    </w:p>
    <w:p>
      <w:pPr>
        <w:spacing w:line="276" w:lineRule="auto" w:after="120"/>
      </w:pPr>
      <w:r>
        <w:rPr>
          <w:rFonts w:ascii="Cambria" w:hAnsi="Cambria" w:eastAsia="Cambria"/>
          <w:b w:val="0"/>
          <w:i w:val="0"/>
          <w:sz w:val="22"/>
        </w:rPr>
        <w:t>Targets and Indicators (Summary):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3.1: Reduce maternal mortality to &lt;70 per 100,000 live births.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3.2: End preventable deaths of newborns and under-five children.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3.3: End epidemics of AIDS, malaria, TB, and neglected tropical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3.4: Reduce premature mortality from NCDs by one-third; promote mental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3.5: Prevent and treat substance abuse and alcoholism.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3.6: Halve global deaths and injuries from road traffic accidents.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3.7: Ensure access to reproductive healthcare and family planning.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3.8: Achieve universal healthcare coverage and access to essential medicines.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3.9: Reduce mortality from pollution and hazardous chemicals.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3.A: Implement WHO's Framework Convention on Tobacco Control.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3.B: Support R&amp;D and access to affordable vaccines and medicines.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3.C: Increase healthcare financing and workforce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3.D: Strengthen early warning and risk management for health emergencies.</w:t>
      </w:r>
    </w:p>
    <w:p>
      <w:pPr>
        <w:spacing w:line="276" w:lineRule="auto" w:after="120"/>
      </w:pPr>
      <w:r>
        <w:rPr>
          <w:rFonts w:ascii="Cambria" w:hAnsi="Cambria" w:eastAsia="Cambria"/>
          <w:b w:val="0"/>
          <w:i w:val="0"/>
          <w:sz w:val="22"/>
        </w:rPr>
        <w:t>Importance of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Economic Development:</w:t>
      </w:r>
      <w:r>
        <w:rPr>
          <w:rFonts w:ascii="Cambria" w:hAnsi="Cambria" w:eastAsia="Cambria"/>
          <w:b w:val="0"/>
          <w:i w:val="0"/>
          <w:sz w:val="22"/>
        </w:rPr>
        <w:t xml:space="preserve"> Healthy populations contribute to higher productivity, innovation, and national growth.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Social Stability:</w:t>
      </w:r>
      <w:r>
        <w:rPr>
          <w:rFonts w:ascii="Cambria" w:hAnsi="Cambria" w:eastAsia="Cambria"/>
          <w:b w:val="0"/>
          <w:i w:val="0"/>
          <w:sz w:val="22"/>
        </w:rPr>
        <w:t xml:space="preserve"> Improved health reduces poverty, inequality, and social tension.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Environmental Sustainability:</w:t>
      </w:r>
      <w:r>
        <w:rPr>
          <w:rFonts w:ascii="Cambria" w:hAnsi="Cambria" w:eastAsia="Cambria"/>
          <w:b w:val="0"/>
          <w:i w:val="0"/>
          <w:sz w:val="22"/>
        </w:rPr>
        <w:t xml:space="preserve"> Health outcomes are directly linked to clean water, air, and safe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Human Capital Building:</w:t>
      </w:r>
      <w:r>
        <w:rPr>
          <w:rFonts w:ascii="Cambria" w:hAnsi="Cambria" w:eastAsia="Cambria"/>
          <w:b w:val="0"/>
          <w:i w:val="0"/>
          <w:sz w:val="22"/>
        </w:rPr>
        <w:t xml:space="preserve"> Ensures that individuals live longer, healthier lives with better educational and professional potential.</w:t>
      </w:r>
    </w:p>
    <w:p>
      <w:pPr>
        <w:spacing w:line="276" w:lineRule="auto" w:after="120"/>
      </w:pPr>
      <w:r>
        <w:rPr>
          <w:rFonts w:ascii="Cambria" w:hAnsi="Cambria" w:eastAsia="Cambria"/>
          <w:b w:val="0"/>
          <w:i w:val="0"/>
          <w:sz w:val="22"/>
        </w:rPr>
        <w:t>Global Challenges Addressed by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Persistent health inequalities between developed and developing nations.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Shortage of medical personnel, especially in rural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Rising burden of NCDs due to lifestyle and environmental factors.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Increasing mental health issues and suicide rates.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Emerging pandemics (e.g., COVID-19) revealing gaps in global health infrastructure.</w:t>
      </w:r>
    </w:p>
    <w:p>
      <w:pPr>
        <w:spacing w:line="276" w:lineRule="auto" w:after="120"/>
      </w:pPr>
      <w:r>
        <w:rPr>
          <w:rFonts w:ascii="Cambria" w:hAnsi="Cambria" w:eastAsia="Cambria"/>
          <w:b w:val="0"/>
          <w:i w:val="0"/>
          <w:sz w:val="22"/>
        </w:rPr>
        <w:t>Strategies to Achieve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Strengthen Primary Healthcare Systems:</w:t>
      </w:r>
      <w:r>
        <w:rPr>
          <w:rFonts w:ascii="Cambria" w:hAnsi="Cambria" w:eastAsia="Cambria"/>
          <w:b w:val="0"/>
          <w:i w:val="0"/>
          <w:sz w:val="22"/>
        </w:rPr>
        <w:t xml:space="preserve"> Improve accessibility and affordability.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Invest in Public Health Infrastructure:</w:t>
      </w:r>
      <w:r>
        <w:rPr>
          <w:rFonts w:ascii="Cambria" w:hAnsi="Cambria" w:eastAsia="Cambria"/>
          <w:b w:val="0"/>
          <w:i w:val="0"/>
          <w:sz w:val="22"/>
        </w:rPr>
        <w:t xml:space="preserve"> Expand hospitals, laboratories, and community health centers.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Enhance Education and Awareness:</w:t>
      </w:r>
      <w:r>
        <w:rPr>
          <w:rFonts w:ascii="Cambria" w:hAnsi="Cambria" w:eastAsia="Cambria"/>
          <w:b w:val="0"/>
          <w:i w:val="0"/>
          <w:sz w:val="22"/>
        </w:rPr>
        <w:t xml:space="preserve"> Promote healthy lifestyles, nutrition, and mental health literacy.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Global Partnerships:</w:t>
      </w:r>
      <w:r>
        <w:rPr>
          <w:rFonts w:ascii="Cambria" w:hAnsi="Cambria" w:eastAsia="Cambria"/>
          <w:b w:val="0"/>
          <w:i w:val="0"/>
          <w:sz w:val="22"/>
        </w:rPr>
        <w:t xml:space="preserve"> Collaborate with WHO, UNICEF, and NGOs to deliver global health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Research and Innovation:</w:t>
      </w:r>
      <w:r>
        <w:rPr>
          <w:rFonts w:ascii="Cambria" w:hAnsi="Cambria" w:eastAsia="Cambria"/>
          <w:b w:val="0"/>
          <w:i w:val="0"/>
          <w:sz w:val="22"/>
        </w:rPr>
        <w:t xml:space="preserve"> Support R&amp;D for vaccines, disease prevention, and health technology.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Environmental Policies:</w:t>
      </w:r>
      <w:r>
        <w:rPr>
          <w:rFonts w:ascii="Cambria" w:hAnsi="Cambria" w:eastAsia="Cambria"/>
          <w:b w:val="0"/>
          <w:i w:val="0"/>
          <w:sz w:val="22"/>
        </w:rPr>
        <w:t xml:space="preserve"> Integrate pollution control and sanitation with public health measures.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Digital Health Initiatives:</w:t>
      </w:r>
      <w:r>
        <w:rPr>
          <w:rFonts w:ascii="Cambria" w:hAnsi="Cambria" w:eastAsia="Cambria"/>
          <w:b w:val="0"/>
          <w:i w:val="0"/>
          <w:sz w:val="22"/>
        </w:rPr>
        <w:t xml:space="preserve"> Use telemedicine, AI, and big data for health monitoring and predictive care.</w:t>
      </w:r>
    </w:p>
    <w:p>
      <w:pPr>
        <w:spacing w:line="276" w:lineRule="auto" w:after="120"/>
      </w:pPr>
      <w:r>
        <w:rPr>
          <w:rFonts w:ascii="Cambria" w:hAnsi="Cambria" w:eastAsia="Cambria"/>
          <w:b w:val="0"/>
          <w:i w:val="0"/>
          <w:sz w:val="22"/>
        </w:rPr>
        <w:t>Role of Higher Education Institutions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Incorporate SDG-3 education and research into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community health outreach programs and awareness campaigns.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government health missions for real-time intervention and training.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interdisciplinary research linking health, environment, and technology.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yoga, meditation, and counseling centers to promote mental and physical well-being.</w:t>
      </w:r>
    </w:p>
    <w:p>
      <w:pPr>
        <w:spacing w:line="276" w:lineRule="auto" w:after="120"/>
      </w:pPr>
      <w:r>
        <w:rPr>
          <w:rFonts w:ascii="Cambria" w:hAnsi="Cambria" w:eastAsia="Cambria"/>
          <w:b w:val="0"/>
          <w:i w:val="0"/>
          <w:sz w:val="22"/>
        </w:rPr>
        <w:t>India's Commitment to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National Health Mission (NHM) and Ayushman Bharat Yojana for universal health coverage.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Mission Indradhanush for full immunization of children.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National Mental Health Programme (NMHP) for psychological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Fit India Movement and Eat Right Campaign for lifestyle improvement.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Swachh Bharat Abhiyan and Jal Jeevan Mission for clean environment and hygiene.</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Decrease in maternal, neonatal, and under-five mortality rates.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Elimination of major communicable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Controlled growth of non-communicable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mental health awareness and access to treatment.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access to affordable, quality healthcare for all citizens.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Stronger health infrastructure and emergency preparedness.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SDG-3 (Good Health and Well-Being) is central to achieving all other Sustainable Development Goals because health directly influences education, poverty reduction, gender equality, and economic growth.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calls for a holistic, inclusive, and interdisciplinary approach, integrating medical sciences, policy, environment, and technology.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SDG-3 requires the collective commitment of governments, HEIs, industries, and communities to ensure that no one is left behind in the pursuit of a healthy and sustainable world by 2030.</w:t>
      </w:r>
    </w:p>
    <w:p>
      <w:pPr>
        <w:pageBreakBefore/>
        <w:spacing w:before="360" w:after="200"/>
      </w:pPr>
      <w:r>
        <w:rPr>
          <w:rFonts w:ascii="Cambria" w:hAnsi="Cambria" w:eastAsia="Cambria"/>
          <w:b/>
          <w:i w:val="0"/>
          <w:color w:val="1F3A5F"/>
          <w:sz w:val="32"/>
        </w:rPr>
        <w:t>2. United Nations Targets and Indicators for SDG-3: Good Health and Well-Being</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3 (SDG-3): Ensure healthy lives and promote well-being for all at all ages.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 To create global health equity through measurable reductions in mortality, improved healthcare systems, and enhanced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Framework: The UN has defined 13 targets and 28 indicators to measure global progress toward achieving SDG-3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Areas: Maternal and child health, communicable and non-communicable diseases, mental health, substance abuse, road safety, pollution control, healthcare access, and health workforce development.</w:t>
      </w:r>
    </w:p>
    <w:p>
      <w:pPr>
        <w:spacing w:line="276" w:lineRule="auto" w:after="120"/>
      </w:pPr>
      <w:r>
        <w:rPr>
          <w:rFonts w:ascii="Cambria" w:hAnsi="Cambria" w:eastAsia="Cambria"/>
          <w:b w:val="0"/>
          <w:i w:val="0"/>
          <w:sz w:val="22"/>
        </w:rPr>
        <w:t>UN Targets and Corresponding Indicators for SDG-3</w:t>
      </w:r>
    </w:p>
    <w:p>
      <w:pPr>
        <w:spacing w:before="200" w:after="120"/>
      </w:pPr>
      <w:r>
        <w:rPr>
          <w:rFonts w:ascii="Cambria" w:hAnsi="Cambria" w:eastAsia="Cambria"/>
          <w:b/>
          <w:i w:val="0"/>
          <w:color w:val="1F3A5F"/>
          <w:sz w:val="24"/>
        </w:rPr>
        <w:t>Target 3.1: Reduce Maternal Mortality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By 2030, reduce the global maternal mortality ratio to less than 70 per 100,000 live births.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3.1.1: Maternal mortality ratio.</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3.1.2: Proportion of births attended by skilled health personnel.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Strengthening maternal healthcare systems, training skilled midwives, and ensuring access to prenatal and postnatal care.</w:t>
      </w:r>
    </w:p>
    <w:p>
      <w:pPr>
        <w:spacing w:before="200" w:after="120"/>
      </w:pPr>
      <w:r>
        <w:rPr>
          <w:rFonts w:ascii="Cambria" w:hAnsi="Cambria" w:eastAsia="Cambria"/>
          <w:b/>
          <w:i w:val="0"/>
          <w:color w:val="1F3A5F"/>
          <w:sz w:val="24"/>
        </w:rPr>
        <w:t>Target 3.2: End Preventable Deaths of Newborns and Children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By 2030, reduce neonatal mortality to ≤12 per 1,000 and under-5 mortality to ≤25 per 1,000 live births.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3.2.1: Under-five mortality rate.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3.2.2: Neonatal mortality rate.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Immunization, nutrition, hygiene, and maternal health support.</w:t>
      </w:r>
    </w:p>
    <w:p>
      <w:pPr>
        <w:spacing w:before="200" w:after="120"/>
      </w:pPr>
      <w:r>
        <w:rPr>
          <w:rFonts w:ascii="Cambria" w:hAnsi="Cambria" w:eastAsia="Cambria"/>
          <w:b/>
          <w:i w:val="0"/>
          <w:color w:val="1F3A5F"/>
          <w:sz w:val="24"/>
        </w:rPr>
        <w:t>Target 3.3: End Epidemics and Combat Communicable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By 2030, end epidemics of AIDS, tuberculosis, malaria, and neglected tropical diseases, and reduce hepatitis and water-borne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3.3.1: New HIV infections per 1,000 uninfected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3.3.2: Tuberculosis incidence per 1,000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3.3.3: Malaria incidence per 1,000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3.3.4: Hepatitis B incidence per 100,000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3.3.5: Number of people requiring interventions against neglected tropical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Vaccination, sanitation, clean water access, and disease surveillance.</w:t>
      </w:r>
    </w:p>
    <w:p>
      <w:pPr>
        <w:spacing w:before="200" w:after="120"/>
      </w:pPr>
      <w:r>
        <w:rPr>
          <w:rFonts w:ascii="Cambria" w:hAnsi="Cambria" w:eastAsia="Cambria"/>
          <w:b/>
          <w:i w:val="0"/>
          <w:color w:val="1F3A5F"/>
          <w:sz w:val="24"/>
        </w:rPr>
        <w:t>Target 3.4: Reduce Premature Mortality and Promote Mental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By 2030, reduce premature mortality from NCDs by one-third and strengthen mental health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3.4.1: Mortality rate from cardiovascular disease, cancer, diabetes, or chronic respiratory diseases.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3.4.2: Suicide mortality rate.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Lifestyle changes, preventive screenings, mental health awareness, and early intervention.</w:t>
      </w:r>
    </w:p>
    <w:p>
      <w:pPr>
        <w:spacing w:before="200" w:after="120"/>
      </w:pPr>
      <w:r>
        <w:rPr>
          <w:rFonts w:ascii="Cambria" w:hAnsi="Cambria" w:eastAsia="Cambria"/>
          <w:b/>
          <w:i w:val="0"/>
          <w:color w:val="1F3A5F"/>
          <w:sz w:val="24"/>
        </w:rPr>
        <w:t>Target 3.5: Strengthen Prevention and Treatment of Substance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Prevent and treat drug addiction and harmful use of alcohol.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3.5.1: Coverage of treatment interventions for substance use disorders.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3.5.2: Harmful use of alcohol (liters of pure alcohol per capita per year).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Awareness campaigns, rehabilitation programs, and community-based de-addiction centers.</w:t>
      </w:r>
    </w:p>
    <w:p>
      <w:pPr>
        <w:spacing w:before="200" w:after="120"/>
      </w:pPr>
      <w:r>
        <w:rPr>
          <w:rFonts w:ascii="Cambria" w:hAnsi="Cambria" w:eastAsia="Cambria"/>
          <w:b/>
          <w:i w:val="0"/>
          <w:color w:val="1F3A5F"/>
          <w:sz w:val="24"/>
        </w:rPr>
        <w:t>Target 3.6: Halve Road Traffic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By 2020, halve global deaths and injuries from road traffic accidents.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3.6.1: Death rate due to road traffic injuries.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Road safety education, infrastructure, and first-aid training.</w:t>
      </w:r>
    </w:p>
    <w:p>
      <w:pPr>
        <w:spacing w:before="200" w:after="120"/>
      </w:pPr>
      <w:r>
        <w:rPr>
          <w:rFonts w:ascii="Cambria" w:hAnsi="Cambria" w:eastAsia="Cambria"/>
          <w:b/>
          <w:i w:val="0"/>
          <w:color w:val="1F3A5F"/>
          <w:sz w:val="24"/>
        </w:rPr>
        <w:t>Target 3.7: Ensure Universal Access to Sexual and Reproductive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By 2030, provide universal access to reproductive health services and integrate them into national strategies.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3.7.1: Proportion of women (15–49 years) whose need for family planning is met with modern methods.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3.7.2: Adolescent birth rate (10–14 and 15–19 years) per 1,000 women.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Women's empowerment, family planning, sexual education, and adolescent health programs.</w:t>
      </w:r>
    </w:p>
    <w:p>
      <w:pPr>
        <w:spacing w:before="200" w:after="120"/>
      </w:pPr>
      <w:r>
        <w:rPr>
          <w:rFonts w:ascii="Cambria" w:hAnsi="Cambria" w:eastAsia="Cambria"/>
          <w:b/>
          <w:i w:val="0"/>
          <w:color w:val="1F3A5F"/>
          <w:sz w:val="24"/>
        </w:rPr>
        <w:t>Target 3.8: Achieve Universal Health Coverage (UHC)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Ensure financial protection and access to quality healthcare, medicines, and vaccines for all.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3.8.1: Coverage of essential health services.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3.8.2: Proportion of population facing large health expenditures relative to income.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Health insurance, affordable medicine, and equitable healthcare access.</w:t>
      </w:r>
    </w:p>
    <w:p>
      <w:pPr>
        <w:spacing w:before="200" w:after="120"/>
      </w:pPr>
      <w:r>
        <w:rPr>
          <w:rFonts w:ascii="Cambria" w:hAnsi="Cambria" w:eastAsia="Cambria"/>
          <w:b/>
          <w:i w:val="0"/>
          <w:color w:val="1F3A5F"/>
          <w:sz w:val="24"/>
        </w:rPr>
        <w:t>Target 3.9: Reduce Deaths from Pollution and Hazardous Chemicals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By 2030, significantly reduce deaths caused by air, water, and soil pollution.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3.9.1: Mortality rate attributed to household and ambient air pollution.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3.9.2: Mortality rate from unsafe water, sanitation, and hygiene (WASH).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3.9.3: Mortality rate from unintentional poisoning.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Clean energy, waste management, and environmental health safeguards.</w:t>
      </w:r>
    </w:p>
    <w:p>
      <w:pPr>
        <w:spacing w:before="200" w:after="120"/>
      </w:pPr>
      <w:r>
        <w:rPr>
          <w:rFonts w:ascii="Cambria" w:hAnsi="Cambria" w:eastAsia="Cambria"/>
          <w:b/>
          <w:i w:val="0"/>
          <w:color w:val="1F3A5F"/>
          <w:sz w:val="24"/>
        </w:rPr>
        <w:t>Target 3.A: Strengthen Tobacco Control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Implement the WHO Framework Convention on Tobacco Control.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3.A.1: Age-standardized prevalence of tobacco use among people aged 15+.</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Anti-smoking laws, public awareness, and cessation programs.</w:t>
      </w:r>
    </w:p>
    <w:p>
      <w:pPr>
        <w:spacing w:before="200" w:after="120"/>
      </w:pPr>
      <w:r>
        <w:rPr>
          <w:rFonts w:ascii="Cambria" w:hAnsi="Cambria" w:eastAsia="Cambria"/>
          <w:b/>
          <w:i w:val="0"/>
          <w:color w:val="1F3A5F"/>
          <w:sz w:val="24"/>
        </w:rPr>
        <w:t>Target 3.B: Support Research, Development, and Access to Medicines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Promote R&amp;D of medicines and vaccines for developing nations and ensure affordability and accessibility.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3.B.1: Proportion of population covered by all national vaccines.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3.B.2: Official development assistance to medical research and basic health sectors.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3.B.3: Availability of essential medicines in health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Pharma innovation, equitable distribution, and global health equity.</w:t>
      </w:r>
    </w:p>
    <w:p>
      <w:pPr>
        <w:spacing w:before="200" w:after="120"/>
      </w:pPr>
      <w:r>
        <w:rPr>
          <w:rFonts w:ascii="Cambria" w:hAnsi="Cambria" w:eastAsia="Cambria"/>
          <w:b/>
          <w:i w:val="0"/>
          <w:color w:val="1F3A5F"/>
          <w:sz w:val="24"/>
        </w:rPr>
        <w:t>Target 3.C: Strengthen Health Financing and Workforce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Substantially increase health financing and workforce capacity, especially in developing countries.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3.C.1: Health worker density and distribution.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Training, recruitment, and retention of healthcare professionals.</w:t>
      </w:r>
    </w:p>
    <w:p>
      <w:pPr>
        <w:spacing w:before="200" w:after="120"/>
      </w:pPr>
      <w:r>
        <w:rPr>
          <w:rFonts w:ascii="Cambria" w:hAnsi="Cambria" w:eastAsia="Cambria"/>
          <w:b/>
          <w:i w:val="0"/>
          <w:color w:val="1F3A5F"/>
          <w:sz w:val="24"/>
        </w:rPr>
        <w:t>Target 3.D: Strengthen Global Health Risk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Enhance early warning, preparedness, and response capacity for global health emergencies.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3.D.1: International Health Regulations (IHR) capacity and preparedness.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3.D.2: Percentage of bloodstream infections due to antimicrobial resistance.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Pandemic readiness, health surveillance, and antimicrobial resistance management.</w:t>
      </w:r>
    </w:p>
    <w:p>
      <w:pPr>
        <w:spacing w:line="276" w:lineRule="auto" w:after="120"/>
      </w:pPr>
      <w:r>
        <w:rPr>
          <w:rFonts w:ascii="Cambria" w:hAnsi="Cambria" w:eastAsia="Cambria"/>
          <w:b w:val="0"/>
          <w:i w:val="0"/>
          <w:sz w:val="22"/>
        </w:rPr>
        <w:t>Summary Table: UN SDG-3 Targets and Indicators</w:t>
      </w:r>
    </w:p>
    <w:tbl>
      <w:tblPr>
        <w:tblW w:type="auto" w:w="0"/>
        <w:jc w:val="center"/>
        <w:tblLook w:firstColumn="1" w:firstRow="1" w:lastColumn="0" w:lastRow="0" w:noHBand="0" w:noVBand="1" w:val="04A0"/>
        <w:tblLayout w:type="fixed"/>
      </w:tblPr>
      <w:tblGrid>
        <w:gridCol w:w="1020"/>
        <w:gridCol w:w="5386"/>
        <w:gridCol w:w="2835"/>
      </w:tblGrid>
      <w:tr>
        <w:tc>
          <w:tcPr>
            <w:tcW w:type="dxa" w:w="1020"/>
            <w:shd w:val="clear" w:color="auto" w:fill="1F3A5F"/>
            <w:tcW w:w="1020" w:type="dxa"/>
          </w:tcPr>
          <w:p>
            <w:r>
              <w:rPr>
                <w:rFonts w:ascii="Cambria" w:hAnsi="Cambria" w:eastAsia="Cambria"/>
                <w:b/>
                <w:i w:val="0"/>
                <w:color w:val="FFFFFF"/>
                <w:sz w:val="22"/>
              </w:rPr>
              <w:t>Target</w:t>
            </w:r>
          </w:p>
        </w:tc>
        <w:tc>
          <w:tcPr>
            <w:tcW w:type="dxa" w:w="5386"/>
            <w:shd w:val="clear" w:color="auto" w:fill="1F3A5F"/>
            <w:tcW w:w="5386" w:type="dxa"/>
          </w:tcPr>
          <w:p>
            <w:r>
              <w:rPr>
                <w:rFonts w:ascii="Cambria" w:hAnsi="Cambria" w:eastAsia="Cambria"/>
                <w:b/>
                <w:i w:val="0"/>
                <w:color w:val="FFFFFF"/>
                <w:sz w:val="22"/>
              </w:rPr>
              <w:t>Goal Summary</w:t>
            </w:r>
          </w:p>
        </w:tc>
        <w:tc>
          <w:tcPr>
            <w:tcW w:type="dxa" w:w="2835"/>
            <w:shd w:val="clear" w:color="auto" w:fill="1F3A5F"/>
            <w:tcW w:w="2835" w:type="dxa"/>
          </w:tcPr>
          <w:p>
            <w:r>
              <w:rPr>
                <w:rFonts w:ascii="Cambria" w:hAnsi="Cambria" w:eastAsia="Cambria"/>
                <w:b/>
                <w:i w:val="0"/>
                <w:color w:val="FFFFFF"/>
                <w:sz w:val="22"/>
              </w:rPr>
              <w:t>Key Indicators</w:t>
            </w:r>
          </w:p>
        </w:tc>
      </w:tr>
      <w:tr>
        <w:tc>
          <w:tcPr>
            <w:tcW w:type="dxa" w:w="1020"/>
            <w:tcW w:w="1020" w:type="dxa"/>
          </w:tcPr>
          <w:p>
            <w:r>
              <w:rPr>
                <w:rFonts w:ascii="Cambria" w:hAnsi="Cambria" w:eastAsia="Cambria"/>
                <w:b w:val="0"/>
                <w:i w:val="0"/>
                <w:sz w:val="22"/>
              </w:rPr>
              <w:t>3.1</w:t>
            </w:r>
          </w:p>
        </w:tc>
        <w:tc>
          <w:tcPr>
            <w:tcW w:type="dxa" w:w="5386"/>
            <w:tcW w:w="5386" w:type="dxa"/>
          </w:tcPr>
          <w:p>
            <w:r>
              <w:rPr>
                <w:rFonts w:ascii="Cambria" w:hAnsi="Cambria" w:eastAsia="Cambria"/>
                <w:b w:val="0"/>
                <w:i w:val="0"/>
                <w:sz w:val="22"/>
              </w:rPr>
              <w:t>Reduce maternal mortality</w:t>
            </w:r>
          </w:p>
        </w:tc>
        <w:tc>
          <w:tcPr>
            <w:tcW w:type="dxa" w:w="2835"/>
            <w:tcW w:w="2835" w:type="dxa"/>
          </w:tcPr>
          <w:p>
            <w:r>
              <w:rPr>
                <w:rFonts w:ascii="Cambria" w:hAnsi="Cambria" w:eastAsia="Cambria"/>
                <w:b w:val="0"/>
                <w:i w:val="0"/>
                <w:sz w:val="22"/>
              </w:rPr>
              <w:t>3.1.1, 3.1.2</w:t>
            </w:r>
          </w:p>
        </w:tc>
      </w:tr>
      <w:tr>
        <w:tc>
          <w:tcPr>
            <w:tcW w:type="dxa" w:w="1020"/>
            <w:shd w:val="clear" w:color="auto" w:fill="DCE6F1"/>
            <w:tcW w:w="1020" w:type="dxa"/>
          </w:tcPr>
          <w:p>
            <w:r>
              <w:rPr>
                <w:rFonts w:ascii="Cambria" w:hAnsi="Cambria" w:eastAsia="Cambria"/>
                <w:b w:val="0"/>
                <w:i w:val="0"/>
                <w:sz w:val="22"/>
              </w:rPr>
              <w:t>3.2</w:t>
            </w:r>
          </w:p>
        </w:tc>
        <w:tc>
          <w:tcPr>
            <w:tcW w:type="dxa" w:w="5386"/>
            <w:shd w:val="clear" w:color="auto" w:fill="DCE6F1"/>
            <w:tcW w:w="5386" w:type="dxa"/>
          </w:tcPr>
          <w:p>
            <w:r>
              <w:rPr>
                <w:rFonts w:ascii="Cambria" w:hAnsi="Cambria" w:eastAsia="Cambria"/>
                <w:b w:val="0"/>
                <w:i w:val="0"/>
                <w:sz w:val="22"/>
              </w:rPr>
              <w:t>End preventable deaths of newborns and children</w:t>
            </w:r>
          </w:p>
        </w:tc>
        <w:tc>
          <w:tcPr>
            <w:tcW w:type="dxa" w:w="2835"/>
            <w:shd w:val="clear" w:color="auto" w:fill="DCE6F1"/>
            <w:tcW w:w="2835" w:type="dxa"/>
          </w:tcPr>
          <w:p>
            <w:r>
              <w:rPr>
                <w:rFonts w:ascii="Cambria" w:hAnsi="Cambria" w:eastAsia="Cambria"/>
                <w:b w:val="0"/>
                <w:i w:val="0"/>
                <w:sz w:val="22"/>
              </w:rPr>
              <w:t>3.2.1, 3.2.2</w:t>
            </w:r>
          </w:p>
        </w:tc>
      </w:tr>
      <w:tr>
        <w:tc>
          <w:tcPr>
            <w:tcW w:type="dxa" w:w="1020"/>
            <w:tcW w:w="1020" w:type="dxa"/>
          </w:tcPr>
          <w:p>
            <w:r>
              <w:rPr>
                <w:rFonts w:ascii="Cambria" w:hAnsi="Cambria" w:eastAsia="Cambria"/>
                <w:b w:val="0"/>
                <w:i w:val="0"/>
                <w:sz w:val="22"/>
              </w:rPr>
              <w:t>3.3</w:t>
            </w:r>
          </w:p>
        </w:tc>
        <w:tc>
          <w:tcPr>
            <w:tcW w:type="dxa" w:w="5386"/>
            <w:tcW w:w="5386" w:type="dxa"/>
          </w:tcPr>
          <w:p>
            <w:r>
              <w:rPr>
                <w:rFonts w:ascii="Cambria" w:hAnsi="Cambria" w:eastAsia="Cambria"/>
                <w:b w:val="0"/>
                <w:i w:val="0"/>
                <w:sz w:val="22"/>
              </w:rPr>
              <w:t>End epidemics and combat communicable diseases</w:t>
            </w:r>
          </w:p>
        </w:tc>
        <w:tc>
          <w:tcPr>
            <w:tcW w:type="dxa" w:w="2835"/>
            <w:tcW w:w="2835" w:type="dxa"/>
          </w:tcPr>
          <w:p>
            <w:r>
              <w:rPr>
                <w:rFonts w:ascii="Cambria" w:hAnsi="Cambria" w:eastAsia="Cambria"/>
                <w:b w:val="0"/>
                <w:i w:val="0"/>
                <w:sz w:val="22"/>
              </w:rPr>
              <w:t>3.3.1–3.3.5</w:t>
            </w:r>
          </w:p>
        </w:tc>
      </w:tr>
      <w:tr>
        <w:tc>
          <w:tcPr>
            <w:tcW w:type="dxa" w:w="1020"/>
            <w:shd w:val="clear" w:color="auto" w:fill="DCE6F1"/>
            <w:tcW w:w="1020" w:type="dxa"/>
          </w:tcPr>
          <w:p>
            <w:r>
              <w:rPr>
                <w:rFonts w:ascii="Cambria" w:hAnsi="Cambria" w:eastAsia="Cambria"/>
                <w:b w:val="0"/>
                <w:i w:val="0"/>
                <w:sz w:val="22"/>
              </w:rPr>
              <w:t>3.4</w:t>
            </w:r>
          </w:p>
        </w:tc>
        <w:tc>
          <w:tcPr>
            <w:tcW w:type="dxa" w:w="5386"/>
            <w:shd w:val="clear" w:color="auto" w:fill="DCE6F1"/>
            <w:tcW w:w="5386" w:type="dxa"/>
          </w:tcPr>
          <w:p>
            <w:r>
              <w:rPr>
                <w:rFonts w:ascii="Cambria" w:hAnsi="Cambria" w:eastAsia="Cambria"/>
                <w:b w:val="0"/>
                <w:i w:val="0"/>
                <w:sz w:val="22"/>
              </w:rPr>
              <w:t>Reduce premature mortality and promote mental health</w:t>
            </w:r>
          </w:p>
        </w:tc>
        <w:tc>
          <w:tcPr>
            <w:tcW w:type="dxa" w:w="2835"/>
            <w:shd w:val="clear" w:color="auto" w:fill="DCE6F1"/>
            <w:tcW w:w="2835" w:type="dxa"/>
          </w:tcPr>
          <w:p>
            <w:r>
              <w:rPr>
                <w:rFonts w:ascii="Cambria" w:hAnsi="Cambria" w:eastAsia="Cambria"/>
                <w:b w:val="0"/>
                <w:i w:val="0"/>
                <w:sz w:val="22"/>
              </w:rPr>
              <w:t>3.4.1, 3.4.2</w:t>
            </w:r>
          </w:p>
        </w:tc>
      </w:tr>
      <w:tr>
        <w:tc>
          <w:tcPr>
            <w:tcW w:type="dxa" w:w="1020"/>
            <w:tcW w:w="1020" w:type="dxa"/>
          </w:tcPr>
          <w:p>
            <w:r>
              <w:rPr>
                <w:rFonts w:ascii="Cambria" w:hAnsi="Cambria" w:eastAsia="Cambria"/>
                <w:b w:val="0"/>
                <w:i w:val="0"/>
                <w:sz w:val="22"/>
              </w:rPr>
              <w:t>3.5</w:t>
            </w:r>
          </w:p>
        </w:tc>
        <w:tc>
          <w:tcPr>
            <w:tcW w:type="dxa" w:w="5386"/>
            <w:tcW w:w="5386" w:type="dxa"/>
          </w:tcPr>
          <w:p>
            <w:r>
              <w:rPr>
                <w:rFonts w:ascii="Cambria" w:hAnsi="Cambria" w:eastAsia="Cambria"/>
                <w:b w:val="0"/>
                <w:i w:val="0"/>
                <w:sz w:val="22"/>
              </w:rPr>
              <w:t>Prevent substance abuse</w:t>
            </w:r>
          </w:p>
        </w:tc>
        <w:tc>
          <w:tcPr>
            <w:tcW w:type="dxa" w:w="2835"/>
            <w:tcW w:w="2835" w:type="dxa"/>
          </w:tcPr>
          <w:p>
            <w:r>
              <w:rPr>
                <w:rFonts w:ascii="Cambria" w:hAnsi="Cambria" w:eastAsia="Cambria"/>
                <w:b w:val="0"/>
                <w:i w:val="0"/>
                <w:sz w:val="22"/>
              </w:rPr>
              <w:t>3.5.1, 3.5.2</w:t>
            </w:r>
          </w:p>
        </w:tc>
      </w:tr>
      <w:tr>
        <w:tc>
          <w:tcPr>
            <w:tcW w:type="dxa" w:w="1020"/>
            <w:shd w:val="clear" w:color="auto" w:fill="DCE6F1"/>
            <w:tcW w:w="1020" w:type="dxa"/>
          </w:tcPr>
          <w:p>
            <w:r>
              <w:rPr>
                <w:rFonts w:ascii="Cambria" w:hAnsi="Cambria" w:eastAsia="Cambria"/>
                <w:b w:val="0"/>
                <w:i w:val="0"/>
                <w:sz w:val="22"/>
              </w:rPr>
              <w:t>3.6</w:t>
            </w:r>
          </w:p>
        </w:tc>
        <w:tc>
          <w:tcPr>
            <w:tcW w:type="dxa" w:w="5386"/>
            <w:shd w:val="clear" w:color="auto" w:fill="DCE6F1"/>
            <w:tcW w:w="5386" w:type="dxa"/>
          </w:tcPr>
          <w:p>
            <w:r>
              <w:rPr>
                <w:rFonts w:ascii="Cambria" w:hAnsi="Cambria" w:eastAsia="Cambria"/>
                <w:b w:val="0"/>
                <w:i w:val="0"/>
                <w:sz w:val="22"/>
              </w:rPr>
              <w:t>Halve road traffic deaths</w:t>
            </w:r>
          </w:p>
        </w:tc>
        <w:tc>
          <w:tcPr>
            <w:tcW w:type="dxa" w:w="2835"/>
            <w:shd w:val="clear" w:color="auto" w:fill="DCE6F1"/>
            <w:tcW w:w="2835" w:type="dxa"/>
          </w:tcPr>
          <w:p>
            <w:r>
              <w:rPr>
                <w:rFonts w:ascii="Cambria" w:hAnsi="Cambria" w:eastAsia="Cambria"/>
                <w:b w:val="0"/>
                <w:i w:val="0"/>
                <w:sz w:val="22"/>
              </w:rPr>
              <w:t>3.6.1</w:t>
            </w:r>
          </w:p>
        </w:tc>
      </w:tr>
      <w:tr>
        <w:tc>
          <w:tcPr>
            <w:tcW w:type="dxa" w:w="1020"/>
            <w:tcW w:w="1020" w:type="dxa"/>
          </w:tcPr>
          <w:p>
            <w:r>
              <w:rPr>
                <w:rFonts w:ascii="Cambria" w:hAnsi="Cambria" w:eastAsia="Cambria"/>
                <w:b w:val="0"/>
                <w:i w:val="0"/>
                <w:sz w:val="22"/>
              </w:rPr>
              <w:t>3.7</w:t>
            </w:r>
          </w:p>
        </w:tc>
        <w:tc>
          <w:tcPr>
            <w:tcW w:type="dxa" w:w="5386"/>
            <w:tcW w:w="5386" w:type="dxa"/>
          </w:tcPr>
          <w:p>
            <w:r>
              <w:rPr>
                <w:rFonts w:ascii="Cambria" w:hAnsi="Cambria" w:eastAsia="Cambria"/>
                <w:b w:val="0"/>
                <w:i w:val="0"/>
                <w:sz w:val="22"/>
              </w:rPr>
              <w:t>Ensure reproductive healthcare</w:t>
            </w:r>
          </w:p>
        </w:tc>
        <w:tc>
          <w:tcPr>
            <w:tcW w:type="dxa" w:w="2835"/>
            <w:tcW w:w="2835" w:type="dxa"/>
          </w:tcPr>
          <w:p>
            <w:r>
              <w:rPr>
                <w:rFonts w:ascii="Cambria" w:hAnsi="Cambria" w:eastAsia="Cambria"/>
                <w:b w:val="0"/>
                <w:i w:val="0"/>
                <w:sz w:val="22"/>
              </w:rPr>
              <w:t>3.7.1, 3.7.2</w:t>
            </w:r>
          </w:p>
        </w:tc>
      </w:tr>
      <w:tr>
        <w:tc>
          <w:tcPr>
            <w:tcW w:type="dxa" w:w="1020"/>
            <w:shd w:val="clear" w:color="auto" w:fill="DCE6F1"/>
            <w:tcW w:w="1020" w:type="dxa"/>
          </w:tcPr>
          <w:p>
            <w:r>
              <w:rPr>
                <w:rFonts w:ascii="Cambria" w:hAnsi="Cambria" w:eastAsia="Cambria"/>
                <w:b w:val="0"/>
                <w:i w:val="0"/>
                <w:sz w:val="22"/>
              </w:rPr>
              <w:t>3.8</w:t>
            </w:r>
          </w:p>
        </w:tc>
        <w:tc>
          <w:tcPr>
            <w:tcW w:type="dxa" w:w="5386"/>
            <w:shd w:val="clear" w:color="auto" w:fill="DCE6F1"/>
            <w:tcW w:w="5386" w:type="dxa"/>
          </w:tcPr>
          <w:p>
            <w:r>
              <w:rPr>
                <w:rFonts w:ascii="Cambria" w:hAnsi="Cambria" w:eastAsia="Cambria"/>
                <w:b w:val="0"/>
                <w:i w:val="0"/>
                <w:sz w:val="22"/>
              </w:rPr>
              <w:t>Achieve universal healthcare</w:t>
            </w:r>
          </w:p>
        </w:tc>
        <w:tc>
          <w:tcPr>
            <w:tcW w:type="dxa" w:w="2835"/>
            <w:shd w:val="clear" w:color="auto" w:fill="DCE6F1"/>
            <w:tcW w:w="2835" w:type="dxa"/>
          </w:tcPr>
          <w:p>
            <w:r>
              <w:rPr>
                <w:rFonts w:ascii="Cambria" w:hAnsi="Cambria" w:eastAsia="Cambria"/>
                <w:b w:val="0"/>
                <w:i w:val="0"/>
                <w:sz w:val="22"/>
              </w:rPr>
              <w:t>3.8.1, 3.8.2</w:t>
            </w:r>
          </w:p>
        </w:tc>
      </w:tr>
      <w:tr>
        <w:tc>
          <w:tcPr>
            <w:tcW w:type="dxa" w:w="1020"/>
            <w:tcW w:w="1020" w:type="dxa"/>
          </w:tcPr>
          <w:p>
            <w:r>
              <w:rPr>
                <w:rFonts w:ascii="Cambria" w:hAnsi="Cambria" w:eastAsia="Cambria"/>
                <w:b w:val="0"/>
                <w:i w:val="0"/>
                <w:sz w:val="22"/>
              </w:rPr>
              <w:t>3.9</w:t>
            </w:r>
          </w:p>
        </w:tc>
        <w:tc>
          <w:tcPr>
            <w:tcW w:type="dxa" w:w="5386"/>
            <w:tcW w:w="5386" w:type="dxa"/>
          </w:tcPr>
          <w:p>
            <w:r>
              <w:rPr>
                <w:rFonts w:ascii="Cambria" w:hAnsi="Cambria" w:eastAsia="Cambria"/>
                <w:b w:val="0"/>
                <w:i w:val="0"/>
                <w:sz w:val="22"/>
              </w:rPr>
              <w:t>Reduce deaths from pollution</w:t>
            </w:r>
          </w:p>
        </w:tc>
        <w:tc>
          <w:tcPr>
            <w:tcW w:type="dxa" w:w="2835"/>
            <w:tcW w:w="2835" w:type="dxa"/>
          </w:tcPr>
          <w:p>
            <w:r>
              <w:rPr>
                <w:rFonts w:ascii="Cambria" w:hAnsi="Cambria" w:eastAsia="Cambria"/>
                <w:b w:val="0"/>
                <w:i w:val="0"/>
                <w:sz w:val="22"/>
              </w:rPr>
              <w:t>3.9.1–3.9.3</w:t>
            </w:r>
          </w:p>
        </w:tc>
      </w:tr>
      <w:tr>
        <w:tc>
          <w:tcPr>
            <w:tcW w:type="dxa" w:w="1020"/>
            <w:shd w:val="clear" w:color="auto" w:fill="DCE6F1"/>
            <w:tcW w:w="1020" w:type="dxa"/>
          </w:tcPr>
          <w:p>
            <w:r>
              <w:rPr>
                <w:rFonts w:ascii="Cambria" w:hAnsi="Cambria" w:eastAsia="Cambria"/>
                <w:b w:val="0"/>
                <w:i w:val="0"/>
                <w:sz w:val="22"/>
              </w:rPr>
              <w:t>3.A</w:t>
            </w:r>
          </w:p>
        </w:tc>
        <w:tc>
          <w:tcPr>
            <w:tcW w:type="dxa" w:w="5386"/>
            <w:shd w:val="clear" w:color="auto" w:fill="DCE6F1"/>
            <w:tcW w:w="5386" w:type="dxa"/>
          </w:tcPr>
          <w:p>
            <w:r>
              <w:rPr>
                <w:rFonts w:ascii="Cambria" w:hAnsi="Cambria" w:eastAsia="Cambria"/>
                <w:b w:val="0"/>
                <w:i w:val="0"/>
                <w:sz w:val="22"/>
              </w:rPr>
              <w:t>Strengthen tobacco control</w:t>
            </w:r>
          </w:p>
        </w:tc>
        <w:tc>
          <w:tcPr>
            <w:tcW w:type="dxa" w:w="2835"/>
            <w:shd w:val="clear" w:color="auto" w:fill="DCE6F1"/>
            <w:tcW w:w="2835" w:type="dxa"/>
          </w:tcPr>
          <w:p>
            <w:r>
              <w:rPr>
                <w:rFonts w:ascii="Cambria" w:hAnsi="Cambria" w:eastAsia="Cambria"/>
                <w:b w:val="0"/>
                <w:i w:val="0"/>
                <w:sz w:val="22"/>
              </w:rPr>
              <w:t>3.A.1</w:t>
            </w:r>
          </w:p>
        </w:tc>
      </w:tr>
      <w:tr>
        <w:tc>
          <w:tcPr>
            <w:tcW w:type="dxa" w:w="1020"/>
            <w:tcW w:w="1020" w:type="dxa"/>
          </w:tcPr>
          <w:p>
            <w:r>
              <w:rPr>
                <w:rFonts w:ascii="Cambria" w:hAnsi="Cambria" w:eastAsia="Cambria"/>
                <w:b w:val="0"/>
                <w:i w:val="0"/>
                <w:sz w:val="22"/>
              </w:rPr>
              <w:t>3.B</w:t>
            </w:r>
          </w:p>
        </w:tc>
        <w:tc>
          <w:tcPr>
            <w:tcW w:type="dxa" w:w="5386"/>
            <w:tcW w:w="5386" w:type="dxa"/>
          </w:tcPr>
          <w:p>
            <w:r>
              <w:rPr>
                <w:rFonts w:ascii="Cambria" w:hAnsi="Cambria" w:eastAsia="Cambria"/>
                <w:b w:val="0"/>
                <w:i w:val="0"/>
                <w:sz w:val="22"/>
              </w:rPr>
              <w:t>Support medical R&amp;D and access</w:t>
            </w:r>
          </w:p>
        </w:tc>
        <w:tc>
          <w:tcPr>
            <w:tcW w:type="dxa" w:w="2835"/>
            <w:tcW w:w="2835" w:type="dxa"/>
          </w:tcPr>
          <w:p>
            <w:r>
              <w:rPr>
                <w:rFonts w:ascii="Cambria" w:hAnsi="Cambria" w:eastAsia="Cambria"/>
                <w:b w:val="0"/>
                <w:i w:val="0"/>
                <w:sz w:val="22"/>
              </w:rPr>
              <w:t>3.B.1–3.B.3</w:t>
            </w:r>
          </w:p>
        </w:tc>
      </w:tr>
      <w:tr>
        <w:tc>
          <w:tcPr>
            <w:tcW w:type="dxa" w:w="1020"/>
            <w:shd w:val="clear" w:color="auto" w:fill="DCE6F1"/>
            <w:tcW w:w="1020" w:type="dxa"/>
          </w:tcPr>
          <w:p>
            <w:r>
              <w:rPr>
                <w:rFonts w:ascii="Cambria" w:hAnsi="Cambria" w:eastAsia="Cambria"/>
                <w:b w:val="0"/>
                <w:i w:val="0"/>
                <w:sz w:val="22"/>
              </w:rPr>
              <w:t>3.C</w:t>
            </w:r>
          </w:p>
        </w:tc>
        <w:tc>
          <w:tcPr>
            <w:tcW w:type="dxa" w:w="5386"/>
            <w:shd w:val="clear" w:color="auto" w:fill="DCE6F1"/>
            <w:tcW w:w="5386" w:type="dxa"/>
          </w:tcPr>
          <w:p>
            <w:r>
              <w:rPr>
                <w:rFonts w:ascii="Cambria" w:hAnsi="Cambria" w:eastAsia="Cambria"/>
                <w:b w:val="0"/>
                <w:i w:val="0"/>
                <w:sz w:val="22"/>
              </w:rPr>
              <w:t>Increase health workforce and funding</w:t>
            </w:r>
          </w:p>
        </w:tc>
        <w:tc>
          <w:tcPr>
            <w:tcW w:type="dxa" w:w="2835"/>
            <w:shd w:val="clear" w:color="auto" w:fill="DCE6F1"/>
            <w:tcW w:w="2835" w:type="dxa"/>
          </w:tcPr>
          <w:p>
            <w:r>
              <w:rPr>
                <w:rFonts w:ascii="Cambria" w:hAnsi="Cambria" w:eastAsia="Cambria"/>
                <w:b w:val="0"/>
                <w:i w:val="0"/>
                <w:sz w:val="22"/>
              </w:rPr>
              <w:t>3.C.1</w:t>
            </w:r>
          </w:p>
        </w:tc>
      </w:tr>
      <w:tr>
        <w:tc>
          <w:tcPr>
            <w:tcW w:type="dxa" w:w="1020"/>
            <w:tcW w:w="1020" w:type="dxa"/>
          </w:tcPr>
          <w:p>
            <w:r>
              <w:rPr>
                <w:rFonts w:ascii="Cambria" w:hAnsi="Cambria" w:eastAsia="Cambria"/>
                <w:b w:val="0"/>
                <w:i w:val="0"/>
                <w:sz w:val="22"/>
              </w:rPr>
              <w:t>3.D</w:t>
            </w:r>
          </w:p>
        </w:tc>
        <w:tc>
          <w:tcPr>
            <w:tcW w:type="dxa" w:w="5386"/>
            <w:tcW w:w="5386" w:type="dxa"/>
          </w:tcPr>
          <w:p>
            <w:r>
              <w:rPr>
                <w:rFonts w:ascii="Cambria" w:hAnsi="Cambria" w:eastAsia="Cambria"/>
                <w:b w:val="0"/>
                <w:i w:val="0"/>
                <w:sz w:val="22"/>
              </w:rPr>
              <w:t>Strengthen health emergency management</w:t>
            </w:r>
          </w:p>
        </w:tc>
        <w:tc>
          <w:tcPr>
            <w:tcW w:type="dxa" w:w="2835"/>
            <w:tcW w:w="2835" w:type="dxa"/>
          </w:tcPr>
          <w:p>
            <w:r>
              <w:rPr>
                <w:rFonts w:ascii="Cambria" w:hAnsi="Cambria" w:eastAsia="Cambria"/>
                <w:b w:val="0"/>
                <w:i w:val="0"/>
                <w:sz w:val="22"/>
              </w:rPr>
              <w:t>3.D.1, 3.D.2</w:t>
            </w:r>
          </w:p>
        </w:tc>
      </w:tr>
    </w:tbl>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UN SDG-3 targets and indicators provide a comprehensive global roadmap to improve public health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measurable benchmarks help countries monitor progress, identify gaps, and implement evidence-based policies.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For India and other developing nations, aligning national policies and HEI-led research with these indicators is essential to ensure inclusive, equitable, and sustainable health and well-being for all.</w:t>
      </w:r>
    </w:p>
    <w:p>
      <w:pPr>
        <w:pageBreakBefore/>
        <w:spacing w:before="360" w:after="200"/>
      </w:pPr>
      <w:r>
        <w:rPr>
          <w:rFonts w:ascii="Cambria" w:hAnsi="Cambria" w:eastAsia="Cambria"/>
          <w:b/>
          <w:i w:val="0"/>
          <w:color w:val="1F3A5F"/>
          <w:sz w:val="32"/>
        </w:rPr>
        <w:t>3. Child Health and Mortality under SDG-3: Global Overview and Challenges</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Child health is a central component of SDG-3 (Good Health and Well-Being), which aims to ensure every child survives and thrives beyond infancy.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Despite global advancements in healthcare and immunization, millions of preventable child deaths still occur annually, largely due to poverty, malnutrition, and limited access to medical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majority of these deaths are avoidable through affordable interventions, such as improved nutrition, clean water, sanitation, and access to skilled healthcare professionals.</w:t>
      </w:r>
    </w:p>
    <w:p>
      <w:pPr>
        <w:spacing w:line="276" w:lineRule="auto" w:after="120"/>
      </w:pPr>
      <w:r>
        <w:rPr>
          <w:rFonts w:ascii="Cambria" w:hAnsi="Cambria" w:eastAsia="Cambria"/>
          <w:b w:val="0"/>
          <w:i w:val="0"/>
          <w:sz w:val="22"/>
        </w:rPr>
        <w:t>Key Global Statistics (as of 2018):</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Approximately 6.2 million children and adolescents (under 15 years) died worldwide.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Around 5.3 million of these deaths occurred before the age of five, with half within the first month of life, highlighting critical neonatal vulnerability.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Sub-Saharan Africa and Southern Asia account for the highest share of child mortality — 4 out of 5 deaths under age five occur in these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Children born in Sub-Saharan Africa are 15 times more likely to die before reaching age five compared to those in high-income countries.</w:t>
      </w:r>
    </w:p>
    <w:p>
      <w:pPr>
        <w:spacing w:line="276" w:lineRule="auto" w:after="120"/>
      </w:pPr>
      <w:r>
        <w:rPr>
          <w:rFonts w:ascii="Cambria" w:hAnsi="Cambria" w:eastAsia="Cambria"/>
          <w:b w:val="0"/>
          <w:i w:val="0"/>
          <w:sz w:val="22"/>
        </w:rPr>
        <w:t>Causes and Determinants of Child Mortality: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Preventable and Treatable Diseases: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Pneumonia, diarrhea, malaria, and neonatal infections remain leading killers.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Lack of timely vaccination and healthcare access exacerbates risk.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Malnutrition and Food Insecurity: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Diet-related factors contribute to nearly 45% of deaths among children under five.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Severe acute malnutrition weakens immunity, making children more susceptible to infectious diseases.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Micronutrient deficiencies (iron, vitamin A, zinc) lead to stunted growth and developmental issues.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Socioeconomic and Environmental Factors: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Poor sanitation, unsafe drinking water, and air pollution increase exposure to illness.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Children from low-income families face barriers to healthcare and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Armed conflicts, migration, and natural disasters further disrupt health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Healthcare Access Inequality: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Lack of skilled birth attendants, community health workers, and neonatal care facilities leads to preventable fatalities.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Weak health infrastructure and underfunded systems in developing regions slow progress.</w:t>
      </w:r>
    </w:p>
    <w:p>
      <w:pPr>
        <w:spacing w:line="276" w:lineRule="auto" w:after="120"/>
      </w:pPr>
      <w:r>
        <w:rPr>
          <w:rFonts w:ascii="Cambria" w:hAnsi="Cambria" w:eastAsia="Cambria"/>
          <w:b w:val="0"/>
          <w:i w:val="0"/>
          <w:sz w:val="22"/>
        </w:rPr>
        <w:t>Regional Disparities: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Sub-Saharan Africa: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Highest child mortality rate globally; inadequate immunization and nutrition remain key issues.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Limited maternal healthcare and shortage of medical professionals worsen early-life survival chances.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Southern Asia: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 xml:space="preserve">Progress achieved through programs like India’s </w:t>
      </w:r>
      <w:r>
        <w:rPr>
          <w:rFonts w:ascii="Cambria" w:hAnsi="Cambria" w:eastAsia="Cambria"/>
          <w:b w:val="0"/>
          <w:i/>
          <w:sz w:val="22"/>
        </w:rPr>
        <w:t>National Health Mission</w:t>
      </w:r>
      <w:r>
        <w:rPr>
          <w:rFonts w:ascii="Cambria" w:hAnsi="Cambria" w:eastAsia="Cambria"/>
          <w:b w:val="0"/>
          <w:i w:val="0"/>
          <w:sz w:val="22"/>
        </w:rPr>
        <w:t xml:space="preserve"> and </w:t>
      </w:r>
      <w:r>
        <w:rPr>
          <w:rFonts w:ascii="Cambria" w:hAnsi="Cambria" w:eastAsia="Cambria"/>
          <w:b w:val="0"/>
          <w:i/>
          <w:sz w:val="22"/>
        </w:rPr>
        <w:t>Mission Indradhanush</w:t>
      </w:r>
      <w:r>
        <w:rPr>
          <w:rFonts w:ascii="Cambria" w:hAnsi="Cambria" w:eastAsia="Cambria"/>
          <w:b w:val="0"/>
          <w:i w:val="0"/>
          <w:sz w:val="22"/>
        </w:rPr>
        <w:t>, yet malnutrition and inequality persist.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High-Income Nations: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Child deaths are rare and mostly due to congenital conditions or accidents rather than infectious diseases.</w:t>
      </w:r>
    </w:p>
    <w:p>
      <w:pPr>
        <w:spacing w:line="276" w:lineRule="auto" w:after="120"/>
      </w:pPr>
      <w:r>
        <w:rPr>
          <w:rFonts w:ascii="Cambria" w:hAnsi="Cambria" w:eastAsia="Cambria"/>
          <w:b w:val="0"/>
          <w:i w:val="0"/>
          <w:sz w:val="22"/>
        </w:rPr>
        <w:t>Policy and Programmatic Implications under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Target 3.2: End preventable deaths of newborns and children under five by 2030.</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Indicator 3.2.1: Under-five mortality rate.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Indicator 3.2.2: Neonatal mortality rate.</w:t>
      </w:r>
    </w:p>
    <w:p>
      <w:pPr>
        <w:spacing w:line="276" w:lineRule="auto" w:after="120"/>
      </w:pPr>
      <w:r>
        <w:rPr>
          <w:rFonts w:ascii="Cambria" w:hAnsi="Cambria" w:eastAsia="Cambria"/>
          <w:b w:val="0"/>
          <w:i w:val="0"/>
          <w:sz w:val="22"/>
        </w:rPr>
        <w:t>Key Interventions Include: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Scaling up immunization programs (against measles, polio, rotavirus, etc.).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Ensuring exclusive breastfeeding for the first six months.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Providing adequate nutrition and vitamin supplementation.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Improving maternal health and antenatal care to prevent preterm and low-birth-weight complications.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Expanding community-level healthcare (mobile clinics, Anganwadi, and ASHA worker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Strengthening universal healthcare coverage (UHC) to make child healthcare affordable and accessible.</w:t>
      </w:r>
    </w:p>
    <w:p>
      <w:pPr>
        <w:spacing w:line="276" w:lineRule="auto" w:after="120"/>
      </w:pPr>
      <w:r>
        <w:rPr>
          <w:rFonts w:ascii="Cambria" w:hAnsi="Cambria" w:eastAsia="Cambria"/>
          <w:b w:val="0"/>
          <w:i w:val="0"/>
          <w:sz w:val="22"/>
        </w:rPr>
        <w:t>Recommendations for HEIs and Policymakers: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Research Focus: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HEIs to conduct child nutrition and public health research to inform sustainable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Awareness and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child health modules into higher education courses related to medicine, nursing, and community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Capacity Building: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Train professionals in neonatal and pediatric emergency care through partnerships with hospitals and health departments.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Community Outreach: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health camps, vaccination drives, and nutrition awareness programs in rural and low-income urban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Policy Integration: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 xml:space="preserve">Develop evidence-based frameworks to strengthen national programs like </w:t>
      </w:r>
      <w:r>
        <w:rPr>
          <w:rFonts w:ascii="Cambria" w:hAnsi="Cambria" w:eastAsia="Cambria"/>
          <w:b w:val="0"/>
          <w:i/>
          <w:sz w:val="22"/>
        </w:rPr>
        <w:t>Integrated Child Development Services (ICDS)</w:t>
      </w:r>
      <w:r>
        <w:rPr>
          <w:rFonts w:ascii="Cambria" w:hAnsi="Cambria" w:eastAsia="Cambria"/>
          <w:b w:val="0"/>
          <w:i w:val="0"/>
          <w:sz w:val="22"/>
        </w:rPr>
        <w:t xml:space="preserve"> and </w:t>
      </w:r>
      <w:r>
        <w:rPr>
          <w:rFonts w:ascii="Cambria" w:hAnsi="Cambria" w:eastAsia="Cambria"/>
          <w:b w:val="0"/>
          <w:i/>
          <w:sz w:val="22"/>
        </w:rPr>
        <w:t>Poshan Abhiyaan</w:t>
      </w:r>
      <w:r>
        <w:rPr>
          <w:rFonts w:ascii="Cambria" w:hAnsi="Cambria" w:eastAsia="Cambria"/>
          <w:b w:val="0"/>
          <w:i w:val="0"/>
          <w:sz w:val="22"/>
        </w:rPr>
        <w:t>.</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Child health remains one of the most pressing priorities within SDG-3, as millions of young lives are still lost to preventable causes.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Addressing malnutrition, inequitable access to healthcare, and poverty is critical for reducing under-five and neonatal mortality.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multi-sectoral collaboration, involving governments, HEIs, NGOs, and international agencies, the world can achieve the SDG-3 target of ending preventable child deaths by 2030 and ensure that every child has the right to a healthy start in life.</w:t>
      </w:r>
    </w:p>
    <w:p>
      <w:pPr>
        <w:pageBreakBefore/>
        <w:spacing w:before="360" w:after="200"/>
      </w:pPr>
      <w:r>
        <w:rPr>
          <w:rFonts w:ascii="Cambria" w:hAnsi="Cambria" w:eastAsia="Cambria"/>
          <w:b/>
          <w:i w:val="0"/>
          <w:color w:val="1F3A5F"/>
          <w:sz w:val="32"/>
        </w:rPr>
        <w:t>4. Maternal Health and Mortality under SDG-3: Global Trends, Challenges, and Interventions</w:t>
      </w:r>
    </w:p>
    <w:p>
      <w:pPr>
        <w:spacing w:line="276" w:lineRule="auto" w:after="120"/>
      </w:pPr>
      <w:r>
        <w:rPr>
          <w:rFonts w:ascii="Cambria" w:hAnsi="Cambria" w:eastAsia="Cambria"/>
          <w:b w:val="0"/>
          <w:i w:val="0"/>
          <w:sz w:val="22"/>
        </w:rPr>
        <w:t>Overview:</w:t>
      </w:r>
    </w:p>
    <w:p>
      <w:pPr>
        <w:spacing w:line="276" w:lineRule="auto" w:after="120"/>
        <w:jc w:val="both"/>
      </w:pPr>
      <w:r>
        <w:rPr>
          <w:rFonts w:ascii="Cambria" w:hAnsi="Cambria" w:eastAsia="Cambria"/>
          <w:b w:val="0"/>
          <w:i w:val="0"/>
          <w:sz w:val="22"/>
        </w:rPr>
        <w:t>Maternal health is one of the most critical dimensions of SDG-3 (Good Health and Well-Being), specifically reflected in Target 3.1, which aims to “reduce the global maternal mortality ratio to less than 70 per 100,000 live births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Maternal health is a direct indicator of the strength and equity of healthcare systems, especially in developing countries where limited access to skilled medical care remains a major challenge.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Despite global progress, thousands of women still die each year from preventable pregnancy- and childbirth-related complications, making maternal health improvement a key global priority.</w:t>
      </w:r>
    </w:p>
    <w:p>
      <w:pPr>
        <w:spacing w:line="276" w:lineRule="auto" w:after="120"/>
      </w:pPr>
      <w:r>
        <w:rPr>
          <w:rFonts w:ascii="Cambria" w:hAnsi="Cambria" w:eastAsia="Cambria"/>
          <w:b w:val="0"/>
          <w:i w:val="0"/>
          <w:sz w:val="22"/>
        </w:rPr>
        <w:t>Key Global Statistics and Facts: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Healthcare Workforce Shortage: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Over 40% of nations have fewer than 10 medical doctors per 10,000 people, and over 55% have fewer than 40 nursing and midwifery staff per 10,000 people.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This severe shortage directly affects maternal care quality and emergency response.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Progress Achieved:</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Maternal mortality has decreased by nearly two-thirds in Eastern Asia, Northern Africa, and Southern Asia, reflecting the impact of improved prenatal care, institutional deliveries, and midwife training.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Ongoing Concern: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 2017, an estimated 810 women died every day from preventable pregnancy and childbirth-related causes.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Nearly 94% of all maternal deaths occurred in low- and lower-middle-income countries.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High mortality rates persist due to poor infrastructure, lack of skilled care, delayed interventions, and socio-economic inequality.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Adolescent Pregnancy Risks: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Young adolescent mothers (10–14 years) face the highest risk of obstetric complications and maternal death due to biological immaturity and limited healthcare access.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Early pregnancy also perpetuates intergenerational poverty, malnutrition, and low education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Underdeveloped Regions: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 developing countries, the maternal mortality ratio (MMR) — the proportion of women who die from pregnancy-related causes compared to those who deliver safely — remains unacceptably high, despite advancements in healthcare infrastructure.</w:t>
      </w:r>
    </w:p>
    <w:p>
      <w:pPr>
        <w:spacing w:line="276" w:lineRule="auto" w:after="120"/>
      </w:pPr>
      <w:r>
        <w:rPr>
          <w:rFonts w:ascii="Cambria" w:hAnsi="Cambria" w:eastAsia="Cambria"/>
          <w:b w:val="0"/>
          <w:i w:val="0"/>
          <w:sz w:val="22"/>
        </w:rPr>
        <w:t>Major Causes of Maternal Mortality: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Severe bleeding (postpartum hemorrhage)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Infections (sepsis) following childbirth or unsafe abortions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 blood pressure (pre-eclampsia and eclampsia)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Complications from unsafe abortions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Obstructed labor or prolonged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Underlying medical conditions, such as anemia, malaria, and HIV/AIDS, aggravated by pregnancy</w:t>
      </w:r>
    </w:p>
    <w:p>
      <w:pPr>
        <w:spacing w:line="276" w:lineRule="auto" w:after="120"/>
      </w:pPr>
      <w:r>
        <w:rPr>
          <w:rFonts w:ascii="Cambria" w:hAnsi="Cambria" w:eastAsia="Cambria"/>
          <w:b w:val="0"/>
          <w:i w:val="0"/>
          <w:sz w:val="22"/>
        </w:rPr>
        <w:t>Determinants of Poor Maternal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Socioeconomic Barriers:</w:t>
      </w:r>
      <w:r>
        <w:rPr>
          <w:rFonts w:ascii="Cambria" w:hAnsi="Cambria" w:eastAsia="Cambria"/>
          <w:b w:val="0"/>
          <w:i w:val="0"/>
          <w:sz w:val="22"/>
        </w:rPr>
        <w:t xml:space="preserve"> Poverty, gender inequality, and lack of education restrict access to maternal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Inadequate Healthcare Infrastructure:</w:t>
      </w:r>
      <w:r>
        <w:rPr>
          <w:rFonts w:ascii="Cambria" w:hAnsi="Cambria" w:eastAsia="Cambria"/>
          <w:b w:val="0"/>
          <w:i w:val="0"/>
          <w:sz w:val="22"/>
        </w:rPr>
        <w:t xml:space="preserve"> Poorly equipped hospitals, lack of ambulances, and insufficient maternity wards.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Shortage of Skilled Birth Attendants:</w:t>
      </w:r>
      <w:r>
        <w:rPr>
          <w:rFonts w:ascii="Cambria" w:hAnsi="Cambria" w:eastAsia="Cambria"/>
          <w:b w:val="0"/>
          <w:i w:val="0"/>
          <w:sz w:val="22"/>
        </w:rPr>
        <w:t xml:space="preserve"> Many deliveries still occur without trained midwives or doctors.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Cultural Practices and Stigma:</w:t>
      </w:r>
      <w:r>
        <w:rPr>
          <w:rFonts w:ascii="Cambria" w:hAnsi="Cambria" w:eastAsia="Cambria"/>
          <w:b w:val="0"/>
          <w:i w:val="0"/>
          <w:sz w:val="22"/>
        </w:rPr>
        <w:t xml:space="preserve"> Traditional home births and delays in seeking medical help.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Nutrition Deficiency:</w:t>
      </w:r>
      <w:r>
        <w:rPr>
          <w:rFonts w:ascii="Cambria" w:hAnsi="Cambria" w:eastAsia="Cambria"/>
          <w:b w:val="0"/>
          <w:i w:val="0"/>
          <w:sz w:val="22"/>
        </w:rPr>
        <w:t xml:space="preserve"> Malnourished women face higher risks during pregnancy and childbirth.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Geographical Disparities:</w:t>
      </w:r>
      <w:r>
        <w:rPr>
          <w:rFonts w:ascii="Cambria" w:hAnsi="Cambria" w:eastAsia="Cambria"/>
          <w:b w:val="0"/>
          <w:i w:val="0"/>
          <w:sz w:val="22"/>
        </w:rPr>
        <w:t xml:space="preserve"> Rural and remote regions lack adequate health facilities and transportation.</w:t>
      </w:r>
    </w:p>
    <w:p>
      <w:pPr>
        <w:spacing w:line="276" w:lineRule="auto" w:after="120"/>
      </w:pPr>
      <w:r>
        <w:rPr>
          <w:rFonts w:ascii="Cambria" w:hAnsi="Cambria" w:eastAsia="Cambria"/>
          <w:b w:val="0"/>
          <w:i w:val="0"/>
          <w:sz w:val="22"/>
        </w:rPr>
        <w:t>Global and Regional Disparities: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Sub-Saharan Africa: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Accounts for nearly two-thirds of all maternal deaths globally.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Major contributing factors: low institutional delivery rates, under-resourced hospitals, and limited antenatal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Southern Asia: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Significant progress through government programs, yet regional inequalities persist in rural and marginalized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High-Income Countries: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Maternal deaths are rare but can occur due to lifestyle factors, cesarean complications, or underlying medical conditions.</w:t>
      </w:r>
    </w:p>
    <w:p>
      <w:pPr>
        <w:spacing w:line="276" w:lineRule="auto" w:after="120"/>
      </w:pPr>
      <w:r>
        <w:rPr>
          <w:rFonts w:ascii="Cambria" w:hAnsi="Cambria" w:eastAsia="Cambria"/>
          <w:b w:val="0"/>
          <w:i w:val="0"/>
          <w:sz w:val="22"/>
        </w:rPr>
        <w:t>Policy and Programmatic Link to SDG-3 (Target 3.1):</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Target 3.1: By 2030, reduce the global maternal mortality ratio to less than 70 per 100,000 live births.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3.1.1: Maternal mortality ratio.</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3.1.2: Proportion of births attended by skilled health personnel.</w:t>
      </w:r>
    </w:p>
    <w:p>
      <w:pPr>
        <w:spacing w:line="276" w:lineRule="auto" w:after="120"/>
      </w:pPr>
      <w:r>
        <w:rPr>
          <w:rFonts w:ascii="Cambria" w:hAnsi="Cambria" w:eastAsia="Cambria"/>
          <w:b w:val="0"/>
          <w:i w:val="0"/>
          <w:sz w:val="22"/>
        </w:rPr>
        <w:t>Strategic Approaches Include: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Increasing access to antenatal, delivery, and postnatal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Ensuring skilled attendance at birth through trained midwives, nurses, and obstetricians.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Expanding emergency obstetric and newborn care (EmONC)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Enhancing maternal nutrition programs for anemia and malnourishment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Implementing family planning initiatives to reduce adolescent and high-risk pregnancies.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Strengthening maternal health surveillance systems for early detection of complications.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Promoting community awareness campaigns for safe motherhood and women’s health rights.</w:t>
      </w:r>
    </w:p>
    <w:p>
      <w:pPr>
        <w:spacing w:line="276" w:lineRule="auto" w:after="120"/>
      </w:pPr>
      <w:r>
        <w:rPr>
          <w:rFonts w:ascii="Cambria" w:hAnsi="Cambria" w:eastAsia="Cambria"/>
          <w:b w:val="0"/>
          <w:i w:val="0"/>
          <w:sz w:val="22"/>
        </w:rPr>
        <w:t>Recommendations for HEIs and Policymakers: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Research and Data: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research in maternal mortality determinants, reproductive health systems, and rural healthcare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Skill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training programs for midwives, nurses, and obstetricians within HEIs and medical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Curriculum Integration: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modules on maternal and reproductive health in public health, medicine, and social work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Community Outreach: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Primary Health Centres (PHCs) and Anganwadi centres for maternal health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Policy Collaboration: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 partnerships between HEIs, Ministry of Health, and WHO for maternal health intervention research and capacity building.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Technology Adoption: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telemedicine and AI-based prenatal monitoring tools to improve maternal care accessibility in remote areas.</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of global maternal mortality ratio below 70 per 100,000 live births.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proportion of births attended by skilled healthcare professionals.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Greater access to prenatal and postnatal services, especially in low-income and rural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Decrease in adolescent pregnancies and related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healthcare systems and workforce for sustainable maternal and reproductive care.</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Maternal health reflects the overall effectiveness, equity, and inclusivity of a nation’s healthcare 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SDG-3 Target 3.1 requires a multi-sectoral approach involving healthcare reform, education, community engagement, and gender empowerment.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sustained investment, capacity building, and innovation, global society can ensure that no woman dies while giving life, fulfilling the promise of Good Health and Well-Being for All by 2030.</w:t>
      </w:r>
    </w:p>
    <w:p>
      <w:pPr>
        <w:pageBreakBefore/>
        <w:spacing w:before="360" w:after="200"/>
      </w:pPr>
      <w:r>
        <w:rPr>
          <w:rFonts w:ascii="Cambria" w:hAnsi="Cambria" w:eastAsia="Cambria"/>
          <w:b/>
          <w:i w:val="0"/>
          <w:color w:val="1F3A5F"/>
          <w:sz w:val="32"/>
        </w:rPr>
        <w:t>5. HIV/AIDS, Malaria, and Other Communicable Diseases under SDG-3: Global Situation, Challenges, and Progress</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Under SDG-3 (Good Health and Well-Being), Target 3.3 specifically focuses on ending the epidemics of AIDS, tuberculosis (TB), malaria, and neglected tropical diseases, and combating hepatitis, water-borne, and other communicable diseases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Despite significant progress in treatment, awareness, and prevention, these diseases continue to cause millions of deaths, especially in low-income countries.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global fight against infectious diseases is not only a public health necessity but also a critical determinant of social equity, gender justice, and sustainable development.</w:t>
      </w:r>
    </w:p>
    <w:p>
      <w:pPr>
        <w:spacing w:line="276" w:lineRule="auto" w:after="120"/>
      </w:pPr>
      <w:r>
        <w:rPr>
          <w:rFonts w:ascii="Cambria" w:hAnsi="Cambria" w:eastAsia="Cambria"/>
          <w:b w:val="0"/>
          <w:i w:val="0"/>
          <w:sz w:val="22"/>
        </w:rPr>
        <w:t>Key Global Statistics (as of 2019):</w:t>
      </w:r>
    </w:p>
    <w:p>
      <w:pPr>
        <w:spacing w:line="276" w:lineRule="auto" w:after="120"/>
      </w:pPr>
      <w:r>
        <w:rPr>
          <w:rFonts w:ascii="Cambria" w:hAnsi="Cambria" w:eastAsia="Cambria"/>
          <w:b w:val="0"/>
          <w:i w:val="0"/>
          <w:sz w:val="22"/>
        </w:rPr>
        <w:t>HIV/AIDS: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Around 38 million people were living with HIV globally.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25.4 million people were receiving antiretroviral therapy (ART), a major success in expanding treatment access.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Approximately 1.7 million new infections were reported that year.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690,000 deaths occurred due to AIDS-related illnesses in 2019.</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Since the start of the epidemic:</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75.7 million people have been infected with HIV.</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32.7 million people have died from AIDS-related diseases.</w:t>
      </w:r>
    </w:p>
    <w:p>
      <w:pPr>
        <w:spacing w:line="276" w:lineRule="auto" w:after="120"/>
      </w:pPr>
      <w:r>
        <w:rPr>
          <w:rFonts w:ascii="Cambria" w:hAnsi="Cambria" w:eastAsia="Cambria"/>
          <w:b w:val="0"/>
          <w:i w:val="0"/>
          <w:sz w:val="22"/>
        </w:rPr>
        <w:t>Tuberculosis and HIV Co-infection: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Tuberculosis (TB) remains the leading cause of death among HIV-positive individuals, responsible for about one-third of all AIDS-related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dual epidemic of HIV and TB highlights the need for integrated health programs addressing co-infections simultaneously.</w:t>
      </w:r>
    </w:p>
    <w:p>
      <w:pPr>
        <w:spacing w:line="276" w:lineRule="auto" w:after="120"/>
      </w:pPr>
      <w:r>
        <w:rPr>
          <w:rFonts w:ascii="Cambria" w:hAnsi="Cambria" w:eastAsia="Cambria"/>
          <w:b w:val="0"/>
          <w:i w:val="0"/>
          <w:sz w:val="22"/>
        </w:rPr>
        <w:t>Gender and Social Inequality: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Adolescent girls and young women are disproportionately affected due to gender-based inequality, stigma, violence, and lack of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HIV is the leading cause of death among women of reproductive age globally.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 Sub-Saharan Africa, AIDS is the leading cause of death among adolescents (10–19 years old) and the second-highest cause of death among adolescents worldwide.</w:t>
      </w:r>
    </w:p>
    <w:p>
      <w:pPr>
        <w:spacing w:line="276" w:lineRule="auto" w:after="120"/>
      </w:pPr>
      <w:r>
        <w:rPr>
          <w:rFonts w:ascii="Cambria" w:hAnsi="Cambria" w:eastAsia="Cambria"/>
          <w:b w:val="0"/>
          <w:i w:val="0"/>
          <w:sz w:val="22"/>
        </w:rPr>
        <w:t>Malaria: Global Progress and Current Status: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From 2000 to 2015, nearly 6.2 million malaria-related deaths were prevented through global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incidence of malaria decreased by approximately 37%, while the fatality rate dropped by 58%.</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largest reductions were observed in Sub-Saharan Africa, where child mortality from malaria was historically high.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Major contributing factors include: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Insecticide-treated bed nets (ITNs) and indoor residual spraying (IRS).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Early diagnosis and access to artemisinin-based combination therapy (ACTs).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Global partnerships such as the Roll Back Malaria Partnership and the Global Fund to Fight AIDS, Tuberculosis, and Malaria.</w:t>
      </w:r>
    </w:p>
    <w:p>
      <w:pPr>
        <w:spacing w:line="276" w:lineRule="auto" w:after="120"/>
      </w:pPr>
      <w:r>
        <w:rPr>
          <w:rFonts w:ascii="Cambria" w:hAnsi="Cambria" w:eastAsia="Cambria"/>
          <w:b w:val="0"/>
          <w:i w:val="0"/>
          <w:sz w:val="22"/>
        </w:rPr>
        <w:t>Challenges and Barriers to Eradication:</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Healthcare Inequality and Limited Access: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Many developing countries still lack universal access to testing, treatment, and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Weak healthcare infrastructure and insufficient funding hinder sustained disease control.</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Stigma and Discrimination: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Persistent social stigma against HIV/AIDS patients discourages testing and treatment.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Gender inequality and discrimination further marginalize women and vulnerable populations.</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Drug Resistance and Treatment Gaps: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Emerging antimicrobial resistance (AMR) threatens the effectiveness of HIV, TB, and malaria medications.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Treatment adherence remains low in resource-limited settings due to supply interruptions and poor monitoring.</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Socioeconomic Determinants: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Poverty, illiteracy, and inadequate sanitation exacerbate the spread of communicable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Conflict zones and climate change increase population displacement, creating conditions for disease resurgence.</w:t>
      </w:r>
    </w:p>
    <w:p>
      <w:pPr>
        <w:spacing w:line="276" w:lineRule="auto" w:after="120"/>
      </w:pPr>
      <w:r>
        <w:rPr>
          <w:rFonts w:ascii="Cambria" w:hAnsi="Cambria" w:eastAsia="Cambria"/>
          <w:b w:val="0"/>
          <w:i w:val="0"/>
          <w:sz w:val="22"/>
        </w:rPr>
        <w:t>Policy Linkage to SDG-3 Target 3.3: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Goal: End epidemics of AIDS, TB, malaria, and neglected tropical diseases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3.3.1: Number of new HIV infections per 1,000 uninfected population, by sex and age.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3.3.2: Tuberculosis incidence per 1,000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3.3.3: Malaria incidence per 1,000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3.3.4: Hepatitis B incidence per 100,000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3.3.5: Number of people requiring interventions for neglected tropical diseases.</w:t>
      </w:r>
    </w:p>
    <w:p>
      <w:pPr>
        <w:spacing w:line="276" w:lineRule="auto" w:after="120"/>
      </w:pPr>
      <w:r>
        <w:rPr>
          <w:rFonts w:ascii="Cambria" w:hAnsi="Cambria" w:eastAsia="Cambria"/>
          <w:b w:val="0"/>
          <w:i w:val="0"/>
          <w:sz w:val="22"/>
        </w:rPr>
        <w:t>Global and National Interventions:</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HIV/AIDS Control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UNAIDS Global Strategy (2021–2026):</w:t>
      </w:r>
      <w:r>
        <w:rPr>
          <w:rFonts w:ascii="Cambria" w:hAnsi="Cambria" w:eastAsia="Cambria"/>
          <w:b w:val="0"/>
          <w:i w:val="0"/>
          <w:sz w:val="22"/>
        </w:rPr>
        <w:t xml:space="preserve"> Focuses on ending inequalities and reducing new infections.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Antiretroviral Therapy (ART) Expansion:</w:t>
      </w:r>
      <w:r>
        <w:rPr>
          <w:rFonts w:ascii="Cambria" w:hAnsi="Cambria" w:eastAsia="Cambria"/>
          <w:b w:val="0"/>
          <w:i w:val="0"/>
          <w:sz w:val="22"/>
        </w:rPr>
        <w:t xml:space="preserve"> Widespread access through WHO's “Treat All” initiative.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Awareness and Prevention Campaigns:</w:t>
      </w:r>
      <w:r>
        <w:rPr>
          <w:rFonts w:ascii="Cambria" w:hAnsi="Cambria" w:eastAsia="Cambria"/>
          <w:b w:val="0"/>
          <w:i w:val="0"/>
          <w:sz w:val="22"/>
        </w:rPr>
        <w:t xml:space="preserve"> Promotion of safe sex, condom use, and HIV testing.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Mother-to-Child Transmission (MTCT) Prevention:</w:t>
      </w:r>
      <w:r>
        <w:rPr>
          <w:rFonts w:ascii="Cambria" w:hAnsi="Cambria" w:eastAsia="Cambria"/>
          <w:b w:val="0"/>
          <w:i w:val="0"/>
          <w:sz w:val="22"/>
        </w:rPr>
        <w:t xml:space="preserve"> Antenatal ART programs reducing vertical infection.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Adolescent Health Interventions:</w:t>
      </w:r>
      <w:r>
        <w:rPr>
          <w:rFonts w:ascii="Cambria" w:hAnsi="Cambria" w:eastAsia="Cambria"/>
          <w:b w:val="0"/>
          <w:i w:val="0"/>
          <w:sz w:val="22"/>
        </w:rPr>
        <w:t xml:space="preserve"> Targeted education and empowerment for young women.</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Tuberculosis (TB) Response: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WHO End TB Strategy: Aims to reduce TB deaths by 90%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of TB and HIV treatment centers to ensure early diagnosis and combined therapy.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Expansion of community-based health services and digital tracking systems for medication adherence.</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Malaria Elimination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Global Technical Strategy for Malaria 2016–2030 (GTS): Aims for a 90% reduction in global malaria incidence.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Widespread distribution of bed nets, vector control, and rapid diagnostic tests (RDTs).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Research into malaria vaccines such as </w:t>
      </w:r>
      <w:r>
        <w:rPr>
          <w:rFonts w:ascii="Cambria" w:hAnsi="Cambria" w:eastAsia="Cambria"/>
          <w:b w:val="0"/>
          <w:i/>
          <w:sz w:val="22"/>
        </w:rPr>
        <w:t>RTS,S (Mosquirix)</w:t>
      </w:r>
      <w:r>
        <w:rPr>
          <w:rFonts w:ascii="Cambria" w:hAnsi="Cambria" w:eastAsia="Cambria"/>
          <w:b w:val="0"/>
          <w:i w:val="0"/>
          <w:sz w:val="22"/>
        </w:rPr>
        <w:t xml:space="preserve"> and ongoing trials for improved efficacy.</w:t>
      </w:r>
    </w:p>
    <w:p>
      <w:pPr>
        <w:spacing w:line="276" w:lineRule="auto" w:after="120"/>
      </w:pPr>
      <w:r>
        <w:rPr>
          <w:rFonts w:ascii="Cambria" w:hAnsi="Cambria" w:eastAsia="Cambria"/>
          <w:b w:val="0"/>
          <w:i w:val="0"/>
          <w:sz w:val="22"/>
        </w:rPr>
        <w:t>Recommendations for HEIs and Policymakers: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Education and Research Integration: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Include modules on infectious disease control, virology, and epidemiology in medical and public health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Collaborative 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joint projects between HEIs, WHO, and ICMR on vaccine development and behavioral health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Community Engagement: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campus and regional awareness drives on HIV prevention, stigma reduction, and malaria control.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Gender and Youth-Focused Policies: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health programs targeting adolescent girls, promoting empowerment, education, and safe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Technology-Driven Monitoring: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Use digital health tools, GIS mapping, and AI analytics for disease surveillance and early detection.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Cross-Sector Partnerships: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 linkages between universities, NGOs, and government agencies to advance SDG-3 implementation.</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Complete elimination of new HIV infections and reduction of AIDS-related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90% reduction in global malaria and tuberculosis incidence.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treatment coverage and gender-equitable access to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research collaboration and vaccine innovation for infectious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public health infrastructure in developing nations.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HIV/AIDS, tuberculosis, malaria, and other communicable diseases remain among the most persistent barriers to achieving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Sustained commitment to universal access, gender equality, and innovation is essential to end these epidemics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global cooperation, equitable healthcare delivery, and continuous research, the vision of a world free from preventable infectious diseases can become a reality — fulfilling the core mandate of SDG-3.</w:t>
      </w:r>
    </w:p>
    <w:p>
      <w:pPr>
        <w:pageBreakBefore/>
        <w:spacing w:before="360" w:after="200"/>
      </w:pPr>
      <w:r>
        <w:rPr>
          <w:rFonts w:ascii="Cambria" w:hAnsi="Cambria" w:eastAsia="Cambria"/>
          <w:b/>
          <w:i w:val="0"/>
          <w:color w:val="1F3A5F"/>
          <w:sz w:val="32"/>
        </w:rPr>
        <w:t>6. Reducing Maternal Mortality in India: Progress, Challenges, and Key Initiatives under SDG-3</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Maternal Mortality Ratio (MMR) reflects the number of maternal deaths per 100,000 live births, a critical indicator for assessing the quality of maternal healthcare and women’s access to medical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Under SDG-3, Target 3.1, the global goal is to reduce the MMR to less than 70 per 100,000 live births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has made significant progress in this regard, showcasing a strong commitment to improving maternal health outcomes through national and state-level programs.</w:t>
      </w:r>
    </w:p>
    <w:p>
      <w:pPr>
        <w:spacing w:line="276" w:lineRule="auto" w:after="120"/>
      </w:pPr>
      <w:r>
        <w:rPr>
          <w:rFonts w:ascii="Cambria" w:hAnsi="Cambria" w:eastAsia="Cambria"/>
          <w:b w:val="0"/>
          <w:i w:val="0"/>
          <w:sz w:val="22"/>
        </w:rPr>
        <w:t>Current Status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 of recent data, India’s MMR stands at 113 per 100,000 live births — a major improvement from 130 in 2016–18 and 556 in 1990.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SDG-3 goal is to reduce it further to 70 per 100,000 by 2030.</w:t>
      </w:r>
    </w:p>
    <w:p>
      <w:pPr>
        <w:spacing w:line="276" w:lineRule="auto" w:after="120"/>
      </w:pPr>
      <w:r>
        <w:rPr>
          <w:rFonts w:ascii="Cambria" w:hAnsi="Cambria" w:eastAsia="Cambria"/>
          <w:b w:val="0"/>
          <w:i w:val="0"/>
          <w:sz w:val="22"/>
        </w:rPr>
        <w:t>State-Wise Progress:</w:t>
      </w:r>
    </w:p>
    <w:tbl>
      <w:tblPr>
        <w:tblW w:type="auto" w:w="0"/>
        <w:jc w:val="center"/>
        <w:tblLook w:firstColumn="1" w:firstRow="1" w:lastColumn="0" w:lastRow="0" w:noHBand="0" w:noVBand="1" w:val="04A0"/>
        <w:tblLayout w:type="fixed"/>
      </w:tblPr>
      <w:tblGrid>
        <w:gridCol w:w="2268"/>
        <w:gridCol w:w="3572"/>
        <w:gridCol w:w="3402"/>
      </w:tblGrid>
      <w:tr>
        <w:tc>
          <w:tcPr>
            <w:tcW w:type="dxa" w:w="2268"/>
            <w:shd w:val="clear" w:color="auto" w:fill="1F3A5F"/>
            <w:tcW w:w="2268" w:type="dxa"/>
          </w:tcPr>
          <w:p>
            <w:r>
              <w:rPr>
                <w:rFonts w:ascii="Cambria" w:hAnsi="Cambria" w:eastAsia="Cambria"/>
                <w:b/>
                <w:i w:val="0"/>
                <w:color w:val="FFFFFF"/>
                <w:sz w:val="22"/>
              </w:rPr>
              <w:t>State/UT</w:t>
            </w:r>
          </w:p>
        </w:tc>
        <w:tc>
          <w:tcPr>
            <w:tcW w:type="dxa" w:w="3572"/>
            <w:shd w:val="clear" w:color="auto" w:fill="1F3A5F"/>
            <w:tcW w:w="3572" w:type="dxa"/>
          </w:tcPr>
          <w:p>
            <w:r>
              <w:rPr>
                <w:rFonts w:ascii="Cambria" w:hAnsi="Cambria" w:eastAsia="Cambria"/>
                <w:b/>
                <w:i w:val="0"/>
                <w:color w:val="FFFFFF"/>
                <w:sz w:val="22"/>
              </w:rPr>
              <w:t>Current MMR (per 100,000 live births)</w:t>
            </w:r>
          </w:p>
        </w:tc>
        <w:tc>
          <w:tcPr>
            <w:tcW w:type="dxa" w:w="3402"/>
            <w:shd w:val="clear" w:color="auto" w:fill="1F3A5F"/>
            <w:tcW w:w="3402" w:type="dxa"/>
          </w:tcPr>
          <w:p>
            <w:r>
              <w:rPr>
                <w:rFonts w:ascii="Cambria" w:hAnsi="Cambria" w:eastAsia="Cambria"/>
                <w:b/>
                <w:i w:val="0"/>
                <w:color w:val="FFFFFF"/>
                <w:sz w:val="22"/>
              </w:rPr>
              <w:t>Status Against SDG Target (70)</w:t>
            </w:r>
          </w:p>
        </w:tc>
      </w:tr>
      <w:tr>
        <w:tc>
          <w:tcPr>
            <w:tcW w:type="dxa" w:w="2268"/>
            <w:tcW w:w="2268" w:type="dxa"/>
          </w:tcPr>
          <w:p>
            <w:r>
              <w:rPr>
                <w:rFonts w:ascii="Cambria" w:hAnsi="Cambria" w:eastAsia="Cambria"/>
                <w:b w:val="0"/>
                <w:i w:val="0"/>
                <w:sz w:val="22"/>
              </w:rPr>
              <w:t>Kerala</w:t>
            </w:r>
          </w:p>
        </w:tc>
        <w:tc>
          <w:tcPr>
            <w:tcW w:type="dxa" w:w="3572"/>
            <w:tcW w:w="3572" w:type="dxa"/>
          </w:tcPr>
          <w:p>
            <w:r>
              <w:rPr>
                <w:rFonts w:ascii="Cambria" w:hAnsi="Cambria" w:eastAsia="Cambria"/>
                <w:b w:val="0"/>
                <w:i w:val="0"/>
                <w:sz w:val="22"/>
              </w:rPr>
              <w:t>43</w:t>
            </w:r>
          </w:p>
        </w:tc>
        <w:tc>
          <w:tcPr>
            <w:tcW w:type="dxa" w:w="3402"/>
            <w:tcW w:w="3402" w:type="dxa"/>
          </w:tcPr>
          <w:p>
            <w:r>
              <w:rPr>
                <w:rFonts w:ascii="Cambria" w:hAnsi="Cambria" w:eastAsia="Cambria"/>
                <w:b w:val="0"/>
                <w:i w:val="0"/>
                <w:sz w:val="22"/>
              </w:rPr>
              <w:t>Achieved Target</w:t>
            </w:r>
          </w:p>
        </w:tc>
      </w:tr>
      <w:tr>
        <w:tc>
          <w:tcPr>
            <w:tcW w:type="dxa" w:w="2268"/>
            <w:shd w:val="clear" w:color="auto" w:fill="DCE6F1"/>
            <w:tcW w:w="2268" w:type="dxa"/>
          </w:tcPr>
          <w:p>
            <w:r>
              <w:rPr>
                <w:rFonts w:ascii="Cambria" w:hAnsi="Cambria" w:eastAsia="Cambria"/>
                <w:b w:val="0"/>
                <w:i w:val="0"/>
                <w:sz w:val="22"/>
              </w:rPr>
              <w:t>Maharashtra</w:t>
            </w:r>
          </w:p>
        </w:tc>
        <w:tc>
          <w:tcPr>
            <w:tcW w:type="dxa" w:w="3572"/>
            <w:shd w:val="clear" w:color="auto" w:fill="DCE6F1"/>
            <w:tcW w:w="3572" w:type="dxa"/>
          </w:tcPr>
          <w:p>
            <w:r>
              <w:rPr>
                <w:rFonts w:ascii="Cambria" w:hAnsi="Cambria" w:eastAsia="Cambria"/>
                <w:b w:val="0"/>
                <w:i w:val="0"/>
                <w:sz w:val="22"/>
              </w:rPr>
              <w:t>46</w:t>
            </w:r>
          </w:p>
        </w:tc>
        <w:tc>
          <w:tcPr>
            <w:tcW w:type="dxa" w:w="3402"/>
            <w:shd w:val="clear" w:color="auto" w:fill="DCE6F1"/>
            <w:tcW w:w="3402" w:type="dxa"/>
          </w:tcPr>
          <w:p>
            <w:r>
              <w:rPr>
                <w:rFonts w:ascii="Cambria" w:hAnsi="Cambria" w:eastAsia="Cambria"/>
                <w:b w:val="0"/>
                <w:i w:val="0"/>
                <w:sz w:val="22"/>
              </w:rPr>
              <w:t>Achieved Target</w:t>
            </w:r>
          </w:p>
        </w:tc>
      </w:tr>
      <w:tr>
        <w:tc>
          <w:tcPr>
            <w:tcW w:type="dxa" w:w="2268"/>
            <w:tcW w:w="2268" w:type="dxa"/>
          </w:tcPr>
          <w:p>
            <w:r>
              <w:rPr>
                <w:rFonts w:ascii="Cambria" w:hAnsi="Cambria" w:eastAsia="Cambria"/>
                <w:b w:val="0"/>
                <w:i w:val="0"/>
                <w:sz w:val="22"/>
              </w:rPr>
              <w:t>Tamil Nadu</w:t>
            </w:r>
          </w:p>
        </w:tc>
        <w:tc>
          <w:tcPr>
            <w:tcW w:type="dxa" w:w="3572"/>
            <w:tcW w:w="3572" w:type="dxa"/>
          </w:tcPr>
          <w:p>
            <w:r>
              <w:rPr>
                <w:rFonts w:ascii="Cambria" w:hAnsi="Cambria" w:eastAsia="Cambria"/>
                <w:b w:val="0"/>
                <w:i w:val="0"/>
                <w:sz w:val="22"/>
              </w:rPr>
              <w:t>60</w:t>
            </w:r>
          </w:p>
        </w:tc>
        <w:tc>
          <w:tcPr>
            <w:tcW w:type="dxa" w:w="3402"/>
            <w:tcW w:w="3402" w:type="dxa"/>
          </w:tcPr>
          <w:p>
            <w:r>
              <w:rPr>
                <w:rFonts w:ascii="Cambria" w:hAnsi="Cambria" w:eastAsia="Cambria"/>
                <w:b w:val="0"/>
                <w:i w:val="0"/>
                <w:sz w:val="22"/>
              </w:rPr>
              <w:t>Achieved Target</w:t>
            </w:r>
          </w:p>
        </w:tc>
      </w:tr>
      <w:tr>
        <w:tc>
          <w:tcPr>
            <w:tcW w:type="dxa" w:w="2268"/>
            <w:shd w:val="clear" w:color="auto" w:fill="DCE6F1"/>
            <w:tcW w:w="2268" w:type="dxa"/>
          </w:tcPr>
          <w:p>
            <w:r>
              <w:rPr>
                <w:rFonts w:ascii="Cambria" w:hAnsi="Cambria" w:eastAsia="Cambria"/>
                <w:b w:val="0"/>
                <w:i w:val="0"/>
                <w:sz w:val="22"/>
              </w:rPr>
              <w:t>Telangana</w:t>
            </w:r>
          </w:p>
        </w:tc>
        <w:tc>
          <w:tcPr>
            <w:tcW w:type="dxa" w:w="3572"/>
            <w:shd w:val="clear" w:color="auto" w:fill="DCE6F1"/>
            <w:tcW w:w="3572" w:type="dxa"/>
          </w:tcPr>
          <w:p>
            <w:r>
              <w:rPr>
                <w:rFonts w:ascii="Cambria" w:hAnsi="Cambria" w:eastAsia="Cambria"/>
                <w:b w:val="0"/>
                <w:i w:val="0"/>
                <w:sz w:val="22"/>
              </w:rPr>
              <w:t>63</w:t>
            </w:r>
          </w:p>
        </w:tc>
        <w:tc>
          <w:tcPr>
            <w:tcW w:type="dxa" w:w="3402"/>
            <w:shd w:val="clear" w:color="auto" w:fill="DCE6F1"/>
            <w:tcW w:w="3402" w:type="dxa"/>
          </w:tcPr>
          <w:p>
            <w:r>
              <w:rPr>
                <w:rFonts w:ascii="Cambria" w:hAnsi="Cambria" w:eastAsia="Cambria"/>
                <w:b w:val="0"/>
                <w:i w:val="0"/>
                <w:sz w:val="22"/>
              </w:rPr>
              <w:t>Achieved Target</w:t>
            </w:r>
          </w:p>
        </w:tc>
      </w:tr>
      <w:tr>
        <w:tc>
          <w:tcPr>
            <w:tcW w:type="dxa" w:w="2268"/>
            <w:tcW w:w="2268" w:type="dxa"/>
          </w:tcPr>
          <w:p>
            <w:r>
              <w:rPr>
                <w:rFonts w:ascii="Cambria" w:hAnsi="Cambria" w:eastAsia="Cambria"/>
                <w:b w:val="0"/>
                <w:i w:val="0"/>
                <w:sz w:val="22"/>
              </w:rPr>
              <w:t>Andhra Pradesh</w:t>
            </w:r>
          </w:p>
        </w:tc>
        <w:tc>
          <w:tcPr>
            <w:tcW w:type="dxa" w:w="3572"/>
            <w:tcW w:w="3572" w:type="dxa"/>
          </w:tcPr>
          <w:p>
            <w:r>
              <w:rPr>
                <w:rFonts w:ascii="Cambria" w:hAnsi="Cambria" w:eastAsia="Cambria"/>
                <w:b w:val="0"/>
                <w:i w:val="0"/>
                <w:sz w:val="22"/>
              </w:rPr>
              <w:t>65</w:t>
            </w:r>
          </w:p>
        </w:tc>
        <w:tc>
          <w:tcPr>
            <w:tcW w:type="dxa" w:w="3402"/>
            <w:tcW w:w="3402" w:type="dxa"/>
          </w:tcPr>
          <w:p>
            <w:r>
              <w:rPr>
                <w:rFonts w:ascii="Cambria" w:hAnsi="Cambria" w:eastAsia="Cambria"/>
                <w:b w:val="0"/>
                <w:i w:val="0"/>
                <w:sz w:val="22"/>
              </w:rPr>
              <w:t>Achieved Target</w:t>
            </w:r>
          </w:p>
        </w:tc>
      </w:tr>
      <w:tr>
        <w:tc>
          <w:tcPr>
            <w:tcW w:type="dxa" w:w="2268"/>
            <w:shd w:val="clear" w:color="auto" w:fill="DCE6F1"/>
            <w:tcW w:w="2268" w:type="dxa"/>
          </w:tcPr>
          <w:p>
            <w:r>
              <w:rPr>
                <w:rFonts w:ascii="Cambria" w:hAnsi="Cambria" w:eastAsia="Cambria"/>
                <w:b w:val="0"/>
                <w:i w:val="0"/>
                <w:sz w:val="22"/>
              </w:rPr>
              <w:t>Assam</w:t>
            </w:r>
          </w:p>
        </w:tc>
        <w:tc>
          <w:tcPr>
            <w:tcW w:type="dxa" w:w="3572"/>
            <w:shd w:val="clear" w:color="auto" w:fill="DCE6F1"/>
            <w:tcW w:w="3572" w:type="dxa"/>
          </w:tcPr>
          <w:p>
            <w:r>
              <w:rPr>
                <w:rFonts w:ascii="Cambria" w:hAnsi="Cambria" w:eastAsia="Cambria"/>
                <w:b w:val="0"/>
                <w:i w:val="0"/>
                <w:sz w:val="22"/>
              </w:rPr>
              <w:t>215</w:t>
            </w:r>
          </w:p>
        </w:tc>
        <w:tc>
          <w:tcPr>
            <w:tcW w:type="dxa" w:w="3402"/>
            <w:shd w:val="clear" w:color="auto" w:fill="DCE6F1"/>
            <w:tcW w:w="3402" w:type="dxa"/>
          </w:tcPr>
          <w:p>
            <w:r>
              <w:rPr>
                <w:rFonts w:ascii="Cambria" w:hAnsi="Cambria" w:eastAsia="Cambria"/>
                <w:b w:val="0"/>
                <w:i w:val="0"/>
                <w:sz w:val="22"/>
              </w:rPr>
              <w:t>Highest MMR – Urgent Intervention Needed</w:t>
            </w:r>
          </w:p>
        </w:tc>
      </w:tr>
    </w:tbl>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Observation: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Southern states like Kerala, Tamil Nadu, and Telangana are role models, demonstrating strong health systems, high institutional delivery rates, and skilled birth attendance.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Northeastern and northern states, such as Assam, Uttar Pradesh, and Madhya Pradesh, still face high mortality due to inadequate healthcare infrastructure, poverty, and limited access to emergency obstetric care.</w:t>
      </w:r>
    </w:p>
    <w:p>
      <w:pPr>
        <w:spacing w:line="276" w:lineRule="auto" w:after="120"/>
      </w:pPr>
      <w:r>
        <w:rPr>
          <w:rFonts w:ascii="Cambria" w:hAnsi="Cambria" w:eastAsia="Cambria"/>
          <w:b w:val="0"/>
          <w:i w:val="0"/>
          <w:sz w:val="22"/>
        </w:rPr>
        <w:t>Major Causes of Maternal Mortality: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Hemorrhage (Postpartum bleeding) – leading cause of death.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Sepsis (Infection after delivery or abortion).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Hypertensive disorders (Pre-eclampsia and eclampsia).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Unsafe abortions due to lack of access to safe reproductive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Obstructed labor and lack of timely surgical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Anemia and malnutrition, especially among low-income and rural women.</w:t>
      </w:r>
    </w:p>
    <w:p>
      <w:pPr>
        <w:spacing w:line="276" w:lineRule="auto" w:after="120"/>
      </w:pPr>
      <w:r>
        <w:rPr>
          <w:rFonts w:ascii="Cambria" w:hAnsi="Cambria" w:eastAsia="Cambria"/>
          <w:b w:val="0"/>
          <w:i w:val="0"/>
          <w:sz w:val="22"/>
        </w:rPr>
        <w:t>National Schemes and Initiatives to Reduce Maternal Mortality:</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National Health Mission (NHM):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Flagship program integrating Reproductive, Maternal, Newborn, Child, and Adolescent Health (RMNCH+A) strategies.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Institutional deliveries under the Janani Suraksha Yojana (JSY).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Skilled Birth Attendance (SBA) and Emergency Obstetric Care (EmOC).</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Janani Shishu Suraksha Karyakram (JSSK): Free delivery and postnatal care in public health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Primary Health Centres (PHCs) and Community Health Centres (CHCs) with maternal health infrastructure.</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Human Resources for Health &amp; Medical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Enhances availability and quality of medical professionals, especially obstetricians and nurses in rural and underserved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establishment of medical colleges and nursing institutes under the “One District, One Medical College” model.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Introduces midwifery-led care units (MLCUs) to expand skilled maternity services.</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National AYUSH 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Integrates Ayurveda, Yoga, Unani, Siddha, and Homeopathy into maternal and reproductive health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natural birthing practices, dietary interventions, and stress reduction for expectant mothers.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maternal well-being through holistic approaches such as yoga and naturopathy.</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Pradhan Mantri Matru Vandana Yojana (PMMVY):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direct benefit transfer (DBT) scheme for pregnant and lactating women.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Provides ₹5,000 in financial assistance to compensate for wage loss during childbirth and childcare.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early registration of pregnancy, antenatal check-ups, and institutional delivery.</w:t>
      </w:r>
    </w:p>
    <w:p>
      <w:pPr>
        <w:spacing w:line="276" w:lineRule="auto" w:after="80"/>
        <w:ind w:left="357" w:hanging="357"/>
        <w:jc w:val="both"/>
      </w:pPr>
      <w:r>
        <w:rPr>
          <w:rFonts w:ascii="Cambria" w:hAnsi="Cambria" w:eastAsia="Cambria"/>
          <w:b w:val="0"/>
          <w:i w:val="0"/>
          <w:sz w:val="22"/>
        </w:rPr>
        <w:t xml:space="preserve">5. </w:t>
      </w:r>
      <w:r>
        <w:rPr>
          <w:rFonts w:ascii="Cambria" w:hAnsi="Cambria" w:eastAsia="Cambria"/>
          <w:b w:val="0"/>
          <w:i w:val="0"/>
          <w:sz w:val="22"/>
        </w:rPr>
        <w:t>Umbrella Integrated Child Development Services (ICDS):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Focuses on maternal nutrition, child health, and early education through Anganwadi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Provides supplementary nutrition, health check-ups, and nutrition counseling for expectant and lactating mothers.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Works in tandem with Poshan Abhiyaan (National Nutrition Mission) to combat anemia and malnutrition.</w:t>
      </w:r>
    </w:p>
    <w:p>
      <w:pPr>
        <w:spacing w:line="276" w:lineRule="auto" w:after="120"/>
      </w:pPr>
      <w:r>
        <w:rPr>
          <w:rFonts w:ascii="Cambria" w:hAnsi="Cambria" w:eastAsia="Cambria"/>
          <w:b w:val="0"/>
          <w:i w:val="0"/>
          <w:sz w:val="22"/>
        </w:rPr>
        <w:t>Complementary Interventions and Best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LaQshya Initiative:</w:t>
      </w:r>
      <w:r>
        <w:rPr>
          <w:rFonts w:ascii="Cambria" w:hAnsi="Cambria" w:eastAsia="Cambria"/>
          <w:b w:val="0"/>
          <w:i w:val="0"/>
          <w:sz w:val="22"/>
        </w:rPr>
        <w:t xml:space="preserve"> Improves quality of care in labor rooms and maternity operation theaters.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Midwifery Training Program:</w:t>
      </w:r>
      <w:r>
        <w:rPr>
          <w:rFonts w:ascii="Cambria" w:hAnsi="Cambria" w:eastAsia="Cambria"/>
          <w:b w:val="0"/>
          <w:i w:val="0"/>
          <w:sz w:val="22"/>
        </w:rPr>
        <w:t xml:space="preserve"> Certified nurse midwives deployed in rural regions to ensure safe deliveries.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Mother and Child Tracking System (MCTS):</w:t>
      </w:r>
      <w:r>
        <w:rPr>
          <w:rFonts w:ascii="Cambria" w:hAnsi="Cambria" w:eastAsia="Cambria"/>
          <w:b w:val="0"/>
          <w:i w:val="0"/>
          <w:sz w:val="22"/>
        </w:rPr>
        <w:t xml:space="preserve"> Digitally monitors maternal and infant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Rashtriya Kishor Swasthya Karyakram (RKSK):</w:t>
      </w:r>
      <w:r>
        <w:rPr>
          <w:rFonts w:ascii="Cambria" w:hAnsi="Cambria" w:eastAsia="Cambria"/>
          <w:b w:val="0"/>
          <w:i w:val="0"/>
          <w:sz w:val="22"/>
        </w:rPr>
        <w:t xml:space="preserve"> Addresses adolescent health to prevent early pregnancy risks.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Surakshit Matritva Aashwasan (SUMAN):</w:t>
      </w:r>
      <w:r>
        <w:rPr>
          <w:rFonts w:ascii="Cambria" w:hAnsi="Cambria" w:eastAsia="Cambria"/>
          <w:b w:val="0"/>
          <w:i w:val="0"/>
          <w:sz w:val="22"/>
        </w:rPr>
        <w:t xml:space="preserve"> Ensures respectful and free maternity services for all women.</w:t>
      </w:r>
    </w:p>
    <w:p>
      <w:pPr>
        <w:spacing w:line="276" w:lineRule="auto" w:after="120"/>
      </w:pPr>
      <w:r>
        <w:rPr>
          <w:rFonts w:ascii="Cambria" w:hAnsi="Cambria" w:eastAsia="Cambria"/>
          <w:b w:val="0"/>
          <w:i w:val="0"/>
          <w:sz w:val="22"/>
        </w:rPr>
        <w:t>Challenges Hindering Further Reduction in MMR: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Persistent regional disparities between high-performing and lagging states.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Shortage of skilled medical professionals in rural health centers.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Poor referral linkages during emergency complications.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Socioeconomic barriers such as poverty, illiteracy, and cultural stigma.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Inadequate awareness and family planning services in remote areas.</w:t>
      </w:r>
    </w:p>
    <w:p>
      <w:pPr>
        <w:spacing w:line="276" w:lineRule="auto" w:after="120"/>
      </w:pPr>
      <w:r>
        <w:rPr>
          <w:rFonts w:ascii="Cambria" w:hAnsi="Cambria" w:eastAsia="Cambria"/>
          <w:b w:val="0"/>
          <w:i w:val="0"/>
          <w:sz w:val="22"/>
        </w:rPr>
        <w:t>Recommendations for Strengthening Maternal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24x7 emergency obstetric care units in all districts.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rural ambulance services for timely referral.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maternal death audits (MDA) to identify gaps in care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public-private partnerships (PPP) for quality maternal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mental health and postpartum care into existing maternal health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 HEIs and medical universities to lead research on maternal mortality determinants and intervention models.</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National MMR reduced to ≤70 per 100,000 live births, meeting SDG-3 Target 3.1.</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access to skilled birth attendance and emergency obstetric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maternal nutrition and reproductive healthcare access in rural and tribal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healthcare workforce ensuring safe motherhood and child survival.</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India’s journey toward reducing maternal mortality is a success story of policy-driven progress, though challenges remain in regional disparities and service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Continued focus on health infrastructure, capacity building, and women’s empowerment will be vital to achieving the SDG-3 goal of safe motherhood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multi-sectoral efforts and inclusive health policies, India can ensure that no mother dies while giving life, realizing the broader vision of Good Health and Well-Being for All.</w:t>
      </w:r>
    </w:p>
    <w:p>
      <w:pPr>
        <w:pageBreakBefore/>
        <w:spacing w:before="360" w:after="200"/>
      </w:pPr>
      <w:r>
        <w:rPr>
          <w:rFonts w:ascii="Cambria" w:hAnsi="Cambria" w:eastAsia="Cambria"/>
          <w:b/>
          <w:i w:val="0"/>
          <w:color w:val="1F3A5F"/>
          <w:sz w:val="32"/>
        </w:rPr>
        <w:t>7. Ending All Preventable Deaths Under Five Years of Age: India’s Progress and Strategic Initiatives under SDG-3</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Under-five mortality rate (U5MR) is a vital indicator of a nation’s health system, nutrition standards, and access to medical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SDG-3, Target 3.2 aims to end preventable deaths of newborns and children under five years of age by reducing the under-five mortality rate to at least 25 per 1,000 live births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has made significant progress in reducing child mortality through national health programs, vaccination drives, and maternal care initiatives, yet regional disparities persist.</w:t>
      </w:r>
    </w:p>
    <w:p>
      <w:pPr>
        <w:spacing w:line="276" w:lineRule="auto" w:after="120"/>
      </w:pPr>
      <w:r>
        <w:rPr>
          <w:rFonts w:ascii="Cambria" w:hAnsi="Cambria" w:eastAsia="Cambria"/>
          <w:b w:val="0"/>
          <w:i w:val="0"/>
          <w:sz w:val="22"/>
        </w:rPr>
        <w:t>Current Status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According to the Sample Registration System (SRS) Bulletin 2016–18, India’s Under-five Mortality Rate (U5MR) stands at 36 deaths per 1,000 live births.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national goal, in alignment with the SDG-3 target, is to reduce U5MR to 25 per 1,000 by 2030.</w:t>
      </w:r>
    </w:p>
    <w:p>
      <w:pPr>
        <w:spacing w:line="276" w:lineRule="auto" w:after="120"/>
      </w:pPr>
      <w:r>
        <w:rPr>
          <w:rFonts w:ascii="Cambria" w:hAnsi="Cambria" w:eastAsia="Cambria"/>
          <w:b w:val="0"/>
          <w:i w:val="0"/>
          <w:sz w:val="22"/>
        </w:rPr>
        <w:t>State-wise Performance:</w:t>
      </w:r>
    </w:p>
    <w:tbl>
      <w:tblPr>
        <w:tblW w:type="auto" w:w="0"/>
        <w:jc w:val="center"/>
        <w:tblLook w:firstColumn="1" w:firstRow="1" w:lastColumn="0" w:lastRow="0" w:noHBand="0" w:noVBand="1" w:val="04A0"/>
        <w:tblLayout w:type="fixed"/>
      </w:tblPr>
      <w:tblGrid>
        <w:gridCol w:w="2551"/>
        <w:gridCol w:w="3402"/>
        <w:gridCol w:w="3402"/>
      </w:tblGrid>
      <w:tr>
        <w:tc>
          <w:tcPr>
            <w:tcW w:type="dxa" w:w="2551"/>
            <w:shd w:val="clear" w:color="auto" w:fill="1F3A5F"/>
            <w:tcW w:w="2551" w:type="dxa"/>
          </w:tcPr>
          <w:p>
            <w:r>
              <w:rPr>
                <w:rFonts w:ascii="Cambria" w:hAnsi="Cambria" w:eastAsia="Cambria"/>
                <w:b/>
                <w:i w:val="0"/>
                <w:color w:val="FFFFFF"/>
                <w:sz w:val="22"/>
              </w:rPr>
              <w:t>State/UT</w:t>
            </w:r>
          </w:p>
        </w:tc>
        <w:tc>
          <w:tcPr>
            <w:tcW w:type="dxa" w:w="3402"/>
            <w:shd w:val="clear" w:color="auto" w:fill="1F3A5F"/>
            <w:tcW w:w="3402" w:type="dxa"/>
          </w:tcPr>
          <w:p>
            <w:r>
              <w:rPr>
                <w:rFonts w:ascii="Cambria" w:hAnsi="Cambria" w:eastAsia="Cambria"/>
                <w:b/>
                <w:i w:val="0"/>
                <w:color w:val="FFFFFF"/>
                <w:sz w:val="22"/>
              </w:rPr>
              <w:t>U5MR (per 1,000 live births)</w:t>
            </w:r>
          </w:p>
        </w:tc>
        <w:tc>
          <w:tcPr>
            <w:tcW w:type="dxa" w:w="3402"/>
            <w:shd w:val="clear" w:color="auto" w:fill="1F3A5F"/>
            <w:tcW w:w="3402" w:type="dxa"/>
          </w:tcPr>
          <w:p>
            <w:r>
              <w:rPr>
                <w:rFonts w:ascii="Cambria" w:hAnsi="Cambria" w:eastAsia="Cambria"/>
                <w:b/>
                <w:i w:val="0"/>
                <w:color w:val="FFFFFF"/>
                <w:sz w:val="22"/>
              </w:rPr>
              <w:t>Status vs. SDG Target (≤25)</w:t>
            </w:r>
          </w:p>
        </w:tc>
      </w:tr>
      <w:tr>
        <w:tc>
          <w:tcPr>
            <w:tcW w:type="dxa" w:w="2551"/>
            <w:tcW w:w="2551" w:type="dxa"/>
          </w:tcPr>
          <w:p>
            <w:r>
              <w:rPr>
                <w:rFonts w:ascii="Cambria" w:hAnsi="Cambria" w:eastAsia="Cambria"/>
                <w:b w:val="0"/>
                <w:i w:val="0"/>
                <w:sz w:val="22"/>
              </w:rPr>
              <w:t>Kerala</w:t>
            </w:r>
          </w:p>
        </w:tc>
        <w:tc>
          <w:tcPr>
            <w:tcW w:type="dxa" w:w="3402"/>
            <w:tcW w:w="3402" w:type="dxa"/>
          </w:tcPr>
          <w:p>
            <w:r>
              <w:rPr>
                <w:rFonts w:ascii="Cambria" w:hAnsi="Cambria" w:eastAsia="Cambria"/>
                <w:b w:val="0"/>
                <w:i w:val="0"/>
                <w:sz w:val="22"/>
              </w:rPr>
              <w:t>7</w:t>
            </w:r>
          </w:p>
        </w:tc>
        <w:tc>
          <w:tcPr>
            <w:tcW w:type="dxa" w:w="3402"/>
            <w:tcW w:w="3402" w:type="dxa"/>
          </w:tcPr>
          <w:p>
            <w:r>
              <w:rPr>
                <w:rFonts w:ascii="Cambria" w:hAnsi="Cambria" w:eastAsia="Cambria"/>
                <w:b w:val="0"/>
                <w:i w:val="0"/>
                <w:sz w:val="22"/>
              </w:rPr>
              <w:t>Achieved Target</w:t>
            </w:r>
          </w:p>
        </w:tc>
      </w:tr>
      <w:tr>
        <w:tc>
          <w:tcPr>
            <w:tcW w:type="dxa" w:w="2551"/>
            <w:shd w:val="clear" w:color="auto" w:fill="DCE6F1"/>
            <w:tcW w:w="2551" w:type="dxa"/>
          </w:tcPr>
          <w:p>
            <w:r>
              <w:rPr>
                <w:rFonts w:ascii="Cambria" w:hAnsi="Cambria" w:eastAsia="Cambria"/>
                <w:b w:val="0"/>
                <w:i w:val="0"/>
                <w:sz w:val="22"/>
              </w:rPr>
              <w:t>Tamil Nadu</w:t>
            </w:r>
          </w:p>
        </w:tc>
        <w:tc>
          <w:tcPr>
            <w:tcW w:type="dxa" w:w="3402"/>
            <w:shd w:val="clear" w:color="auto" w:fill="DCE6F1"/>
            <w:tcW w:w="3402" w:type="dxa"/>
          </w:tcPr>
          <w:p>
            <w:r>
              <w:rPr>
                <w:rFonts w:ascii="Cambria" w:hAnsi="Cambria" w:eastAsia="Cambria"/>
                <w:b w:val="0"/>
                <w:i w:val="0"/>
                <w:sz w:val="22"/>
              </w:rPr>
              <w:t>13</w:t>
            </w:r>
          </w:p>
        </w:tc>
        <w:tc>
          <w:tcPr>
            <w:tcW w:type="dxa" w:w="3402"/>
            <w:shd w:val="clear" w:color="auto" w:fill="DCE6F1"/>
            <w:tcW w:w="3402" w:type="dxa"/>
          </w:tcPr>
          <w:p>
            <w:r>
              <w:rPr>
                <w:rFonts w:ascii="Cambria" w:hAnsi="Cambria" w:eastAsia="Cambria"/>
                <w:b w:val="0"/>
                <w:i w:val="0"/>
                <w:sz w:val="22"/>
              </w:rPr>
              <w:t>Achieved Target</w:t>
            </w:r>
          </w:p>
        </w:tc>
      </w:tr>
      <w:tr>
        <w:tc>
          <w:tcPr>
            <w:tcW w:type="dxa" w:w="2551"/>
            <w:tcW w:w="2551" w:type="dxa"/>
          </w:tcPr>
          <w:p>
            <w:r>
              <w:rPr>
                <w:rFonts w:ascii="Cambria" w:hAnsi="Cambria" w:eastAsia="Cambria"/>
                <w:b w:val="0"/>
                <w:i w:val="0"/>
                <w:sz w:val="22"/>
              </w:rPr>
              <w:t>Maharashtra</w:t>
            </w:r>
          </w:p>
        </w:tc>
        <w:tc>
          <w:tcPr>
            <w:tcW w:type="dxa" w:w="3402"/>
            <w:tcW w:w="3402" w:type="dxa"/>
          </w:tcPr>
          <w:p>
            <w:r>
              <w:rPr>
                <w:rFonts w:ascii="Cambria" w:hAnsi="Cambria" w:eastAsia="Cambria"/>
                <w:b w:val="0"/>
                <w:i w:val="0"/>
                <w:sz w:val="22"/>
              </w:rPr>
              <w:t>19</w:t>
            </w:r>
          </w:p>
        </w:tc>
        <w:tc>
          <w:tcPr>
            <w:tcW w:type="dxa" w:w="3402"/>
            <w:tcW w:w="3402" w:type="dxa"/>
          </w:tcPr>
          <w:p>
            <w:r>
              <w:rPr>
                <w:rFonts w:ascii="Cambria" w:hAnsi="Cambria" w:eastAsia="Cambria"/>
                <w:b w:val="0"/>
                <w:i w:val="0"/>
                <w:sz w:val="22"/>
              </w:rPr>
              <w:t>Achieved Target</w:t>
            </w:r>
          </w:p>
        </w:tc>
      </w:tr>
      <w:tr>
        <w:tc>
          <w:tcPr>
            <w:tcW w:type="dxa" w:w="2551"/>
            <w:shd w:val="clear" w:color="auto" w:fill="DCE6F1"/>
            <w:tcW w:w="2551" w:type="dxa"/>
          </w:tcPr>
          <w:p>
            <w:r>
              <w:rPr>
                <w:rFonts w:ascii="Cambria" w:hAnsi="Cambria" w:eastAsia="Cambria"/>
                <w:b w:val="0"/>
                <w:i w:val="0"/>
                <w:sz w:val="22"/>
              </w:rPr>
              <w:t>Punjab</w:t>
            </w:r>
          </w:p>
        </w:tc>
        <w:tc>
          <w:tcPr>
            <w:tcW w:type="dxa" w:w="3402"/>
            <w:shd w:val="clear" w:color="auto" w:fill="DCE6F1"/>
            <w:tcW w:w="3402" w:type="dxa"/>
          </w:tcPr>
          <w:p>
            <w:r>
              <w:rPr>
                <w:rFonts w:ascii="Cambria" w:hAnsi="Cambria" w:eastAsia="Cambria"/>
                <w:b w:val="0"/>
                <w:i w:val="0"/>
                <w:sz w:val="22"/>
              </w:rPr>
              <w:t>21</w:t>
            </w:r>
          </w:p>
        </w:tc>
        <w:tc>
          <w:tcPr>
            <w:tcW w:type="dxa" w:w="3402"/>
            <w:shd w:val="clear" w:color="auto" w:fill="DCE6F1"/>
            <w:tcW w:w="3402" w:type="dxa"/>
          </w:tcPr>
          <w:p>
            <w:r>
              <w:rPr>
                <w:rFonts w:ascii="Cambria" w:hAnsi="Cambria" w:eastAsia="Cambria"/>
                <w:b w:val="0"/>
                <w:i w:val="0"/>
                <w:sz w:val="22"/>
              </w:rPr>
              <w:t>Achieved Target</w:t>
            </w:r>
          </w:p>
        </w:tc>
      </w:tr>
      <w:tr>
        <w:tc>
          <w:tcPr>
            <w:tcW w:type="dxa" w:w="2551"/>
            <w:tcW w:w="2551" w:type="dxa"/>
          </w:tcPr>
          <w:p>
            <w:r>
              <w:rPr>
                <w:rFonts w:ascii="Cambria" w:hAnsi="Cambria" w:eastAsia="Cambria"/>
                <w:b w:val="0"/>
                <w:i w:val="0"/>
                <w:sz w:val="22"/>
              </w:rPr>
              <w:t>Himachal Pradesh</w:t>
            </w:r>
          </w:p>
        </w:tc>
        <w:tc>
          <w:tcPr>
            <w:tcW w:type="dxa" w:w="3402"/>
            <w:tcW w:w="3402" w:type="dxa"/>
          </w:tcPr>
          <w:p>
            <w:r>
              <w:rPr>
                <w:rFonts w:ascii="Cambria" w:hAnsi="Cambria" w:eastAsia="Cambria"/>
                <w:b w:val="0"/>
                <w:i w:val="0"/>
                <w:sz w:val="22"/>
              </w:rPr>
              <w:t>22</w:t>
            </w:r>
          </w:p>
        </w:tc>
        <w:tc>
          <w:tcPr>
            <w:tcW w:type="dxa" w:w="3402"/>
            <w:tcW w:w="3402" w:type="dxa"/>
          </w:tcPr>
          <w:p>
            <w:r>
              <w:rPr>
                <w:rFonts w:ascii="Cambria" w:hAnsi="Cambria" w:eastAsia="Cambria"/>
                <w:b w:val="0"/>
                <w:i w:val="0"/>
                <w:sz w:val="22"/>
              </w:rPr>
              <w:t>Achieved Target</w:t>
            </w:r>
          </w:p>
        </w:tc>
      </w:tr>
      <w:tr>
        <w:tc>
          <w:tcPr>
            <w:tcW w:type="dxa" w:w="2551"/>
            <w:shd w:val="clear" w:color="auto" w:fill="DCE6F1"/>
            <w:tcW w:w="2551" w:type="dxa"/>
          </w:tcPr>
          <w:p>
            <w:r>
              <w:rPr>
                <w:rFonts w:ascii="Cambria" w:hAnsi="Cambria" w:eastAsia="Cambria"/>
                <w:b w:val="0"/>
                <w:i w:val="0"/>
                <w:sz w:val="22"/>
              </w:rPr>
              <w:t>Madhya Pradesh</w:t>
            </w:r>
          </w:p>
        </w:tc>
        <w:tc>
          <w:tcPr>
            <w:tcW w:type="dxa" w:w="3402"/>
            <w:shd w:val="clear" w:color="auto" w:fill="DCE6F1"/>
            <w:tcW w:w="3402" w:type="dxa"/>
          </w:tcPr>
          <w:p>
            <w:r>
              <w:rPr>
                <w:rFonts w:ascii="Cambria" w:hAnsi="Cambria" w:eastAsia="Cambria"/>
                <w:b w:val="0"/>
                <w:i w:val="0"/>
                <w:sz w:val="22"/>
              </w:rPr>
              <w:t>56</w:t>
            </w:r>
          </w:p>
        </w:tc>
        <w:tc>
          <w:tcPr>
            <w:tcW w:type="dxa" w:w="3402"/>
            <w:shd w:val="clear" w:color="auto" w:fill="DCE6F1"/>
            <w:tcW w:w="3402" w:type="dxa"/>
          </w:tcPr>
          <w:p>
            <w:r>
              <w:rPr>
                <w:rFonts w:ascii="Cambria" w:hAnsi="Cambria" w:eastAsia="Cambria"/>
                <w:b w:val="0"/>
                <w:i w:val="0"/>
                <w:sz w:val="22"/>
              </w:rPr>
              <w:t>Highest U5MR – Needs Urgent Action</w:t>
            </w:r>
          </w:p>
        </w:tc>
      </w:tr>
    </w:tbl>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Observation: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States such as Kerala, Tamil Nadu, and Maharashtra demonstrate strong health systems, child immunization coverage, and maternal 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Madhya Pradesh, Uttar Pradesh, and Bihar continue to experience high under-five mortality due to poor nutrition, low immunization rates, and inadequate healthcare infrastructure.</w:t>
      </w:r>
    </w:p>
    <w:p>
      <w:pPr>
        <w:spacing w:line="276" w:lineRule="auto" w:after="120"/>
      </w:pPr>
      <w:r>
        <w:rPr>
          <w:rFonts w:ascii="Cambria" w:hAnsi="Cambria" w:eastAsia="Cambria"/>
          <w:b w:val="0"/>
          <w:i w:val="0"/>
          <w:sz w:val="22"/>
        </w:rPr>
        <w:t>Major Causes of Under-Five Mortality:</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Neonatal Causes (within first month):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Premature birth and low birth weight.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Birth asphyxia and trauma.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Neonatal sepsis and pneumonia.</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Post-Neonatal Causes (1–59 months):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Diarrhea, pneumonia, and malaria.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Malnutrition and vitamin deficiencies.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Congenital abnormalities.</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Socioeconomic Factors: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Poor maternal health, illiteracy, and inadequate sanitation.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Limited access to skilled healthcare professionals.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Gender bias and neglect of girl children in rural regions.</w:t>
      </w:r>
    </w:p>
    <w:p>
      <w:pPr>
        <w:spacing w:line="276" w:lineRule="auto" w:after="120"/>
      </w:pPr>
      <w:r>
        <w:rPr>
          <w:rFonts w:ascii="Cambria" w:hAnsi="Cambria" w:eastAsia="Cambria"/>
          <w:b w:val="0"/>
          <w:i w:val="0"/>
          <w:sz w:val="22"/>
        </w:rPr>
        <w:t>National Schemes and Initiatives to Reduce Under-Five Mortality:</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National Health Mission (NHM):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flagship health program that integrates maternal, newborn, and child healthcare under the RMNCH+A (Reproductive, Maternal, Newborn, Child, and Adolescent Health) strategy.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Key components include: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Facility-Based Newborn Care (FBNC) for neonatal complications.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Home-Based Newborn Care (HBNC) through Accredited Social Health Activists (ASHAs).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Janani Shishu Suraksha Karyakram (JSSK): Free institutional delivery and treatment for newborns.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Rashtriya Bal Swasthya Karyakram (RBSK): Health screening of children from birth to 18 years for early detection of diseases and disabilities.</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Mission Indradhanush: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Launched in 2014 by the Ministry of Health and Family Welfare.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Aims to achieve universal immunization coverage (90%) for children under two years and pregnant women.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Vaccinates against 12 preventable diseases, including polio, tuberculosis, hepatitis B, measles, diphtheria, and pneumonia.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initiative has substantially reduced child mortality due to vaccine-preventable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Intensified Mission Indradhanush (IMI) further targets hard-to-reach populations.</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National AYUSH 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Integrates Ayurveda, Yoga, Unani, Siddha, and Homeopathy for holistic child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natural immunity enhancement, traditional nutrition practices, and herbal remedies for childhood illnesses.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mothers to adopt yoga and dietary interventions during pregnancy and lactation.</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Umbrella Integrated Child Development Services (ICDS):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One of the world’s largest community-based programs, providing integrated services for maternal and child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Offers supplementary nutrition, immunization, and preschool education through Anganwadi centers.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areas: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Improving child nutrition and reducing malnutrition-related deaths.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Regular growth monitoring of children below six years.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Encouraging community engagement for child health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Works in coordination with Poshan Abhiyaan (National Nutrition Mission) to fight stunting, wasting, and anemia.</w:t>
      </w:r>
    </w:p>
    <w:p>
      <w:pPr>
        <w:spacing w:line="276" w:lineRule="auto" w:after="120"/>
      </w:pPr>
      <w:r>
        <w:rPr>
          <w:rFonts w:ascii="Cambria" w:hAnsi="Cambria" w:eastAsia="Cambria"/>
          <w:b w:val="0"/>
          <w:i w:val="0"/>
          <w:sz w:val="22"/>
        </w:rPr>
        <w:t>Complementary Initiatives Supporting Child Survival: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Rashtriya Kishor Swasthya Karyakram (RKSK):</w:t>
      </w:r>
      <w:r>
        <w:rPr>
          <w:rFonts w:ascii="Cambria" w:hAnsi="Cambria" w:eastAsia="Cambria"/>
          <w:b w:val="0"/>
          <w:i w:val="0"/>
          <w:sz w:val="22"/>
        </w:rPr>
        <w:t xml:space="preserve"> Promotes adolescent health to prevent early pregnancies.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India Newborn Action Plan (INAP):</w:t>
      </w:r>
      <w:r>
        <w:rPr>
          <w:rFonts w:ascii="Cambria" w:hAnsi="Cambria" w:eastAsia="Cambria"/>
          <w:b w:val="0"/>
          <w:i w:val="0"/>
          <w:sz w:val="22"/>
        </w:rPr>
        <w:t xml:space="preserve"> Focuses on ending preventable newborn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Pradhan Mantri Surakshit Matritva Abhiyan (PMSMA):</w:t>
      </w:r>
      <w:r>
        <w:rPr>
          <w:rFonts w:ascii="Cambria" w:hAnsi="Cambria" w:eastAsia="Cambria"/>
          <w:b w:val="0"/>
          <w:i w:val="0"/>
          <w:sz w:val="22"/>
        </w:rPr>
        <w:t xml:space="preserve"> Ensures antenatal check-ups for pregnant women to improve neonatal survival.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Intensified Diarrhea Control Fortnight (IDCF):</w:t>
      </w:r>
      <w:r>
        <w:rPr>
          <w:rFonts w:ascii="Cambria" w:hAnsi="Cambria" w:eastAsia="Cambria"/>
          <w:b w:val="0"/>
          <w:i w:val="0"/>
          <w:sz w:val="22"/>
        </w:rPr>
        <w:t xml:space="preserve"> Prevents diarrhea-related child deaths through Oral Rehydration Solutions (ORS) and zinc supplementation.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Poshan Tracker (Digital Platform):</w:t>
      </w:r>
      <w:r>
        <w:rPr>
          <w:rFonts w:ascii="Cambria" w:hAnsi="Cambria" w:eastAsia="Cambria"/>
          <w:b w:val="0"/>
          <w:i w:val="0"/>
          <w:sz w:val="22"/>
        </w:rPr>
        <w:t xml:space="preserve"> Real-time data tracking on child nutrition and service delivery.</w:t>
      </w:r>
    </w:p>
    <w:p>
      <w:pPr>
        <w:spacing w:line="276" w:lineRule="auto" w:after="120"/>
      </w:pPr>
      <w:r>
        <w:rPr>
          <w:rFonts w:ascii="Cambria" w:hAnsi="Cambria" w:eastAsia="Cambria"/>
          <w:b w:val="0"/>
          <w:i w:val="0"/>
          <w:sz w:val="22"/>
        </w:rPr>
        <w:t>Challenges in Achieving SDG-3 Target 3.2:</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Persistent regional inequalities in healthcare access and 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 prevalence of malnutrition and stunting in low-income states.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Insufficient immunization coverage in remote and tribal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Shortage of pediatric specialists and neonatal intensive care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Lack of community awareness regarding hygiene and preventive healthcare.</w:t>
      </w:r>
    </w:p>
    <w:p>
      <w:pPr>
        <w:spacing w:line="276" w:lineRule="auto" w:after="120"/>
      </w:pPr>
      <w:r>
        <w:rPr>
          <w:rFonts w:ascii="Cambria" w:hAnsi="Cambria" w:eastAsia="Cambria"/>
          <w:b w:val="0"/>
          <w:i w:val="0"/>
          <w:sz w:val="22"/>
        </w:rPr>
        <w:t>Recommendations for Strengthening Child Survival Efforts: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 neonatal intensive care units (NICUs) in rural hospitals.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public health campaigns on breastfeeding, immunization, and sanitation.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periodic under-five mortality audits to identify preventable causes.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and medical universities to undertake research on early childhood health and nutrition.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Anganwadi and ASHA workers in emergency child healthcare and home-based neonatal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public-private partnerships (PPP) for improved service delivery in underserved areas.</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National Under-Five Mortality Rate reduced to ≤25 per 1,000 live births.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immunization coverage achieved through Mission Indradhanush.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Elimination of vaccine-preventable and nutrition-related child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maternal and newborn health ecosystem ensuring child survival and growth.</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has made remarkable strides in reducing under-five mortality, yet sustained focus is essential to reach the SDG-3 Target 3.2 goal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continued investment in health infrastructure, immunization, nutrition, and maternal care, India can ensure that no child dies from preventable causes.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success of programs like NHM, Mission Indradhanush, AYUSH, and ICDS demonstrates that an integrated, community-based approach is key to achieving Good Health and Well-Being for every child in India.</w:t>
      </w:r>
    </w:p>
    <w:p>
      <w:pPr>
        <w:pageBreakBefore/>
        <w:spacing w:before="360" w:after="200"/>
      </w:pPr>
      <w:r>
        <w:rPr>
          <w:rFonts w:ascii="Cambria" w:hAnsi="Cambria" w:eastAsia="Cambria"/>
          <w:b/>
          <w:i w:val="0"/>
          <w:color w:val="1F3A5F"/>
          <w:sz w:val="32"/>
        </w:rPr>
        <w:t>8. Fighting Communicable Diseases in India: Progress, Challenges, and Key Initiatives under SDG-3</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Communicable diseases such as tuberculosis (TB), HIV/AIDS, malaria, and water-borne infections continue to pose a serious public-health challenge in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Under SDG-3, Target 3.3, the goal is to end epidemics of AIDS, tuberculosis, malaria, and neglected tropical diseases and to combat hepatitis, water-borne, and other communicable diseases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has achieved measurable progress through targeted national programs and inter-sectoral coordination, but high regional disparities and disease-specific challenges remain.</w:t>
      </w:r>
    </w:p>
    <w:p>
      <w:pPr>
        <w:spacing w:line="276" w:lineRule="auto" w:after="120"/>
      </w:pPr>
      <w:r>
        <w:rPr>
          <w:rFonts w:ascii="Cambria" w:hAnsi="Cambria" w:eastAsia="Cambria"/>
          <w:b w:val="0"/>
          <w:i w:val="0"/>
          <w:sz w:val="22"/>
        </w:rPr>
        <w:t>Current Status of Major Communicable Diseases (India, 2019):</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Tuberculosis (TB):</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2.4 million TB cases were officially notified in 2019.</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National TB notification rate: 177 cases per 100,000 population.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Highest notification: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Haryana – 255 cases per 100,000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Delhi – 575 cases, Chandigarh – 606 cases per 100,000 (urban density effect).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Lowest notification: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Tripura – 70 cases per 100,000 population.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India’s national objective aligns with the National Strategic Plan (NSP) for TB Elimination 2017–2025, which seeks to make India TB-free by 2025, five years ahead of the global SDG target.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Key Challenges: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Drug-resistant TB (MDR-TB) strains and incomplete treatment courses.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Poor awareness, stigma, and under-reporting in rural and slum areas.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Malnutrition and comorbidities such as diabetes heightening TB susceptibility.</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HIV/AIDS: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HIV incidence per 1,000 uninfected population: decreased from 0.07 (2017) to 0.05 (2019).</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Highest incidence rates: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Mizoram – 1.18, Nagaland – 0.73, Manipur – 0.34.</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Lowest incidence rates: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Himachal Pradesh, Karnataka, Kerala – 0.02, nearing the global zero-incidence target.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Jammu &amp; Kashmir and Ladakh lead UTs with only 0.02 per 1,000 uninfected persons.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Key Challenges: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Gender inequality and stigma leading to under-testing among women.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Inadequate awareness in high-risk groups (migrant workers, truck drivers, sex workers).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Need for strengthened ART adherence and prevention education.</w:t>
      </w:r>
    </w:p>
    <w:p>
      <w:pPr>
        <w:spacing w:line="276" w:lineRule="auto" w:after="120"/>
      </w:pPr>
      <w:r>
        <w:rPr>
          <w:rFonts w:ascii="Cambria" w:hAnsi="Cambria" w:eastAsia="Cambria"/>
          <w:b w:val="0"/>
          <w:i w:val="0"/>
          <w:sz w:val="22"/>
        </w:rPr>
        <w:t>Major National Schemes &amp; Initiatives:</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National Health Mission (NHM) – Flexible Pool for Communicable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Integrates disease-specific programs under a common resource pool to enhance flexibility and responsiveness.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Focuses on surveillance, diagnostics, outbreak response, and capacity building at district and block levels.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convergence between TB, malaria, leprosy, and vector-borne disease control programs.</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National AIDS Control Programme (NACP):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Implemented by NACO (National AIDS Control Organisation).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Strategic objectives: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Prevent new HIV infections through awareness and behavioral interventions.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universal access to ART (antiretroviral therapy) and viral-load monitoring.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mother-to-child transmission prevention (PPTCT).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community engagement and destigmatization campaigns.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aims to achieve “End AIDS by 2030.”</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National AYUSH 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the use of Ayurveda, Yoga, Unani, Siddha, and Homeopathy for disease prevention and immune strengthening.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integrative healthcare models combining traditional and allopathic systems for TB, respiratory infections, and chronic disease management.</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Swachh Bharat Mission (SBM) – Rural &amp; Urban: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Aims to eliminate open defecation and ensure universal sanitation coverage.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Improves environmental hygiene, directly reducing water-borne and vector-borne diseases such as cholera, diarrhea, and malaria.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behavioral change through community-led total sanitation (CLTS) campaigns.</w:t>
      </w:r>
    </w:p>
    <w:p>
      <w:pPr>
        <w:spacing w:line="276" w:lineRule="auto" w:after="80"/>
        <w:ind w:left="357" w:hanging="357"/>
        <w:jc w:val="both"/>
      </w:pPr>
      <w:r>
        <w:rPr>
          <w:rFonts w:ascii="Cambria" w:hAnsi="Cambria" w:eastAsia="Cambria"/>
          <w:b w:val="0"/>
          <w:i w:val="0"/>
          <w:sz w:val="22"/>
        </w:rPr>
        <w:t xml:space="preserve">5. </w:t>
      </w:r>
      <w:r>
        <w:rPr>
          <w:rFonts w:ascii="Cambria" w:hAnsi="Cambria" w:eastAsia="Cambria"/>
          <w:b w:val="0"/>
          <w:i w:val="0"/>
          <w:sz w:val="22"/>
        </w:rPr>
        <w:t>National Rural Drinking Water Programme (NRDWP):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Ensures safe and potable drinking water to rural households.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Reduces the incidence of water-borne diseases such as typhoid, cholera, and hepatitis A &amp; 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Emphasizes arsenic- and fluoride-free water supply systems and water-quality surveillance labs.</w:t>
      </w:r>
    </w:p>
    <w:p>
      <w:pPr>
        <w:spacing w:line="276" w:lineRule="auto" w:after="80"/>
        <w:ind w:left="357" w:hanging="357"/>
        <w:jc w:val="both"/>
      </w:pPr>
      <w:r>
        <w:rPr>
          <w:rFonts w:ascii="Cambria" w:hAnsi="Cambria" w:eastAsia="Cambria"/>
          <w:b w:val="0"/>
          <w:i w:val="0"/>
          <w:sz w:val="22"/>
        </w:rPr>
        <w:t xml:space="preserve">6. </w:t>
      </w:r>
      <w:r>
        <w:rPr>
          <w:rFonts w:ascii="Cambria" w:hAnsi="Cambria" w:eastAsia="Cambria"/>
          <w:b w:val="0"/>
          <w:i w:val="0"/>
          <w:sz w:val="22"/>
        </w:rPr>
        <w:t>Atal Mission for Rejuvenation and Urban Transformation (AMRUT):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Focuses on urban water supply, sewage, and stormwater management in 500+ cities.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Reduces communicable diseases arising from poor waste-water handling and urban pollution.</w:t>
      </w:r>
    </w:p>
    <w:p>
      <w:pPr>
        <w:spacing w:line="276" w:lineRule="auto" w:after="80"/>
        <w:ind w:left="357" w:hanging="357"/>
        <w:jc w:val="both"/>
      </w:pPr>
      <w:r>
        <w:rPr>
          <w:rFonts w:ascii="Cambria" w:hAnsi="Cambria" w:eastAsia="Cambria"/>
          <w:b w:val="0"/>
          <w:i w:val="0"/>
          <w:sz w:val="22"/>
        </w:rPr>
        <w:t xml:space="preserve">7. </w:t>
      </w:r>
      <w:r>
        <w:rPr>
          <w:rFonts w:ascii="Cambria" w:hAnsi="Cambria" w:eastAsia="Cambria"/>
          <w:b w:val="0"/>
          <w:i w:val="0"/>
          <w:sz w:val="22"/>
        </w:rPr>
        <w:t>Shyama Prasad Mukherjee RURBAN 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Integrates rural clusters into growth centers with basic healthcare, sanitation, and solid-waste management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Reduces disease transmission in peri-urban and tribal areas through health awareness programs.</w:t>
      </w:r>
    </w:p>
    <w:p>
      <w:pPr>
        <w:spacing w:line="276" w:lineRule="auto" w:after="80"/>
        <w:ind w:left="357" w:hanging="357"/>
        <w:jc w:val="both"/>
      </w:pPr>
      <w:r>
        <w:rPr>
          <w:rFonts w:ascii="Cambria" w:hAnsi="Cambria" w:eastAsia="Cambria"/>
          <w:b w:val="0"/>
          <w:i w:val="0"/>
          <w:sz w:val="22"/>
        </w:rPr>
        <w:t xml:space="preserve">8. </w:t>
      </w:r>
      <w:r>
        <w:rPr>
          <w:rFonts w:ascii="Cambria" w:hAnsi="Cambria" w:eastAsia="Cambria"/>
          <w:b w:val="0"/>
          <w:i w:val="0"/>
          <w:sz w:val="22"/>
        </w:rPr>
        <w:t>Pradhan Mantri Ujjwala Yojana (PMUY):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Provides LPG connections to poor households, minimizing exposure to indoor air pollution.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Helps prevent respiratory and communicable lung infections among women and children.</w:t>
      </w:r>
    </w:p>
    <w:p>
      <w:pPr>
        <w:spacing w:line="276" w:lineRule="auto" w:after="80"/>
        <w:ind w:left="357" w:hanging="357"/>
        <w:jc w:val="both"/>
      </w:pPr>
      <w:r>
        <w:rPr>
          <w:rFonts w:ascii="Cambria" w:hAnsi="Cambria" w:eastAsia="Cambria"/>
          <w:b w:val="0"/>
          <w:i w:val="0"/>
          <w:sz w:val="22"/>
        </w:rPr>
        <w:t xml:space="preserve">9. </w:t>
      </w:r>
      <w:r>
        <w:rPr>
          <w:rFonts w:ascii="Cambria" w:hAnsi="Cambria" w:eastAsia="Cambria"/>
          <w:b w:val="0"/>
          <w:i w:val="0"/>
          <w:sz w:val="22"/>
        </w:rPr>
        <w:t>Pradhan Mantri Kisan SAMPADA Yojana: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the food-processing supply chain to reduce contamination and food-borne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safe storage, cold-chain infrastructure, and quality assurance.</w:t>
      </w:r>
    </w:p>
    <w:p>
      <w:pPr>
        <w:spacing w:line="276" w:lineRule="auto" w:after="80"/>
        <w:ind w:left="357" w:hanging="357"/>
        <w:jc w:val="both"/>
      </w:pPr>
      <w:r>
        <w:rPr>
          <w:rFonts w:ascii="Cambria" w:hAnsi="Cambria" w:eastAsia="Cambria"/>
          <w:b w:val="0"/>
          <w:i w:val="0"/>
          <w:sz w:val="22"/>
        </w:rPr>
        <w:t xml:space="preserve">10. </w:t>
      </w:r>
      <w:r>
        <w:rPr>
          <w:rFonts w:ascii="Cambria" w:hAnsi="Cambria" w:eastAsia="Cambria"/>
          <w:b w:val="0"/>
          <w:i w:val="0"/>
          <w:sz w:val="22"/>
        </w:rPr>
        <w:t>Special Central Assistance to Tribal Sub-Scheme &amp; Umbrella Programme for Development of Scheduled Tribes: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Targets tribal and marginalized communities with poor health access.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Establishes mobile health units, nutrition centers, and awareness programs for communicable-disease prevention.</w:t>
      </w:r>
    </w:p>
    <w:p>
      <w:pPr>
        <w:spacing w:line="276" w:lineRule="auto" w:after="120"/>
      </w:pPr>
      <w:r>
        <w:rPr>
          <w:rFonts w:ascii="Cambria" w:hAnsi="Cambria" w:eastAsia="Cambria"/>
          <w:b w:val="0"/>
          <w:i w:val="0"/>
          <w:sz w:val="22"/>
        </w:rPr>
        <w:t>Cross-Sectoral Impact and Integration: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Clean water, sanitation, nutrition, and housing programs work synergistically with health schemes to reduce disease transmission.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Inter-ministerial collaboration (Health, AYUSH, Jal Shakti, Urban Development, and Tribal Affairs) ensures holistic progress toward SDG-3.</w:t>
      </w:r>
    </w:p>
    <w:p>
      <w:pPr>
        <w:spacing w:line="276" w:lineRule="auto" w:after="120"/>
      </w:pPr>
      <w:r>
        <w:rPr>
          <w:rFonts w:ascii="Cambria" w:hAnsi="Cambria" w:eastAsia="Cambria"/>
          <w:b w:val="0"/>
          <w:i w:val="0"/>
          <w:sz w:val="22"/>
        </w:rPr>
        <w:t>Challenges Hindering Complete Elimination: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Persistent urban-rural and inter-state disparities in disease surveillance and reporting.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Drug-resistant pathogens (MDR-TB, AMR) complicate treatment.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Migration and informal settlements increase vulnerability to communicable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Limited community participation and health literacy gaps in remote regions.</w:t>
      </w:r>
    </w:p>
    <w:p>
      <w:pPr>
        <w:spacing w:line="276" w:lineRule="auto" w:after="120"/>
      </w:pPr>
      <w:r>
        <w:rPr>
          <w:rFonts w:ascii="Cambria" w:hAnsi="Cambria" w:eastAsia="Cambria"/>
          <w:b w:val="0"/>
          <w:i w:val="0"/>
          <w:sz w:val="22"/>
        </w:rPr>
        <w:t>Recommendations for Strengthening Disease-Control Efforts: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Scale up real-time digital disease-surveillance systems integrating district health data.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research collaborations between HEIs, ICMR, and WHO for vaccine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laboratory networks and diagnostic capacity in rural blocks.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AI-enabled predictive analytics for early outbreak detection.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health education campaigns through schools, HEIs, and media platforms.</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Elimination of TB, HIV, and malaria epidemics in line with SDG-3 Target 3.3.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access to clean water, sanitation, and hygiene (WASH)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Stronger disease-surveillance systems ensuring timely response.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morbidity and mortality from communicable diseases across all states and UTs.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India’s integrated approach—combining medical care, sanitation, clean energy, nutrition, and education—is pivotal to eliminating communicable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SDG-3’s vision requires sustained inter-sectoral collaboration, investment in public-health infrastructure, and active participation of communities and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With continued focus, India can become a global model in disease prevention, control, and sustainable public-health governance by 2030.</w:t>
      </w:r>
    </w:p>
    <w:p>
      <w:pPr>
        <w:pageBreakBefore/>
        <w:spacing w:before="360" w:after="200"/>
      </w:pPr>
      <w:r>
        <w:rPr>
          <w:rFonts w:ascii="Cambria" w:hAnsi="Cambria" w:eastAsia="Cambria"/>
          <w:b/>
          <w:i w:val="0"/>
          <w:color w:val="1F3A5F"/>
          <w:sz w:val="32"/>
        </w:rPr>
        <w:t>9. Reducing Mortality from Non-Communicable Diseases and Promoting Mental Health under SDG-3</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Non-Communicable Diseases (NCDs) have emerged as one of the most significant global health challenges, responsible for 41 million deaths annually, accounting for 71% of all global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NCDs include cardiovascular diseases (CVDs), cancers, chronic respiratory diseases, and diabetes, collectively responsible for more than 80% of premature deaths (ages 30–69 years).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SDG-3, Target 3.4 aims to reduce premature mortality from NCDs by one-third by 2030 through prevention, treatment, and the promotion of mental health and well-being.</w:t>
      </w:r>
    </w:p>
    <w:p>
      <w:pPr>
        <w:spacing w:line="276" w:lineRule="auto" w:after="120"/>
      </w:pPr>
      <w:r>
        <w:rPr>
          <w:rFonts w:ascii="Cambria" w:hAnsi="Cambria" w:eastAsia="Cambria"/>
          <w:b w:val="0"/>
          <w:i w:val="0"/>
          <w:sz w:val="22"/>
        </w:rPr>
        <w:t>Global and National Context: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15 million people aged 30–69 years die prematurely each year due to NCDs.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85% of these deaths occur in low- and middle-income countries, highlighting severe disparities in healthcare access.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four major contributors 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Cardiovascular diseases: 17.9 million deaths annually.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Cancers: 9.3 million deaths annually.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Chronic respiratory diseases: 4.1 million deaths annually.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Diabetes: 1.5 million deaths annually.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 India, NCDs account for nearly 63% of total deaths, making them the leading cause of mortality and morbidity.</w:t>
      </w:r>
    </w:p>
    <w:p>
      <w:pPr>
        <w:spacing w:line="276" w:lineRule="auto" w:after="120"/>
      </w:pPr>
      <w:r>
        <w:rPr>
          <w:rFonts w:ascii="Cambria" w:hAnsi="Cambria" w:eastAsia="Cambria"/>
          <w:b w:val="0"/>
          <w:i w:val="0"/>
          <w:sz w:val="22"/>
        </w:rPr>
        <w:t>Key Causes and Risk Factors:</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Lifestyle-related factors: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Unhealthy diets (high sugar, salt, trans-fat).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Physical inactivity and sedentary lifestyles.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Tobacco and alcohol use.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Obesity and stress.</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Environmental and Social Determinants: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Air pollution and occupational exposure.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Urbanization and inadequate access to green spaces.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Limited access to affordable healthcare in rural and tribal regions.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Socioeconomic inequalities affecting awareness and diagnosis.</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Psychological and Mental Health Dimensions: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Rising mental health disorders due to stress, anxiety, and depression.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Lack of awareness and stigma preventing early diagnosis and treatment.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Mental illnesses leading to increased suicide rates among youth and professionals.</w:t>
      </w:r>
    </w:p>
    <w:p>
      <w:pPr>
        <w:spacing w:line="276" w:lineRule="auto" w:after="120"/>
      </w:pPr>
      <w:r>
        <w:rPr>
          <w:rFonts w:ascii="Cambria" w:hAnsi="Cambria" w:eastAsia="Cambria"/>
          <w:b w:val="0"/>
          <w:i w:val="0"/>
          <w:sz w:val="22"/>
        </w:rPr>
        <w:t>National Schemes and Initiatives:</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NHM – Flexible Pool for Non-Communicable Diseases, Injury, and Trauma: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infrastructure and service delivery for screening, prevention, and management of NCDs.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Implements National Programme for Prevention and Control of Cancer, Diabetes, Cardiovascular Diseases, and Stroke (NPCDCS).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Expands district NCD clinics and cardiac care units at district hospitals.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Integrates mental health, injury, and trauma care into district-level health planning.</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NHM – Human Resources for Health and Medical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Addresses shortage of skilled professionals such as cardiologists, oncologists, and psychiatrists.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Focuses on capacity building through the establishment of new medical and nursing colleges.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continuous professional development (CPD) programs on chronic disease management and preventive care.</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NHM – Strengthening of State Drug Regulatory 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Ensures availability of safe, effective, and quality drugs for NCD treatment.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Implements standard treatment guidelines and price regulation for essential NCD medicines.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generic drug production and distribution through Jan Aushadhi Kendras.</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National AYUSH 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traditional medicine systems (Ayurveda, Yoga, Unani, Siddha, and Homeopathy) for holistic management of NCDs.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Yoga-based lifestyle modification to prevent diabetes, hypertension, and anxiety.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Integrates AYUSH wellness centers with primary health care services for preventive health and mental well-being.</w:t>
      </w:r>
    </w:p>
    <w:p>
      <w:pPr>
        <w:spacing w:line="276" w:lineRule="auto" w:after="80"/>
        <w:ind w:left="357" w:hanging="357"/>
        <w:jc w:val="both"/>
      </w:pPr>
      <w:r>
        <w:rPr>
          <w:rFonts w:ascii="Cambria" w:hAnsi="Cambria" w:eastAsia="Cambria"/>
          <w:b w:val="0"/>
          <w:i w:val="0"/>
          <w:sz w:val="22"/>
        </w:rPr>
        <w:t xml:space="preserve">5. </w:t>
      </w:r>
      <w:r>
        <w:rPr>
          <w:rFonts w:ascii="Cambria" w:hAnsi="Cambria" w:eastAsia="Cambria"/>
          <w:b w:val="0"/>
          <w:i w:val="0"/>
          <w:sz w:val="22"/>
        </w:rPr>
        <w:t>Special Central Assistance to Tribal Sub-Scheme: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Focuses on tribal health infrastructure, addressing the high burden of NCDs in remote and marginalized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Provides mobile medical units, screening camps, and health education for early detection of chronic diseases.</w:t>
      </w:r>
    </w:p>
    <w:p>
      <w:pPr>
        <w:spacing w:line="276" w:lineRule="auto" w:after="80"/>
        <w:ind w:left="357" w:hanging="357"/>
        <w:jc w:val="both"/>
      </w:pPr>
      <w:r>
        <w:rPr>
          <w:rFonts w:ascii="Cambria" w:hAnsi="Cambria" w:eastAsia="Cambria"/>
          <w:b w:val="0"/>
          <w:i w:val="0"/>
          <w:sz w:val="22"/>
        </w:rPr>
        <w:t xml:space="preserve">6. </w:t>
      </w:r>
      <w:r>
        <w:rPr>
          <w:rFonts w:ascii="Cambria" w:hAnsi="Cambria" w:eastAsia="Cambria"/>
          <w:b w:val="0"/>
          <w:i w:val="0"/>
          <w:sz w:val="22"/>
        </w:rPr>
        <w:t>Umbrella Programme for Development of Scheduled Tribes: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Aims to improve access to healthcare, nutrition, and mental health services in tribal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collaborative projects with HEIs and NGOs for NCD prevention and community awareness.</w:t>
      </w:r>
    </w:p>
    <w:p>
      <w:pPr>
        <w:spacing w:line="276" w:lineRule="auto" w:after="120"/>
      </w:pPr>
      <w:r>
        <w:rPr>
          <w:rFonts w:ascii="Cambria" w:hAnsi="Cambria" w:eastAsia="Cambria"/>
          <w:b w:val="0"/>
          <w:i w:val="0"/>
          <w:sz w:val="22"/>
        </w:rPr>
        <w:t>Mental Health Integration under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Mental health disorders contribute significantly to disability and reduced productivity.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 per WHO, one in four individuals will experience a mental health issue in their lifetime.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faces a mental health treatment gap of nearly 70–80%, especially in rural areas.</w:t>
      </w:r>
    </w:p>
    <w:p>
      <w:pPr>
        <w:spacing w:line="276" w:lineRule="auto" w:after="120"/>
      </w:pPr>
      <w:r>
        <w:rPr>
          <w:rFonts w:ascii="Cambria" w:hAnsi="Cambria" w:eastAsia="Cambria"/>
          <w:b w:val="0"/>
          <w:i w:val="0"/>
          <w:sz w:val="22"/>
        </w:rPr>
        <w:t>Government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National Mental Health Programme (NMHP):</w:t>
      </w:r>
      <w:r>
        <w:rPr>
          <w:rFonts w:ascii="Cambria" w:hAnsi="Cambria" w:eastAsia="Cambria"/>
          <w:b w:val="0"/>
          <w:i w:val="0"/>
          <w:sz w:val="22"/>
        </w:rPr>
        <w:t xml:space="preserve"> Provides community-based mental healthcare services and awareness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Manodarpan Initiative (MoE):</w:t>
      </w:r>
      <w:r>
        <w:rPr>
          <w:rFonts w:ascii="Cambria" w:hAnsi="Cambria" w:eastAsia="Cambria"/>
          <w:b w:val="0"/>
          <w:i w:val="0"/>
          <w:sz w:val="22"/>
        </w:rPr>
        <w:t xml:space="preserve"> Supports psychological well-being of students and teachers.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Tele-MANAS (Tele Mental Health Assistance and Networking Across States):</w:t>
      </w:r>
      <w:r>
        <w:rPr>
          <w:rFonts w:ascii="Cambria" w:hAnsi="Cambria" w:eastAsia="Cambria"/>
          <w:b w:val="0"/>
          <w:i w:val="0"/>
          <w:sz w:val="22"/>
        </w:rPr>
        <w:t xml:space="preserve"> Offers tele-counseling services in regional languages.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KIRAN Helpline:</w:t>
      </w:r>
      <w:r>
        <w:rPr>
          <w:rFonts w:ascii="Cambria" w:hAnsi="Cambria" w:eastAsia="Cambria"/>
          <w:b w:val="0"/>
          <w:i w:val="0"/>
          <w:sz w:val="22"/>
        </w:rPr>
        <w:t xml:space="preserve"> 24/7 toll-free helpline for stress, depression, and suicidal tendencies.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Mental Healthcare Act, 2017:</w:t>
      </w:r>
      <w:r>
        <w:rPr>
          <w:rFonts w:ascii="Cambria" w:hAnsi="Cambria" w:eastAsia="Cambria"/>
          <w:b w:val="0"/>
          <w:i w:val="0"/>
          <w:sz w:val="22"/>
        </w:rPr>
        <w:t xml:space="preserve"> Ensures rights-based mental healthcare and protection from discrimination.</w:t>
      </w:r>
    </w:p>
    <w:p>
      <w:pPr>
        <w:spacing w:line="276" w:lineRule="auto" w:after="120"/>
      </w:pPr>
      <w:r>
        <w:rPr>
          <w:rFonts w:ascii="Cambria" w:hAnsi="Cambria" w:eastAsia="Cambria"/>
          <w:b w:val="0"/>
          <w:i w:val="0"/>
          <w:sz w:val="22"/>
        </w:rPr>
        <w:t>Role of HEIs and Health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Awareness Campaigns:</w:t>
      </w:r>
      <w:r>
        <w:rPr>
          <w:rFonts w:ascii="Cambria" w:hAnsi="Cambria" w:eastAsia="Cambria"/>
          <w:b w:val="0"/>
          <w:i w:val="0"/>
          <w:sz w:val="22"/>
        </w:rPr>
        <w:t xml:space="preserve"> Conduct health screenings, yoga sessions, and mental wellness workshops.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Research Initiatives:</w:t>
      </w:r>
      <w:r>
        <w:rPr>
          <w:rFonts w:ascii="Cambria" w:hAnsi="Cambria" w:eastAsia="Cambria"/>
          <w:b w:val="0"/>
          <w:i w:val="0"/>
          <w:sz w:val="22"/>
        </w:rPr>
        <w:t xml:space="preserve"> Undertake interdisciplinary research on NCD prevention, mental health, and behavioral sciences.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Curriculum Integration:</w:t>
      </w:r>
      <w:r>
        <w:rPr>
          <w:rFonts w:ascii="Cambria" w:hAnsi="Cambria" w:eastAsia="Cambria"/>
          <w:b w:val="0"/>
          <w:i w:val="0"/>
          <w:sz w:val="22"/>
        </w:rPr>
        <w:t xml:space="preserve"> Include health education, stress management, and lifestyle modification modules in academic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Counseling Centres:</w:t>
      </w:r>
      <w:r>
        <w:rPr>
          <w:rFonts w:ascii="Cambria" w:hAnsi="Cambria" w:eastAsia="Cambria"/>
          <w:b w:val="0"/>
          <w:i w:val="0"/>
          <w:sz w:val="22"/>
        </w:rPr>
        <w:t xml:space="preserve"> Establish student wellness and mental health units in every HEI.</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Community Outreach:</w:t>
      </w:r>
      <w:r>
        <w:rPr>
          <w:rFonts w:ascii="Cambria" w:hAnsi="Cambria" w:eastAsia="Cambria"/>
          <w:b w:val="0"/>
          <w:i w:val="0"/>
          <w:sz w:val="22"/>
        </w:rPr>
        <w:t xml:space="preserve"> Partner with local PHCs to organize free NCD screening and lifestyle awareness programs.</w:t>
      </w:r>
    </w:p>
    <w:p>
      <w:pPr>
        <w:spacing w:line="276" w:lineRule="auto" w:after="120"/>
      </w:pPr>
      <w:r>
        <w:rPr>
          <w:rFonts w:ascii="Cambria" w:hAnsi="Cambria" w:eastAsia="Cambria"/>
          <w:b w:val="0"/>
          <w:i w:val="0"/>
          <w:sz w:val="22"/>
        </w:rPr>
        <w:t>Challenges in Combating NCDs: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Limited health insurance coverage for chronic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Poor awareness and late diagnosis in rural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Inadequate mental health professionals (psychiatrists, counselors, clinical psychologists).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Lifestyle habits influenced by urbanization and unhealthy diets.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Insufficient data on disease prevalence and mortality.</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primary healthcare systems for NCD screening and counseling.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preventive health education through digital campaigns and HEI involvement.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mental health into national health insurance and primary care frameworks.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multi-sectoral collaboration between Health, Education, and AYUSH Ministries.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Foster AI-driven early detection systems for chronic diseases using digital health records.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corporate wellness programs through CSR initiatives.</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One-third reduction in premature NCD mortality (SDG-3 Target 3.4).</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access to preventive care, screening, and rehabilitation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mental health awareness and community resilience.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health infrastructure and workforce for chronic disease management.</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NCDs and mental health disorders represent a dual public health challenge—one physical, one psychological—but both preventable with early intervention.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sustained policy action, community participation, and integration of modern and traditional healthcare systems, India can reduce NCD mortality and foster mental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SDG-3 Target 3.4 demands a shift from treatment to prevention, focusing on healthy lifestyles, stress management, and inclusive healthcare for all.</w:t>
      </w:r>
    </w:p>
    <w:p>
      <w:pPr>
        <w:pageBreakBefore/>
        <w:spacing w:before="360" w:after="200"/>
      </w:pPr>
      <w:r>
        <w:rPr>
          <w:rFonts w:ascii="Cambria" w:hAnsi="Cambria" w:eastAsia="Cambria"/>
          <w:b/>
          <w:i w:val="0"/>
          <w:color w:val="1F3A5F"/>
          <w:sz w:val="32"/>
        </w:rPr>
        <w:t>10. Preventing and Treating Substance Abuse: Policies, Challenges, and Initiatives under SDG-3</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Substance abuse, including alcohol, tobacco, and narcotic drugs, remains one of the most pervasive public health challenges worldwide.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SDG-3, Target 3.5 specifically aims to </w:t>
      </w:r>
      <w:r>
        <w:rPr>
          <w:rFonts w:ascii="Cambria" w:hAnsi="Cambria" w:eastAsia="Cambria"/>
          <w:b w:val="0"/>
          <w:i/>
          <w:sz w:val="22"/>
        </w:rPr>
        <w:t>“strengthen the prevention and treatment of substance abuse, including narcotic drug abuse and harmful use of alcohol.”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Despite progress in various regions, including Europe and Asia, there remains minimal advancement in reducing alcohol consumption, smoking prevalence, child obesity, and suicide mortality—all closely linked to substance abuse and mental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European Public Health Association (EUPHA) and global health institutions emphasize the vital role of civil society, health institutions, and community organizations in achieving sustained progress.</w:t>
      </w:r>
    </w:p>
    <w:p>
      <w:pPr>
        <w:spacing w:line="276" w:lineRule="auto" w:after="120"/>
      </w:pPr>
      <w:r>
        <w:rPr>
          <w:rFonts w:ascii="Cambria" w:hAnsi="Cambria" w:eastAsia="Cambria"/>
          <w:b w:val="0"/>
          <w:i w:val="0"/>
          <w:sz w:val="22"/>
        </w:rPr>
        <w:t>Global and Regional Perspective: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Europe and North America: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These regions show slower-than-expected progress in reducing alcohol and tobacco consumption and associated non-communicable diseases.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Suicide and child obesity trends remain stagnant or increasing, highlighting the deep interconnection between mental health and addiction.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Asia and India: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India faces rising concerns over drug addiction among youth, especially in Punjab, Himachal Pradesh, and Northeastern states.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Alcohol consumption and tobacco use contribute significantly to domestic violence, liver disease, and premature deaths.</w:t>
      </w:r>
    </w:p>
    <w:p>
      <w:pPr>
        <w:spacing w:line="276" w:lineRule="auto" w:after="120"/>
      </w:pPr>
      <w:r>
        <w:rPr>
          <w:rFonts w:ascii="Cambria" w:hAnsi="Cambria" w:eastAsia="Cambria"/>
          <w:b w:val="0"/>
          <w:i w:val="0"/>
          <w:sz w:val="22"/>
        </w:rPr>
        <w:t>Current Challenges:</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Increasing Youth Vulnerability: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Peer pressure, unemployment, and social media exposure drive experimentation with drugs and alcohol.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Easy availability of substances and synthetic drugs in urban areas worsens the issue.</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Mental Health Linkage: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Substance abuse often coexists with depression, anxiety, and suicidal ideation.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Lack of awareness and societal stigma prevent individuals from seeking treatment.</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Weak Institutional Infrastructure: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Insufficient rehabilitation and detoxification centers, particularly in rural and tribal areas.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Limited trained counselors, psychologists, and social workers.</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Inadequate Enforcement: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Illicit trafficking and porous borders make control of narcotics challenging.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Weak coordination among enforcement agencies delays prevention and prosecution.</w:t>
      </w:r>
    </w:p>
    <w:p>
      <w:pPr>
        <w:spacing w:line="276" w:lineRule="auto" w:after="80"/>
        <w:ind w:left="357" w:hanging="357"/>
        <w:jc w:val="both"/>
      </w:pPr>
      <w:r>
        <w:rPr>
          <w:rFonts w:ascii="Cambria" w:hAnsi="Cambria" w:eastAsia="Cambria"/>
          <w:b w:val="0"/>
          <w:i w:val="0"/>
          <w:sz w:val="22"/>
        </w:rPr>
        <w:t xml:space="preserve">5. </w:t>
      </w:r>
      <w:r>
        <w:rPr>
          <w:rFonts w:ascii="Cambria" w:hAnsi="Cambria" w:eastAsia="Cambria"/>
          <w:b w:val="0"/>
          <w:i w:val="0"/>
          <w:sz w:val="22"/>
        </w:rPr>
        <w:t>Data and Monitoring Gaps: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Under-reporting of substance abuse cases and fragmented national statistics limit effective policymaking.</w:t>
      </w:r>
    </w:p>
    <w:p>
      <w:pPr>
        <w:spacing w:line="276" w:lineRule="auto" w:after="120"/>
      </w:pPr>
      <w:r>
        <w:rPr>
          <w:rFonts w:ascii="Cambria" w:hAnsi="Cambria" w:eastAsia="Cambria"/>
          <w:b w:val="0"/>
          <w:i w:val="0"/>
          <w:sz w:val="22"/>
        </w:rPr>
        <w:t>Key Schemes and Initiatives:</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Scheme for Prevention of Alcoholism and Substance (Drugs)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Implemented by the Ministry of Social Justice and Empowerment (MoSJE).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Objectives: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create awareness and educate the public about the ill effects of alcoholism and drug abuse.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develop counseling, treatment, and rehabilitation infrastructure through voluntary organizations.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support NGOs and community-based organizations in establishing Integrated Rehabilitation Centres for Addicts (IRCAs).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promote peer-support, de-addiction camps, and community outreach activities.</w:t>
      </w:r>
    </w:p>
    <w:p>
      <w:pPr>
        <w:spacing w:line="276" w:lineRule="auto" w:after="120"/>
      </w:pPr>
      <w:r>
        <w:rPr>
          <w:rFonts w:ascii="Cambria" w:hAnsi="Cambria" w:eastAsia="Cambria"/>
          <w:b w:val="0"/>
          <w:i w:val="0"/>
          <w:sz w:val="22"/>
        </w:rPr>
        <w:t>Activities: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Financial assistance to voluntary organizations for operating de-addiction centers.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Mass awareness campaigns in schools, colleges, and workplaces.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Skill development training for rehabilitated individuals to facilitate reintegration into society.</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National AYUSH 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Integrates traditional healing practices (Ayurveda, Yoga, Unani, Siddha, Homeopathy) to treat addiction and enhance mental resilience.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the use of herbal formulations and yogic therapies to reduce dependency and detoxify the body.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mindfulness, meditation, and lifestyle modification for stress management and relapse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AYUSH de-addiction therapies are being incorporated into integrated wellness centers at district and university levels.</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Police Infrastructure &amp; Narcotics Control Bureau (NCB):</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the law enforcement mechanism against drug trafficking and illegal supply chains.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Narcotics Control Bureau, under the Ministry of Home Affairs, coordinates anti-narcotics operations with state police and intelligence agencies.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Implementation of NDPS Act (Narcotic Drugs and Psychotropic Substances Act, 1985) ensures strict legal control over drug manufacture, sale, and possession.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Capacity-building programs for police personnel, including drug detection, community policing, and awareness drives in educational institutions.</w:t>
      </w:r>
    </w:p>
    <w:p>
      <w:pPr>
        <w:spacing w:line="276" w:lineRule="auto" w:after="120"/>
      </w:pPr>
      <w:r>
        <w:rPr>
          <w:rFonts w:ascii="Cambria" w:hAnsi="Cambria" w:eastAsia="Cambria"/>
          <w:b w:val="0"/>
          <w:i w:val="0"/>
          <w:sz w:val="22"/>
        </w:rPr>
        <w:t>Role of Civil Society and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Higher Education Institutions (HEIs) are encouraged to establish: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Counseling and mental-wellness centers for students and staff.</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Drug-free campus campaigns and regular seminars on addiction prevention.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Collaborative research on socio-psychological and behavioral patterns leading to substance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Civil society organizations and student volunteers can act as peer educators, helping early identification of at-risk individuals.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can collaborate with NCB and Health Departments for community-based awareness and outreach programs.</w:t>
      </w:r>
    </w:p>
    <w:p>
      <w:pPr>
        <w:spacing w:line="276" w:lineRule="auto" w:after="120"/>
      </w:pPr>
      <w:r>
        <w:rPr>
          <w:rFonts w:ascii="Cambria" w:hAnsi="Cambria" w:eastAsia="Cambria"/>
          <w:b w:val="0"/>
          <w:i w:val="0"/>
          <w:sz w:val="22"/>
        </w:rPr>
        <w:t>Best Practices and Global Learnings: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European Public Health Association (EUPHA):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Advocates integrating mental health services within addiction-treatment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Promotes evidence-based interventions like brief counseling, harm-reduction programs, and school-based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WHO “SAFER” Initiative: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Global framework to reduce alcohol-related harm through policy, awareness, and enforcement.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Nordic Model: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Combines strict regulation, high taxation, and rehabilitation programs to reduce alcohol and drug consumption effectively.</w:t>
      </w:r>
    </w:p>
    <w:p>
      <w:pPr>
        <w:spacing w:line="276" w:lineRule="auto" w:after="120"/>
      </w:pPr>
      <w:r>
        <w:rPr>
          <w:rFonts w:ascii="Cambria" w:hAnsi="Cambria" w:eastAsia="Cambria"/>
          <w:b w:val="0"/>
          <w:i w:val="0"/>
          <w:sz w:val="22"/>
        </w:rPr>
        <w:t>Challenges in India’s Context: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Limited number of de-addiction centers compared to affected population.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Social stigma and lack of family support during rehabilitation.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Rural areas often lack trained counselors and long-term rehabilitation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Synthetic drugs and online drug trade emerging as new threats.</w:t>
      </w:r>
    </w:p>
    <w:p>
      <w:pPr>
        <w:spacing w:line="276" w:lineRule="auto" w:after="120"/>
      </w:pPr>
      <w:r>
        <w:rPr>
          <w:rFonts w:ascii="Cambria" w:hAnsi="Cambria" w:eastAsia="Cambria"/>
          <w:b w:val="0"/>
          <w:i w:val="0"/>
          <w:sz w:val="22"/>
        </w:rPr>
        <w:t>Recommendations for Strengthened Action: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state-level Addiction Monitoring and Prevention Cells (AMPCs) under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mental-health screening into de-addiction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rehabilitation services under the National Health Mission to district level.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public-private partnerships (PPP) for building modern detoxification centers.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mandatory awareness programs in schools, colleges, and workplaces.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 funding for addiction research and behavioral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border surveillance and law enforcement coordination under the NCB.</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prevalence of alcohol and drug abuse among youth and working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of mental health and addiction treatment services within the public-health framework.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Decrease in crime, road accidents, and domestic violence linked to substance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rehabilitation ecosystem emphasizing recovery and social reintegration.</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prevention and treatment of substance abuse demand a multidimensional, health-centered, and socially inclusive approach.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schemes such as the Prevention of Alcoholism and Substance Abuse Program, the National AYUSH Mission, and enhanced police and civil society engagement, India is progressing toward SDG-3 Target 3.5.</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Long-term success will rely on education, awareness, and compassionate rehabilitation, ensuring that individuals not only recover but reintegrate into society with dignity—fulfilling the global commitment to Good Health and Well-Being for All.</w:t>
      </w:r>
    </w:p>
    <w:p>
      <w:pPr>
        <w:pageBreakBefore/>
        <w:spacing w:before="360" w:after="200"/>
      </w:pPr>
      <w:r>
        <w:rPr>
          <w:rFonts w:ascii="Cambria" w:hAnsi="Cambria" w:eastAsia="Cambria"/>
          <w:b/>
          <w:i w:val="0"/>
          <w:color w:val="1F3A5F"/>
          <w:sz w:val="32"/>
        </w:rPr>
        <w:t>11. Reducing Road Injuries and Deaths under SDG-3: Policies, Progress, and Preventive Strategies</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Road traffic injuries represent a major global public health concern and are a leading cause of death and disability worldwide.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Under SDG-3, Target 3.6, the objective is to </w:t>
      </w:r>
      <w:r>
        <w:rPr>
          <w:rFonts w:ascii="Cambria" w:hAnsi="Cambria" w:eastAsia="Cambria"/>
          <w:b w:val="0"/>
          <w:i/>
          <w:sz w:val="22"/>
        </w:rPr>
        <w:t>“halve the number of global deaths and injuries from road traffic accidents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with one of the largest road networks in the world, witnesses a high burden of fatalities and injuries, predominantly affecting young adults in the productive age group.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While certain states and union territories have achieved remarkable progress, others continue to face challenges due to unsafe road behavior, inadequate infrastructure, and poor post-crash care.</w:t>
      </w:r>
    </w:p>
    <w:p>
      <w:pPr>
        <w:spacing w:line="276" w:lineRule="auto" w:after="120"/>
      </w:pPr>
      <w:r>
        <w:rPr>
          <w:rFonts w:ascii="Cambria" w:hAnsi="Cambria" w:eastAsia="Cambria"/>
          <w:b w:val="0"/>
          <w:i w:val="0"/>
          <w:sz w:val="22"/>
        </w:rPr>
        <w:t>Current Scenario (India, 2019):</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 per the Accidental Deaths and Suicides in India (ADSI) Report, 2019,</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national road traffic death rate was 11.56 deaths per 100,000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Goa recorded the highest fatality rate at 19.38 per 100,000 population.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Nagaland reported the lowest rate at 1.02 per 100,000 population.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States and UTs Achieving the SDG Target: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Manipur, Meghalaya, Mizoram, and Nagaland among the States.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Andaman &amp; Nicobar Islands and Lakshadweep among the Union Territories.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states have achieved the SDG-3.6 target by maintaining road traffic deaths below 6 per 100,000 population, through a combination of public awareness, strict enforcement, and road-safety interventions.</w:t>
      </w:r>
    </w:p>
    <w:p>
      <w:pPr>
        <w:spacing w:line="276" w:lineRule="auto" w:after="120"/>
      </w:pPr>
      <w:r>
        <w:rPr>
          <w:rFonts w:ascii="Cambria" w:hAnsi="Cambria" w:eastAsia="Cambria"/>
          <w:b w:val="0"/>
          <w:i w:val="0"/>
          <w:sz w:val="22"/>
        </w:rPr>
        <w:t>Major Causes of Road Accidents and Fatalities:</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Human Factors: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Over-speeding, distracted driving, and violation of traffic rules.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Driving under the influence of alcohol or drugs.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Fatigue and drowsiness during long-distance driving.</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Vehicle Factors: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Poor vehicle maintenance and lack of safety features (e.g., airbags, ABS).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Overloading of goods and passengers.</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Infrastructure Issues: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Poorly designed roads, potholes, and lack of signage.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Absence of pedestrian crossings, barriers, and lighting.</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Emergency Response: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Delayed medical attention and lack of trained first responders.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Inadequate trauma care centers and ambulance networks.</w:t>
      </w:r>
    </w:p>
    <w:p>
      <w:pPr>
        <w:spacing w:line="276" w:lineRule="auto" w:after="120"/>
      </w:pPr>
      <w:r>
        <w:rPr>
          <w:rFonts w:ascii="Cambria" w:hAnsi="Cambria" w:eastAsia="Cambria"/>
          <w:b w:val="0"/>
          <w:i w:val="0"/>
          <w:sz w:val="22"/>
        </w:rPr>
        <w:t>High-Risk Groups: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Young adults (15–44 years) — the most economically active population segment.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Motorcyclists, pedestrians, and cyclists — who account for nearly 50% of total fatalities.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Children and the elderly — due to low risk awareness and slow mobility response.</w:t>
      </w:r>
    </w:p>
    <w:p>
      <w:pPr>
        <w:spacing w:line="276" w:lineRule="auto" w:after="120"/>
      </w:pPr>
      <w:r>
        <w:rPr>
          <w:rFonts w:ascii="Cambria" w:hAnsi="Cambria" w:eastAsia="Cambria"/>
          <w:b w:val="0"/>
          <w:i w:val="0"/>
          <w:sz w:val="22"/>
        </w:rPr>
        <w:t>National Schemes and Initiatives to Reduce Road Injuries and Deaths:</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Road Safety Schemes (Ministry of Road Transport and Highways – MoRTH):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Comprehensive programs under the National Road Safety Policy (NRSP) to enhance road safety awareness, infrastructure, and enforcement.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Key Components: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Publicity and Awareness Generation: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Nationwide campaigns promoting seat-belt and helmet use, speed limit adherence, and anti-drunk-driving messages.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Engagement of celebrities and youth ambassadors to change driver behavior.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Education in Schools and HEIs: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Inclusion of road safety education modules in school curricula.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Establishment of Road Safety Clubs in colleges and universities.</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National Highways Accident Relief Service Scheme (NHARSS):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Aims to provide immediate relief and medical assistance to accident victims on national highways.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Provisions Include: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Highway Patrol Vans equipped with first-aid kits, stretchers, and communication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Tow trucks and cranes for clearing accident sites.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Emergency helpline systems (1033) for accident reporting and rapid response.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Helps minimize response time and post-crash fatalities.</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Institute of Driving Training and Research (IDTR):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Centers established in collaboration with state transport departments and automobile manufacturers.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Objectives: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scientific driver training and road-safety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use of driving simulators and skill-based modules for commercial and private drivers.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periodic re-certification and assessment of driving competency.</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Motor Vehicles (Amendment) Act, 2019:</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legal framework for road safety, driver accountability, and enforcement.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Key features: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Heavy penalties for traffic violations (drunk driving, over-speeding, mobile phone use).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Protection of Good Samaritans who assist accident victims.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Mandatory insurance and fitness certification of vehicles.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Electronic monitoring and automatic traffic enforcement systems.</w:t>
      </w:r>
    </w:p>
    <w:p>
      <w:pPr>
        <w:spacing w:line="276" w:lineRule="auto" w:after="80"/>
        <w:ind w:left="357" w:hanging="357"/>
        <w:jc w:val="both"/>
      </w:pPr>
      <w:r>
        <w:rPr>
          <w:rFonts w:ascii="Cambria" w:hAnsi="Cambria" w:eastAsia="Cambria"/>
          <w:b w:val="0"/>
          <w:i w:val="0"/>
          <w:sz w:val="22"/>
        </w:rPr>
        <w:t xml:space="preserve">5. </w:t>
      </w:r>
      <w:r>
        <w:rPr>
          <w:rFonts w:ascii="Cambria" w:hAnsi="Cambria" w:eastAsia="Cambria"/>
          <w:b w:val="0"/>
          <w:i w:val="0"/>
          <w:sz w:val="22"/>
        </w:rPr>
        <w:t>National Road Safety Board (NRSB):</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Constituted under MoRTH to advise the government on policy formulation, research, and data analytics.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Focuses 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Standardizing road design and signage.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Conducting road safety audits and black spot identification.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Promoting vehicle safety innovations and data-driven decision-making.</w:t>
      </w:r>
    </w:p>
    <w:p>
      <w:pPr>
        <w:spacing w:line="276" w:lineRule="auto" w:after="80"/>
        <w:ind w:left="357" w:hanging="357"/>
        <w:jc w:val="both"/>
      </w:pPr>
      <w:r>
        <w:rPr>
          <w:rFonts w:ascii="Cambria" w:hAnsi="Cambria" w:eastAsia="Cambria"/>
          <w:b w:val="0"/>
          <w:i w:val="0"/>
          <w:sz w:val="22"/>
        </w:rPr>
        <w:t xml:space="preserve">6. </w:t>
      </w:r>
      <w:r>
        <w:rPr>
          <w:rFonts w:ascii="Cambria" w:hAnsi="Cambria" w:eastAsia="Cambria"/>
          <w:b w:val="0"/>
          <w:i w:val="0"/>
          <w:sz w:val="22"/>
        </w:rPr>
        <w:t>State-Level and Collaborative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Integrated Road Accident Database (iRAD):</w:t>
      </w:r>
      <w:r>
        <w:rPr>
          <w:rFonts w:ascii="Cambria" w:hAnsi="Cambria" w:eastAsia="Cambria"/>
          <w:b w:val="0"/>
          <w:i w:val="0"/>
          <w:sz w:val="22"/>
        </w:rPr>
        <w:t xml:space="preserve"> A real-time platform for accident data collection and analysis.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Safe System Approach:</w:t>
      </w:r>
      <w:r>
        <w:rPr>
          <w:rFonts w:ascii="Cambria" w:hAnsi="Cambria" w:eastAsia="Cambria"/>
          <w:b w:val="0"/>
          <w:i w:val="0"/>
          <w:sz w:val="22"/>
        </w:rPr>
        <w:t xml:space="preserve"> Adopted by states like Tamil Nadu and Kerala to combine engineering, enforcement, and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Smart City Mission Integration:</w:t>
      </w:r>
      <w:r>
        <w:rPr>
          <w:rFonts w:ascii="Cambria" w:hAnsi="Cambria" w:eastAsia="Cambria"/>
          <w:b w:val="0"/>
          <w:i w:val="0"/>
          <w:sz w:val="22"/>
        </w:rPr>
        <w:t xml:space="preserve"> Use of AI-based traffic management systems and smart surveillance to reduce congestion and accidents.</w:t>
      </w:r>
    </w:p>
    <w:p>
      <w:pPr>
        <w:spacing w:line="276" w:lineRule="auto" w:after="120"/>
      </w:pPr>
      <w:r>
        <w:rPr>
          <w:rFonts w:ascii="Cambria" w:hAnsi="Cambria" w:eastAsia="Cambria"/>
          <w:b w:val="0"/>
          <w:i w:val="0"/>
          <w:sz w:val="22"/>
        </w:rPr>
        <w:t>Role of HEIs and Civil Society: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driver awareness programs and simulation-based training.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First-Aid and Emergency Response Units on campuses.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community outreach activities on traffic discipline and mental health of drivers.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research on road engineering, driver psychology, and accident prevention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local authorities for student-led road safety audits and awareness campaigns.</w:t>
      </w:r>
    </w:p>
    <w:p>
      <w:pPr>
        <w:spacing w:line="276" w:lineRule="auto" w:after="120"/>
      </w:pPr>
      <w:r>
        <w:rPr>
          <w:rFonts w:ascii="Cambria" w:hAnsi="Cambria" w:eastAsia="Cambria"/>
          <w:b w:val="0"/>
          <w:i w:val="0"/>
          <w:sz w:val="22"/>
        </w:rPr>
        <w:t>Challenges and Gaps: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Limited trauma care facilities in rural and remote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Poor enforcement of traffic regulations at district and local levels.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Inadequate awareness among young drivers regarding safety norms.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Lack of coordination between transport, health, and police departments.</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emergency medical response systems through public-private partnerships.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mandatory defensive driving courses for all new drivers.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road safety audits and redesign accident-prone black spots.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use of intelligent transport systems (ITS) for traffic monitoring.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 funding for research and innovation in vehicle safety and crash analysis.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to integrate road safety education as part of NSS and social outreach programs.</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of road traffic deaths by 50%, achieving SDG-3 Target 3.6.</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driver discipline and safety culture across the 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post-crash response time and trauma care accessibility.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in economic losses due to road injuries and fatalities.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Safer roads contributing to inclusive, sustainable urban and rural mobility.</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Road traffic safety is a shared responsibility involving policymakers, drivers, engineers, enforcement agencies, and citizens.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initiatives such as the National Highways Accident Relief Service Project, IDTRs, and public awareness programs, India is making steady progress toward safer roads.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the SDG-3 target requires continuous focus on education, enforcement, engineering, and emergency care, ensuring that every journey on India’s roads contributes to Good Health and Well-Being for All.</w:t>
      </w:r>
    </w:p>
    <w:p>
      <w:pPr>
        <w:spacing w:before="360" w:after="200"/>
      </w:pPr>
      <w:r>
        <w:rPr>
          <w:rFonts w:ascii="Cambria" w:hAnsi="Cambria" w:eastAsia="Cambria"/>
          <w:b/>
          <w:i w:val="0"/>
          <w:color w:val="1F3A5F"/>
          <w:sz w:val="32"/>
        </w:rPr>
        <w:t>12. Universal Access to Sexual and Reproductive Health Care, Family Planning, and Education under SDG-3</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access to sexual and reproductive health (SRH) is a cornerstone of both SDG-3 (Good Health and Well-Being) and SDG-5 (Gender Equality), ensuring that all individuals—especially women and adolescents—have the right to safe, informed, and affordable reproductive choices.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Target 3.7 of SDG-3 commits countries to "ensure universal access to sexual and reproductive health-care services, including family planning, information, and education, and the integration of reproductive health into national strategies and programs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World Health Assembly Resolution WHA57.12 (2004) established the WHO Global Reproductive Health Strategy, urging Member States to:</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reproductive health into national planning and budgeting.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 health systems to achieve universal SRH coverage.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Include SRH in national monitoring frameworks for UN development goals.</w:t>
      </w:r>
    </w:p>
    <w:p>
      <w:pPr>
        <w:spacing w:line="276" w:lineRule="auto" w:after="120"/>
      </w:pPr>
      <w:r>
        <w:rPr>
          <w:rFonts w:ascii="Cambria" w:hAnsi="Cambria" w:eastAsia="Cambria"/>
          <w:b w:val="0"/>
          <w:i w:val="0"/>
          <w:sz w:val="22"/>
        </w:rPr>
        <w:t>Global Context: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Access to SRH services remains unequal across countries, with millions of women and adolescents lacking access to modern contraception, safe delivery, or reproductive health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Globally, nearly 200 million women have an unmet need for family planning, leading to unwanted pregnancies and unsafe abortions.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Maternal deaths, sexually transmitted infections (STIs), and adolescent pregnancies remain major global health concerns.</w:t>
      </w:r>
    </w:p>
    <w:p>
      <w:pPr>
        <w:spacing w:line="276" w:lineRule="auto" w:after="120"/>
      </w:pPr>
      <w:r>
        <w:rPr>
          <w:rFonts w:ascii="Cambria" w:hAnsi="Cambria" w:eastAsia="Cambria"/>
          <w:b w:val="0"/>
          <w:i w:val="0"/>
          <w:sz w:val="22"/>
        </w:rPr>
        <w:t>India's National Context: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has progressively strengthened its reproductive health framework through national missions and policy reforms.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Reproductive and Child Health (RCH) component under the National Health Mission (NHM) serves as the primary national platform for achieving universal SRH coverage.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Despite progress, rural, tribal, and low-income populations continue to face gaps in service delivery, cultural barriers, and limited education.</w:t>
      </w:r>
    </w:p>
    <w:p>
      <w:pPr>
        <w:spacing w:line="276" w:lineRule="auto" w:after="120"/>
      </w:pPr>
      <w:r>
        <w:rPr>
          <w:rFonts w:ascii="Cambria" w:hAnsi="Cambria" w:eastAsia="Cambria"/>
          <w:b w:val="0"/>
          <w:i w:val="0"/>
          <w:sz w:val="22"/>
        </w:rPr>
        <w:t>Major Schemes and Initiatives:</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National Health Mission (NHM) – Reproductive and Child Health (RCH) Flexible Pool: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Core Objective:</w:t>
      </w:r>
      <w:r>
        <w:rPr>
          <w:rFonts w:ascii="Cambria" w:hAnsi="Cambria" w:eastAsia="Cambria"/>
          <w:b w:val="0"/>
          <w:i w:val="0"/>
          <w:sz w:val="22"/>
        </w:rPr>
        <w:t xml:space="preserve"> Ensure accessible, affordable, and quality reproductive and child health services for all.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Key Components: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Family Planning Services:</w:t>
      </w:r>
      <w:r>
        <w:rPr>
          <w:rFonts w:ascii="Cambria" w:hAnsi="Cambria" w:eastAsia="Cambria"/>
          <w:b w:val="0"/>
          <w:i w:val="0"/>
          <w:sz w:val="22"/>
        </w:rPr>
        <w:t xml:space="preserve"> Distribution of contraceptives (condoms, oral pills, IUDs) through health workers and ASHAs.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Antenatal and Postnatal Care:</w:t>
      </w:r>
      <w:r>
        <w:rPr>
          <w:rFonts w:ascii="Cambria" w:hAnsi="Cambria" w:eastAsia="Cambria"/>
          <w:b w:val="0"/>
          <w:i w:val="0"/>
          <w:sz w:val="22"/>
        </w:rPr>
        <w:t xml:space="preserve"> Comprehensive check-ups, institutional deliveries, and immunizations.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Janani Suraksha Yojana (JSY):</w:t>
      </w:r>
      <w:r>
        <w:rPr>
          <w:rFonts w:ascii="Cambria" w:hAnsi="Cambria" w:eastAsia="Cambria"/>
          <w:b w:val="0"/>
          <w:i w:val="0"/>
          <w:sz w:val="22"/>
        </w:rPr>
        <w:t xml:space="preserve"> Financial incentives to promote institutional deliveries among poor pregnant women.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Janani Shishu Suraksha Karyakram (JSSK):</w:t>
      </w:r>
      <w:r>
        <w:rPr>
          <w:rFonts w:ascii="Cambria" w:hAnsi="Cambria" w:eastAsia="Cambria"/>
          <w:b w:val="0"/>
          <w:i w:val="0"/>
          <w:sz w:val="22"/>
        </w:rPr>
        <w:t xml:space="preserve"> Free maternal and neonatal care in public health facilities.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Mission Parivar Vikas:</w:t>
      </w:r>
      <w:r>
        <w:rPr>
          <w:rFonts w:ascii="Cambria" w:hAnsi="Cambria" w:eastAsia="Cambria"/>
          <w:b w:val="0"/>
          <w:i w:val="0"/>
          <w:sz w:val="22"/>
        </w:rPr>
        <w:t xml:space="preserve"> Focused on 145 high fertility districts across seven states to accelerate family planning initiatives.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Menstrual Hygiene Scheme (MHS):</w:t>
      </w:r>
      <w:r>
        <w:rPr>
          <w:rFonts w:ascii="Cambria" w:hAnsi="Cambria" w:eastAsia="Cambria"/>
          <w:b w:val="0"/>
          <w:i w:val="0"/>
          <w:sz w:val="22"/>
        </w:rPr>
        <w:t xml:space="preserve"> Promotes menstrual hygiene management among adolescent girls through sanitary napkin distribution and awareness programs.</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National AYUSH 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Integrates traditional medicine systems—Ayurveda, Yoga, Unani, Siddha, and Homeopathy—into reproductive and maternal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pre-conception and prenatal care, natural childbirth methods, and stress-reduction through Yoga.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dietary and lifestyle practices that enhance reproductive health, hormonal balance, and postnatal recovery.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Establishes AYUSH Wellness Centres providing reproductive health consultations alongside modern healthcare.</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Umbrella Integrated Child Development Services (ICDS):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Operates through Anganwadi Centres under the Ministry of Women and Child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Provides integrated nutrition, health, and early childhood care services to pregnant women, lactating mothers, and children under six years.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maternal nutrition awareness, breastfeeding counseling, and family planning education at the community level.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women's participation in health education programs on reproductive rights and adolescent health.</w:t>
      </w:r>
    </w:p>
    <w:p>
      <w:pPr>
        <w:spacing w:line="276" w:lineRule="auto" w:after="120"/>
      </w:pPr>
      <w:r>
        <w:rPr>
          <w:rFonts w:ascii="Cambria" w:hAnsi="Cambria" w:eastAsia="Cambria"/>
          <w:b w:val="0"/>
          <w:i w:val="0"/>
          <w:sz w:val="22"/>
        </w:rPr>
        <w:t>Complementary National Programs Supporting SRH: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RMNCH+A Strategy:</w:t>
      </w:r>
      <w:r>
        <w:rPr>
          <w:rFonts w:ascii="Cambria" w:hAnsi="Cambria" w:eastAsia="Cambria"/>
          <w:b w:val="0"/>
          <w:i w:val="0"/>
          <w:sz w:val="22"/>
        </w:rPr>
        <w:t xml:space="preserve"> Focuses on the continuum of care—Reproductive, Maternal, Newborn, Child, and Adolescent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Pradhan Mantri Surakshit Matritva Abhiyan (PMSMA):</w:t>
      </w:r>
      <w:r>
        <w:rPr>
          <w:rFonts w:ascii="Cambria" w:hAnsi="Cambria" w:eastAsia="Cambria"/>
          <w:b w:val="0"/>
          <w:i w:val="0"/>
          <w:sz w:val="22"/>
        </w:rPr>
        <w:t xml:space="preserve"> Provides assured, quality antenatal care to pregnant women on the 9th of every month.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Rashtriya Kishor Swasthya Karyakram (RKSK):</w:t>
      </w:r>
      <w:r>
        <w:rPr>
          <w:rFonts w:ascii="Cambria" w:hAnsi="Cambria" w:eastAsia="Cambria"/>
          <w:b w:val="0"/>
          <w:i w:val="0"/>
          <w:sz w:val="22"/>
        </w:rPr>
        <w:t xml:space="preserve"> Addresses adolescent sexual and reproductive health needs through peer educators and youth-friendly clinics.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POSHAN Abhiyaan:</w:t>
      </w:r>
      <w:r>
        <w:rPr>
          <w:rFonts w:ascii="Cambria" w:hAnsi="Cambria" w:eastAsia="Cambria"/>
          <w:b w:val="0"/>
          <w:i w:val="0"/>
          <w:sz w:val="22"/>
        </w:rPr>
        <w:t xml:space="preserve"> Improves maternal and adolescent nutrition to reduce anemia and stunting.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LaQshya Initiative:</w:t>
      </w:r>
      <w:r>
        <w:rPr>
          <w:rFonts w:ascii="Cambria" w:hAnsi="Cambria" w:eastAsia="Cambria"/>
          <w:b w:val="0"/>
          <w:i w:val="0"/>
          <w:sz w:val="22"/>
        </w:rPr>
        <w:t xml:space="preserve"> Enhances quality of care in labor rooms and maternity operation theaters.</w:t>
      </w:r>
    </w:p>
    <w:p>
      <w:pPr>
        <w:spacing w:line="276" w:lineRule="auto" w:after="120"/>
      </w:pPr>
      <w:r>
        <w:rPr>
          <w:rFonts w:ascii="Cambria" w:hAnsi="Cambria" w:eastAsia="Cambria"/>
          <w:b w:val="0"/>
          <w:i w:val="0"/>
          <w:sz w:val="22"/>
        </w:rPr>
        <w:t>Education and Awareness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Comprehensive Sexuality Education (CSE):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Introduced in schools and HEIs to educate adolescents about puberty, safe sex, consent, and gender equality.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Promotes responsible reproductive behavior and prevention of STIs and early pregnancies.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Family Welfare Camps: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Conducted at block and district levels for contraceptive awareness and reproductive health counseling.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Public Campaigns: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Mass-media awareness drives on family planning ("Hum Do, Hamare Do"), safe motherhood, and gender equity.</w:t>
      </w:r>
    </w:p>
    <w:p>
      <w:pPr>
        <w:spacing w:line="276" w:lineRule="auto" w:after="120"/>
      </w:pPr>
      <w:r>
        <w:rPr>
          <w:rFonts w:ascii="Cambria" w:hAnsi="Cambria" w:eastAsia="Cambria"/>
          <w:b w:val="0"/>
          <w:i w:val="0"/>
          <w:sz w:val="22"/>
        </w:rPr>
        <w:t>Challenges in Universal SRH Access: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Social and cultural taboos surrounding reproductive health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Shortage of trained gynecologists, counselors, and midwives in rural health centers.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Adolescent reproductive health gaps, especially among school dropouts.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Limited male participation in family planning and shared reproductive responsibilities.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Inadequate integration of mental and reproductive health services.</w:t>
      </w:r>
    </w:p>
    <w:p>
      <w:pPr>
        <w:spacing w:line="276" w:lineRule="auto" w:after="120"/>
      </w:pPr>
      <w:r>
        <w:rPr>
          <w:rFonts w:ascii="Cambria" w:hAnsi="Cambria" w:eastAsia="Cambria"/>
          <w:b w:val="0"/>
          <w:i w:val="0"/>
          <w:sz w:val="22"/>
        </w:rPr>
        <w:t>Recommendations for Strengthening SRH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reproductive health education into school and university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mobile reproductive health clinics to reach remote and tribal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 public investment in contraceptive supply chains and midwifery training.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public-private partnerships (PPP) for reproductive health and awareness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data collection and monitoring systems for SRH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gender-inclusive reproductive policies, addressing male engagement and equality.</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access to family planning services and contraceptive methods.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in unmet need for contraception and adolescent pregnancies.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Improvement in maternal and child health indicators through integrated SRH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communities with knowledge, autonomy, and reproductive rights.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universal access to sexual and reproductive health care is fundamental to both public health and gender empowerment.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initiatives such as the National Health Mission, AYUSH Mission, and Umbrella ICDS, India is aligning national health strategies with the WHO Global Reproductive Health Strategy.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Ensuring inclusive education, adequate infrastructure, and culturally sensitive communication will be key to achieving SDG-3 Target 3.7—a future where every individual can make informed and safe reproductive choices, contributing to overall Good Health and Well-Being for All.</w:t>
      </w:r>
    </w:p>
    <w:p>
      <w:pPr>
        <w:spacing w:before="360" w:after="200"/>
      </w:pPr>
      <w:r>
        <w:rPr>
          <w:rFonts w:ascii="Cambria" w:hAnsi="Cambria" w:eastAsia="Cambria"/>
          <w:b/>
          <w:i w:val="0"/>
          <w:color w:val="1F3A5F"/>
          <w:sz w:val="32"/>
        </w:rPr>
        <w:t>13. Achieving Universal Health Coverage under SDG-3: Ensuring Equitable Access to Affordable and Quality Healthcare in India</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Health Coverage (UHC) is a foundational pillar of SDG-3 (Good Health and Well-Being), ensuring that "all people have access to the health services they need—prevention, treatment, rehabilitation, and palliation—without financial hardship."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Target 3.8 of SDG-3 specifically focuses on achieving universal health coverage, including financial risk protection, access to quality essential health-care services, and affordable essential medicines and vaccines for all.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has made major progress in expanding access through Ayushman Bharat, NHM, and free immunization programs, but challenges remain in ensuring equitable coverage across states and population groups.</w:t>
      </w:r>
    </w:p>
    <w:p>
      <w:pPr>
        <w:spacing w:line="276" w:lineRule="auto" w:after="120"/>
      </w:pPr>
      <w:r>
        <w:rPr>
          <w:rFonts w:ascii="Cambria" w:hAnsi="Cambria" w:eastAsia="Cambria"/>
          <w:b w:val="0"/>
          <w:i w:val="0"/>
          <w:sz w:val="22"/>
        </w:rPr>
        <w:t>Immunization Coverage in India (2019–2020):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According to the Routine Immunization Programme Dashboard (Health Management Information System),</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91% of infants aged 9 to 11 months were fully immunized (received one dose of BCG, three doses of DPT and OPV, and one dose of the measles vaccine).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national goal is to achieve 100% full immunization coverage for all eligible children.</w:t>
      </w:r>
    </w:p>
    <w:p>
      <w:pPr>
        <w:spacing w:line="276" w:lineRule="auto" w:after="120"/>
      </w:pPr>
      <w:r>
        <w:rPr>
          <w:rFonts w:ascii="Cambria" w:hAnsi="Cambria" w:eastAsia="Cambria"/>
          <w:b w:val="0"/>
          <w:i w:val="0"/>
          <w:sz w:val="22"/>
        </w:rPr>
        <w:t>State-wise Performance:</w:t>
      </w:r>
    </w:p>
    <w:tbl>
      <w:tblPr>
        <w:tblW w:type="auto" w:w="0"/>
        <w:jc w:val="center"/>
        <w:tblLook w:firstColumn="1" w:firstRow="1" w:lastColumn="0" w:lastRow="0" w:noHBand="0" w:noVBand="1" w:val="04A0"/>
        <w:tblLayout w:type="fixed"/>
      </w:tblPr>
      <w:tblGrid>
        <w:gridCol w:w="2835"/>
        <w:gridCol w:w="1984"/>
        <w:gridCol w:w="3969"/>
      </w:tblGrid>
      <w:tr>
        <w:tc>
          <w:tcPr>
            <w:tcW w:type="dxa" w:w="2835"/>
            <w:shd w:val="clear" w:color="auto" w:fill="1F3A5F"/>
            <w:tcW w:w="2835" w:type="dxa"/>
          </w:tcPr>
          <w:p>
            <w:r>
              <w:rPr>
                <w:rFonts w:ascii="Cambria" w:hAnsi="Cambria" w:eastAsia="Cambria"/>
                <w:b/>
                <w:i w:val="0"/>
                <w:color w:val="FFFFFF"/>
                <w:sz w:val="22"/>
              </w:rPr>
              <w:t>Region</w:t>
            </w:r>
          </w:p>
        </w:tc>
        <w:tc>
          <w:tcPr>
            <w:tcW w:type="dxa" w:w="1984"/>
            <w:shd w:val="clear" w:color="auto" w:fill="1F3A5F"/>
            <w:tcW w:w="1984" w:type="dxa"/>
          </w:tcPr>
          <w:p>
            <w:r>
              <w:rPr>
                <w:rFonts w:ascii="Cambria" w:hAnsi="Cambria" w:eastAsia="Cambria"/>
                <w:b/>
                <w:i w:val="0"/>
                <w:color w:val="FFFFFF"/>
                <w:sz w:val="22"/>
              </w:rPr>
              <w:t>Coverage (%)</w:t>
            </w:r>
          </w:p>
        </w:tc>
        <w:tc>
          <w:tcPr>
            <w:tcW w:type="dxa" w:w="3969"/>
            <w:shd w:val="clear" w:color="auto" w:fill="1F3A5F"/>
            <w:tcW w:w="3969" w:type="dxa"/>
          </w:tcPr>
          <w:p>
            <w:r>
              <w:rPr>
                <w:rFonts w:ascii="Cambria" w:hAnsi="Cambria" w:eastAsia="Cambria"/>
                <w:b/>
                <w:i w:val="0"/>
                <w:color w:val="FFFFFF"/>
                <w:sz w:val="22"/>
              </w:rPr>
              <w:t>Status vs. National Target (100%)</w:t>
            </w:r>
          </w:p>
        </w:tc>
      </w:tr>
      <w:tr>
        <w:tc>
          <w:tcPr>
            <w:tcW w:type="dxa" w:w="2835"/>
            <w:tcW w:w="2835" w:type="dxa"/>
          </w:tcPr>
          <w:p>
            <w:r>
              <w:rPr>
                <w:rFonts w:ascii="Cambria" w:hAnsi="Cambria" w:eastAsia="Cambria"/>
                <w:b w:val="0"/>
                <w:i w:val="0"/>
                <w:sz w:val="22"/>
              </w:rPr>
              <w:t>Maharashtra</w:t>
            </w:r>
          </w:p>
        </w:tc>
        <w:tc>
          <w:tcPr>
            <w:tcW w:type="dxa" w:w="1984"/>
            <w:tcW w:w="1984" w:type="dxa"/>
          </w:tcPr>
          <w:p>
            <w:r>
              <w:rPr>
                <w:rFonts w:ascii="Cambria" w:hAnsi="Cambria" w:eastAsia="Cambria"/>
                <w:b w:val="0"/>
                <w:i w:val="0"/>
                <w:sz w:val="22"/>
              </w:rPr>
              <w:t>100%</w:t>
            </w:r>
          </w:p>
        </w:tc>
        <w:tc>
          <w:tcPr>
            <w:tcW w:type="dxa" w:w="3969"/>
            <w:tcW w:w="3969" w:type="dxa"/>
          </w:tcPr>
          <w:p>
            <w:r>
              <w:rPr>
                <w:rFonts w:ascii="Cambria" w:hAnsi="Cambria" w:eastAsia="Cambria"/>
                <w:b w:val="0"/>
                <w:i w:val="0"/>
                <w:sz w:val="22"/>
              </w:rPr>
              <w:t>Achieved Target</w:t>
            </w:r>
          </w:p>
        </w:tc>
      </w:tr>
      <w:tr>
        <w:tc>
          <w:tcPr>
            <w:tcW w:type="dxa" w:w="2835"/>
            <w:shd w:val="clear" w:color="auto" w:fill="DCE6F1"/>
            <w:tcW w:w="2835" w:type="dxa"/>
          </w:tcPr>
          <w:p>
            <w:r>
              <w:rPr>
                <w:rFonts w:ascii="Cambria" w:hAnsi="Cambria" w:eastAsia="Cambria"/>
                <w:b w:val="0"/>
                <w:i w:val="0"/>
                <w:sz w:val="22"/>
              </w:rPr>
              <w:t>Jammu &amp; Kashmir</w:t>
            </w:r>
          </w:p>
        </w:tc>
        <w:tc>
          <w:tcPr>
            <w:tcW w:type="dxa" w:w="1984"/>
            <w:shd w:val="clear" w:color="auto" w:fill="DCE6F1"/>
            <w:tcW w:w="1984" w:type="dxa"/>
          </w:tcPr>
          <w:p>
            <w:r>
              <w:rPr>
                <w:rFonts w:ascii="Cambria" w:hAnsi="Cambria" w:eastAsia="Cambria"/>
                <w:b w:val="0"/>
                <w:i w:val="0"/>
                <w:sz w:val="22"/>
              </w:rPr>
              <w:t>100%</w:t>
            </w:r>
          </w:p>
        </w:tc>
        <w:tc>
          <w:tcPr>
            <w:tcW w:type="dxa" w:w="3969"/>
            <w:shd w:val="clear" w:color="auto" w:fill="DCE6F1"/>
            <w:tcW w:w="3969" w:type="dxa"/>
          </w:tcPr>
          <w:p>
            <w:r>
              <w:rPr>
                <w:rFonts w:ascii="Cambria" w:hAnsi="Cambria" w:eastAsia="Cambria"/>
                <w:b w:val="0"/>
                <w:i w:val="0"/>
                <w:sz w:val="22"/>
              </w:rPr>
              <w:t>Achieved Target</w:t>
            </w:r>
          </w:p>
        </w:tc>
      </w:tr>
      <w:tr>
        <w:tc>
          <w:tcPr>
            <w:tcW w:type="dxa" w:w="2835"/>
            <w:tcW w:w="2835" w:type="dxa"/>
          </w:tcPr>
          <w:p>
            <w:r>
              <w:rPr>
                <w:rFonts w:ascii="Cambria" w:hAnsi="Cambria" w:eastAsia="Cambria"/>
                <w:b w:val="0"/>
                <w:i w:val="0"/>
                <w:sz w:val="22"/>
              </w:rPr>
              <w:t>Ladakh</w:t>
            </w:r>
          </w:p>
        </w:tc>
        <w:tc>
          <w:tcPr>
            <w:tcW w:type="dxa" w:w="1984"/>
            <w:tcW w:w="1984" w:type="dxa"/>
          </w:tcPr>
          <w:p>
            <w:r>
              <w:rPr>
                <w:rFonts w:ascii="Cambria" w:hAnsi="Cambria" w:eastAsia="Cambria"/>
                <w:b w:val="0"/>
                <w:i w:val="0"/>
                <w:sz w:val="22"/>
              </w:rPr>
              <w:t>100%</w:t>
            </w:r>
          </w:p>
        </w:tc>
        <w:tc>
          <w:tcPr>
            <w:tcW w:type="dxa" w:w="3969"/>
            <w:tcW w:w="3969" w:type="dxa"/>
          </w:tcPr>
          <w:p>
            <w:r>
              <w:rPr>
                <w:rFonts w:ascii="Cambria" w:hAnsi="Cambria" w:eastAsia="Cambria"/>
                <w:b w:val="0"/>
                <w:i w:val="0"/>
                <w:sz w:val="22"/>
              </w:rPr>
              <w:t>Achieved Target</w:t>
            </w:r>
          </w:p>
        </w:tc>
      </w:tr>
      <w:tr>
        <w:tc>
          <w:tcPr>
            <w:tcW w:type="dxa" w:w="2835"/>
            <w:shd w:val="clear" w:color="auto" w:fill="DCE6F1"/>
            <w:tcW w:w="2835" w:type="dxa"/>
          </w:tcPr>
          <w:p>
            <w:r>
              <w:rPr>
                <w:rFonts w:ascii="Cambria" w:hAnsi="Cambria" w:eastAsia="Cambria"/>
                <w:b w:val="0"/>
                <w:i w:val="0"/>
                <w:sz w:val="22"/>
              </w:rPr>
              <w:t>Nagaland</w:t>
            </w:r>
          </w:p>
        </w:tc>
        <w:tc>
          <w:tcPr>
            <w:tcW w:type="dxa" w:w="1984"/>
            <w:shd w:val="clear" w:color="auto" w:fill="DCE6F1"/>
            <w:tcW w:w="1984" w:type="dxa"/>
          </w:tcPr>
          <w:p>
            <w:r>
              <w:rPr>
                <w:rFonts w:ascii="Cambria" w:hAnsi="Cambria" w:eastAsia="Cambria"/>
                <w:b w:val="0"/>
                <w:i w:val="0"/>
                <w:sz w:val="22"/>
              </w:rPr>
              <w:t>54%</w:t>
            </w:r>
          </w:p>
        </w:tc>
        <w:tc>
          <w:tcPr>
            <w:tcW w:type="dxa" w:w="3969"/>
            <w:shd w:val="clear" w:color="auto" w:fill="DCE6F1"/>
            <w:tcW w:w="3969" w:type="dxa"/>
          </w:tcPr>
          <w:p>
            <w:r>
              <w:rPr>
                <w:rFonts w:ascii="Cambria" w:hAnsi="Cambria" w:eastAsia="Cambria"/>
                <w:b w:val="0"/>
                <w:i w:val="0"/>
                <w:sz w:val="22"/>
              </w:rPr>
              <w:t>Lowest – Needs Urgent Action</w:t>
            </w:r>
          </w:p>
        </w:tc>
      </w:tr>
      <w:tr>
        <w:tc>
          <w:tcPr>
            <w:tcW w:type="dxa" w:w="2835"/>
            <w:tcW w:w="2835" w:type="dxa"/>
          </w:tcPr>
          <w:p>
            <w:r>
              <w:rPr>
                <w:rFonts w:ascii="Cambria" w:hAnsi="Cambria" w:eastAsia="Cambria"/>
                <w:b w:val="0"/>
                <w:i w:val="0"/>
                <w:sz w:val="22"/>
              </w:rPr>
              <w:t>Puducherry</w:t>
            </w:r>
          </w:p>
        </w:tc>
        <w:tc>
          <w:tcPr>
            <w:tcW w:type="dxa" w:w="1984"/>
            <w:tcW w:w="1984" w:type="dxa"/>
          </w:tcPr>
          <w:p>
            <w:r>
              <w:rPr>
                <w:rFonts w:ascii="Cambria" w:hAnsi="Cambria" w:eastAsia="Cambria"/>
                <w:b w:val="0"/>
                <w:i w:val="0"/>
                <w:sz w:val="22"/>
              </w:rPr>
              <w:t>54%</w:t>
            </w:r>
          </w:p>
        </w:tc>
        <w:tc>
          <w:tcPr>
            <w:tcW w:type="dxa" w:w="3969"/>
            <w:tcW w:w="3969" w:type="dxa"/>
          </w:tcPr>
          <w:p>
            <w:r>
              <w:rPr>
                <w:rFonts w:ascii="Cambria" w:hAnsi="Cambria" w:eastAsia="Cambria"/>
                <w:b w:val="0"/>
                <w:i w:val="0"/>
                <w:sz w:val="22"/>
              </w:rPr>
              <w:t>Lowest – Needs Urgent Action</w:t>
            </w:r>
          </w:p>
        </w:tc>
      </w:tr>
    </w:tbl>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Observation: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High-performing regions such as Maharashtra and J&amp;K have demonstrated strong health infrastructure and consistent outreach.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Northeastern and small UT regions face challenges due to terrain, logistics, and healthcare workforce shortages.</w:t>
      </w:r>
    </w:p>
    <w:p>
      <w:pPr>
        <w:spacing w:line="276" w:lineRule="auto" w:after="120"/>
      </w:pPr>
      <w:r>
        <w:rPr>
          <w:rFonts w:ascii="Cambria" w:hAnsi="Cambria" w:eastAsia="Cambria"/>
          <w:b w:val="0"/>
          <w:i w:val="0"/>
          <w:sz w:val="22"/>
        </w:rPr>
        <w:t>Major Schemes and Initiatives Supporting Universal Health Coverage:</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National Health Protection Scheme (Ayushman Bharat):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India's flagship universal health coverage initiative, launched in 2018, aims to provide comprehensive healthcare access at both primary and secondary/tertiary levels.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Components: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Ayushman Bharat – Pradhan Mantri Jan Arogya Yojana (PM-JAY):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Provides ₹5 lakh per family per year for secondary and tertiary care hospitalization.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Covers over 10.74 crore vulnerable families (≈50 crore people) identified under the Socio-Economic Caste Census (SECC)-2011.</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Ensures cashless treatment in public and empanelled private hospitals.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Ayushman Bharat – Health and Wellness Centres (HWCs):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Upgradation of 1.5 lakh Sub-centres and PHCs into HWCs providing comprehensive primary care including maternal, child, and NCD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preventive, promotive, curative, rehabilitative, and palliative care with special focus on the poor and rural populations.</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National AIDS Control Programme (NACP):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Implemented by the National AIDS Control Organisation (NACO).</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Objectives: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universal access to HIV prevention, testing, and treatment services.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HIV care with other health programs like TB and maternal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free ART (Antiretroviral Therapy) and counseling to all PLHIVs (People Living with HIV).</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NACP-IV (2012–2017) and extended phases continue to reduce new infections and stigma through community-based interventions.</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Central Government Health Scheme (CGHS) and State Government Health Schemes: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comprehensive medical care to central and state government employees, pensioners, and their families.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Services include: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Out-patient and in-patient treatment.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Reimbursement for diagnostics and hospitalization.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Empanelled hospitals and dispensaries in all major cities.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Complement national efforts toward financial protection in health spending.</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NHM – Human Resources for Health &amp; Medical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the availability, training, and retention of skilled health professionals across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Focuses 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Establishing new medical and nursing colleges in underserved regions.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Improving capacity-building for doctors, nurses, and ASHAs.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Promoting tele-medicine and digital health training for remote areas.</w:t>
      </w:r>
    </w:p>
    <w:p>
      <w:pPr>
        <w:spacing w:line="276" w:lineRule="auto" w:after="80"/>
        <w:ind w:left="357" w:hanging="357"/>
        <w:jc w:val="both"/>
      </w:pPr>
      <w:r>
        <w:rPr>
          <w:rFonts w:ascii="Cambria" w:hAnsi="Cambria" w:eastAsia="Cambria"/>
          <w:b w:val="0"/>
          <w:i w:val="0"/>
          <w:sz w:val="22"/>
        </w:rPr>
        <w:t xml:space="preserve">5. </w:t>
      </w:r>
      <w:r>
        <w:rPr>
          <w:rFonts w:ascii="Cambria" w:hAnsi="Cambria" w:eastAsia="Cambria"/>
          <w:b w:val="0"/>
          <w:i w:val="0"/>
          <w:sz w:val="22"/>
        </w:rPr>
        <w:t>Umbrella Programme for Development of Scheduled Tribes (STs) and Minorities: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Aims to improve health access and outcomes among marginalized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Includes mobile health units, immunization drives, and nutritional support in tribal and minority-dominated districts.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Enhances inclusivity by ensuring no population group is left behind in healthcare access.</w:t>
      </w:r>
    </w:p>
    <w:p>
      <w:pPr>
        <w:spacing w:line="276" w:lineRule="auto" w:after="80"/>
        <w:ind w:left="357" w:hanging="357"/>
        <w:jc w:val="both"/>
      </w:pPr>
      <w:r>
        <w:rPr>
          <w:rFonts w:ascii="Cambria" w:hAnsi="Cambria" w:eastAsia="Cambria"/>
          <w:b w:val="0"/>
          <w:i w:val="0"/>
          <w:sz w:val="22"/>
        </w:rPr>
        <w:t xml:space="preserve">6. </w:t>
      </w:r>
      <w:r>
        <w:rPr>
          <w:rFonts w:ascii="Cambria" w:hAnsi="Cambria" w:eastAsia="Cambria"/>
          <w:b w:val="0"/>
          <w:i w:val="0"/>
          <w:sz w:val="22"/>
        </w:rPr>
        <w:t>Jan Aushadhi Scheme (Pradhan Mantri Bhartiya Janaushadhi Pariyojana – PMBJP):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Ensures affordable access to quality generic medicines through Jan Aushadhi Kendras.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Over 10,000 Kendras operational nationwide supplying over 1,800 high-quality medicines at 50–90% lower prices than branded alternatives.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Reduces out-of-pocket expenditure (OOPE), a critical barrier to UHC in India.</w:t>
      </w:r>
    </w:p>
    <w:p>
      <w:pPr>
        <w:spacing w:line="276" w:lineRule="auto" w:after="120"/>
      </w:pPr>
      <w:r>
        <w:rPr>
          <w:rFonts w:ascii="Cambria" w:hAnsi="Cambria" w:eastAsia="Cambria"/>
          <w:b w:val="0"/>
          <w:i w:val="0"/>
          <w:sz w:val="22"/>
        </w:rPr>
        <w:t>Cross-Sectoral Linkages and Complementary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Digital Health Mission (ABDM):</w:t>
      </w:r>
      <w:r>
        <w:rPr>
          <w:rFonts w:ascii="Cambria" w:hAnsi="Cambria" w:eastAsia="Cambria"/>
          <w:b w:val="0"/>
          <w:i w:val="0"/>
          <w:sz w:val="22"/>
        </w:rPr>
        <w:t xml:space="preserve"> Creates unique health IDs to integrate patient records and enable tele-health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National AYUSH Mission:</w:t>
      </w:r>
      <w:r>
        <w:rPr>
          <w:rFonts w:ascii="Cambria" w:hAnsi="Cambria" w:eastAsia="Cambria"/>
          <w:b w:val="0"/>
          <w:i w:val="0"/>
          <w:sz w:val="22"/>
        </w:rPr>
        <w:t xml:space="preserve"> Promotes traditional and preventive healthcare models within the UHC framework.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Mission Indradhanush:</w:t>
      </w:r>
      <w:r>
        <w:rPr>
          <w:rFonts w:ascii="Cambria" w:hAnsi="Cambria" w:eastAsia="Cambria"/>
          <w:b w:val="0"/>
          <w:i w:val="0"/>
          <w:sz w:val="22"/>
        </w:rPr>
        <w:t xml:space="preserve"> Strengthens immunization outreach to achieve 100% coverage among children and pregnant women.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Health Insurance Portability:</w:t>
      </w:r>
      <w:r>
        <w:rPr>
          <w:rFonts w:ascii="Cambria" w:hAnsi="Cambria" w:eastAsia="Cambria"/>
          <w:b w:val="0"/>
          <w:i w:val="0"/>
          <w:sz w:val="22"/>
        </w:rPr>
        <w:t xml:space="preserve"> Expands private participation in PM-JAY to improve hospital network coverage.</w:t>
      </w:r>
    </w:p>
    <w:p>
      <w:pPr>
        <w:spacing w:line="276" w:lineRule="auto" w:after="120"/>
      </w:pPr>
      <w:r>
        <w:rPr>
          <w:rFonts w:ascii="Cambria" w:hAnsi="Cambria" w:eastAsia="Cambria"/>
          <w:b w:val="0"/>
          <w:i w:val="0"/>
          <w:sz w:val="22"/>
        </w:rPr>
        <w:t>Challenges in Achieving Universal Health Coverage: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Inequitable distribution of healthcare resources across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 out-of-pocket spending (still ≈48% of total health expenditure).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Shortage of specialists and nurses in rural health centers.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Low health literacy leading to delayed healthcare seeking.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Fragmented data systems and limited integration between central and state schemes.</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Accelerate 100% immunization coverage through micro-planning and community engagement.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primary healthcare as the first point of contact under HWCs.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PM-JAY coverage to include outpatient and diagnostic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health financing reforms to reduce OOPE and increase public expenditure (target ≥2.5% of GDP by 2025).</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and public-private partnerships for healthcare innovation and health-system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 monitoring and evaluation frameworks for UHC indicators at district level.</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100% immunization coverage of infants and pregnant women.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financial risk protection for secondary and tertiary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out-of-pocket expenditure on medicines and treatment.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primary health infrastructure reaching every household.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health equity across regions and communities.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Universal Health Coverage is central to the vision of "Health for All" and a key enabler of economic productivity and social justice.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schemes like Ayushman Bharat, NHM, and Jan Aushadhi, India is advancing toward inclusive, affordable, and accessible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Continued commitment to health financing, digital health, and equitable resource distribution will ensure that by 2030, every Indian—irrespective of income, gender, or geography—can access quality healthcare without financial hardship, fulfilling SDG-3 Target 3.8: Universal Health Coverage.</w:t>
      </w:r>
    </w:p>
    <w:p>
      <w:pPr>
        <w:spacing w:before="360" w:after="200"/>
      </w:pPr>
      <w:r>
        <w:rPr>
          <w:rFonts w:ascii="Cambria" w:hAnsi="Cambria" w:eastAsia="Cambria"/>
          <w:b/>
          <w:i w:val="0"/>
          <w:color w:val="1F3A5F"/>
          <w:sz w:val="32"/>
        </w:rPr>
        <w:t>14. Reducing Illnesses and Deaths from Hazardous Chemicals and Pollution under SDG-3: Strengthening Environmental Health and Sustainable Development in India</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Exposure to hazardous chemicals, toxic emissions, and environmental pollution is one of the major public-health risks identified in the United Nations' 17 Sustainable Development Goals (SDGs).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Under SDG-3, Target 3.9, the global objective is to "substantially reduce the number of deaths and illnesses from hazardous chemicals and air, water, and soil pollution and contamination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Air pollution alone accounts for nearly 7 million premature deaths globally every year, while chemical contamination of soil and water continues to cause chronic diseases and cancers.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faces severe challenges in this area due to rapid industrialization, urbanization, waste mismanagement, and agricultural chemical use, all of which demand strong policy integration, institutional capacity, and community awareness.</w:t>
      </w:r>
    </w:p>
    <w:p>
      <w:pPr>
        <w:spacing w:line="276" w:lineRule="auto" w:after="120"/>
      </w:pPr>
      <w:r>
        <w:rPr>
          <w:rFonts w:ascii="Cambria" w:hAnsi="Cambria" w:eastAsia="Cambria"/>
          <w:b w:val="0"/>
          <w:i w:val="0"/>
          <w:sz w:val="22"/>
        </w:rPr>
        <w:t>Key Health Impacts of Pollution and Chemical Exposure: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Air Pollution:</w:t>
      </w:r>
      <w:r>
        <w:rPr>
          <w:rFonts w:ascii="Cambria" w:hAnsi="Cambria" w:eastAsia="Cambria"/>
          <w:b w:val="0"/>
          <w:i w:val="0"/>
          <w:sz w:val="22"/>
        </w:rPr>
        <w:t xml:space="preserve"> Linked to cardiovascular diseases, respiratory infections, COPD, asthma, and lung cancer.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Water Pollution:</w:t>
      </w:r>
      <w:r>
        <w:rPr>
          <w:rFonts w:ascii="Cambria" w:hAnsi="Cambria" w:eastAsia="Cambria"/>
          <w:b w:val="0"/>
          <w:i w:val="0"/>
          <w:sz w:val="22"/>
        </w:rPr>
        <w:t xml:space="preserve"> Causes diarrheal diseases, hepatitis, arsenic- and fluoride-related disorders, and heavy-metal poisoning.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Soil Contamination:</w:t>
      </w:r>
      <w:r>
        <w:rPr>
          <w:rFonts w:ascii="Cambria" w:hAnsi="Cambria" w:eastAsia="Cambria"/>
          <w:b w:val="0"/>
          <w:i w:val="0"/>
          <w:sz w:val="22"/>
        </w:rPr>
        <w:t xml:space="preserve"> Leads to bio-accumulation of toxins in food chains, resulting in neurological and developmental disorders.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Chemical Hazards:</w:t>
      </w:r>
      <w:r>
        <w:rPr>
          <w:rFonts w:ascii="Cambria" w:hAnsi="Cambria" w:eastAsia="Cambria"/>
          <w:b w:val="0"/>
          <w:i w:val="0"/>
          <w:sz w:val="22"/>
        </w:rPr>
        <w:t xml:space="preserve"> Exposure to pesticides, lead, mercury, and industrial chemicals affects endocrine and immune systems.</w:t>
      </w:r>
    </w:p>
    <w:p>
      <w:pPr>
        <w:spacing w:line="276" w:lineRule="auto" w:after="120"/>
      </w:pPr>
      <w:r>
        <w:rPr>
          <w:rFonts w:ascii="Cambria" w:hAnsi="Cambria" w:eastAsia="Cambria"/>
          <w:b w:val="0"/>
          <w:i w:val="0"/>
          <w:sz w:val="22"/>
        </w:rPr>
        <w:t>Major National Schemes and Initiatives Supporting SDG-3.9</w:t>
      </w:r>
    </w:p>
    <w:p>
      <w:pPr>
        <w:spacing w:line="276" w:lineRule="auto" w:after="120"/>
      </w:pPr>
      <w:r>
        <w:rPr>
          <w:rFonts w:ascii="Cambria" w:hAnsi="Cambria" w:eastAsia="Cambria"/>
          <w:b w:val="0"/>
          <w:i w:val="0"/>
          <w:sz w:val="22"/>
        </w:rPr>
        <w:t>1. Environment Protection, Management, and Sustainable Development (Pollution Abatement):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Implements measures for industrial emission control, hazardous-waste management, and clean-technology adoption.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Pollution-abatement infrastructure, such as effluent-treatment plants and air-quality monitoring stations.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Promotion of renewable energy and green-manufacturing standards.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Public awareness campaigns on chemical safety, waste segregation, and eco-friendly consumption.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states to establish State Pollution Control Boards (SPCBs) with integrated data monitoring through the National Clean Air Programme (NCAP).</w:t>
      </w:r>
    </w:p>
    <w:p>
      <w:pPr>
        <w:spacing w:line="276" w:lineRule="auto" w:after="120"/>
      </w:pPr>
      <w:r>
        <w:rPr>
          <w:rFonts w:ascii="Cambria" w:hAnsi="Cambria" w:eastAsia="Cambria"/>
          <w:b w:val="0"/>
          <w:i w:val="0"/>
          <w:sz w:val="22"/>
        </w:rPr>
        <w:t>2. National River Conservation Programme (NRCP):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i w:val="0"/>
          <w:sz w:val="22"/>
        </w:rPr>
        <w:t>Objective:</w:t>
      </w:r>
      <w:r>
        <w:rPr>
          <w:rFonts w:ascii="Cambria" w:hAnsi="Cambria" w:eastAsia="Cambria"/>
          <w:b w:val="0"/>
          <w:i w:val="0"/>
          <w:sz w:val="22"/>
        </w:rPr>
        <w:t xml:space="preserve"> Reduce pollution load in major rivers through wastewater treatment and riverfront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Activities: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Establishment of Sewage-Treatment Plants (STPs) and Common Effluent Treatment Plants (CETPs).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River-cleaning projects under Namami Gange and National River Ganga Basin Authority.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Promotes community-led river stewardship and industrial-discharge regulation.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reducing water-borne diseases caused by contaminated water sources.</w:t>
      </w:r>
    </w:p>
    <w:p>
      <w:pPr>
        <w:spacing w:line="276" w:lineRule="auto" w:after="120"/>
      </w:pPr>
      <w:r>
        <w:rPr>
          <w:rFonts w:ascii="Cambria" w:hAnsi="Cambria" w:eastAsia="Cambria"/>
          <w:b w:val="0"/>
          <w:i w:val="0"/>
          <w:sz w:val="22"/>
        </w:rPr>
        <w:t>3. Research &amp; Development and Implementation of National Water 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One of the eight National Missions under the National Action Plan on Climate Change (NAPCC).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Focuses on integrated water-resource management for ensuring safe and sustainable water availability.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Key 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Water-quality monitoring, arsenic-remediation technologies, and reuse of treated wastewater.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Promotes rainwater harvesting, aquifer recharge, and efficient irrigation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Research into low-cost purification methods to protect vulnerable rural communities from contamination.</w:t>
      </w:r>
    </w:p>
    <w:p>
      <w:pPr>
        <w:spacing w:line="276" w:lineRule="auto" w:after="120"/>
      </w:pPr>
      <w:r>
        <w:rPr>
          <w:rFonts w:ascii="Cambria" w:hAnsi="Cambria" w:eastAsia="Cambria"/>
          <w:b w:val="0"/>
          <w:i w:val="0"/>
          <w:sz w:val="22"/>
        </w:rPr>
        <w:t>4. National Health Mission (NHM):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umbrella health-system reform program comprising: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National Rural Health Mission (NRHM) and National Urban Health Mission (NUHM).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Objectives: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Attain universal access to equitable, affordable, and quality health services.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 inter-sectoral convergence to address social and environmental determinants of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Program components include: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Health-system strengthening in rural and urban areas.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Reproductive-Maternal-Newborn-Child-Adolescent Health (RMNCH + 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Communicable and non-communicable disease programs addressing pollution-related illnesses.</w:t>
      </w:r>
    </w:p>
    <w:p>
      <w:pPr>
        <w:spacing w:line="276" w:lineRule="auto" w:after="120"/>
      </w:pPr>
      <w:r>
        <w:rPr>
          <w:rFonts w:ascii="Cambria" w:hAnsi="Cambria" w:eastAsia="Cambria"/>
          <w:b w:val="0"/>
          <w:i w:val="0"/>
          <w:sz w:val="22"/>
        </w:rPr>
        <w:t>5. Human Resource &amp; Capacity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Focuses on training, recruitment, and skill development of professionals managing health and environmental risks.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Activities include: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Environmental-health modules for medical officers and community health workers.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Development of toxicology units and occupational-health specialists.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Collaboration with HEIs and research institutions for pollution-impact studies and emergency-response training.</w:t>
      </w:r>
    </w:p>
    <w:p>
      <w:pPr>
        <w:spacing w:line="276" w:lineRule="auto" w:after="120"/>
      </w:pPr>
      <w:r>
        <w:rPr>
          <w:rFonts w:ascii="Cambria" w:hAnsi="Cambria" w:eastAsia="Cambria"/>
          <w:b w:val="0"/>
          <w:i w:val="0"/>
          <w:sz w:val="22"/>
        </w:rPr>
        <w:t>6. National AYUSH Mission (NAM):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Ayurveda, Yoga, Unani, Siddha, and Homeopathy (ASU &amp; H) for holistic health and disease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Key outcomes: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Provides low-cost, sustainable healthcare alternatives that reduce dependence on chemical drugs.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Strengthens AYUSH education and quality control of herbal medicines.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Integrates AYUSH services into public-health programs, including maternal health and nutrition schemes.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Example:</w:t>
      </w:r>
      <w:r>
        <w:rPr>
          <w:rFonts w:ascii="Cambria" w:hAnsi="Cambria" w:eastAsia="Cambria"/>
          <w:b w:val="0"/>
          <w:i w:val="0"/>
          <w:sz w:val="22"/>
        </w:rPr>
        <w:t xml:space="preserve"> Tamil Nadu's pilot AYUSH nutrition program showed reduced anemia and maternal deaths.</w:t>
      </w:r>
    </w:p>
    <w:p>
      <w:pPr>
        <w:spacing w:line="276" w:lineRule="auto" w:after="120"/>
      </w:pPr>
      <w:r>
        <w:rPr>
          <w:rFonts w:ascii="Cambria" w:hAnsi="Cambria" w:eastAsia="Cambria"/>
          <w:b w:val="0"/>
          <w:i w:val="0"/>
          <w:sz w:val="22"/>
        </w:rPr>
        <w:t>7. Umbrella Programme for Development of Scheduled Tribes (STs) &amp; Minorities: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Ensures marginalized communities gain access to education, healthcare, housing, and safe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Introduces environmental-health monitoring and sanitation improvements in tribal areas exposed to industrial pollution.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clean-energy adoption and safe drinking-water access for vulnerable populations.</w:t>
      </w:r>
    </w:p>
    <w:p>
      <w:pPr>
        <w:spacing w:line="276" w:lineRule="auto" w:after="120"/>
      </w:pPr>
      <w:r>
        <w:rPr>
          <w:rFonts w:ascii="Cambria" w:hAnsi="Cambria" w:eastAsia="Cambria"/>
          <w:b w:val="0"/>
          <w:i w:val="0"/>
          <w:sz w:val="22"/>
        </w:rPr>
        <w:t>8. Road Safety Schemes: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Linked to SDG-3.6 but also indirectly contributes to SDG-3.9 by promoting safer, cleaner transport ecosystems.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Public awareness and publicity on road safety.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Pollution-control certification, emission-testing infrastructure, and vehicle-scrappage policies.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National Highways Accident Relief Service Project (NHARSS) to improve emergency medical response.</w:t>
      </w:r>
    </w:p>
    <w:p>
      <w:pPr>
        <w:spacing w:line="276" w:lineRule="auto" w:after="120"/>
      </w:pPr>
      <w:r>
        <w:rPr>
          <w:rFonts w:ascii="Cambria" w:hAnsi="Cambria" w:eastAsia="Cambria"/>
          <w:b w:val="0"/>
          <w:i w:val="0"/>
          <w:sz w:val="22"/>
        </w:rPr>
        <w:t>9. National AIDS Control Programme (NACP):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Though primarily aimed at HIV/AIDS prevention, NACP also builds laboratory and biosafety infrastructure ensuring safe handling of biomedical waste and chemicals.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Enhances public-health resilience by integrating infection-control and hazardous-waste management within hospitals and clinics.</w:t>
      </w:r>
    </w:p>
    <w:p>
      <w:pPr>
        <w:spacing w:line="276" w:lineRule="auto" w:after="120"/>
      </w:pPr>
      <w:r>
        <w:rPr>
          <w:rFonts w:ascii="Cambria" w:hAnsi="Cambria" w:eastAsia="Cambria"/>
          <w:b w:val="0"/>
          <w:i w:val="0"/>
          <w:sz w:val="22"/>
        </w:rPr>
        <w:t>Challenges in Reducing Pollution-Related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 urban air-pollution levels and vehicular emissions in megacities.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Lack of waste segregation and hazardous-chemical management in industries.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Rural-industrial conflict zones lacking monitoring and remediation mechanisms.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Data gaps in correlating disease burden to pollution exposure.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Inadequate coordination between environment, health, and industry ministries.</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environmental-health surveillance systems across states.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pollution-impact health audits for major industrial projects.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real-time air- and water-quality monitoring networks to all districts.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clean-energy transitions (LPG, EVs, renewables) and enforce waste-to-energy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 community participation in pollution-control planning through local governance and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Foster cross-disciplinary research in toxicology, public health, and environmental sciences.</w:t>
      </w:r>
    </w:p>
    <w:p>
      <w:pPr>
        <w:spacing w:line="276" w:lineRule="auto" w:after="120"/>
      </w:pPr>
      <w:r>
        <w:rPr>
          <w:rFonts w:ascii="Cambria" w:hAnsi="Cambria" w:eastAsia="Cambria"/>
          <w:b w:val="0"/>
          <w:i w:val="0"/>
          <w:sz w:val="22"/>
        </w:rPr>
        <w:t>Expected Outcomes by 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Substantial reduction in morbidity and mortality related to air, water, and soil pollution.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environmental-health infrastructure at district and national levels.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access to safe drinking water, sanitation, and clean energy.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capacity of the workforce to manage chemical hazards and environmental emergencies.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public awareness on sustainable living and eco-friendly practices.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Reducing illnesses and deaths from hazardous chemicals and pollution is central to India's health and sustainability agenda.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initiatives such as the Environment Protection Programme, National River Conservation, National Water Mission, and the National Health Mission, India is moving toward a health-centered environmental governance model.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SDG-3.9 will require inter-ministerial collaboration, scientific innovation, and community engagement to ensure a cleaner, safer, and healthier environment for present and future generations—realizing the essence of Good Health and Well-Being for All.</w:t>
      </w:r>
    </w:p>
    <w:p>
      <w:pPr>
        <w:spacing w:before="360" w:after="200"/>
      </w:pPr>
      <w:r>
        <w:rPr>
          <w:rFonts w:ascii="Cambria" w:hAnsi="Cambria" w:eastAsia="Cambria"/>
          <w:b/>
          <w:i w:val="0"/>
          <w:color w:val="1F3A5F"/>
          <w:sz w:val="32"/>
        </w:rPr>
        <w:t>15. Key Recommendations to Achieve SDG-3: Ensuring Good Health and Well-Being through Education, Research, and Institutional Innovation</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Strengthen Health Infrastructure within HEIs: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dedicated wellness facilities such as yoga halls, meditation centres, and counselling units.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a holistic campus health model addressing both physical fitness and mental well-being.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health education modules into all academic programs to build lifelong wellness habits.</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Expand Access to Affordable Medical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Increase the number of medical seats in both public and private institutions to address doctor shortages.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innovative models such as Public–Private Partnerships (PPP) for affordable, high-quality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financial assistance, scholarships, and low-interest loans for deserving students.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digital and hybrid learning to reduce costs while ensuring accessibility and quality.</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Promote Research and Collaboration with Pharmaceutical Industries: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Foster HEI–industry partnerships for R&amp;D, clinical trials, and low-cost medicine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Innovation and Drug Development Cells (IDDCs) within universities.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joint patents, industrial internships, and technology transfer for new drug discovery.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Complementary and Alternative Medicine Systems (CAMS) and support ethnographic research on indigenous medical knowledge.</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Community-Based Medical Training and Capacity Building: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Mandate internship programs for medical students at Primary Health Centres (PHCs).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training centres for Anganwadi workers and frontline health staff within medical HEIs.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experiential learning and community engagement to improve rural health outcomes.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Link academic programs with national initiatives such as Ayushman Bharat and National Health Mission (NHM).</w:t>
      </w:r>
    </w:p>
    <w:p>
      <w:pPr>
        <w:spacing w:line="276" w:lineRule="auto" w:after="80"/>
        <w:ind w:left="357" w:hanging="357"/>
        <w:jc w:val="both"/>
      </w:pPr>
      <w:r>
        <w:rPr>
          <w:rFonts w:ascii="Cambria" w:hAnsi="Cambria" w:eastAsia="Cambria"/>
          <w:b w:val="0"/>
          <w:i w:val="0"/>
          <w:sz w:val="22"/>
        </w:rPr>
        <w:t xml:space="preserve">5. </w:t>
      </w:r>
      <w:r>
        <w:rPr>
          <w:rFonts w:ascii="Cambria" w:hAnsi="Cambria" w:eastAsia="Cambria"/>
          <w:b w:val="0"/>
          <w:i w:val="0"/>
          <w:sz w:val="22"/>
        </w:rPr>
        <w:t>Establish Mandatory Drug Addiction Monitoring Systems in HEIs: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Implement institution-wide anti-drug policies supported by regular monitoring and awareness campaigns.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Set up confidential counselling cells and partnerships with rehabilitation agencies.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mental health education, peer mentoring programs, and awareness drives for substance abuse prevention.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Regularly evaluate campus wellness indicators through institutional quality reports.</w:t>
      </w:r>
    </w:p>
    <w:p>
      <w:pPr>
        <w:spacing w:line="276" w:lineRule="auto" w:after="80"/>
        <w:ind w:left="357" w:hanging="357"/>
        <w:jc w:val="both"/>
      </w:pPr>
      <w:r>
        <w:rPr>
          <w:rFonts w:ascii="Cambria" w:hAnsi="Cambria" w:eastAsia="Cambria"/>
          <w:b w:val="0"/>
          <w:i w:val="0"/>
          <w:sz w:val="22"/>
        </w:rPr>
        <w:t xml:space="preserve">6. </w:t>
      </w:r>
      <w:r>
        <w:rPr>
          <w:rFonts w:ascii="Cambria" w:hAnsi="Cambria" w:eastAsia="Cambria"/>
          <w:b w:val="0"/>
          <w:i w:val="0"/>
          <w:sz w:val="22"/>
        </w:rPr>
        <w:t>Promote Health and Wellness Centres Nationwide: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government must expand Health and Wellness Centres (HWCs) across all states to strengthen primary healthcare.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Launch Mission Vikas Pariwar as a national wellness program covering health, nutrition, and family welfare.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telemedicine and digital health records for effective service delivery in rural areas.</w:t>
      </w:r>
    </w:p>
    <w:p>
      <w:pPr>
        <w:spacing w:line="276" w:lineRule="auto" w:after="80"/>
        <w:ind w:left="357" w:hanging="357"/>
        <w:jc w:val="both"/>
      </w:pPr>
      <w:r>
        <w:rPr>
          <w:rFonts w:ascii="Cambria" w:hAnsi="Cambria" w:eastAsia="Cambria"/>
          <w:b w:val="0"/>
          <w:i w:val="0"/>
          <w:sz w:val="22"/>
        </w:rPr>
        <w:t xml:space="preserve">7. </w:t>
      </w:r>
      <w:r>
        <w:rPr>
          <w:rFonts w:ascii="Cambria" w:hAnsi="Cambria" w:eastAsia="Cambria"/>
          <w:b w:val="0"/>
          <w:i w:val="0"/>
          <w:sz w:val="22"/>
        </w:rPr>
        <w:t>Encourage Preventive and Traditional Health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Incorporate yoga, meditation, and mindfulness into campus and community activities.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research in Ayurveda, Siddha, Unani, and Homeopathy to validate and modernize traditional medicine.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Foster interdisciplinary collaboration between modern medicine and traditional healing systems.</w:t>
      </w:r>
    </w:p>
    <w:p>
      <w:pPr>
        <w:spacing w:line="276" w:lineRule="auto" w:after="80"/>
        <w:ind w:left="357" w:hanging="357"/>
        <w:jc w:val="both"/>
      </w:pPr>
      <w:r>
        <w:rPr>
          <w:rFonts w:ascii="Cambria" w:hAnsi="Cambria" w:eastAsia="Cambria"/>
          <w:b w:val="0"/>
          <w:i w:val="0"/>
          <w:sz w:val="22"/>
        </w:rPr>
        <w:t xml:space="preserve">8. </w:t>
      </w:r>
      <w:r>
        <w:rPr>
          <w:rFonts w:ascii="Cambria" w:hAnsi="Cambria" w:eastAsia="Cambria"/>
          <w:b w:val="0"/>
          <w:i w:val="0"/>
          <w:sz w:val="22"/>
        </w:rPr>
        <w:t>Increase Public Expenditure on Health and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Allocate a higher share of GDP to health infrastructure and education reforms.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equitable distribution of medical resources between urban and rural areas.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 faculty development, equipment modernization, and healthcare technology adoption.</w:t>
      </w:r>
    </w:p>
    <w:p>
      <w:pPr>
        <w:spacing w:line="276" w:lineRule="auto" w:after="80"/>
        <w:ind w:left="357" w:hanging="357"/>
        <w:jc w:val="both"/>
      </w:pPr>
      <w:r>
        <w:rPr>
          <w:rFonts w:ascii="Cambria" w:hAnsi="Cambria" w:eastAsia="Cambria"/>
          <w:b w:val="0"/>
          <w:i w:val="0"/>
          <w:sz w:val="22"/>
        </w:rPr>
        <w:t xml:space="preserve">9. </w:t>
      </w:r>
      <w:r>
        <w:rPr>
          <w:rFonts w:ascii="Cambria" w:hAnsi="Cambria" w:eastAsia="Cambria"/>
          <w:b w:val="0"/>
          <w:i w:val="0"/>
          <w:sz w:val="22"/>
        </w:rPr>
        <w:t>Strengthen Monitoring, Evaluation, and Accountability Mechanisms: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HEIs should maintain annual wellness and health impact reports aligned with SDG 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data-driven dashboards to track health outcomes, student participation, and wellness activities.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third-party audits and public reporting for transparency and continuous improvement.</w:t>
      </w:r>
    </w:p>
    <w:p>
      <w:pPr>
        <w:spacing w:line="276" w:lineRule="auto" w:after="80"/>
        <w:ind w:left="357" w:hanging="357"/>
        <w:jc w:val="both"/>
      </w:pPr>
      <w:r>
        <w:rPr>
          <w:rFonts w:ascii="Cambria" w:hAnsi="Cambria" w:eastAsia="Cambria"/>
          <w:b w:val="0"/>
          <w:i w:val="0"/>
          <w:sz w:val="22"/>
        </w:rPr>
        <w:t xml:space="preserve">10. </w:t>
      </w:r>
      <w:r>
        <w:rPr>
          <w:rFonts w:ascii="Cambria" w:hAnsi="Cambria" w:eastAsia="Cambria"/>
          <w:b w:val="0"/>
          <w:i w:val="0"/>
          <w:sz w:val="22"/>
        </w:rPr>
        <w:t>Foster Global and National Partnerships for Health Innovation: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Build alliances between HEIs, government agencies, NGOs, and global health organizations.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Participate in international research collaborations on vaccines, pandemic preparedness, and community medicine.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student and faculty exchange programs to share global best practices in healthcare education and delivery.</w:t>
      </w:r>
    </w:p>
    <w:p>
      <w:pPr>
        <w:spacing w:line="276" w:lineRule="auto" w:after="120"/>
      </w:pPr>
      <w:r>
        <w:rPr>
          <w:rFonts w:ascii="Cambria" w:hAnsi="Cambria" w:eastAsia="Cambria"/>
          <w:b w:val="0"/>
          <w:i w:val="0"/>
          <w:sz w:val="22"/>
        </w:rPr>
        <w:t>Long-Term Vision: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recommendations collectively aim to build a resilient, inclusive, and wellness-oriented education ecosystem.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integrating health awareness, innovation, and equitable access, India can establish HEIs as drivers of sustainable health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Implementing these measures ensures alignment with SDG-3 targets — achieving universal health coverage, reducing inequalities, and ensuring well-being for all by 2030.</w:t>
      </w:r>
    </w:p>
    <w:p>
      <w:pPr>
        <w:spacing w:before="360" w:after="200"/>
      </w:pPr>
      <w:r>
        <w:rPr>
          <w:rFonts w:ascii="Cambria" w:hAnsi="Cambria" w:eastAsia="Cambria"/>
          <w:b/>
          <w:i w:val="0"/>
          <w:color w:val="1F3A5F"/>
          <w:sz w:val="32"/>
        </w:rPr>
        <w:t>16. Building Infrastructure for Yoga, Meditation, and Counselling</w:t>
      </w:r>
    </w:p>
    <w:p>
      <w:pPr>
        <w:spacing w:line="276" w:lineRule="auto" w:after="120"/>
      </w:pPr>
      <w:r>
        <w:rPr>
          <w:rFonts w:ascii="Cambria" w:hAnsi="Cambria" w:eastAsia="Cambria"/>
          <w:b w:val="0"/>
          <w:i w:val="0"/>
          <w:sz w:val="22"/>
        </w:rPr>
        <w:t>Purpose of the Recommendation: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recommendation encourages Higher Education Institutions (HEIs) to build infrastructure dedicated to yoga, meditation, and counselling.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aim is to improve the physical and mental well-being of students, faculty, and surrounding communities — which directly supports United Nations Sustainable Development Goal 3 (SDG-3): Good Health and Well-Being.</w:t>
      </w:r>
    </w:p>
    <w:p>
      <w:pPr>
        <w:spacing w:line="276" w:lineRule="auto" w:after="120"/>
      </w:pPr>
      <w:r>
        <w:rPr>
          <w:rFonts w:ascii="Cambria" w:hAnsi="Cambria" w:eastAsia="Cambria"/>
          <w:b w:val="0"/>
          <w:i w:val="0"/>
          <w:sz w:val="22"/>
        </w:rPr>
        <w:t>Why It Is Needed: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Students and faculty in higher education often face academic pressure, anxiety, and lifestyle-related health issues.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Creating safe and supportive spaces for relaxation, self-reflection, and professional mental health care helps reduce stress, burnout, and depression.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ensures a balanced environment where learning, emotional stability, and physical health coexist.</w:t>
      </w:r>
    </w:p>
    <w:p>
      <w:pPr>
        <w:spacing w:line="276" w:lineRule="auto" w:after="120"/>
      </w:pPr>
      <w:r>
        <w:rPr>
          <w:rFonts w:ascii="Cambria" w:hAnsi="Cambria" w:eastAsia="Cambria"/>
          <w:b w:val="0"/>
          <w:i w:val="0"/>
          <w:sz w:val="22"/>
        </w:rPr>
        <w:t>Yoga Infrastructure: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Yoga is proven to enhance physical strength, flexibility, and concentration while reducing stress.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should:</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Construct yoga halls or open-air wellness zones.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Hire qualified yoga trainers to conduct regular sessions for students and staff.</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Make yoga a part of orientation programs or daily schedules.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organizations such as the Ministry of AYUSH for expert guidance.</w:t>
      </w:r>
    </w:p>
    <w:p>
      <w:pPr>
        <w:spacing w:line="276" w:lineRule="auto" w:after="120"/>
      </w:pPr>
      <w:r>
        <w:rPr>
          <w:rFonts w:ascii="Cambria" w:hAnsi="Cambria" w:eastAsia="Cambria"/>
          <w:b w:val="0"/>
          <w:i w:val="0"/>
          <w:sz w:val="22"/>
        </w:rPr>
        <w:t>Meditation and Mindfulness Spaces: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Meditation helps calm the mind and improve focus.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should establish quiet meditation rooms within hostels or academic blocks.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mindfulness workshops and short meditation breaks before exams or stressful periods.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spaces promote emotional regulation and a peaceful learning environment.</w:t>
      </w:r>
    </w:p>
    <w:p>
      <w:pPr>
        <w:spacing w:line="276" w:lineRule="auto" w:after="120"/>
      </w:pPr>
      <w:r>
        <w:rPr>
          <w:rFonts w:ascii="Cambria" w:hAnsi="Cambria" w:eastAsia="Cambria"/>
          <w:b w:val="0"/>
          <w:i w:val="0"/>
          <w:sz w:val="22"/>
        </w:rPr>
        <w:t>Counselling and Mental Health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Mental health counselling supports students dealing with academic, personal, or social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Institutions should set up counselling centres staffed with trained psychologists and counsellors.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Services can include stress management, career guidance, crisis intervention, and therapy sessions.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Counselling should be confidential, accessible, and stigma-free, supported by awareness programs and mental health campaigns.</w:t>
      </w:r>
    </w:p>
    <w:p>
      <w:pPr>
        <w:spacing w:line="276" w:lineRule="auto" w:after="120"/>
      </w:pPr>
      <w:r>
        <w:rPr>
          <w:rFonts w:ascii="Cambria" w:hAnsi="Cambria" w:eastAsia="Cambria"/>
          <w:b w:val="0"/>
          <w:i w:val="0"/>
          <w:sz w:val="22"/>
        </w:rPr>
        <w:t>Community Outreach: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facilities should not only serve students and faculty but also benefit the local community.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can organize free yoga camps, meditation drives, and health awareness programs.</w:t>
      </w:r>
    </w:p>
    <w:p>
      <w:pPr>
        <w:spacing w:before="360" w:after="200"/>
      </w:pPr>
      <w:r>
        <w:rPr>
          <w:rFonts w:ascii="Cambria" w:hAnsi="Cambria" w:eastAsia="Cambria"/>
          <w:b/>
          <w:i w:val="0"/>
          <w:color w:val="1F3A5F"/>
          <w:sz w:val="32"/>
        </w:rPr>
        <w:t>17. Promoting Health and Wellness Centres through Mission Vikas Pariwar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recommendation emphasizes the Government's responsibility to ensure equitable access to healthcare and wellness services across all regions of the country.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aligns directly with Sustainable Development Goal 3 (SDG-3): Good Health and Well-Being, which aims to ensure healthy lives and promote well-being for all ages.</w:t>
      </w:r>
    </w:p>
    <w:p>
      <w:pPr>
        <w:spacing w:line="276" w:lineRule="auto" w:after="120"/>
      </w:pPr>
      <w:r>
        <w:rPr>
          <w:rFonts w:ascii="Cambria" w:hAnsi="Cambria" w:eastAsia="Cambria"/>
          <w:b w:val="0"/>
          <w:i w:val="0"/>
          <w:sz w:val="22"/>
        </w:rPr>
        <w:t>Promotion of Health and Wellness Centres (HWCs):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Government should strengthen the network of Health and Wellness Centres as part of the Ayushman Bharat initiative.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centres act as the first point of contact for individuals and families, providing comprehensive primary healthcare including maternal, child, mental, and preventive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Each centre should focus on health promotion, disease prevention, and community-based care, extending beyond treatment to total wellness.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Establishing HWCs in rural, semi-urban, and urban areas ensures universal healthcare accessibility, especially for marginalized groups.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of digital health tools, telemedicine, and electronic health records can enhance efficiency and reach.</w:t>
      </w:r>
    </w:p>
    <w:p>
      <w:pPr>
        <w:spacing w:line="276" w:lineRule="auto" w:after="120"/>
      </w:pPr>
      <w:r>
        <w:rPr>
          <w:rFonts w:ascii="Cambria" w:hAnsi="Cambria" w:eastAsia="Cambria"/>
          <w:b w:val="0"/>
          <w:i w:val="0"/>
          <w:sz w:val="22"/>
        </w:rPr>
        <w:t>Mission Vikas Pariwar – A Nationwide Wellness Drive: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"Mission Vikas Pariwar" should be launched or scaled up as a national-level social development campaign targeting health, nutrition, sanitation, and family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mission's vision should extend beyond healthcare to include education, livelihood, hygiene, and women empowerment, forming a holistic "family-first" development model.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Under this mission, the Government can: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Identify and support vulnerable households through community health surveys.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family wellness kits, awareness campaigns, and preventive screenings.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Train community health volunteers and local self-help groups to act as wellness ambassadors.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coordination between ministries (Health, Women &amp; Child Development, Education, Rural Development) for integrated service delivery.</w:t>
      </w:r>
    </w:p>
    <w:p>
      <w:pPr>
        <w:spacing w:line="276" w:lineRule="auto" w:after="120"/>
      </w:pPr>
      <w:r>
        <w:rPr>
          <w:rFonts w:ascii="Cambria" w:hAnsi="Cambria" w:eastAsia="Cambria"/>
          <w:b w:val="0"/>
          <w:i w:val="0"/>
          <w:sz w:val="22"/>
        </w:rPr>
        <w:t>State-Level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States must receive adequate financial and technical assistance to establish Health and Wellness Centres under national guidelines.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Public–Private Partnerships (PPP) can be encouraged to bring innovation and efficiency.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Each state should set up District Wellness Committees to monitor progress and align with SDG-3 targets.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public health infrastructure with nationwide access to primary and preventive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awareness and adoption of healthy lifestyles among citizens.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disease burden through early detection, mental health counselling, and nutrition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Achievement of universal health coverage, ensuring no family is left behind.</w:t>
      </w:r>
    </w:p>
    <w:p>
      <w:pPr>
        <w:spacing w:line="276" w:lineRule="auto" w:after="120"/>
      </w:pPr>
      <w:r>
        <w:rPr>
          <w:rFonts w:ascii="Cambria" w:hAnsi="Cambria" w:eastAsia="Cambria"/>
          <w:b w:val="0"/>
          <w:i w:val="0"/>
          <w:sz w:val="22"/>
        </w:rPr>
        <w:t>Long-Term Impact: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combined framework of Health and Wellness Centres and Mission Vikas Pariwar will create a comprehensive ecosystem of community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will transform healthcare from a treatment-based to a wellness-based approach, ensuring the holistic realization of SDG-3 by 2030.</w:t>
      </w:r>
    </w:p>
    <w:p>
      <w:pPr>
        <w:spacing w:before="360" w:after="200"/>
      </w:pPr>
      <w:r>
        <w:rPr>
          <w:rFonts w:ascii="Cambria" w:hAnsi="Cambria" w:eastAsia="Cambria"/>
          <w:b/>
          <w:i w:val="0"/>
          <w:color w:val="1F3A5F"/>
          <w:sz w:val="32"/>
        </w:rPr>
        <w:t>18. Expanding Medical Seats and Addressing Doctor Shortage in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recommendation focuses on increasing investment in health education and expanding medical infrastructure to overcome the serious shortage of doctors in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directly supports Sustainable Development Goal 3 (SDG-3): Good Health and Well-Being, particularly the target of ensuring universal access to quality healthcare services through a well-trained health workforce.</w:t>
      </w:r>
    </w:p>
    <w:p>
      <w:pPr>
        <w:spacing w:line="276" w:lineRule="auto" w:after="120"/>
      </w:pPr>
      <w:r>
        <w:rPr>
          <w:rFonts w:ascii="Cambria" w:hAnsi="Cambria" w:eastAsia="Cambria"/>
          <w:b w:val="0"/>
          <w:i w:val="0"/>
          <w:sz w:val="22"/>
        </w:rPr>
        <w:t>Current Challenge – Doctor Deficit: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faces a critical shortage of qualified doctors, especially in rural and underserved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doctor–population ratio remains below the WHO-recommended level of 1 doctor per 1,000 population.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Many public health centres operate without adequate medical staff, impacting both preventive and curative care.</w:t>
      </w:r>
    </w:p>
    <w:p>
      <w:pPr>
        <w:spacing w:line="276" w:lineRule="auto" w:after="120"/>
      </w:pPr>
      <w:r>
        <w:rPr>
          <w:rFonts w:ascii="Cambria" w:hAnsi="Cambria" w:eastAsia="Cambria"/>
          <w:b w:val="0"/>
          <w:i w:val="0"/>
          <w:sz w:val="22"/>
        </w:rPr>
        <w:t>Educational Gap and Unmet Aspirations: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Every year, nearly 60 lakh students aspire to pursue medical education in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However, there are only around 85,000 medical seats, creating a massive gap between demand and availability.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 a result, thousands of capable students either go abroad for medical education or abandon their aspirations due to limited opportunities.</w:t>
      </w:r>
    </w:p>
    <w:p>
      <w:pPr>
        <w:spacing w:line="276" w:lineRule="auto" w:after="120"/>
      </w:pPr>
      <w:r>
        <w:rPr>
          <w:rFonts w:ascii="Cambria" w:hAnsi="Cambria" w:eastAsia="Cambria"/>
          <w:b w:val="0"/>
          <w:i w:val="0"/>
          <w:sz w:val="22"/>
        </w:rPr>
        <w:t>Need for Government Investment: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Government should increase budget allocation towards the health and education sectors to strengthen the medical education 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Investment should focus 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Expanding existing medical colleges and establishing new ones, particularly in Tier-2 and rural regions.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Upgrading district hospitals into teaching hospitals through public–private partnerships (PPPs).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Recruiting and training more faculty members to maintain education quality.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Ensuring availability of modern laboratories, simulation centres, and digital learning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Financial incentives and scholarships should be introduced for students from economically weaker sections, ensuring inclusive medical education.</w:t>
      </w:r>
    </w:p>
    <w:p>
      <w:pPr>
        <w:spacing w:line="276" w:lineRule="auto" w:after="120"/>
      </w:pPr>
      <w:r>
        <w:rPr>
          <w:rFonts w:ascii="Cambria" w:hAnsi="Cambria" w:eastAsia="Cambria"/>
          <w:b w:val="0"/>
          <w:i w:val="0"/>
          <w:sz w:val="22"/>
        </w:rPr>
        <w:t>Expanding Medical Seats: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Government policy should aim to increase MBBS and postgraduate medical seats proportionally to the country's healthcare needs.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Regulatory bodies like the National Medical Commission (NMC) can streamline approval processes for new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on establishing specialized medical universities and paramedical institutions to diversify healthcare skills.</w:t>
      </w:r>
    </w:p>
    <w:p>
      <w:pPr>
        <w:spacing w:line="276" w:lineRule="auto" w:after="120"/>
      </w:pPr>
      <w:r>
        <w:rPr>
          <w:rFonts w:ascii="Cambria" w:hAnsi="Cambria" w:eastAsia="Cambria"/>
          <w:b w:val="0"/>
          <w:i w:val="0"/>
          <w:sz w:val="22"/>
        </w:rPr>
        <w:t>Promoting Allied Health and Nursing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Alongside doctors, there is also a shortage of nurses, pharmacists, physiotherapists, and technicians.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Expanding allied health programs will strengthen overall healthcare delivery and reduce pressure on doctors.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doctor-to-patient ratio and enhanced accessibility of healthcare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in outbound student migration for medical education, saving foreign exchange.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national healthcare system with an adequate and skilled medical workforce.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Better implementation of public health schemes, preventive care, and community medicine programs.</w:t>
      </w:r>
    </w:p>
    <w:p>
      <w:pPr>
        <w:spacing w:line="276" w:lineRule="auto" w:after="120"/>
      </w:pPr>
      <w:r>
        <w:rPr>
          <w:rFonts w:ascii="Cambria" w:hAnsi="Cambria" w:eastAsia="Cambria"/>
          <w:b w:val="0"/>
          <w:i w:val="0"/>
          <w:sz w:val="22"/>
        </w:rPr>
        <w:t>Long-Term Vision: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robust medical education framework ensures self-sufficiency in healthcare delivery and aligns with India's Vision 2047 for a healthy, equitable society.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expanding medical capacity and investing in education, the nation can achieve universal health coverage and effectively meet SDG-3 targets by 2030.</w:t>
      </w:r>
    </w:p>
    <w:p>
      <w:pPr>
        <w:spacing w:before="360" w:after="200"/>
      </w:pPr>
      <w:r>
        <w:rPr>
          <w:rFonts w:ascii="Cambria" w:hAnsi="Cambria" w:eastAsia="Cambria"/>
          <w:b/>
          <w:i w:val="0"/>
          <w:color w:val="1F3A5F"/>
          <w:sz w:val="32"/>
        </w:rPr>
        <w:t>19. Making Medical Education Affordable and Accessible: Innovative Models to Balance Quality, Cost, and Capacity in Achieving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recommendation emphasizes the urgent need to make medical education more affordable and accessible to ensure a sustainable supply of healthcare professionals in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directly supports Sustainable Development Goal 3 (SDG-3): Good Health and Well-Being, which calls for strengthening the health workforce and ensuring equitable access to healthcare services for all citizens.</w:t>
      </w:r>
    </w:p>
    <w:p>
      <w:pPr>
        <w:spacing w:line="276" w:lineRule="auto" w:after="120"/>
      </w:pPr>
      <w:r>
        <w:rPr>
          <w:rFonts w:ascii="Cambria" w:hAnsi="Cambria" w:eastAsia="Cambria"/>
          <w:b w:val="0"/>
          <w:i w:val="0"/>
          <w:sz w:val="22"/>
        </w:rPr>
        <w:t>Current Scenario – Cost and Access Imbalance: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Medical education in private institutions is highly expensive, often costing tens of lakhs to crores of rupees, making it unaffordable for economically weaker and middle-class families.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Government medical colleges, on the other hand, are far fewer in number and have limited seats, leading to intense competition.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imbalance results in social inequity, where only a small portion of students can afford to become doctors despite having merit.</w:t>
      </w:r>
    </w:p>
    <w:p>
      <w:pPr>
        <w:spacing w:line="276" w:lineRule="auto" w:after="120"/>
      </w:pPr>
      <w:r>
        <w:rPr>
          <w:rFonts w:ascii="Cambria" w:hAnsi="Cambria" w:eastAsia="Cambria"/>
          <w:b w:val="0"/>
          <w:i w:val="0"/>
          <w:sz w:val="22"/>
        </w:rPr>
        <w:t>Need for Affordable Medical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healthcare system depends heavily on availability of qualified professionals. If education remains unaffordable, the doctor shortage will continue.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There is a need to create a fair and inclusive education system where deserving students can pursue medicine based on merit, not financial capacity.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Affordable education ensures wider participation, especially from rural and marginalized regions, helping to balance healthcare distribution nationwide.</w:t>
      </w:r>
    </w:p>
    <w:p>
      <w:pPr>
        <w:spacing w:line="276" w:lineRule="auto" w:after="120"/>
      </w:pPr>
      <w:r>
        <w:rPr>
          <w:rFonts w:ascii="Cambria" w:hAnsi="Cambria" w:eastAsia="Cambria"/>
          <w:b w:val="0"/>
          <w:i w:val="0"/>
          <w:sz w:val="22"/>
        </w:rPr>
        <w:t>Innovative Models for Expansion and Affordability: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Public-Private Partnership (PPP) Model: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collaboration between government and private institutions to set up joint medical colleges with controlled fee structures.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government can provide land, infrastructure, and subsidies, while private partners contribute technology, faculty, and management expertise.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Cross-Subsidization Framework:</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 portion of higher-income student fees can be used to subsidize seats for economically weaker students, ensuring social equity.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Medical Education Financing Schemes: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low-interest student loan programs, income-linked repayment options, and government scholarships to support eligible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Digital and Hybrid Learning Models: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Use tele-education, virtual laboratories, and AI-driven simulation platforms to reduce infrastructure costs while maintaining education 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Conversion of District Hospitals into Teaching Institutions: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Utilize existing district hospitals and community health centres as training grounds for medical students.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This approach reduces infrastructure expenditure and provides hands-on community exposure.</w:t>
      </w:r>
    </w:p>
    <w:p>
      <w:pPr>
        <w:spacing w:line="276" w:lineRule="auto" w:after="120"/>
      </w:pPr>
      <w:r>
        <w:rPr>
          <w:rFonts w:ascii="Cambria" w:hAnsi="Cambria" w:eastAsia="Cambria"/>
          <w:b w:val="0"/>
          <w:i w:val="0"/>
          <w:sz w:val="22"/>
        </w:rPr>
        <w:t>Quality Assurance and Regulation: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Expansion of affordable seats must not compromise academic standards or clinical exposure.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National Medical Commission (NMC) should ensure transparent accreditation, standardized curriculum, and faculty training across all institutions.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accessibility to medical education for deserving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doctor-to-population ratio and reduction of regional healthcare disparities.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public healthcare delivery through a well-trained and socially diverse medical workforce.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Economic relief for families and reduction in educational migration abroad.</w:t>
      </w:r>
    </w:p>
    <w:p>
      <w:pPr>
        <w:spacing w:line="276" w:lineRule="auto" w:after="120"/>
      </w:pPr>
      <w:r>
        <w:rPr>
          <w:rFonts w:ascii="Cambria" w:hAnsi="Cambria" w:eastAsia="Cambria"/>
          <w:b w:val="0"/>
          <w:i w:val="0"/>
          <w:sz w:val="22"/>
        </w:rPr>
        <w:t>Long-Term Vision: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promoting affordable, innovative, and inclusive education models, India can build a self-reliant healthcare ecosystem.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approach will simultaneously ensure quality medical education for students and improved healthcare services for citizens.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Ultimately, it contributes to the national commitment of achieving SDG-3: Good Health and Well-Being for All by 2030.</w:t>
      </w:r>
    </w:p>
    <w:p>
      <w:pPr>
        <w:spacing w:before="360" w:after="200"/>
      </w:pPr>
      <w:r>
        <w:rPr>
          <w:rFonts w:ascii="Cambria" w:hAnsi="Cambria" w:eastAsia="Cambria"/>
          <w:b/>
          <w:i w:val="0"/>
          <w:color w:val="1F3A5F"/>
          <w:sz w:val="32"/>
        </w:rPr>
        <w:t>20. Establishing Mandatory Drug Addiction Monitoring Systems in Higher Education Institutions (HEIs) to Promote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recommendation highlights the importance of monitoring, preventing, and addressing drug addiction among students in Higher Education Institutions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directly aligns with Sustainable Development Goal 3 (SDG-3), which aims to ensure healthy lives and promote well-being for all, including the prevention and treatment of substance abuse.</w:t>
      </w:r>
    </w:p>
    <w:p>
      <w:pPr>
        <w:spacing w:line="276" w:lineRule="auto" w:after="120"/>
      </w:pPr>
      <w:r>
        <w:rPr>
          <w:rFonts w:ascii="Cambria" w:hAnsi="Cambria" w:eastAsia="Cambria"/>
          <w:b w:val="0"/>
          <w:i w:val="0"/>
          <w:sz w:val="22"/>
        </w:rPr>
        <w:t>Rationale for the Recommendation: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Drug abuse among youth is a growing public health and social concern that affects physical health, academic performance, mental well-being, and overall safety on campuses.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College students are particularly vulnerable to peer pressure, stress, and experimentation, which often lead to substance misuse.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systematic institutional mechanism is therefore essential to detect, prevent, and manage addiction-related issues early.</w:t>
      </w:r>
    </w:p>
    <w:p>
      <w:pPr>
        <w:spacing w:line="276" w:lineRule="auto" w:after="120"/>
      </w:pPr>
      <w:r>
        <w:rPr>
          <w:rFonts w:ascii="Cambria" w:hAnsi="Cambria" w:eastAsia="Cambria"/>
          <w:b w:val="0"/>
          <w:i w:val="0"/>
          <w:sz w:val="22"/>
        </w:rPr>
        <w:t>Key Features of a Mandatory Monitoring 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Policy Framework:</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HEIs should develop a Drug and Substance Abuse Prevention Policy approved by institutional authorities.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policy must define preventive measures, disciplinary actions, rehabilitation support, and confidentiality protocols.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Health Screening and Surveys: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regular anonymous surveys, wellness checks, or health assessments to identify early signs of substance use.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health professionals and NGOs for periodic screening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Counselling and Rehabilitation Mechanisms: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on-campus counselling centres with trained psychologists and social workers.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rehabilitation support for affected students through referral to de-addiction centres and follow-up counselling.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Awareness and Education Campaigns: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workshops, seminars, and awareness drives on the dangers of drug abuse and healthy coping mechanisms.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student participation through peer mentoring programs, theatre, debates, and posters promoting a drug-free campus.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with Health and Wellness Units: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drug monitoring system should function under the institution's Health and Wellness Cell or Student Affairs Division, ensuring coordination with existing wellness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of Technology: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Implement confidential digital reporting systems where students can report concerns anonymously.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Maintain secure databases for trend monitoring and policy improvement while protecting student privacy.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Collaboration with External Agencies: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Work closely with state health departments, narcotics control authorities, and NGOs for training and intervention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joint anti-drug campaigns as part of the institution's social responsibility initiatives.</w:t>
      </w:r>
    </w:p>
    <w:p>
      <w:pPr>
        <w:spacing w:line="276" w:lineRule="auto" w:after="120"/>
      </w:pPr>
      <w:r>
        <w:rPr>
          <w:rFonts w:ascii="Cambria" w:hAnsi="Cambria" w:eastAsia="Cambria"/>
          <w:b w:val="0"/>
          <w:i w:val="0"/>
          <w:sz w:val="22"/>
        </w:rPr>
        <w:t>Expected Benefits: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Early detection and timely intervention in drug-related cases.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a safe, supportive, and drug-free campus environment.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in academic dropouts, behavioral issues, and mental health crises linked to substance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students who are more aware, responsible, and resilient against addiction risks.</w:t>
      </w:r>
    </w:p>
    <w:p>
      <w:pPr>
        <w:spacing w:line="276" w:lineRule="auto" w:after="120"/>
      </w:pPr>
      <w:r>
        <w:rPr>
          <w:rFonts w:ascii="Cambria" w:hAnsi="Cambria" w:eastAsia="Cambria"/>
          <w:b w:val="0"/>
          <w:i w:val="0"/>
          <w:sz w:val="22"/>
        </w:rPr>
        <w:t>Monitoring and Evaluation: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should maintain annual reports on addiction monitoring outcomes, awareness programs, and counselling statistics.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data can be integrated into institutional quality reports such as AQAR (NAAC) or SDG compliance assessments.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Regular audits and third-party evaluations can ensure transparency and policy effectiveness.</w:t>
      </w:r>
    </w:p>
    <w:p>
      <w:pPr>
        <w:spacing w:line="276" w:lineRule="auto" w:after="120"/>
      </w:pPr>
      <w:r>
        <w:rPr>
          <w:rFonts w:ascii="Cambria" w:hAnsi="Cambria" w:eastAsia="Cambria"/>
          <w:b w:val="0"/>
          <w:i w:val="0"/>
          <w:sz w:val="22"/>
        </w:rPr>
        <w:t>Long-Term Vision: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Establishing a mandatory anti-drug monitoring framework in HEIs promotes a culture of well-being, discipline, and holistic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contributes to building a healthy, productive youth population capable of driving sustainable national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Ultimately, such initiatives help India advance toward SDG-3 targets on health promotion, substance abuse prevention, and youth empowerment by 2030.</w:t>
      </w:r>
    </w:p>
    <w:p>
      <w:pPr>
        <w:spacing w:before="360" w:after="200"/>
      </w:pPr>
      <w:r>
        <w:rPr>
          <w:rFonts w:ascii="Cambria" w:hAnsi="Cambria" w:eastAsia="Cambria"/>
          <w:b/>
          <w:i w:val="0"/>
          <w:color w:val="1F3A5F"/>
          <w:sz w:val="32"/>
        </w:rPr>
        <w:t>21. Integrating Community-Based Internships and Training Initiatives in Medical HEIs to Achieve SDG-3: Strengthening Primary Healthcare and Community Workforce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recommendation emphasizes the need for practical, community-oriented training for medical students and the capacity-building of frontline health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supports Sustainable Development Goal 3 (SDG-3): Good Health and Well-Being, by enhancing both medical education quality and public health service delivery at the grassroots level.</w:t>
      </w:r>
    </w:p>
    <w:p>
      <w:pPr>
        <w:spacing w:line="276" w:lineRule="auto" w:after="120"/>
      </w:pPr>
      <w:r>
        <w:rPr>
          <w:rFonts w:ascii="Cambria" w:hAnsi="Cambria" w:eastAsia="Cambria"/>
          <w:b w:val="0"/>
          <w:i w:val="0"/>
          <w:sz w:val="22"/>
        </w:rPr>
        <w:t>Internship Programs at Primary Health Centres (PHCs):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Every medical student should undergo a mandatory internship or field training program at Primary Health Centres (PHCs).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PHCs are the first point of contact for rural and semi-urban populations, making them ideal training grounds for understanding real-world healthcare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approach helps students: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Gain hands-on experience in community medicine, disease surveillance, maternal and child health, and preventive healthcare.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Understand public health administration, patient communication, and rural health dynamics.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empathy and social responsibility as part of their professional ethics.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Government and universities should collaborate to standardize internship duration, supervision, and evaluation to ensure consistent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internship program should be linked with national health missions such as the Ayushman Bharat, National Health Mission (NHM), and Mission Indradhanush for practical exposure.</w:t>
      </w:r>
    </w:p>
    <w:p>
      <w:pPr>
        <w:spacing w:line="276" w:lineRule="auto" w:after="120"/>
      </w:pPr>
      <w:r>
        <w:rPr>
          <w:rFonts w:ascii="Cambria" w:hAnsi="Cambria" w:eastAsia="Cambria"/>
          <w:b w:val="0"/>
          <w:i w:val="0"/>
          <w:sz w:val="22"/>
        </w:rPr>
        <w:t>Establishment of Special Training Centres for Anganwadi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Medical HEIs should create dedicated training centres within their campuses to train and upskill Anganwadi workers under the Integrated Child Development Services (ICDS) scheme.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centres should focus 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Basic health education, maternal care, and child nutrition.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Early detection of malnutrition and communicable diseases.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Training on first aid, immunization awareness, and hygiene promotion.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Medical faculty and postgraduate students can contribute to training through hands-on workshops and field visits.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Regular refresher programs can ensure continuous skill enhancement and updated knowledge of national health policies.</w:t>
      </w:r>
    </w:p>
    <w:p>
      <w:pPr>
        <w:spacing w:line="276" w:lineRule="auto" w:after="120"/>
      </w:pPr>
      <w:r>
        <w:rPr>
          <w:rFonts w:ascii="Cambria" w:hAnsi="Cambria" w:eastAsia="Cambria"/>
          <w:b w:val="0"/>
          <w:i w:val="0"/>
          <w:sz w:val="22"/>
        </w:rPr>
        <w:t>Collaborative Framework: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Partnerships among Medical HEIs, State Health Departments, and ICDS offices are crucial for coordination and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Medical interns can assist in training delivery, data collection, and health awareness drives at Anganwadi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with public health and nutrition departments ensures a multidisciplinary learning approach.</w:t>
      </w:r>
    </w:p>
    <w:p>
      <w:pPr>
        <w:spacing w:line="276" w:lineRule="auto" w:after="120"/>
      </w:pPr>
      <w:r>
        <w:rPr>
          <w:rFonts w:ascii="Cambria" w:hAnsi="Cambria" w:eastAsia="Cambria"/>
          <w:b w:val="0"/>
          <w:i w:val="0"/>
          <w:sz w:val="22"/>
        </w:rPr>
        <w:t>Expected Benefits: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primary healthcare infrastructure through trained and motivated professionals.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maternal and child health outcomes due to better-trained Anganwadi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community engagement and awareness of preventive health measures.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Medical students gain practical, service-oriented education, bridging the gap between theory and fieldwork.</w:t>
      </w:r>
    </w:p>
    <w:p>
      <w:pPr>
        <w:spacing w:line="276" w:lineRule="auto" w:after="120"/>
      </w:pPr>
      <w:r>
        <w:rPr>
          <w:rFonts w:ascii="Cambria" w:hAnsi="Cambria" w:eastAsia="Cambria"/>
          <w:b w:val="0"/>
          <w:i w:val="0"/>
          <w:sz w:val="22"/>
        </w:rPr>
        <w:t>Monitoring and Evaluation: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should maintain internship logs, attendance records, and feedback from PHC supervisors.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Training centres must report number of Anganwadi workers trained, skill assessment results, and impact on local health indicators.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Annual evaluation of both initiatives should be included in institutional quality assurance reports.</w:t>
      </w:r>
    </w:p>
    <w:p>
      <w:pPr>
        <w:spacing w:line="276" w:lineRule="auto" w:after="120"/>
      </w:pPr>
      <w:r>
        <w:rPr>
          <w:rFonts w:ascii="Cambria" w:hAnsi="Cambria" w:eastAsia="Cambria"/>
          <w:b w:val="0"/>
          <w:i w:val="0"/>
          <w:sz w:val="22"/>
        </w:rPr>
        <w:t>Long-Term Vision: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integrating PHC-level internships and Anganwadi training programs, medical HEIs can transform into centres of community health excellence.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approach builds a skilled, compassionate, and community-connected healthcare workforce, ensuring that quality healthcare reaches every household.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Ultimately, it contributes to achieving SDG-3 goals of universal health coverage, preventive care, and strengthened primary healthcare systems by 2030.</w:t>
      </w:r>
    </w:p>
    <w:p>
      <w:pPr>
        <w:spacing w:before="360" w:after="200"/>
      </w:pPr>
      <w:r>
        <w:rPr>
          <w:rFonts w:ascii="Cambria" w:hAnsi="Cambria" w:eastAsia="Cambria"/>
          <w:b/>
          <w:i w:val="0"/>
          <w:color w:val="1F3A5F"/>
          <w:sz w:val="32"/>
        </w:rPr>
        <w:t>22. Strengthening HEI–Pharmaceutical Industry Collaboration and Promoting Traditional Medicine (CAMS) to Advance SDG-3: Innovation, Research, and Inclusive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recommendation emphasizes strategic collaboration between Higher Education Institutions (HEIs) and pharmaceutical industries to foster research, innovation, and production of affordable medicines.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also advocates the promotion of Complementary and Alternative Medicine Systems (CAMS) and ethnographic research to preserve and modernize India's traditional healing knowledge.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initiative directly supports Sustainable Development Goal 3 (SDG-3): Good Health and Well-Being, particularly the targets related to access to safe, effective, and affordable medicines and strengthening health research capacity.</w:t>
      </w:r>
    </w:p>
    <w:p>
      <w:pPr>
        <w:spacing w:line="276" w:lineRule="auto" w:after="120"/>
      </w:pPr>
      <w:r>
        <w:rPr>
          <w:rFonts w:ascii="Cambria" w:hAnsi="Cambria" w:eastAsia="Cambria"/>
          <w:b w:val="0"/>
          <w:i w:val="0"/>
          <w:sz w:val="22"/>
        </w:rPr>
        <w:t>Collaboration Between HEIs and Pharmaceutical Industries: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with their research capacity and skilled manpower, can collaborate with pharmaceutical industries for: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Joint research and development (R&amp;D) on new drug formulations and therapeutic technologies.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Clinical trials and validation of new molecules or bioactive compounds.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Process optimization for low-cost medicine production.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Internships and training programs to enhance student exposure to real-world pharmaceutical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Innovation and Drug Development Cells (IDDCs) within HEIs to coordinate industry collaborations and knowledge transfer.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technology incubation hubs under schemes such as Atal Innovation Mission, BioNEST, or Start-up India to commercialize academic discoveries.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joint patents, industrial fellowships, and faculty–industry sabbaticals to bridge the academia–industry gap.</w:t>
      </w:r>
    </w:p>
    <w:p>
      <w:pPr>
        <w:spacing w:line="276" w:lineRule="auto" w:after="120"/>
      </w:pPr>
      <w:r>
        <w:rPr>
          <w:rFonts w:ascii="Cambria" w:hAnsi="Cambria" w:eastAsia="Cambria"/>
          <w:b w:val="0"/>
          <w:i w:val="0"/>
          <w:sz w:val="22"/>
        </w:rPr>
        <w:t>Promotion of Traditional Medicine and CAMS: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 has a rich legacy of Ayurveda, Siddha, Unani, Yoga, and Homeopathy, which together form the Complementary and Alternative Medicine Systems (CAMS).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should collaborate with AYUSH institutions and pharmaceutical companies to:</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scientific validation of traditional medicine formulations.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standardized herbal products with proven efficacy and safety.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integrative medicine that combines modern allopathy with evidence-based traditional therapies.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centres for traditional medicine research and innovation within medical and pharmacy colleges.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interdisciplinary research combining biotechnology, pharmacology, ethnobotany, and medical anthropology.</w:t>
      </w:r>
    </w:p>
    <w:p>
      <w:pPr>
        <w:spacing w:line="276" w:lineRule="auto" w:after="120"/>
      </w:pPr>
      <w:r>
        <w:rPr>
          <w:rFonts w:ascii="Cambria" w:hAnsi="Cambria" w:eastAsia="Cambria"/>
          <w:b w:val="0"/>
          <w:i w:val="0"/>
          <w:sz w:val="22"/>
        </w:rPr>
        <w:t>Boosting Ethnographic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Ethnographic and ethnobotanical studies are essential for documenting traditional healthcare practices, medicinal plants, and indigenous knowledge.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can conduct community-based participatory research in collaboration with local healers and tribal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Preserve traditional medical knowledge through digital repositories, open-access journals, and policy documentation.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international collaborations on global CAMS research to contribute to world health solutions and biodiversity conservation.</w:t>
      </w:r>
    </w:p>
    <w:p>
      <w:pPr>
        <w:spacing w:line="276" w:lineRule="auto" w:after="120"/>
      </w:pPr>
      <w:r>
        <w:rPr>
          <w:rFonts w:ascii="Cambria" w:hAnsi="Cambria" w:eastAsia="Cambria"/>
          <w:b w:val="0"/>
          <w:i w:val="0"/>
          <w:sz w:val="22"/>
        </w:rPr>
        <w:t>Government and Policy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government should offer research grants, tax incentives, and regulatory facilitation for HEI–industry partnerships.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Pharmaceutical R&amp;D parks near HEIs can encourage co-location of academic labs and manufacturing units.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national-level centres of excellence for integrative health sciences combining modern and traditional medicine.</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pharmaceutical innovation ecosystem through academic–industry synergy.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Availability of affordable, high-quality medicines for the public.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Preservation, modernization, and global recognition of traditional medicine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new research jobs, startups, and entrepreneurship opportunities for graduates.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community health outcomes through culturally rooted, evidence-based care models.</w:t>
      </w:r>
    </w:p>
    <w:p>
      <w:pPr>
        <w:spacing w:line="276" w:lineRule="auto" w:after="120"/>
      </w:pPr>
      <w:r>
        <w:rPr>
          <w:rFonts w:ascii="Cambria" w:hAnsi="Cambria" w:eastAsia="Cambria"/>
          <w:b w:val="0"/>
          <w:i w:val="0"/>
          <w:sz w:val="22"/>
        </w:rPr>
        <w:t>Long-Term Vision: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integrated approach positions India as a global leader in affordable healthcare innovation and traditional medicine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builds a knowledge-driven health economy aligned with SDG-3 goals — ensuring health, innovation, and well-being for all.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combining modern pharmaceuticals with traditional healing systems, India can achieve sustainable, inclusive, and holistic healthcare by 2030.</w:t>
      </w:r>
    </w:p>
    <w:p>
      <w:pPr>
        <w:spacing w:before="360" w:after="200"/>
      </w:pPr>
      <w:r>
        <w:rPr>
          <w:rFonts w:ascii="Cambria" w:hAnsi="Cambria" w:eastAsia="Cambria"/>
          <w:b/>
          <w:i w:val="0"/>
          <w:color w:val="1F3A5F"/>
          <w:sz w:val="32"/>
        </w:rPr>
        <w:t>23. The Global Significance of SDG-3 – Ensuring Good Health and Well-Being for All</w:t>
      </w:r>
    </w:p>
    <w:p>
      <w:pPr>
        <w:spacing w:line="276" w:lineRule="auto" w:after="120"/>
      </w:pPr>
      <w:r>
        <w:rPr>
          <w:rFonts w:ascii="Cambria" w:hAnsi="Cambria" w:eastAsia="Cambria"/>
          <w:b w:val="0"/>
          <w:i w:val="0"/>
          <w:sz w:val="22"/>
        </w:rPr>
        <w:t>Health as a Foundation of Human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Good health is the foundation of human dignity, productivity, and overall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Poor health represents not only physical suffering but also deprivation of basic human rights, reducing access to education, employment, and quality of life.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limits opportunities and perpetuates cycles of poverty and inequality, especially in developing regions.</w:t>
      </w:r>
    </w:p>
    <w:p>
      <w:pPr>
        <w:spacing w:line="276" w:lineRule="auto" w:after="120"/>
      </w:pPr>
      <w:r>
        <w:rPr>
          <w:rFonts w:ascii="Cambria" w:hAnsi="Cambria" w:eastAsia="Cambria"/>
          <w:b w:val="0"/>
          <w:i w:val="0"/>
          <w:sz w:val="22"/>
        </w:rPr>
        <w:t>Global Progress in Health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Over recent decades, significant progress has been achieved in increasing life expectancy and reducing infant and maternal mortality through advancements in healthcare systems, nutrition, sanitation, and immunization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Innovations in medicine, including new vaccines and therapeutic technologies, have transformed public health outcomes worldwide.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Initiatives like Global Polio Eradication, WHO's Expanded Programme on Immunization, and UNAIDS strategies have reduced major infectious diseases globally.</w:t>
      </w:r>
    </w:p>
    <w:p>
      <w:pPr>
        <w:spacing w:line="276" w:lineRule="auto" w:after="120"/>
      </w:pPr>
      <w:r>
        <w:rPr>
          <w:rFonts w:ascii="Cambria" w:hAnsi="Cambria" w:eastAsia="Cambria"/>
          <w:b w:val="0"/>
          <w:i w:val="0"/>
          <w:sz w:val="22"/>
        </w:rPr>
        <w:t>Persistent Global Inequalities: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Despite global progress, inequalities in healthcare access and outcomes remain stark.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Regions like Sub-Saharan Africa and South Asia continue to experience high rates of infant mortality, malnutrition, and maternal deaths, primarily due to lack of infrastructure, trained personnel, and financial resources.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disparities reflect systemic challenges in universal healthcare coverage and affordability.</w:t>
      </w:r>
    </w:p>
    <w:p>
      <w:pPr>
        <w:spacing w:line="276" w:lineRule="auto" w:after="120"/>
      </w:pPr>
      <w:r>
        <w:rPr>
          <w:rFonts w:ascii="Cambria" w:hAnsi="Cambria" w:eastAsia="Cambria"/>
          <w:b w:val="0"/>
          <w:i w:val="0"/>
          <w:sz w:val="22"/>
        </w:rPr>
        <w:t>Challenges of Infectious and Emerging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Although diseases such as HIV/AIDS, malaria, and tuberculosis have shown a global decline since 2000, they still pose significant threats in vulnerable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world continues to face new pandemics and health emergencies, as seen during COVID-19, highlighting the need for preparedness, research, and coordinated global action.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Climate change, urbanization, and antimicrobial resistance further aggravate global health challenges.</w:t>
      </w:r>
    </w:p>
    <w:p>
      <w:pPr>
        <w:spacing w:line="276" w:lineRule="auto" w:after="120"/>
      </w:pPr>
      <w:r>
        <w:rPr>
          <w:rFonts w:ascii="Cambria" w:hAnsi="Cambria" w:eastAsia="Cambria"/>
          <w:b w:val="0"/>
          <w:i w:val="0"/>
          <w:sz w:val="22"/>
        </w:rPr>
        <w:t>Healthcare Accessibility and Affordability: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Modern medical science has produced advanced therapies, digital health systems, and life-saving vaccines, but equitable distribution remains a major obstacle.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Many people in low- and middle-income countries cannot afford or access essential healthcare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absence of universal healthcare systems continues to prevent billions from receiving timely medical attention.</w:t>
      </w:r>
    </w:p>
    <w:p>
      <w:pPr>
        <w:spacing w:line="276" w:lineRule="auto" w:after="120"/>
      </w:pPr>
      <w:r>
        <w:rPr>
          <w:rFonts w:ascii="Cambria" w:hAnsi="Cambria" w:eastAsia="Cambria"/>
          <w:b w:val="0"/>
          <w:i w:val="0"/>
          <w:sz w:val="22"/>
        </w:rPr>
        <w:t>Health as an Economic and Social Imperative: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Disease impacts more than individual lives—it affects families, communities, and national economies.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Poor health reduces workforce productivity, increases dependency ratios, and leads to greater public expenditure on treatment rather than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Conversely, investing in health contributes to social stability, poverty reduction, and sustainable economic growth.</w:t>
      </w:r>
    </w:p>
    <w:p>
      <w:pPr>
        <w:spacing w:line="276" w:lineRule="auto" w:after="120"/>
      </w:pPr>
      <w:r>
        <w:rPr>
          <w:rFonts w:ascii="Cambria" w:hAnsi="Cambria" w:eastAsia="Cambria"/>
          <w:b w:val="0"/>
          <w:i w:val="0"/>
          <w:sz w:val="22"/>
        </w:rPr>
        <w:t>Central Role of Health in Sustainable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SDG-3 of the United Nations Agenda 2030 recognizes that health and well-being are essential prerequisites for achieving all other Sustainable Development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Protection from disease and access to quality healthcare form the core of human survival, equality, and resilience.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Ensuring well-being at all ages contributes to building inclusive, productive, and sustainable societies capable of long-term prosperity.</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While global efforts have brought notable improvements, the journey toward universal health equity is ongoing.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focus must now shift from isolated health interventions to integrated, inclusive, and affordable healthcare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SDG-3 is not merely about treating illness—it is about empowering humanity, safeguarding the future, and ensuring that no one is left behind in the pursuit of good health and well-being.</w:t>
      </w:r>
    </w:p>
    <w:p>
      <w:pPr>
        <w:spacing w:before="360" w:after="200"/>
      </w:pPr>
      <w:r>
        <w:rPr>
          <w:rFonts w:ascii="Cambria" w:hAnsi="Cambria" w:eastAsia="Cambria"/>
          <w:b/>
          <w:i w:val="0"/>
          <w:color w:val="1F3A5F"/>
          <w:sz w:val="32"/>
        </w:rPr>
        <w:t>24. A Global Commitment to Health, Well-Being, and Environmental Sustainability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Global Commitment to Eradicating Disease and Strengthening Healthcare: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Sustainable Development Goal 3 (SDG-3) represents a unified global effort to ensure that every individual, regardless of geography or income, can live a healthy and fulfilling life.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It calls upon nations to eliminate preventable diseases, improve treatment systems, and establish resilient healthcare infrastructures capable of addressing both ongoing and emerging health challenges.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This commitment also includes strengthening pandemic preparedness, expanding immunization coverage, and developing robust public health surveillance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Emphasis on Innovation and 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SDG-3 encourages countries to invest in health-related innovation, medical research, and biotechnology to accelerate the discovery of new drugs, vaccines, and diagnostics.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It promotes cross-border scientific collaboration for data sharing, telemedicine, AI-based health systems, and genetic research to enable global solutions for health disparities.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inclusion of research-based policies ensures that healthcare progress is evidence-driven, inclusive, and sustainable.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Universal Access and Affordability of Healthcare: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Achieving SDG-3 requires establishing universal health coverage (UHC), where all individuals have access to quality health services without suffering financial hardship.</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Affordable access to essential medicines and vaccines is a central pillar of this vision.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Governments are encouraged to expand public healthcare budgets, strengthen primary healthcare systems, and regulate medicine prices to ensure equity in treatment availability.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Holistic Approach to Well-Being: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SDG-3 envisions health beyond the absence of disease—it encompasses physical, mental, and social well-being.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It advocates for a comprehensive and preventive healthcare model, integrating nutrition, physical activity, and mental wellness into policy design and institutional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This holistic approach recognizes that sustainable health outcomes can only be achieved by addressing the social determinants of health, including education, environment, income, and gender equality.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on Mental Health and Suicide Prevention: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Mental health is an integral component of SDG-3, highlighting the urgency to address depression, anxiety, and psychological disorders among young people.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Suicide remains the second leading cause of death globally among individuals aged 19 to 25, revealing a critical gap in mental health care and awareness.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SDG-3 calls for national mental health programs, improved access to counselling services, and the destigmatization of mental illness through education and community engagement.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Addressing Environmental Determinants of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SDG-3 recognizes that human health is closely intertwined with environmental quality.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Air, water, and soil pollution contribute to millions of premature deaths each year through respiratory diseases, cancers, and contaminated food chains.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goal aims to reduce morbidity and mortality linked to environmental degradation by promoting clean air initiatives, safe drinking water systems, and sustainable waste management.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Integration of climate action (SDG-13) and clean energy (SDG-7) objectives ensures a coordinated response to the health impacts of environmental hazards.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Policy and Governance Implications: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Governments must adopt a whole-of-society approach—engaging academia, industry, and civil society—to design responsive health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National health policies should align with SDG-3 by incorporating innovation funding, public health education, and pollution-control frameworks.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Effective monitoring of progress requires data-driven evaluation, transparent reporting, and international collaboration under the WHO's global health agenda.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Conclusion: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SDG-3 stands as a transformative global agenda linking health, innovation, and environment.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It envisions a future where every person enjoys equal opportunities for health and happiness, supported by affordable care, scientific advancement, and environmental safety.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Achieving this goal by 2030 will not only reduce global suffering but also empower societies, drive productivity, and advance sustainable human development.</w:t>
      </w:r>
    </w:p>
    <w:p>
      <w:pPr>
        <w:spacing w:before="360" w:after="200"/>
      </w:pPr>
      <w:r>
        <w:rPr>
          <w:rFonts w:ascii="Cambria" w:hAnsi="Cambria" w:eastAsia="Cambria"/>
          <w:b/>
          <w:i w:val="0"/>
          <w:color w:val="1F3A5F"/>
          <w:sz w:val="32"/>
        </w:rPr>
        <w:t>25. UGC Initiatives through HEIs to Promote Global Health and Well-Being under SDG-3: The Role of Yoga and Mindfulness in Education</w:t>
      </w:r>
    </w:p>
    <w:p>
      <w:pPr>
        <w:spacing w:line="276" w:lineRule="auto" w:after="120"/>
      </w:pPr>
      <w:r>
        <w:rPr>
          <w:rFonts w:ascii="Cambria" w:hAnsi="Cambria" w:eastAsia="Cambria"/>
          <w:b w:val="0"/>
          <w:i w:val="0"/>
          <w:sz w:val="22"/>
        </w:rPr>
        <w:t>Integration of SDG-3 into Higher Education Policy: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University Grants Commission (UGC) has played a crucial role in aligning Higher Education Institutions (HEIs) across India with the objectives of Sustainable Development Goal 3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Recognizing that universities and colleges are centers of youth development, the UGC has initiated wellness-oriented programs that focus on both physical health and mental resilience.</w:t>
      </w:r>
    </w:p>
    <w:p>
      <w:pPr>
        <w:spacing w:line="276" w:lineRule="auto" w:after="120"/>
      </w:pPr>
      <w:r>
        <w:rPr>
          <w:rFonts w:ascii="Cambria" w:hAnsi="Cambria" w:eastAsia="Cambria"/>
          <w:b w:val="0"/>
          <w:i w:val="0"/>
          <w:sz w:val="22"/>
        </w:rPr>
        <w:t>Promotion of the International Day of Yoga (IDY):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Since 2015, the International Day of Yoga (June 21) has been observed annually across HEIs in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UGC has directed all institutions to organize yoga sessions and wellness campaigns to spread awareness about the importance of holistic health, mindfulness, and sustainable living.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Participation in the 45-minute Common Yoga Protocol (CYP) has become a standardized practice across universities, involving students, faculty, and administrative staff.</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activities are aimed at promoting discipline, balance, and unity of body and mind, reflecting India's traditional knowledge system in modern health education.</w:t>
      </w:r>
    </w:p>
    <w:p>
      <w:pPr>
        <w:spacing w:line="276" w:lineRule="auto" w:after="120"/>
      </w:pPr>
      <w:r>
        <w:rPr>
          <w:rFonts w:ascii="Cambria" w:hAnsi="Cambria" w:eastAsia="Cambria"/>
          <w:b w:val="0"/>
          <w:i w:val="0"/>
          <w:sz w:val="22"/>
        </w:rPr>
        <w:t>Adaptation During the COVID-19 Pandemic: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During the COVID-19 crisis, physical gatherings were restricted; hence, the UGC encouraged HEIs to observe the International Day of Yoga virtually.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theme "Be with Yoga, Be at Home" was introduced to inspire individuals to stay physically active and mentally calm while adhering to social distancing norms.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Yoga was promoted as a non-pharmacological preventive measure to boost immunity, respiratory health, and stress management during the pandemic.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organized online yoga demonstrations, webinars, and mental health sessions to ensure continuity of wellness education even in lockdown conditions.</w:t>
      </w:r>
    </w:p>
    <w:p>
      <w:pPr>
        <w:spacing w:line="276" w:lineRule="auto" w:after="120"/>
      </w:pPr>
      <w:r>
        <w:rPr>
          <w:rFonts w:ascii="Cambria" w:hAnsi="Cambria" w:eastAsia="Cambria"/>
          <w:b w:val="0"/>
          <w:i w:val="0"/>
          <w:sz w:val="22"/>
        </w:rPr>
        <w:t>UGC's Role in Wellness Advocacy: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UGC has recognized yoga as a scientifically validated tool for improving concentration, emotional stability, and overall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has encouraged institutions to integrate Yoga Studies, Meditation, and Wellness Education into their curricula as credit or co-curricular courses.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Faculty development programs on yoga and holistic education have been promoted to create wellness ambassadors within academia.</w:t>
      </w:r>
    </w:p>
    <w:p>
      <w:pPr>
        <w:spacing w:line="276" w:lineRule="auto" w:after="120"/>
      </w:pPr>
      <w:r>
        <w:rPr>
          <w:rFonts w:ascii="Cambria" w:hAnsi="Cambria" w:eastAsia="Cambria"/>
          <w:b w:val="0"/>
          <w:i w:val="0"/>
          <w:sz w:val="22"/>
        </w:rPr>
        <w:t>Linking Yoga with SDG-3 Targets: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UGC-led initiatives contribute directly to SDG-3 targets related to mental health promotion, prevention of non-communicable diseases, and public health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They also align with India's broader commitment to "Health for All" by combining traditional practices with contemporary health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these wellness initiatives, HEIs serve as community hubs for health literacy and preventive care, impacting not only students but also local populations.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awareness of holistic health practices among youth.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mental well-being and stress reduction in academic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community participation in health-promoting activities.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of ancient Indian wellness knowledge systems into global education frameworks.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UGC's initiatives, particularly the celebration of the International Day of Yoga and the promotion of the Common Yoga Protocol, reflect India's proactive efforts in achieving SDG-3 through higher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embedding yoga, mindfulness, and health education within HEIs, India is fostering a generation of students who value physical health, emotional stability, and global well-being — essential pillars of sustainable development.</w:t>
      </w:r>
    </w:p>
    <w:p>
      <w:pPr>
        <w:spacing w:before="360" w:after="200"/>
      </w:pPr>
      <w:r>
        <w:rPr>
          <w:rFonts w:ascii="Cambria" w:hAnsi="Cambria" w:eastAsia="Cambria"/>
          <w:b/>
          <w:i w:val="0"/>
          <w:color w:val="1F3A5F"/>
          <w:sz w:val="32"/>
        </w:rPr>
        <w:t>26. Government of India Initiatives through the Ministry of AYUSH and UGC to Promote Yoga, Naturopathy, and Traditional Medicine for Achieving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of Traditional Medicine with SDG-3:</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Government of India, through the Ministry of AYUSH (Ayurveda, Yoga, Unani, Siddha, and Homeopathy), has undertaken several initiatives to align with Sustainable Development Goal 3 (SDG-3): Good Health and Well-Being.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These initiatives emphasize the revival and modernization of traditional Indian medicine systems to promote preventive health, immunity, and holistic well-being across all sections of society.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of the "Namaste Yoga" Mobile Application: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Ministry of AYUSH, in collaboration with the Morarji Desai National Institute of Yoga (MDNIY), launched a dedicated smartphone application called "Namaste Yoga."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This digital platform aims to make yoga accessible, interactive, and inclusive, bridging the gap between modern technology and traditional wellness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app provides information on Common Yoga Protocol (CYP), guided videos, and personalized wellness tips to promote yoga among students, professionals, and the general public.</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initiative encourages daily yoga practice and community participation, reinforcing yoga as a tool for physical health and mental balance.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Public Awareness through Media Initiatives: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From June 14 to June 21, the Ministry of AYUSH organized a special broadcast series of ten episodes on DD India, highlighting different aspects of the Common Yoga Protocol (CYP).</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These episodes, aired at 7 p.m. daily, served as an educational and awareness platform leading up to the International Day of Yoga (June 21).</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initiative promoted mass participation and information dissemination on yoga's physical, mental, and spiritual benefits.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Recognition of Naturopathy and Yoga as Indian Systems of Medicine: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Ministry of AYUSH formally recognizes Naturopathy and Yoga as integral components of the Indian System of Medicine (ISM).</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These systems emphasize the natural healing process, focusing on diet, exercise, meditation, and lifestyle modification rather than pharmacological interventions.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growing global recognition of yoga and naturopathy signifies India's leadership in preventive healthcare, alternative medicine, and sustainable wellness.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Expansion of Academic Programs by UGC:</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promote traditional medicine education and integrate it into higher learning, the University Grants Commission (UGC), with approval from the Central Government, introduced new degree programs in AYUSH disciplines.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These include: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Master of Ayurved in Medicine and Surgery (MSAM) –</w:t>
      </w:r>
      <w:r>
        <w:rPr>
          <w:rFonts w:ascii="Cambria" w:hAnsi="Cambria" w:eastAsia="Cambria"/>
          <w:b w:val="0"/>
          <w:i w:val="0"/>
          <w:sz w:val="22"/>
        </w:rPr>
        <w:t xml:space="preserve"> focusing on advanced Ayurvedic diagnosis and treatment methodologies.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Bachelor of Ayurved in Pharmacy (B.Pharm Ayu.) –</w:t>
      </w:r>
      <w:r>
        <w:rPr>
          <w:rFonts w:ascii="Cambria" w:hAnsi="Cambria" w:eastAsia="Cambria"/>
          <w:b w:val="0"/>
          <w:i w:val="0"/>
          <w:sz w:val="22"/>
        </w:rPr>
        <w:t xml:space="preserve"> emphasizing Ayurvedic drug formulation, pharmacognosy, and quality assurance.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i w:val="0"/>
          <w:sz w:val="22"/>
        </w:rPr>
        <w:t>Bachelor of Ayurved in Naturopathy (B.Nat. Ayu.) –</w:t>
      </w:r>
      <w:r>
        <w:rPr>
          <w:rFonts w:ascii="Cambria" w:hAnsi="Cambria" w:eastAsia="Cambria"/>
          <w:b w:val="0"/>
          <w:i w:val="0"/>
          <w:sz w:val="22"/>
        </w:rPr>
        <w:t xml:space="preserve"> combining Ayurvedic principles with naturopathic therapies for integrative health practice.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courses are designed to build a qualified workforce of Ayurvedic physicians, pharmacists, and naturopaths, contributing to India's holistic health mission.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Global Expansion and Recognition: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AYUSH systems are gaining international acceptance due to their effectiveness, affordability, and focus on preventive 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Several countries now collaborate with India for training, research, and joint wellness programs under the AYUSH umbrella.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"Namaste Yoga" initiative complements India's global wellness diplomacy, positioning the nation as a leader in health sustainability and traditional medicine.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Alignment with SDG-3 Targets: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These initiatives contribute directly to SDG-3 by: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Promoting preventive health and wellness literacy.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Expanding access to traditional, affordable, and sustainable healthcare.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Supporting research and innovation in traditional medicine.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Building institutional capacity through education, awareness, and digital outreach.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Conclusion: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combined efforts of the Ministry of AYUSH and UGC signify India's integrated approach toward achieving SDG-3 through health education, traditional knowledge, and digital empowerment.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By institutionalizing yoga, naturopathy, and Ayurveda within higher education and technology-driven outreach, India is fostering global wellness, preventive care, and sustainable health systems for future generations.</w:t>
      </w:r>
    </w:p>
    <w:p>
      <w:pPr>
        <w:spacing w:before="360" w:after="200"/>
      </w:pPr>
      <w:r>
        <w:rPr>
          <w:rFonts w:ascii="Cambria" w:hAnsi="Cambria" w:eastAsia="Cambria"/>
          <w:b/>
          <w:i w:val="0"/>
          <w:color w:val="1F3A5F"/>
          <w:sz w:val="32"/>
        </w:rPr>
        <w:t>27. Global Academic Contributions to SDG-3: The University of Manchester's Research and Community Health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Addressing Environmental Health Challenges through 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Department of Earth and Environmental Sciences at The University of Manchester has undertaken significant research to address the health risks associated with groundwater contamination, particularly arsenic exposure.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 several regions of Asia, including India and Bangladesh, groundwater used for irrigation and drinking contains high concentrations of arsenic and other toxic chemicals, leading to severe health problems such as cancer, cardiovascular diseases, and developmental disorders.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Manchester research team identified rice as a major exposure pathway for inorganic arsenic, as the crop readily absorbs the element when irrigated with contaminated groundwater.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study also revealed that microbial activity in the soil and sediment layers—such as sand and silt—can further release arsenic compounds, increasing their bioavailability to crops.</w:t>
      </w:r>
    </w:p>
    <w:p>
      <w:pPr>
        <w:spacing w:line="276" w:lineRule="auto" w:after="120"/>
      </w:pPr>
      <w:r>
        <w:rPr>
          <w:rFonts w:ascii="Cambria" w:hAnsi="Cambria" w:eastAsia="Cambria"/>
          <w:b w:val="0"/>
          <w:i w:val="0"/>
          <w:sz w:val="22"/>
        </w:rPr>
        <w:t>Research-Based Recommendations for Public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findings led to evidence-based recommendations focusing on safe rice cultivation and consumption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Suggested interventions included:</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Promoting the use of low-arsenic rice varieties and safe irrigation sources.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Encouraging specific rice preparation methods, such as parboiling or rinsing, to reduce arsenic content in cooked rice.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Raising awareness among farmers about the risks of groundwater irrigation in arsenic-prone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research outcomes contribute directly to SDG-3 targets on reducing illness from hazardous chemicals and environmental pollution, as well as SDG-6 (Clean Water and Sanitation) through better water management practices.</w:t>
      </w:r>
    </w:p>
    <w:p>
      <w:pPr>
        <w:spacing w:line="276" w:lineRule="auto" w:after="120"/>
      </w:pPr>
      <w:r>
        <w:rPr>
          <w:rFonts w:ascii="Cambria" w:hAnsi="Cambria" w:eastAsia="Cambria"/>
          <w:b w:val="0"/>
          <w:i w:val="0"/>
          <w:sz w:val="22"/>
        </w:rPr>
        <w:t>Capacity Building and Public Health Training in Indonesia: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University of Manchester also extended its global engagement through community-based health initiatives in Indonesia.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multidisciplinary team conducted training programs for local health workers focused on cardiovascular disease prevention, risk factor management, and digital health literacy.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project introduced the use of a mobile health application called SMART Health, a digital tool designed to support the screening, diagnosis, and monitoring of cardiovascular conditions in underserved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this program, 48,000 people benefited from improved access to healthcare information and preventive screening.</w:t>
      </w:r>
    </w:p>
    <w:p>
      <w:pPr>
        <w:spacing w:line="276" w:lineRule="auto" w:after="120"/>
      </w:pPr>
      <w:r>
        <w:rPr>
          <w:rFonts w:ascii="Cambria" w:hAnsi="Cambria" w:eastAsia="Cambria"/>
          <w:b w:val="0"/>
          <w:i w:val="0"/>
          <w:sz w:val="22"/>
        </w:rPr>
        <w:t>Innovation through Digital Health Solutions: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SMART Health app provided real-time data collection and analysis, enabling healthcare workers to make informed decisions about patient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digital innovation enhanced the efficiency of community health outreach, strengthened early detection systems, and supported continuity of care in rural and low-resource settings.</w:t>
      </w:r>
    </w:p>
    <w:p>
      <w:pPr>
        <w:spacing w:before="360" w:after="200"/>
      </w:pPr>
      <w:r>
        <w:rPr>
          <w:rFonts w:ascii="Cambria" w:hAnsi="Cambria" w:eastAsia="Cambria"/>
          <w:b/>
          <w:i w:val="0"/>
          <w:color w:val="1F3A5F"/>
          <w:sz w:val="32"/>
        </w:rPr>
        <w:t>28. Promoting SDG Awareness through MOOCs: A Fast-Track Approach for HEIs to Implement Sustainable Development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Introduction to MOOCs and SDG Implementation: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One of the most effective and accessible ways for Higher Education Institutions (HEIs) to begin their journey toward Sustainable Development Goal (SDG) implementation is through the creation and delivery of Massive Open Online Courses (MOOCs).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MOOCs serve as a digital bridge connecting global learners with quality education on sustainability, enabling universities to integrate SDG literacy, research, and innovation into mainstream teaching.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Role of MOOCs in Advancing SDGs: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MOOCs democratize education by offering open-access, self-paced learning opportunities to individuals across geographical and socio-economic boundaries.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By designing courses aligned with the 17 SDGs, HEIs can promote awareness, research, and skill development on critical global issues such as health, gender equality, climate change, clean energy, and responsible consumption.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MOOCs support lifelong learning (SDG-4) while also reinforcing interconnected goals like SDG-3 (Health), SDG-5 (Gender Equality), and SDG-13 (Climate Action).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Global and National Initiatives: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Several UN-sponsored and university-led platforms have already launched MOOCs dedicated to sustainability and global citizenship.</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Platforms such as UN CC:Learn, UNESCO Open Learning, Coursera, edX, SWAYAM (India), and FutureLearn host specialized courses that cover topics including: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Introduction to the Sustainable Development Goals (United Nations)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Science and Practice of Sustainable Development (SDG Academy)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Environmental Sustainability and Policy (UNDP &amp; edX)</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These initiatives are designed to equip learners, educators, and policymakers with the tools to translate SDG principles into actionable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Advantages of MOOCs for HEIs: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Enable rapid scalability and outreach, allowing HEIs to reach thousands of learners globally.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Facilitate interdisciplinary teaching by integrating sustainability topics across engineering, health, management, and social sciences.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 international collaborations through co-creation of courses with global universities and UN agencies.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student engagement in SDG-driven research and projects, fostering experiential learning.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visibility and reputation enhancement for HEIs contributing to global sustainability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Implementation Strategy for HEIs: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an SDG Online Learning Cell within the university to coordinate course design and partnerships.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Identify faculty experts to develop short-term and micro-credential MOOCs on topics related to national and global SDG priorities.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case studies, field data, and regional challenges into MOOC content for local relevance.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platforms like SWAYAM, Coursera for Campus, or UNESCO-UNITWIN networks for hosting and certification.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Track and report learner participation as part of the institution's SDG impact assessment framework.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Expected Outcomes: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Enhanced SDG literacy among students, faculty, and the wider public.</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Strengthened research linkages and innovation ecosystems aligned with sustainability.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Increased international recognition of HEIs for contributing to global educational missions.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Creation of a knowledge-driven culture of sustainable development within and beyond the institution.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Conclusion: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MOOCs offer a transformative, low-cost, and globally scalable pathway for HEIs to contribute meaningfully to the United Nations 2030 Agenda.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By embracing digital learning, universities can educate, inspire, and empower the next generation of global citizens, accelerating collective progress toward achieving the Sustainable Development Goals (SDGs).</w:t>
      </w:r>
    </w:p>
    <w:p>
      <w:pPr>
        <w:spacing w:line="276" w:lineRule="auto" w:after="120"/>
      </w:pPr>
      <w:r>
        <w:rPr>
          <w:rFonts w:ascii="Cambria" w:hAnsi="Cambria" w:eastAsia="Cambria"/>
          <w:b w:val="0"/>
          <w:i w:val="0"/>
          <w:sz w:val="22"/>
        </w:rPr>
        <w:t>List of MOOCs Related to SDGs Offered by Various Higher Education Institutions and UN-Sponsored Platforms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following table presents Massive Open Online Courses (MOOCs) aligned with the Sustainable Development Goals (SDGs), offered by leading global universities and organizations in collaboration with international learning platforms such as Coursera, edX, and FutureLearn.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courses aim to enhance global literacy on health, sustainability, and well-being, thereby contributing directly to SDG-3 (Good Health and Well-Being) and other related goals.</w:t>
      </w:r>
    </w:p>
    <w:tbl>
      <w:tblPr>
        <w:tblW w:type="auto" w:w="0"/>
        <w:jc w:val="center"/>
        <w:tblLook w:firstColumn="1" w:firstRow="1" w:lastColumn="0" w:lastRow="0" w:noHBand="0" w:noVBand="1" w:val="04A0"/>
        <w:tblLayout w:type="fixed"/>
      </w:tblPr>
      <w:tblGrid>
        <w:gridCol w:w="3118"/>
        <w:gridCol w:w="2268"/>
        <w:gridCol w:w="1417"/>
        <w:gridCol w:w="2551"/>
      </w:tblGrid>
      <w:tr>
        <w:tc>
          <w:tcPr>
            <w:tcW w:type="dxa" w:w="3118"/>
            <w:shd w:val="clear" w:color="auto" w:fill="1F3A5F"/>
            <w:tcW w:w="3118" w:type="dxa"/>
          </w:tcPr>
          <w:p>
            <w:r>
              <w:rPr>
                <w:rFonts w:ascii="Cambria" w:hAnsi="Cambria" w:eastAsia="Cambria"/>
                <w:b/>
                <w:i w:val="0"/>
                <w:color w:val="FFFFFF"/>
                <w:sz w:val="22"/>
              </w:rPr>
              <w:t>Course Title</w:t>
            </w:r>
          </w:p>
        </w:tc>
        <w:tc>
          <w:tcPr>
            <w:tcW w:type="dxa" w:w="2268"/>
            <w:shd w:val="clear" w:color="auto" w:fill="1F3A5F"/>
            <w:tcW w:w="2268" w:type="dxa"/>
          </w:tcPr>
          <w:p>
            <w:r>
              <w:rPr>
                <w:rFonts w:ascii="Cambria" w:hAnsi="Cambria" w:eastAsia="Cambria"/>
                <w:b/>
                <w:i w:val="0"/>
                <w:color w:val="FFFFFF"/>
                <w:sz w:val="22"/>
              </w:rPr>
              <w:t>SDG Focus</w:t>
            </w:r>
          </w:p>
        </w:tc>
        <w:tc>
          <w:tcPr>
            <w:tcW w:type="dxa" w:w="1417"/>
            <w:shd w:val="clear" w:color="auto" w:fill="1F3A5F"/>
            <w:tcW w:w="1417" w:type="dxa"/>
          </w:tcPr>
          <w:p>
            <w:r>
              <w:rPr>
                <w:rFonts w:ascii="Cambria" w:hAnsi="Cambria" w:eastAsia="Cambria"/>
                <w:b/>
                <w:i w:val="0"/>
                <w:color w:val="FFFFFF"/>
                <w:sz w:val="22"/>
              </w:rPr>
              <w:t>Platform</w:t>
            </w:r>
          </w:p>
        </w:tc>
        <w:tc>
          <w:tcPr>
            <w:tcW w:type="dxa" w:w="2551"/>
            <w:shd w:val="clear" w:color="auto" w:fill="1F3A5F"/>
            <w:tcW w:w="2551" w:type="dxa"/>
          </w:tcPr>
          <w:p>
            <w:r>
              <w:rPr>
                <w:rFonts w:ascii="Cambria" w:hAnsi="Cambria" w:eastAsia="Cambria"/>
                <w:b/>
                <w:i w:val="0"/>
                <w:color w:val="FFFFFF"/>
                <w:sz w:val="22"/>
              </w:rPr>
              <w:t>Sponsoring Institution / Organization</w:t>
            </w:r>
          </w:p>
        </w:tc>
      </w:tr>
      <w:tr>
        <w:tc>
          <w:tcPr>
            <w:tcW w:type="dxa" w:w="3118"/>
            <w:tcW w:w="3118" w:type="dxa"/>
          </w:tcPr>
          <w:p>
            <w:r>
              <w:rPr>
                <w:rFonts w:ascii="Cambria" w:hAnsi="Cambria" w:eastAsia="Cambria"/>
                <w:b w:val="0"/>
                <w:i w:val="0"/>
                <w:sz w:val="22"/>
              </w:rPr>
              <w:t>Driving Business Toward Sustainable Development Goals</w:t>
            </w:r>
          </w:p>
        </w:tc>
        <w:tc>
          <w:tcPr>
            <w:tcW w:type="dxa" w:w="2268"/>
            <w:tcW w:w="2268" w:type="dxa"/>
          </w:tcPr>
          <w:p>
            <w:r>
              <w:rPr>
                <w:rFonts w:ascii="Cambria" w:hAnsi="Cambria" w:eastAsia="Cambria"/>
                <w:b w:val="0"/>
                <w:i w:val="0"/>
                <w:sz w:val="22"/>
              </w:rPr>
              <w:t>Generic (All SDGs)</w:t>
            </w:r>
          </w:p>
        </w:tc>
        <w:tc>
          <w:tcPr>
            <w:tcW w:type="dxa" w:w="1417"/>
            <w:tcW w:w="1417" w:type="dxa"/>
          </w:tcPr>
          <w:p>
            <w:r>
              <w:rPr>
                <w:rFonts w:ascii="Cambria" w:hAnsi="Cambria" w:eastAsia="Cambria"/>
                <w:b w:val="0"/>
                <w:i w:val="0"/>
                <w:sz w:val="22"/>
              </w:rPr>
              <w:t>Coursera</w:t>
            </w:r>
          </w:p>
        </w:tc>
        <w:tc>
          <w:tcPr>
            <w:tcW w:type="dxa" w:w="2551"/>
            <w:tcW w:w="2551" w:type="dxa"/>
          </w:tcPr>
          <w:p>
            <w:r>
              <w:rPr>
                <w:rFonts w:ascii="Cambria" w:hAnsi="Cambria" w:eastAsia="Cambria"/>
                <w:b w:val="0"/>
                <w:i w:val="0"/>
                <w:sz w:val="22"/>
              </w:rPr>
              <w:t>Erasmus University Rotterdam</w:t>
            </w:r>
          </w:p>
        </w:tc>
      </w:tr>
      <w:tr>
        <w:tc>
          <w:tcPr>
            <w:tcW w:type="dxa" w:w="3118"/>
            <w:shd w:val="clear" w:color="auto" w:fill="DCE6F1"/>
            <w:tcW w:w="3118" w:type="dxa"/>
          </w:tcPr>
          <w:p>
            <w:r>
              <w:rPr>
                <w:rFonts w:ascii="Cambria" w:hAnsi="Cambria" w:eastAsia="Cambria"/>
                <w:b w:val="0"/>
                <w:i w:val="0"/>
                <w:sz w:val="22"/>
              </w:rPr>
              <w:t>Introduction to Yoga and Physiology</w:t>
            </w:r>
          </w:p>
        </w:tc>
        <w:tc>
          <w:tcPr>
            <w:tcW w:type="dxa" w:w="2268"/>
            <w:shd w:val="clear" w:color="auto" w:fill="DCE6F1"/>
            <w:tcW w:w="2268" w:type="dxa"/>
          </w:tcPr>
          <w:p>
            <w:r>
              <w:rPr>
                <w:rFonts w:ascii="Cambria" w:hAnsi="Cambria" w:eastAsia="Cambria"/>
                <w:b w:val="0"/>
                <w:i w:val="0"/>
                <w:sz w:val="22"/>
              </w:rPr>
              <w:t>Generic (Health &amp; Lifestyle)</w:t>
            </w:r>
          </w:p>
        </w:tc>
        <w:tc>
          <w:tcPr>
            <w:tcW w:type="dxa" w:w="1417"/>
            <w:shd w:val="clear" w:color="auto" w:fill="DCE6F1"/>
            <w:tcW w:w="1417" w:type="dxa"/>
          </w:tcPr>
          <w:p>
            <w:r>
              <w:rPr>
                <w:rFonts w:ascii="Cambria" w:hAnsi="Cambria" w:eastAsia="Cambria"/>
                <w:b w:val="0"/>
                <w:i w:val="0"/>
                <w:sz w:val="22"/>
              </w:rPr>
              <w:t>Coursera</w:t>
            </w:r>
          </w:p>
        </w:tc>
        <w:tc>
          <w:tcPr>
            <w:tcW w:type="dxa" w:w="2551"/>
            <w:shd w:val="clear" w:color="auto" w:fill="DCE6F1"/>
            <w:tcW w:w="2551" w:type="dxa"/>
          </w:tcPr>
          <w:p>
            <w:r>
              <w:rPr>
                <w:rFonts w:ascii="Cambria" w:hAnsi="Cambria" w:eastAsia="Cambria"/>
                <w:b w:val="0"/>
                <w:i w:val="0"/>
                <w:sz w:val="22"/>
              </w:rPr>
              <w:t>New York University</w:t>
            </w:r>
          </w:p>
        </w:tc>
      </w:tr>
      <w:tr>
        <w:tc>
          <w:tcPr>
            <w:tcW w:type="dxa" w:w="3118"/>
            <w:tcW w:w="3118" w:type="dxa"/>
          </w:tcPr>
          <w:p>
            <w:r>
              <w:rPr>
                <w:rFonts w:ascii="Cambria" w:hAnsi="Cambria" w:eastAsia="Cambria"/>
                <w:b w:val="0"/>
                <w:i w:val="0"/>
                <w:sz w:val="22"/>
              </w:rPr>
              <w:t>Health, Society, and Wellness in COVID-19 Times</w:t>
            </w:r>
          </w:p>
        </w:tc>
        <w:tc>
          <w:tcPr>
            <w:tcW w:type="dxa" w:w="2268"/>
            <w:tcW w:w="2268" w:type="dxa"/>
          </w:tcPr>
          <w:p>
            <w:r>
              <w:rPr>
                <w:rFonts w:ascii="Cambria" w:hAnsi="Cambria" w:eastAsia="Cambria"/>
                <w:b w:val="0"/>
                <w:i w:val="0"/>
                <w:sz w:val="22"/>
              </w:rPr>
              <w:t>SDG-3: Good Health and Well-Being</w:t>
            </w:r>
          </w:p>
        </w:tc>
        <w:tc>
          <w:tcPr>
            <w:tcW w:type="dxa" w:w="1417"/>
            <w:tcW w:w="1417" w:type="dxa"/>
          </w:tcPr>
          <w:p>
            <w:r>
              <w:rPr>
                <w:rFonts w:ascii="Cambria" w:hAnsi="Cambria" w:eastAsia="Cambria"/>
                <w:b w:val="0"/>
                <w:i w:val="0"/>
                <w:sz w:val="22"/>
              </w:rPr>
              <w:t>Coursera</w:t>
            </w:r>
          </w:p>
        </w:tc>
        <w:tc>
          <w:tcPr>
            <w:tcW w:type="dxa" w:w="2551"/>
            <w:tcW w:w="2551" w:type="dxa"/>
          </w:tcPr>
          <w:p>
            <w:r>
              <w:rPr>
                <w:rFonts w:ascii="Cambria" w:hAnsi="Cambria" w:eastAsia="Cambria"/>
                <w:b w:val="0"/>
                <w:i w:val="0"/>
                <w:sz w:val="22"/>
              </w:rPr>
              <w:t>University of Colorado, Boulder</w:t>
            </w:r>
          </w:p>
        </w:tc>
      </w:tr>
      <w:tr>
        <w:tc>
          <w:tcPr>
            <w:tcW w:type="dxa" w:w="3118"/>
            <w:shd w:val="clear" w:color="auto" w:fill="DCE6F1"/>
            <w:tcW w:w="3118" w:type="dxa"/>
          </w:tcPr>
          <w:p>
            <w:r>
              <w:rPr>
                <w:rFonts w:ascii="Cambria" w:hAnsi="Cambria" w:eastAsia="Cambria"/>
                <w:b w:val="0"/>
                <w:i w:val="0"/>
                <w:sz w:val="22"/>
              </w:rPr>
              <w:t>The Science of Well-Being</w:t>
            </w:r>
          </w:p>
        </w:tc>
        <w:tc>
          <w:tcPr>
            <w:tcW w:type="dxa" w:w="2268"/>
            <w:shd w:val="clear" w:color="auto" w:fill="DCE6F1"/>
            <w:tcW w:w="2268" w:type="dxa"/>
          </w:tcPr>
          <w:p>
            <w:r>
              <w:rPr>
                <w:rFonts w:ascii="Cambria" w:hAnsi="Cambria" w:eastAsia="Cambria"/>
                <w:b w:val="0"/>
                <w:i w:val="0"/>
                <w:sz w:val="22"/>
              </w:rPr>
              <w:t>SDG-3: Good Health and Well-Being</w:t>
            </w:r>
          </w:p>
        </w:tc>
        <w:tc>
          <w:tcPr>
            <w:tcW w:type="dxa" w:w="1417"/>
            <w:shd w:val="clear" w:color="auto" w:fill="DCE6F1"/>
            <w:tcW w:w="1417" w:type="dxa"/>
          </w:tcPr>
          <w:p>
            <w:r>
              <w:rPr>
                <w:rFonts w:ascii="Cambria" w:hAnsi="Cambria" w:eastAsia="Cambria"/>
                <w:b w:val="0"/>
                <w:i w:val="0"/>
                <w:sz w:val="22"/>
              </w:rPr>
              <w:t>Coursera</w:t>
            </w:r>
          </w:p>
        </w:tc>
        <w:tc>
          <w:tcPr>
            <w:tcW w:type="dxa" w:w="2551"/>
            <w:shd w:val="clear" w:color="auto" w:fill="DCE6F1"/>
            <w:tcW w:w="2551" w:type="dxa"/>
          </w:tcPr>
          <w:p>
            <w:r>
              <w:rPr>
                <w:rFonts w:ascii="Cambria" w:hAnsi="Cambria" w:eastAsia="Cambria"/>
                <w:b w:val="0"/>
                <w:i w:val="0"/>
                <w:sz w:val="22"/>
              </w:rPr>
              <w:t>Yale University</w:t>
            </w:r>
          </w:p>
        </w:tc>
      </w:tr>
      <w:tr>
        <w:tc>
          <w:tcPr>
            <w:tcW w:type="dxa" w:w="3118"/>
            <w:tcW w:w="3118" w:type="dxa"/>
          </w:tcPr>
          <w:p>
            <w:r>
              <w:rPr>
                <w:rFonts w:ascii="Cambria" w:hAnsi="Cambria" w:eastAsia="Cambria"/>
                <w:b w:val="0"/>
                <w:i w:val="0"/>
                <w:sz w:val="22"/>
              </w:rPr>
              <w:t>Mindfulness and Well-Being</w:t>
            </w:r>
          </w:p>
        </w:tc>
        <w:tc>
          <w:tcPr>
            <w:tcW w:type="dxa" w:w="2268"/>
            <w:tcW w:w="2268" w:type="dxa"/>
          </w:tcPr>
          <w:p>
            <w:r>
              <w:rPr>
                <w:rFonts w:ascii="Cambria" w:hAnsi="Cambria" w:eastAsia="Cambria"/>
                <w:b w:val="0"/>
                <w:i w:val="0"/>
                <w:sz w:val="22"/>
              </w:rPr>
              <w:t>SDG-3: Good Health and Well-Being</w:t>
            </w:r>
          </w:p>
        </w:tc>
        <w:tc>
          <w:tcPr>
            <w:tcW w:type="dxa" w:w="1417"/>
            <w:tcW w:w="1417" w:type="dxa"/>
          </w:tcPr>
          <w:p>
            <w:r>
              <w:rPr>
                <w:rFonts w:ascii="Cambria" w:hAnsi="Cambria" w:eastAsia="Cambria"/>
                <w:b w:val="0"/>
                <w:i w:val="0"/>
                <w:sz w:val="22"/>
              </w:rPr>
              <w:t>Coursera</w:t>
            </w:r>
          </w:p>
        </w:tc>
        <w:tc>
          <w:tcPr>
            <w:tcW w:type="dxa" w:w="2551"/>
            <w:tcW w:w="2551" w:type="dxa"/>
          </w:tcPr>
          <w:p>
            <w:r>
              <w:rPr>
                <w:rFonts w:ascii="Cambria" w:hAnsi="Cambria" w:eastAsia="Cambria"/>
                <w:b w:val="0"/>
                <w:i w:val="0"/>
                <w:sz w:val="22"/>
              </w:rPr>
              <w:t>Rice University</w:t>
            </w:r>
          </w:p>
        </w:tc>
      </w:tr>
      <w:tr>
        <w:tc>
          <w:tcPr>
            <w:tcW w:type="dxa" w:w="3118"/>
            <w:shd w:val="clear" w:color="auto" w:fill="DCE6F1"/>
            <w:tcW w:w="3118" w:type="dxa"/>
          </w:tcPr>
          <w:p>
            <w:r>
              <w:rPr>
                <w:rFonts w:ascii="Cambria" w:hAnsi="Cambria" w:eastAsia="Cambria"/>
                <w:b w:val="0"/>
                <w:i w:val="0"/>
                <w:sz w:val="22"/>
              </w:rPr>
              <w:t>Age of Sustainable Development</w:t>
            </w:r>
          </w:p>
        </w:tc>
        <w:tc>
          <w:tcPr>
            <w:tcW w:type="dxa" w:w="2268"/>
            <w:shd w:val="clear" w:color="auto" w:fill="DCE6F1"/>
            <w:tcW w:w="2268" w:type="dxa"/>
          </w:tcPr>
          <w:p>
            <w:r>
              <w:rPr>
                <w:rFonts w:ascii="Cambria" w:hAnsi="Cambria" w:eastAsia="Cambria"/>
                <w:b w:val="0"/>
                <w:i w:val="0"/>
                <w:sz w:val="22"/>
              </w:rPr>
              <w:t>Generic (All SDGs)</w:t>
            </w:r>
          </w:p>
        </w:tc>
        <w:tc>
          <w:tcPr>
            <w:tcW w:type="dxa" w:w="1417"/>
            <w:shd w:val="clear" w:color="auto" w:fill="DCE6F1"/>
            <w:tcW w:w="1417" w:type="dxa"/>
          </w:tcPr>
          <w:p>
            <w:r>
              <w:rPr>
                <w:rFonts w:ascii="Cambria" w:hAnsi="Cambria" w:eastAsia="Cambria"/>
                <w:b w:val="0"/>
                <w:i w:val="0"/>
                <w:sz w:val="22"/>
              </w:rPr>
              <w:t>edX</w:t>
            </w:r>
          </w:p>
        </w:tc>
        <w:tc>
          <w:tcPr>
            <w:tcW w:type="dxa" w:w="2551"/>
            <w:shd w:val="clear" w:color="auto" w:fill="DCE6F1"/>
            <w:tcW w:w="2551" w:type="dxa"/>
          </w:tcPr>
          <w:p>
            <w:r>
              <w:rPr>
                <w:rFonts w:ascii="Cambria" w:hAnsi="Cambria" w:eastAsia="Cambria"/>
                <w:b w:val="0"/>
                <w:i w:val="0"/>
                <w:sz w:val="22"/>
              </w:rPr>
              <w:t>SDG Academy</w:t>
            </w:r>
          </w:p>
        </w:tc>
      </w:tr>
      <w:tr>
        <w:tc>
          <w:tcPr>
            <w:tcW w:type="dxa" w:w="3118"/>
            <w:tcW w:w="3118" w:type="dxa"/>
          </w:tcPr>
          <w:p>
            <w:r>
              <w:rPr>
                <w:rFonts w:ascii="Cambria" w:hAnsi="Cambria" w:eastAsia="Cambria"/>
                <w:b w:val="0"/>
                <w:i w:val="0"/>
                <w:sz w:val="22"/>
              </w:rPr>
              <w:t>Sustainability and Development</w:t>
            </w:r>
          </w:p>
        </w:tc>
        <w:tc>
          <w:tcPr>
            <w:tcW w:type="dxa" w:w="2268"/>
            <w:tcW w:w="2268" w:type="dxa"/>
          </w:tcPr>
          <w:p>
            <w:r>
              <w:rPr>
                <w:rFonts w:ascii="Cambria" w:hAnsi="Cambria" w:eastAsia="Cambria"/>
                <w:b w:val="0"/>
                <w:i w:val="0"/>
                <w:sz w:val="22"/>
              </w:rPr>
              <w:t>Generic (Sustainability &amp; Policy)</w:t>
            </w:r>
          </w:p>
        </w:tc>
        <w:tc>
          <w:tcPr>
            <w:tcW w:type="dxa" w:w="1417"/>
            <w:tcW w:w="1417" w:type="dxa"/>
          </w:tcPr>
          <w:p>
            <w:r>
              <w:rPr>
                <w:rFonts w:ascii="Cambria" w:hAnsi="Cambria" w:eastAsia="Cambria"/>
                <w:b w:val="0"/>
                <w:i w:val="0"/>
                <w:sz w:val="22"/>
              </w:rPr>
              <w:t>FutureLearn</w:t>
            </w:r>
          </w:p>
        </w:tc>
        <w:tc>
          <w:tcPr>
            <w:tcW w:type="dxa" w:w="2551"/>
            <w:tcW w:w="2551" w:type="dxa"/>
          </w:tcPr>
          <w:p>
            <w:r>
              <w:rPr>
                <w:rFonts w:ascii="Cambria" w:hAnsi="Cambria" w:eastAsia="Cambria"/>
                <w:b w:val="0"/>
                <w:i w:val="0"/>
                <w:sz w:val="22"/>
              </w:rPr>
              <w:t>Hanken School of Economics</w:t>
            </w:r>
          </w:p>
        </w:tc>
      </w:tr>
      <w:tr>
        <w:tc>
          <w:tcPr>
            <w:tcW w:type="dxa" w:w="3118"/>
            <w:shd w:val="clear" w:color="auto" w:fill="DCE6F1"/>
            <w:tcW w:w="3118" w:type="dxa"/>
          </w:tcPr>
          <w:p>
            <w:r>
              <w:rPr>
                <w:rFonts w:ascii="Cambria" w:hAnsi="Cambria" w:eastAsia="Cambria"/>
                <w:b w:val="0"/>
                <w:i w:val="0"/>
                <w:sz w:val="22"/>
              </w:rPr>
              <w:t>The Challenges of Global Health</w:t>
            </w:r>
          </w:p>
        </w:tc>
        <w:tc>
          <w:tcPr>
            <w:tcW w:type="dxa" w:w="2268"/>
            <w:shd w:val="clear" w:color="auto" w:fill="DCE6F1"/>
            <w:tcW w:w="2268" w:type="dxa"/>
          </w:tcPr>
          <w:p>
            <w:r>
              <w:rPr>
                <w:rFonts w:ascii="Cambria" w:hAnsi="Cambria" w:eastAsia="Cambria"/>
                <w:b w:val="0"/>
                <w:i w:val="0"/>
                <w:sz w:val="22"/>
              </w:rPr>
              <w:t>SDG-3: Good Health and Well-Being</w:t>
            </w:r>
          </w:p>
        </w:tc>
        <w:tc>
          <w:tcPr>
            <w:tcW w:type="dxa" w:w="1417"/>
            <w:shd w:val="clear" w:color="auto" w:fill="DCE6F1"/>
            <w:tcW w:w="1417" w:type="dxa"/>
          </w:tcPr>
          <w:p>
            <w:r>
              <w:rPr>
                <w:rFonts w:ascii="Cambria" w:hAnsi="Cambria" w:eastAsia="Cambria"/>
                <w:b w:val="0"/>
                <w:i w:val="0"/>
                <w:sz w:val="22"/>
              </w:rPr>
              <w:t>Coursera</w:t>
            </w:r>
          </w:p>
        </w:tc>
        <w:tc>
          <w:tcPr>
            <w:tcW w:type="dxa" w:w="2551"/>
            <w:shd w:val="clear" w:color="auto" w:fill="DCE6F1"/>
            <w:tcW w:w="2551" w:type="dxa"/>
          </w:tcPr>
          <w:p>
            <w:r>
              <w:rPr>
                <w:rFonts w:ascii="Cambria" w:hAnsi="Cambria" w:eastAsia="Cambria"/>
                <w:b w:val="0"/>
                <w:i w:val="0"/>
                <w:sz w:val="22"/>
              </w:rPr>
              <w:t>Duke University</w:t>
            </w:r>
          </w:p>
        </w:tc>
      </w:tr>
      <w:tr>
        <w:tc>
          <w:tcPr>
            <w:tcW w:type="dxa" w:w="3118"/>
            <w:tcW w:w="3118" w:type="dxa"/>
          </w:tcPr>
          <w:p>
            <w:r>
              <w:rPr>
                <w:rFonts w:ascii="Cambria" w:hAnsi="Cambria" w:eastAsia="Cambria"/>
                <w:b w:val="0"/>
                <w:i w:val="0"/>
                <w:sz w:val="22"/>
              </w:rPr>
              <w:t>Health and Society</w:t>
            </w:r>
          </w:p>
        </w:tc>
        <w:tc>
          <w:tcPr>
            <w:tcW w:type="dxa" w:w="2268"/>
            <w:tcW w:w="2268" w:type="dxa"/>
          </w:tcPr>
          <w:p>
            <w:r>
              <w:rPr>
                <w:rFonts w:ascii="Cambria" w:hAnsi="Cambria" w:eastAsia="Cambria"/>
                <w:b w:val="0"/>
                <w:i w:val="0"/>
                <w:sz w:val="22"/>
              </w:rPr>
              <w:t>SDG-3: Good Health and Well-Being</w:t>
            </w:r>
          </w:p>
        </w:tc>
        <w:tc>
          <w:tcPr>
            <w:tcW w:type="dxa" w:w="1417"/>
            <w:tcW w:w="1417" w:type="dxa"/>
          </w:tcPr>
          <w:p>
            <w:r>
              <w:rPr>
                <w:rFonts w:ascii="Cambria" w:hAnsi="Cambria" w:eastAsia="Cambria"/>
                <w:b w:val="0"/>
                <w:i w:val="0"/>
                <w:sz w:val="22"/>
              </w:rPr>
              <w:t>edX</w:t>
            </w:r>
          </w:p>
        </w:tc>
        <w:tc>
          <w:tcPr>
            <w:tcW w:type="dxa" w:w="2551"/>
            <w:tcW w:w="2551" w:type="dxa"/>
          </w:tcPr>
          <w:p>
            <w:r>
              <w:rPr>
                <w:rFonts w:ascii="Cambria" w:hAnsi="Cambria" w:eastAsia="Cambria"/>
                <w:b w:val="0"/>
                <w:i w:val="0"/>
                <w:sz w:val="22"/>
              </w:rPr>
              <w:t>Harvard University</w:t>
            </w:r>
          </w:p>
        </w:tc>
      </w:tr>
      <w:tr>
        <w:tc>
          <w:tcPr>
            <w:tcW w:type="dxa" w:w="3118"/>
            <w:shd w:val="clear" w:color="auto" w:fill="DCE6F1"/>
            <w:tcW w:w="3118" w:type="dxa"/>
          </w:tcPr>
          <w:p>
            <w:r>
              <w:rPr>
                <w:rFonts w:ascii="Cambria" w:hAnsi="Cambria" w:eastAsia="Cambria"/>
                <w:b w:val="0"/>
                <w:i w:val="0"/>
                <w:sz w:val="22"/>
              </w:rPr>
              <w:t>Global Public Health</w:t>
            </w:r>
          </w:p>
        </w:tc>
        <w:tc>
          <w:tcPr>
            <w:tcW w:type="dxa" w:w="2268"/>
            <w:shd w:val="clear" w:color="auto" w:fill="DCE6F1"/>
            <w:tcW w:w="2268" w:type="dxa"/>
          </w:tcPr>
          <w:p>
            <w:r>
              <w:rPr>
                <w:rFonts w:ascii="Cambria" w:hAnsi="Cambria" w:eastAsia="Cambria"/>
                <w:b w:val="0"/>
                <w:i w:val="0"/>
                <w:sz w:val="22"/>
              </w:rPr>
              <w:t>SDG-3: Good Health and Well-Being</w:t>
            </w:r>
          </w:p>
        </w:tc>
        <w:tc>
          <w:tcPr>
            <w:tcW w:type="dxa" w:w="1417"/>
            <w:shd w:val="clear" w:color="auto" w:fill="DCE6F1"/>
            <w:tcW w:w="1417" w:type="dxa"/>
          </w:tcPr>
          <w:p>
            <w:r>
              <w:rPr>
                <w:rFonts w:ascii="Cambria" w:hAnsi="Cambria" w:eastAsia="Cambria"/>
                <w:b w:val="0"/>
                <w:i w:val="0"/>
                <w:sz w:val="22"/>
              </w:rPr>
              <w:t>edX</w:t>
            </w:r>
          </w:p>
        </w:tc>
        <w:tc>
          <w:tcPr>
            <w:tcW w:type="dxa" w:w="2551"/>
            <w:shd w:val="clear" w:color="auto" w:fill="DCE6F1"/>
            <w:tcW w:w="2551" w:type="dxa"/>
          </w:tcPr>
          <w:p>
            <w:r>
              <w:rPr>
                <w:rFonts w:ascii="Cambria" w:hAnsi="Cambria" w:eastAsia="Cambria"/>
                <w:b w:val="0"/>
                <w:i w:val="0"/>
                <w:sz w:val="22"/>
              </w:rPr>
              <w:t>SDG Academy</w:t>
            </w:r>
          </w:p>
        </w:tc>
      </w:tr>
      <w:tr>
        <w:tc>
          <w:tcPr>
            <w:tcW w:type="dxa" w:w="3118"/>
            <w:tcW w:w="3118" w:type="dxa"/>
          </w:tcPr>
          <w:p>
            <w:r>
              <w:rPr>
                <w:rFonts w:ascii="Cambria" w:hAnsi="Cambria" w:eastAsia="Cambria"/>
                <w:b w:val="0"/>
                <w:i w:val="0"/>
                <w:sz w:val="22"/>
              </w:rPr>
              <w:t>An Introduction to Global Health</w:t>
            </w:r>
          </w:p>
        </w:tc>
        <w:tc>
          <w:tcPr>
            <w:tcW w:type="dxa" w:w="2268"/>
            <w:tcW w:w="2268" w:type="dxa"/>
          </w:tcPr>
          <w:p>
            <w:r>
              <w:rPr>
                <w:rFonts w:ascii="Cambria" w:hAnsi="Cambria" w:eastAsia="Cambria"/>
                <w:b w:val="0"/>
                <w:i w:val="0"/>
                <w:sz w:val="22"/>
              </w:rPr>
              <w:t>SDG-3: Good Health and Well-Being</w:t>
            </w:r>
          </w:p>
        </w:tc>
        <w:tc>
          <w:tcPr>
            <w:tcW w:type="dxa" w:w="1417"/>
            <w:tcW w:w="1417" w:type="dxa"/>
          </w:tcPr>
          <w:p>
            <w:r>
              <w:rPr>
                <w:rFonts w:ascii="Cambria" w:hAnsi="Cambria" w:eastAsia="Cambria"/>
                <w:b w:val="0"/>
                <w:i w:val="0"/>
                <w:sz w:val="22"/>
              </w:rPr>
              <w:t>edX</w:t>
            </w:r>
          </w:p>
        </w:tc>
        <w:tc>
          <w:tcPr>
            <w:tcW w:type="dxa" w:w="2551"/>
            <w:tcW w:w="2551" w:type="dxa"/>
          </w:tcPr>
          <w:p>
            <w:r>
              <w:rPr>
                <w:rFonts w:ascii="Cambria" w:hAnsi="Cambria" w:eastAsia="Cambria"/>
                <w:b w:val="0"/>
                <w:i w:val="0"/>
                <w:sz w:val="22"/>
              </w:rPr>
              <w:t>Karolinska Institutet</w:t>
            </w:r>
          </w:p>
        </w:tc>
      </w:tr>
      <w:tr>
        <w:tc>
          <w:tcPr>
            <w:tcW w:type="dxa" w:w="3118"/>
            <w:shd w:val="clear" w:color="auto" w:fill="DCE6F1"/>
            <w:tcW w:w="3118" w:type="dxa"/>
          </w:tcPr>
          <w:p>
            <w:r>
              <w:rPr>
                <w:rFonts w:ascii="Cambria" w:hAnsi="Cambria" w:eastAsia="Cambria"/>
                <w:b w:val="0"/>
                <w:i w:val="0"/>
                <w:sz w:val="22"/>
              </w:rPr>
              <w:t>Global Health: An Interdisciplinary Overview</w:t>
            </w:r>
          </w:p>
        </w:tc>
        <w:tc>
          <w:tcPr>
            <w:tcW w:type="dxa" w:w="2268"/>
            <w:shd w:val="clear" w:color="auto" w:fill="DCE6F1"/>
            <w:tcW w:w="2268" w:type="dxa"/>
          </w:tcPr>
          <w:p>
            <w:r>
              <w:rPr>
                <w:rFonts w:ascii="Cambria" w:hAnsi="Cambria" w:eastAsia="Cambria"/>
                <w:b w:val="0"/>
                <w:i w:val="0"/>
                <w:sz w:val="22"/>
              </w:rPr>
              <w:t>SDG-3: Good Health and Well-Being</w:t>
            </w:r>
          </w:p>
        </w:tc>
        <w:tc>
          <w:tcPr>
            <w:tcW w:type="dxa" w:w="1417"/>
            <w:shd w:val="clear" w:color="auto" w:fill="DCE6F1"/>
            <w:tcW w:w="1417" w:type="dxa"/>
          </w:tcPr>
          <w:p>
            <w:r>
              <w:rPr>
                <w:rFonts w:ascii="Cambria" w:hAnsi="Cambria" w:eastAsia="Cambria"/>
                <w:b w:val="0"/>
                <w:i w:val="0"/>
                <w:sz w:val="22"/>
              </w:rPr>
              <w:t>Coursera</w:t>
            </w:r>
          </w:p>
        </w:tc>
        <w:tc>
          <w:tcPr>
            <w:tcW w:type="dxa" w:w="2551"/>
            <w:shd w:val="clear" w:color="auto" w:fill="DCE6F1"/>
            <w:tcW w:w="2551" w:type="dxa"/>
          </w:tcPr>
          <w:p>
            <w:r>
              <w:rPr>
                <w:rFonts w:ascii="Cambria" w:hAnsi="Cambria" w:eastAsia="Cambria"/>
                <w:b w:val="0"/>
                <w:i w:val="0"/>
                <w:sz w:val="22"/>
              </w:rPr>
              <w:t>University of Geneva</w:t>
            </w:r>
          </w:p>
        </w:tc>
      </w:tr>
      <w:tr>
        <w:tc>
          <w:tcPr>
            <w:tcW w:type="dxa" w:w="3118"/>
            <w:tcW w:w="3118" w:type="dxa"/>
          </w:tcPr>
          <w:p>
            <w:r>
              <w:rPr>
                <w:rFonts w:ascii="Cambria" w:hAnsi="Cambria" w:eastAsia="Cambria"/>
                <w:b w:val="0"/>
                <w:i w:val="0"/>
                <w:sz w:val="22"/>
              </w:rPr>
              <w:t>Urbanization and Health: Promoting Sustainable Solutions</w:t>
            </w:r>
          </w:p>
        </w:tc>
        <w:tc>
          <w:tcPr>
            <w:tcW w:type="dxa" w:w="2268"/>
            <w:tcW w:w="2268" w:type="dxa"/>
          </w:tcPr>
          <w:p>
            <w:r>
              <w:rPr>
                <w:rFonts w:ascii="Cambria" w:hAnsi="Cambria" w:eastAsia="Cambria"/>
                <w:b w:val="0"/>
                <w:i w:val="0"/>
                <w:sz w:val="22"/>
              </w:rPr>
              <w:t>SDG-3: Good Health and Well-Being</w:t>
            </w:r>
          </w:p>
        </w:tc>
        <w:tc>
          <w:tcPr>
            <w:tcW w:type="dxa" w:w="1417"/>
            <w:tcW w:w="1417" w:type="dxa"/>
          </w:tcPr>
          <w:p>
            <w:r>
              <w:rPr>
                <w:rFonts w:ascii="Cambria" w:hAnsi="Cambria" w:eastAsia="Cambria"/>
                <w:b w:val="0"/>
                <w:i w:val="0"/>
                <w:sz w:val="22"/>
              </w:rPr>
              <w:t>Coursera</w:t>
            </w:r>
          </w:p>
        </w:tc>
        <w:tc>
          <w:tcPr>
            <w:tcW w:type="dxa" w:w="2551"/>
            <w:tcW w:w="2551" w:type="dxa"/>
          </w:tcPr>
          <w:p>
            <w:r>
              <w:rPr>
                <w:rFonts w:ascii="Cambria" w:hAnsi="Cambria" w:eastAsia="Cambria"/>
                <w:b w:val="0"/>
                <w:i w:val="0"/>
                <w:sz w:val="22"/>
              </w:rPr>
              <w:t>University of Copenhagen</w:t>
            </w:r>
          </w:p>
        </w:tc>
      </w:tr>
      <w:tr>
        <w:tc>
          <w:tcPr>
            <w:tcW w:type="dxa" w:w="3118"/>
            <w:shd w:val="clear" w:color="auto" w:fill="DCE6F1"/>
            <w:tcW w:w="3118" w:type="dxa"/>
          </w:tcPr>
          <w:p>
            <w:r>
              <w:rPr>
                <w:rFonts w:ascii="Cambria" w:hAnsi="Cambria" w:eastAsia="Cambria"/>
                <w:b w:val="0"/>
                <w:i w:val="0"/>
                <w:sz w:val="22"/>
              </w:rPr>
              <w:t>Global Health and Humanitarianism</w:t>
            </w:r>
          </w:p>
        </w:tc>
        <w:tc>
          <w:tcPr>
            <w:tcW w:type="dxa" w:w="2268"/>
            <w:shd w:val="clear" w:color="auto" w:fill="DCE6F1"/>
            <w:tcW w:w="2268" w:type="dxa"/>
          </w:tcPr>
          <w:p>
            <w:r>
              <w:rPr>
                <w:rFonts w:ascii="Cambria" w:hAnsi="Cambria" w:eastAsia="Cambria"/>
                <w:b w:val="0"/>
                <w:i w:val="0"/>
                <w:sz w:val="22"/>
              </w:rPr>
              <w:t>SDG-3: Good Health and Well-Being</w:t>
            </w:r>
          </w:p>
        </w:tc>
        <w:tc>
          <w:tcPr>
            <w:tcW w:type="dxa" w:w="1417"/>
            <w:shd w:val="clear" w:color="auto" w:fill="DCE6F1"/>
            <w:tcW w:w="1417" w:type="dxa"/>
          </w:tcPr>
          <w:p>
            <w:r>
              <w:rPr>
                <w:rFonts w:ascii="Cambria" w:hAnsi="Cambria" w:eastAsia="Cambria"/>
                <w:b w:val="0"/>
                <w:i w:val="0"/>
                <w:sz w:val="22"/>
              </w:rPr>
              <w:t>Coursera</w:t>
            </w:r>
          </w:p>
        </w:tc>
        <w:tc>
          <w:tcPr>
            <w:tcW w:type="dxa" w:w="2551"/>
            <w:shd w:val="clear" w:color="auto" w:fill="DCE6F1"/>
            <w:tcW w:w="2551" w:type="dxa"/>
          </w:tcPr>
          <w:p>
            <w:r>
              <w:rPr>
                <w:rFonts w:ascii="Cambria" w:hAnsi="Cambria" w:eastAsia="Cambria"/>
                <w:b w:val="0"/>
                <w:i w:val="0"/>
                <w:sz w:val="22"/>
              </w:rPr>
              <w:t>University of Manchester</w:t>
            </w:r>
          </w:p>
        </w:tc>
      </w:tr>
      <w:tr>
        <w:tc>
          <w:tcPr>
            <w:tcW w:type="dxa" w:w="3118"/>
            <w:tcW w:w="3118" w:type="dxa"/>
          </w:tcPr>
          <w:p>
            <w:r>
              <w:rPr>
                <w:rFonts w:ascii="Cambria" w:hAnsi="Cambria" w:eastAsia="Cambria"/>
                <w:b w:val="0"/>
                <w:i w:val="0"/>
                <w:sz w:val="22"/>
              </w:rPr>
              <w:t>Foundations of Public Health Practice: Behaviour and Behaviour Change</w:t>
            </w:r>
          </w:p>
        </w:tc>
        <w:tc>
          <w:tcPr>
            <w:tcW w:type="dxa" w:w="2268"/>
            <w:tcW w:w="2268" w:type="dxa"/>
          </w:tcPr>
          <w:p>
            <w:r>
              <w:rPr>
                <w:rFonts w:ascii="Cambria" w:hAnsi="Cambria" w:eastAsia="Cambria"/>
                <w:b w:val="0"/>
                <w:i w:val="0"/>
                <w:sz w:val="22"/>
              </w:rPr>
              <w:t>SDG-3: Good Health and Well-Being</w:t>
            </w:r>
          </w:p>
        </w:tc>
        <w:tc>
          <w:tcPr>
            <w:tcW w:type="dxa" w:w="1417"/>
            <w:tcW w:w="1417" w:type="dxa"/>
          </w:tcPr>
          <w:p>
            <w:r>
              <w:rPr>
                <w:rFonts w:ascii="Cambria" w:hAnsi="Cambria" w:eastAsia="Cambria"/>
                <w:b w:val="0"/>
                <w:i w:val="0"/>
                <w:sz w:val="22"/>
              </w:rPr>
              <w:t>Coursera</w:t>
            </w:r>
          </w:p>
        </w:tc>
        <w:tc>
          <w:tcPr>
            <w:tcW w:type="dxa" w:w="2551"/>
            <w:tcW w:w="2551" w:type="dxa"/>
          </w:tcPr>
          <w:p>
            <w:r>
              <w:rPr>
                <w:rFonts w:ascii="Cambria" w:hAnsi="Cambria" w:eastAsia="Cambria"/>
                <w:b w:val="0"/>
                <w:i w:val="0"/>
                <w:sz w:val="22"/>
              </w:rPr>
              <w:t>Imperial College London</w:t>
            </w:r>
          </w:p>
        </w:tc>
      </w:tr>
      <w:tr>
        <w:tc>
          <w:tcPr>
            <w:tcW w:type="dxa" w:w="3118"/>
            <w:shd w:val="clear" w:color="auto" w:fill="DCE6F1"/>
            <w:tcW w:w="3118" w:type="dxa"/>
          </w:tcPr>
          <w:p>
            <w:r>
              <w:rPr>
                <w:rFonts w:ascii="Cambria" w:hAnsi="Cambria" w:eastAsia="Cambria"/>
                <w:b w:val="0"/>
                <w:i w:val="0"/>
                <w:sz w:val="22"/>
              </w:rPr>
              <w:t>Public Health Perspectives on Sustainable Diets</w:t>
            </w:r>
          </w:p>
        </w:tc>
        <w:tc>
          <w:tcPr>
            <w:tcW w:type="dxa" w:w="2268"/>
            <w:shd w:val="clear" w:color="auto" w:fill="DCE6F1"/>
            <w:tcW w:w="2268" w:type="dxa"/>
          </w:tcPr>
          <w:p>
            <w:r>
              <w:rPr>
                <w:rFonts w:ascii="Cambria" w:hAnsi="Cambria" w:eastAsia="Cambria"/>
                <w:b w:val="0"/>
                <w:i w:val="0"/>
                <w:sz w:val="22"/>
              </w:rPr>
              <w:t>SDG-3: Good Health and Well-Being</w:t>
            </w:r>
          </w:p>
        </w:tc>
        <w:tc>
          <w:tcPr>
            <w:tcW w:type="dxa" w:w="1417"/>
            <w:shd w:val="clear" w:color="auto" w:fill="DCE6F1"/>
            <w:tcW w:w="1417" w:type="dxa"/>
          </w:tcPr>
          <w:p>
            <w:r>
              <w:rPr>
                <w:rFonts w:ascii="Cambria" w:hAnsi="Cambria" w:eastAsia="Cambria"/>
                <w:b w:val="0"/>
                <w:i w:val="0"/>
                <w:sz w:val="22"/>
              </w:rPr>
              <w:t>Coursera</w:t>
            </w:r>
          </w:p>
        </w:tc>
        <w:tc>
          <w:tcPr>
            <w:tcW w:type="dxa" w:w="2551"/>
            <w:shd w:val="clear" w:color="auto" w:fill="DCE6F1"/>
            <w:tcW w:w="2551" w:type="dxa"/>
          </w:tcPr>
          <w:p>
            <w:r>
              <w:rPr>
                <w:rFonts w:ascii="Cambria" w:hAnsi="Cambria" w:eastAsia="Cambria"/>
                <w:b w:val="0"/>
                <w:i w:val="0"/>
                <w:sz w:val="22"/>
              </w:rPr>
              <w:t>Johns Hopkins University</w:t>
            </w:r>
          </w:p>
        </w:tc>
      </w:tr>
    </w:tbl>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Summary: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These MOOCs collectively strengthen the global education framework by integrating health, sustainability, and social responsibility into open-access learning.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They are designed to build competencies in public health policy, mental well-being, sustainable practices, and global health management.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By enrolling in such MOOCs, students, researchers, and educators can actively contribute to achieving SDG-3 and related Sustainable Development Goals while promoting lifelong learning (SDG-4).</w:t>
      </w:r>
    </w:p>
    <w:p>
      <w:pPr>
        <w:spacing w:before="360" w:after="200"/>
      </w:pPr>
      <w:r>
        <w:rPr>
          <w:rFonts w:ascii="Cambria" w:hAnsi="Cambria" w:eastAsia="Cambria"/>
          <w:b/>
          <w:i w:val="0"/>
          <w:color w:val="1F3A5F"/>
          <w:sz w:val="32"/>
        </w:rPr>
        <w:t>29. Education for Sustainable Development (ESD) and the Role of MOOCs in Achieving the UN 2030 Agenda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 2030 Agenda and the Central Role of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United Nations' 2030 Agenda for Sustainable Development recognizes education as a core driver of global transformation and sustainable progress.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Among the 17 Sustainable Development Goals (SDGs), Goal 4 – Quality Education stands as a stand-alone objective, emphasizing inclusive, equitable, and lifelong learning opportunities for all.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Education is not confined to SDG-4 alone; it serves as a cross-cutting enabler that contributes to the achievement of all other SDGs, including goals on health (SDG-3), gender equality (SDG-5), climate action (SDG-13), and responsible consumption (SDG-12).</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Education for Sustainable Development (ESD):</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Education for Sustainable Development (ESD) equips learners with the knowledge, skills, attitudes, and values necessary to make informed decisions for environmental integrity, economic viability, and social equity.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It encourages individuals to adopt sustainable lifestyles, participate responsibly in civic life, and contribute to building a resilient and just society.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ESD must be integrated at all levels — from preschool to higher education and lifelong learning — ensuring that sustainability principles are woven into curricula, research, and institutional governance.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HEIs play a key role by embedding ESD into their teaching, community engagement, and policy frameworks, thereby creating environmentally and socially conscious graduates.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Education as a Tool for Global Transition: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Education acts as a transformative force, enabling the shift from unsustainable to sustainable models of living, production, and governance.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It supports global efforts to address issues like climate change, poverty reduction, healthcare access, and technological innovation.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integration of ESD in national and institutional policies ensures that education systems prepare individuals to become agents of change in achieving the SDGs.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Emergence of MOOCs as a Catalyst for ESD:</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rise of Massive Open Online Courses (MOOCs) has revolutionized the accessibility and delivery of education worldwide.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MOOCs provide open, flexible, and scalable learning opportunities, allowing millions of learners to gain awareness and practical knowledge of sustainability issues.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They serve as innovative teaching and learning platforms, breaking geographical and financial barriers, and promoting lifelong learning aligned with SDG-4 and SDG-17 (Partnerships for the Goals).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Through courses on topics such as global health, climate change, ethics, renewable energy, and sustainability leadership, MOOCs foster global collaboration and collective action.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of MOOCs into Higher Education for Sustainability: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Higher Education Institutions (HEIs) can use MOOCs to strengthen Education for Sustainable Development (ESD) by: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Developing specialized courses focused on specific SDGs and their interlinkages.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Partnering with UN agencies, NGOs, and international universities to co-create sustainability-focused learning modules.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Embedding MOOCs into curriculum design, research dissemination, and faculty development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Utilizing MOOCs to raise awareness, build capacity, and promote interdisciplinary collaboration on sustainability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Expected Impact and Opportunities: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Increased global access to quality education and sustainability training.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Promotion of environmental awareness, social responsibility, and innovation among learners.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Strengthened international cooperation and knowledge exchange across educational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Creation of a digitally empowered global community capable of driving collective progress toward sustainable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Conclusion: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UN 2030 Agenda underscores that education is both an end and a means for achieving sustainable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rapid adoption of MOOCs and digital learning ecosystems presents a transformative opportunity to scale up Education for Sustainable Development (ESD) globally.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By embracing these tools, Higher Education Institutions can lead the way in creating a knowledge-based, inclusive, and sustainable future for all.</w:t>
      </w:r>
    </w:p>
    <w:p>
      <w:pPr>
        <w:spacing w:before="280" w:after="160"/>
      </w:pPr>
      <w:r>
        <w:rPr>
          <w:rFonts w:ascii="Cambria" w:hAnsi="Cambria" w:eastAsia="Cambria"/>
          <w:b/>
          <w:i w:val="0"/>
          <w:color w:val="1F3A5F"/>
          <w:sz w:val="27"/>
        </w:rPr>
        <w:t>Integrating Sustainability into Higher Education: The Role of Universities and Online Platforms in Advancing the SDGs</w:t>
      </w:r>
    </w:p>
    <w:p>
      <w:pPr>
        <w:spacing w:line="276" w:lineRule="auto" w:after="120"/>
      </w:pPr>
      <w:r>
        <w:rPr>
          <w:rFonts w:ascii="Cambria" w:hAnsi="Cambria" w:eastAsia="Cambria"/>
          <w:b w:val="0"/>
          <w:i w:val="0"/>
          <w:sz w:val="22"/>
        </w:rPr>
        <w:t>The Central Challenge of Sustainable Growth: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core question confronting global education and policy systems today is: "How can the global economy continue to grow in a socially and environmentally sustainable way?"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this balance requires transforming not only economic systems but also educational frameworks, ensuring that learners understand the interconnectedness of growth, social justice, and environmental preservation.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Higher Education Institutions (HEIs) play a pivotal role in driving innovation, critical thinking, and behavioral change that supports the long-term vision of sustainability outlined in the United Nations' 2030 Agenda.</w:t>
      </w:r>
    </w:p>
    <w:p>
      <w:pPr>
        <w:spacing w:line="276" w:lineRule="auto" w:after="120"/>
      </w:pPr>
      <w:r>
        <w:rPr>
          <w:rFonts w:ascii="Cambria" w:hAnsi="Cambria" w:eastAsia="Cambria"/>
          <w:b w:val="0"/>
          <w:i w:val="0"/>
          <w:sz w:val="22"/>
        </w:rPr>
        <w:t>Universities as Catalysts for SDG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Across the world, universities have actively contributed to the realization of Sustainable Development Goals (SDGs) by integrating sustainability into their missions, operations, and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They promote awareness and action through online courses, webinars, and MOOCs, ensuring that sustainability education reaches diverse audiences globally.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digital and open-access initiatives allow for equitable participation and foster a global learning community focused on solving real-world sustainability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Universities such as Yale, Duke, Harvard, and the University of Manchester, along with platforms like Coursera, edX, and FutureLearn, have created content directly aligned with SDG themes such as Good Health and Well-Being (SDG-3), Quality Education (SDG-4), and Climate Action (SDG-13).</w:t>
      </w:r>
    </w:p>
    <w:p>
      <w:pPr>
        <w:spacing w:line="276" w:lineRule="auto" w:after="120"/>
      </w:pPr>
      <w:r>
        <w:rPr>
          <w:rFonts w:ascii="Cambria" w:hAnsi="Cambria" w:eastAsia="Cambria"/>
          <w:b w:val="0"/>
          <w:i w:val="0"/>
          <w:sz w:val="22"/>
        </w:rPr>
        <w:t>Holistic and Transformative Learning Approaches: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Integrating sustainability in education goes beyond knowledge transmission—it aims to cultivate transformative learning that reshapes attitudes, values, and behaviors.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Such learning is holistic, addressing all aspects of human development — cognitive (knowledge), socio-emotional (values), and behavioral (actions).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approach ensures that education contributes to both personal transformation and societal progress, aligning learners' goals with global sustainability priorities.</w:t>
      </w:r>
    </w:p>
    <w:p>
      <w:pPr>
        <w:spacing w:line="276" w:lineRule="auto" w:after="120"/>
      </w:pPr>
      <w:r>
        <w:rPr>
          <w:rFonts w:ascii="Cambria" w:hAnsi="Cambria" w:eastAsia="Cambria"/>
          <w:b w:val="0"/>
          <w:i w:val="0"/>
          <w:sz w:val="22"/>
        </w:rPr>
        <w:t>Pedagogical Innovations for Sustainability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achieve meaningful outcomes, universities must adopt problem-based and action-oriented pedagogies, encouraging students to engage in real-world sustainability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Emphasizing interdisciplinary and transdisciplinary learning allows students from diverse academic backgrounds — science, engineering, social sciences, and humanities — to collaborate on complex global problems.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Experiential learning activities such as community projects, sustainability hackathons, and field-based case studies foster critical thinking and practical understanding of sustainable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MOOCs and digital classrooms serve as incubators for cross-border collaboration, enabling learners to engage with global peers and experts in sustainability practices.</w:t>
      </w:r>
    </w:p>
    <w:p>
      <w:pPr>
        <w:spacing w:line="276" w:lineRule="auto" w:after="120"/>
      </w:pPr>
      <w:r>
        <w:rPr>
          <w:rFonts w:ascii="Cambria" w:hAnsi="Cambria" w:eastAsia="Cambria"/>
          <w:b w:val="0"/>
          <w:i w:val="0"/>
          <w:sz w:val="22"/>
        </w:rPr>
        <w:t>Curriculum Integration of Sustainability Content: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main objective of such educational reforms is to embed sustainability-related themes into higher education curricula at all levels.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Universities are encouraged to design core and elective courses addressing topics like: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Climate Change and Environmental Policy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Renewable Energy Systems and Circular Economy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Sustainable Urbanization and Public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Ethics, Governance, and Global Citizenship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Inclusion of these themes ensures that students graduate as responsible, sustainability-literate citizens capable of contributing to economic, environmental, and social well-being.</w:t>
      </w:r>
    </w:p>
    <w:p>
      <w:pPr>
        <w:spacing w:line="276" w:lineRule="auto" w:after="120"/>
      </w:pPr>
      <w:r>
        <w:rPr>
          <w:rFonts w:ascii="Cambria" w:hAnsi="Cambria" w:eastAsia="Cambria"/>
          <w:b w:val="0"/>
          <w:i w:val="0"/>
          <w:sz w:val="22"/>
        </w:rPr>
        <w:t>Expected Impact of Sustainability-Oriented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Students develop systems thinking, understanding the interdependence of economy, society, and environment.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innovation capacity to design sustainable business and technological solutions.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a globally aware, ethically grounded, and environmentally responsible generation of leaders.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institutional reputation and global collaboration through alignment with SDG-driven academic practices.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embedding sustainability into curriculum design and pedagogy, universities can transform education into a powerful tool for achieving the SDGs.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shift represents a move from traditional, discipline-centered instruction to holistic, action-based learning that empowers individuals to make sustainable choices.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online platforms, research innovation, and interdisciplinary engagement, higher education becomes the driving force of global sustainability and responsible economic growth in the 21st century.</w:t>
      </w:r>
    </w:p>
    <w:p>
      <w:pPr>
        <w:spacing w:before="360" w:after="200"/>
      </w:pPr>
      <w:r>
        <w:rPr>
          <w:rFonts w:ascii="Cambria" w:hAnsi="Cambria" w:eastAsia="Cambria"/>
          <w:b/>
          <w:i w:val="0"/>
          <w:color w:val="1F3A5F"/>
          <w:sz w:val="32"/>
        </w:rPr>
        <w:t>29. Recommended Actions for Higher Education Institutions (HEIs) to Achieve SDG-3: Good Health and Well-Being</w:t>
      </w:r>
    </w:p>
    <w:p>
      <w:pPr>
        <w:spacing w:line="276" w:lineRule="auto" w:after="80"/>
        <w:ind w:left="357" w:hanging="357"/>
        <w:jc w:val="both"/>
      </w:pPr>
      <w:r>
        <w:rPr>
          <w:rFonts w:ascii="Cambria" w:hAnsi="Cambria" w:eastAsia="Cambria"/>
          <w:b w:val="0"/>
          <w:i w:val="0"/>
          <w:sz w:val="22"/>
        </w:rPr>
        <w:t xml:space="preserve">1. </w:t>
      </w:r>
      <w:r>
        <w:rPr>
          <w:rFonts w:ascii="Cambria" w:hAnsi="Cambria" w:eastAsia="Cambria"/>
          <w:b w:val="0"/>
          <w:i w:val="0"/>
          <w:sz w:val="22"/>
        </w:rPr>
        <w:t>Strengthening the Role of HEIs in Sustainable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Higher Education Institutions (HEIs) act as centres of innovation, knowledge creation, and leadership training for sustainable societies.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They shape the future decision-makers, researchers, and professionals who will address global health, environmental, and social challenges.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By integrating sustainable health and wellness principles into their teaching, research, and outreach programs, HEIs can significantly contribute to achieving SDG-3 (Good Health and Well-Being) and related goals.</w:t>
      </w:r>
    </w:p>
    <w:p>
      <w:pPr>
        <w:spacing w:line="276" w:lineRule="auto" w:after="80"/>
        <w:ind w:left="357" w:hanging="357"/>
        <w:jc w:val="both"/>
      </w:pPr>
      <w:r>
        <w:rPr>
          <w:rFonts w:ascii="Cambria" w:hAnsi="Cambria" w:eastAsia="Cambria"/>
          <w:b w:val="0"/>
          <w:i w:val="0"/>
          <w:sz w:val="22"/>
        </w:rPr>
        <w:t xml:space="preserve">2. </w:t>
      </w:r>
      <w:r>
        <w:rPr>
          <w:rFonts w:ascii="Cambria" w:hAnsi="Cambria" w:eastAsia="Cambria"/>
          <w:b w:val="0"/>
          <w:i w:val="0"/>
          <w:sz w:val="22"/>
        </w:rPr>
        <w:t>Integrating Sustainable Development Education into Curricula: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Embed Education for Sustainable Development (ESD) across disciplines to instill the values, competencies, and skills required for building healthy and sustainable communities.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interdisciplinary and problem-based learning modules that address both global and local health challenges, including climate-related diseases, nutrition, and mental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research projects and capstone studies focused on community health, preventive medicine, and health policy.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Align academic syllabi with SDG-3 targets such as reducing maternal and infant mortality, ensuring universal health coverage, and promoting mental health.</w:t>
      </w:r>
    </w:p>
    <w:p>
      <w:pPr>
        <w:spacing w:line="276" w:lineRule="auto" w:after="80"/>
        <w:ind w:left="357" w:hanging="357"/>
        <w:jc w:val="both"/>
      </w:pPr>
      <w:r>
        <w:rPr>
          <w:rFonts w:ascii="Cambria" w:hAnsi="Cambria" w:eastAsia="Cambria"/>
          <w:b w:val="0"/>
          <w:i w:val="0"/>
          <w:sz w:val="22"/>
        </w:rPr>
        <w:t xml:space="preserve">3. </w:t>
      </w:r>
      <w:r>
        <w:rPr>
          <w:rFonts w:ascii="Cambria" w:hAnsi="Cambria" w:eastAsia="Cambria"/>
          <w:b w:val="0"/>
          <w:i w:val="0"/>
          <w:sz w:val="22"/>
        </w:rPr>
        <w:t>Promoting Skill-Based and Experiential Learning: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Design programs that encourage students to apply classroom learning in real-world contexts, such as community clinics, NGOs, and wellness centres.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Facilitate internships and fieldwork at Primary Health Centres (PHCs) and local hospitals for hands-on exposure to healthcare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simulation labs, telemedicine modules, and public health data analysis exercises to improve practical skills and decision-making capacity.</w:t>
      </w:r>
    </w:p>
    <w:p>
      <w:pPr>
        <w:spacing w:line="276" w:lineRule="auto" w:after="80"/>
        <w:ind w:left="357" w:hanging="357"/>
        <w:jc w:val="both"/>
      </w:pPr>
      <w:r>
        <w:rPr>
          <w:rFonts w:ascii="Cambria" w:hAnsi="Cambria" w:eastAsia="Cambria"/>
          <w:b w:val="0"/>
          <w:i w:val="0"/>
          <w:sz w:val="22"/>
        </w:rPr>
        <w:t xml:space="preserve">4. </w:t>
      </w:r>
      <w:r>
        <w:rPr>
          <w:rFonts w:ascii="Cambria" w:hAnsi="Cambria" w:eastAsia="Cambria"/>
          <w:b w:val="0"/>
          <w:i w:val="0"/>
          <w:sz w:val="22"/>
        </w:rPr>
        <w:t>Encouraging Interdisciplinary and Collaborative Thinking: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interdisciplinary teaching approaches that combine health sciences with engineering, management, social sciences, and technology.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joint programs and research partnerships between medical colleges, environmental departments, and social science faculties to address the complex interrelations of health, environment, and society.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joint research clusters for topics such as environmental pollution, disease prevention, nutrition, and health informatics.</w:t>
      </w:r>
    </w:p>
    <w:p>
      <w:pPr>
        <w:spacing w:line="276" w:lineRule="auto" w:after="80"/>
        <w:ind w:left="357" w:hanging="357"/>
        <w:jc w:val="both"/>
      </w:pPr>
      <w:r>
        <w:rPr>
          <w:rFonts w:ascii="Cambria" w:hAnsi="Cambria" w:eastAsia="Cambria"/>
          <w:b w:val="0"/>
          <w:i w:val="0"/>
          <w:sz w:val="22"/>
        </w:rPr>
        <w:t xml:space="preserve">5. </w:t>
      </w:r>
      <w:r>
        <w:rPr>
          <w:rFonts w:ascii="Cambria" w:hAnsi="Cambria" w:eastAsia="Cambria"/>
          <w:b w:val="0"/>
          <w:i w:val="0"/>
          <w:sz w:val="22"/>
        </w:rPr>
        <w:t>Fostering Innovation and Entrepreneurship in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Create entrepreneurial ecosystems within HEIs that encourage innovation in healthcare solutions, wellness technologies, and sustainable health startups.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health incubators and innovation labs that support student and faculty-led initiatives addressing public health issues.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partnerships with industry, NGOs, and government agencies for developing low-cost, scalable healthcare innovations aligned with SDG-3.</w:t>
      </w:r>
    </w:p>
    <w:p>
      <w:pPr>
        <w:spacing w:line="276" w:lineRule="auto" w:after="80"/>
        <w:ind w:left="357" w:hanging="357"/>
        <w:jc w:val="both"/>
      </w:pPr>
      <w:r>
        <w:rPr>
          <w:rFonts w:ascii="Cambria" w:hAnsi="Cambria" w:eastAsia="Cambria"/>
          <w:b w:val="0"/>
          <w:i w:val="0"/>
          <w:sz w:val="22"/>
        </w:rPr>
        <w:t xml:space="preserve">6. </w:t>
      </w:r>
      <w:r>
        <w:rPr>
          <w:rFonts w:ascii="Cambria" w:hAnsi="Cambria" w:eastAsia="Cambria"/>
          <w:b w:val="0"/>
          <w:i w:val="0"/>
          <w:sz w:val="22"/>
        </w:rPr>
        <w:t>Building Health-Oriented Campus Ecosystems: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healthy campus initiatives that include yoga, meditation, physical fitness programs, and mental health counselling services.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Implement drug prevention and wellness monitoring systems to promote safe and supportive campus environments.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staff and student participation in annual health audits, vaccination drives, and blood donation camps.</w:t>
      </w:r>
    </w:p>
    <w:p>
      <w:pPr>
        <w:spacing w:line="276" w:lineRule="auto" w:after="80"/>
        <w:ind w:left="357" w:hanging="357"/>
        <w:jc w:val="both"/>
      </w:pPr>
      <w:r>
        <w:rPr>
          <w:rFonts w:ascii="Cambria" w:hAnsi="Cambria" w:eastAsia="Cambria"/>
          <w:b w:val="0"/>
          <w:i w:val="0"/>
          <w:sz w:val="22"/>
        </w:rPr>
        <w:t xml:space="preserve">7. </w:t>
      </w:r>
      <w:r>
        <w:rPr>
          <w:rFonts w:ascii="Cambria" w:hAnsi="Cambria" w:eastAsia="Cambria"/>
          <w:b w:val="0"/>
          <w:i w:val="0"/>
          <w:sz w:val="22"/>
        </w:rPr>
        <w:t>Strengthening Research and Policy Engagement: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faculty research on public health, healthcare access, and sustainable health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research centres of excellence in collaboration with international organizations such as WHO, UNESCO, and UNDP.</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HEIs to participate in policy formulation by providing data, case studies, and impact assessments for national health initiatives.</w:t>
      </w:r>
    </w:p>
    <w:p>
      <w:pPr>
        <w:spacing w:line="276" w:lineRule="auto" w:after="80"/>
        <w:ind w:left="357" w:hanging="357"/>
        <w:jc w:val="both"/>
      </w:pPr>
      <w:r>
        <w:rPr>
          <w:rFonts w:ascii="Cambria" w:hAnsi="Cambria" w:eastAsia="Cambria"/>
          <w:b w:val="0"/>
          <w:i w:val="0"/>
          <w:sz w:val="22"/>
        </w:rPr>
        <w:t xml:space="preserve">8. </w:t>
      </w:r>
      <w:r>
        <w:rPr>
          <w:rFonts w:ascii="Cambria" w:hAnsi="Cambria" w:eastAsia="Cambria"/>
          <w:b w:val="0"/>
          <w:i w:val="0"/>
          <w:sz w:val="22"/>
        </w:rPr>
        <w:t>Promoting Global and Local Partnerships: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global universities, United Nations agencies, and NGOs to design courses and projects focusing on SDG-3.</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community engagement and outreach programs where students contribute to local health awareness and education campaigns.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 partnerships with local governments and health departments to implement health and wellness initiatives in nearby communities.</w:t>
      </w:r>
    </w:p>
    <w:p>
      <w:pPr>
        <w:spacing w:line="276" w:lineRule="auto" w:after="80"/>
        <w:ind w:left="357" w:hanging="357"/>
        <w:jc w:val="both"/>
      </w:pPr>
      <w:r>
        <w:rPr>
          <w:rFonts w:ascii="Cambria" w:hAnsi="Cambria" w:eastAsia="Cambria"/>
          <w:b w:val="0"/>
          <w:i w:val="0"/>
          <w:sz w:val="22"/>
        </w:rPr>
        <w:t xml:space="preserve">9. </w:t>
      </w:r>
      <w:r>
        <w:rPr>
          <w:rFonts w:ascii="Cambria" w:hAnsi="Cambria" w:eastAsia="Cambria"/>
          <w:b w:val="0"/>
          <w:i w:val="0"/>
          <w:sz w:val="22"/>
        </w:rPr>
        <w:t>Adapting Teaching Methods for Sustainable Outcomes: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interactive, learner-centered pedagogies that encourage critical thinking, creativity, and problem-solving.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case-based and project-oriented learning approaches focusing on sustainable healthcare and wellness management.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Use digital learning platforms and MOOCs to expand access to health education and sustainability awareness globally.</w:t>
      </w:r>
    </w:p>
    <w:p>
      <w:pPr>
        <w:spacing w:line="276" w:lineRule="auto" w:after="80"/>
        <w:ind w:left="357" w:hanging="357"/>
        <w:jc w:val="both"/>
      </w:pPr>
      <w:r>
        <w:rPr>
          <w:rFonts w:ascii="Cambria" w:hAnsi="Cambria" w:eastAsia="Cambria"/>
          <w:b w:val="0"/>
          <w:i w:val="0"/>
          <w:sz w:val="22"/>
        </w:rPr>
        <w:t xml:space="preserve">10. </w:t>
      </w:r>
      <w:r>
        <w:rPr>
          <w:rFonts w:ascii="Cambria" w:hAnsi="Cambria" w:eastAsia="Cambria"/>
          <w:b w:val="0"/>
          <w:i w:val="0"/>
          <w:sz w:val="22"/>
        </w:rPr>
        <w:t>Monitoring and Evaluating Health and Sustainability Outcomes: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institutional frameworks for monitoring progress toward SDG-3 through measurable indicators such as student wellness, community impact, and health outreach.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Publish annual SDG progress reports highlighting institutional achievements, partnerships, and contributions to global health goals.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data-driven decision-making and analytics to continuously improve educational strategies and health outcomes.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Higher Education Institutions are key enablers of sustainable health transformation through education, research, innovation, and community engagement.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aligning their activities with SDG-3 and related sustainability goals, HEIs can produce globally competent graduates who are ethically responsible, health-conscious, and sustainability-driven.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Such initiatives will not only strengthen institutional reputation but also contribute to a healthier, more equitable, and sustainable society by 2030.</w:t>
      </w:r>
    </w:p>
    <w:p>
      <w:pPr>
        <w:spacing w:before="360" w:after="200"/>
      </w:pPr>
      <w:r>
        <w:rPr>
          <w:rFonts w:ascii="Cambria" w:hAnsi="Cambria" w:eastAsia="Cambria"/>
          <w:b/>
          <w:i w:val="0"/>
          <w:color w:val="1F3A5F"/>
          <w:sz w:val="32"/>
        </w:rPr>
        <w:t>30. SDG-3 Target 3.1 and Minimal Recommended Actions for Higher Education Institutions (HEIs): Reducing Maternal Mortality through Education, Awareness, and Community Engagement</w:t>
      </w:r>
    </w:p>
    <w:p>
      <w:pPr>
        <w:spacing w:line="276" w:lineRule="auto" w:after="120"/>
      </w:pPr>
      <w:r>
        <w:rPr>
          <w:rFonts w:ascii="Cambria" w:hAnsi="Cambria" w:eastAsia="Cambria"/>
          <w:b w:val="0"/>
          <w:i w:val="0"/>
          <w:sz w:val="22"/>
        </w:rPr>
        <w:t>SDG-3 Target 3.1:</w:t>
      </w:r>
    </w:p>
    <w:p>
      <w:pPr>
        <w:spacing w:line="276" w:lineRule="auto" w:after="120"/>
      </w:pPr>
      <w:r>
        <w:rPr>
          <w:rFonts w:ascii="Cambria" w:hAnsi="Cambria" w:eastAsia="Cambria"/>
          <w:b w:val="0"/>
          <w:i/>
          <w:sz w:val="22"/>
        </w:rPr>
        <w:t>"Reduce the global maternal mortality ratio to less than 70 per 100,000 live births by 2030."</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mobilize Higher Education Institutions (HEIs), especially medical and health sciences universities, to contribute actively toward improving maternal and child health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build sustainable linkages between HEIs, Primary Health Centres (PHCs), and community-based organizations (Anganwadi centres, SHGs, and local health committees) for implementing awareness, training, and service delivery programs.</w:t>
      </w:r>
    </w:p>
    <w:p>
      <w:pPr>
        <w:spacing w:line="276" w:lineRule="auto" w:after="120"/>
      </w:pPr>
      <w:r>
        <w:rPr>
          <w:rFonts w:ascii="Cambria" w:hAnsi="Cambria" w:eastAsia="Cambria"/>
          <w:b w:val="0"/>
          <w:i w:val="0"/>
          <w:sz w:val="22"/>
        </w:rPr>
        <w:t>Minimal Recommended Actions for HEIs</w:t>
      </w:r>
    </w:p>
    <w:p>
      <w:pPr>
        <w:spacing w:before="200" w:after="120"/>
      </w:pPr>
      <w:r>
        <w:rPr>
          <w:rFonts w:ascii="Cambria" w:hAnsi="Cambria" w:eastAsia="Cambria"/>
          <w:b/>
          <w:i w:val="0"/>
          <w:color w:val="1F3A5F"/>
          <w:sz w:val="24"/>
        </w:rPr>
        <w:t>1. Establishment of an Extension Cell for Community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bridge the gap between HEIs and local communities by promoting health literacy and preventive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Set up a "Health and Well-Being Extension Cell" within HEIs to coordinate SDG-3 activities at the institutional level.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awareness programs, workshops, and seminars focusing on maternal health, safe childbirth practices, family planning, and nutrition.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Engage students and faculty in outreach activities under National Service Scheme (NSS), Unnat Bharat Abhiyan (UBA), or Institutional Social Responsibility (ISR) initiatives.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community visits and health camps to disseminate knowledge about antenatal and postnatal 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Create information materials in regional languages to improve accessibility and understanding among local women.</w:t>
      </w:r>
    </w:p>
    <w:p>
      <w:pPr>
        <w:spacing w:before="200" w:after="120"/>
      </w:pPr>
      <w:r>
        <w:rPr>
          <w:rFonts w:ascii="Cambria" w:hAnsi="Cambria" w:eastAsia="Cambria"/>
          <w:b/>
          <w:i w:val="0"/>
          <w:color w:val="1F3A5F"/>
          <w:sz w:val="24"/>
        </w:rPr>
        <w:t>2. Organize Internship Programs for Medical Students at PHCs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ensure experiential learning and strengthen healthcare systems at the primary care level, where maternal and child health interventions are most critical.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Mandate internships and field postings for final-year medical, nursing, and public health students at Primary Health Centres (PHCs) and Community Health Centres (CHCs).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Assign students to assist in maternal health record maintenance, prenatal check-ups, vaccination drives, and awareness sessions.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PHC-based internships into the curriculum of MBBS, B.Sc. Nursing, and MPH programs as a credited academic component.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interdisciplinary learning by involving students from nutrition, pharmacy, and social work departments.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local health departments to track improvements in maternal health outcomes and report findings annually.</w:t>
      </w:r>
    </w:p>
    <w:p>
      <w:pPr>
        <w:spacing w:before="200" w:after="120"/>
      </w:pPr>
      <w:r>
        <w:rPr>
          <w:rFonts w:ascii="Cambria" w:hAnsi="Cambria" w:eastAsia="Cambria"/>
          <w:b/>
          <w:i w:val="0"/>
          <w:color w:val="1F3A5F"/>
          <w:sz w:val="24"/>
        </w:rPr>
        <w:t>3. Promote Maternal Health Awareness Programs through Anganwadi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empower Anganwadi workers as key community health educators who can extend the institution's health outreach.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Design and implement community-driven maternal health campaigns focusing on prenatal care, nutrition, and safe delivery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training modules and awareness toolkits that Anganwadi workers can use to educate rural women.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joint outreach events involving faculty, medical students, and local Anganwadi centres for health check-ups, dietary counselling, and immunization awareness.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faculty research on the effectiveness of Anganwadi-based maternal health interventions, publishing findings in academic journals.</w:t>
      </w:r>
    </w:p>
    <w:p>
      <w:pPr>
        <w:spacing w:before="200" w:after="120"/>
      </w:pPr>
      <w:r>
        <w:rPr>
          <w:rFonts w:ascii="Cambria" w:hAnsi="Cambria" w:eastAsia="Cambria"/>
          <w:b/>
          <w:i w:val="0"/>
          <w:color w:val="1F3A5F"/>
          <w:sz w:val="24"/>
        </w:rPr>
        <w:t>4. Capacity Building and Training of Anganwadi Workers by Medical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strengthen the frontline health workforce through academic expertise and hands-on training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"Anganwadi Training Centres" within medical HEIs to provide short-term certified courses on maternal health, hygiene, nutrition, and early childhood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Involve postgraduate students and faculty from Obstetrics &amp; Gynecology, Pediatrics, Nutrition, and Public Health departments as trainers.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Use simulation-based learning tools and digital content (videos, charts, models) for effective capacity building.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annual refresher programs and evaluate the competency of Anganwadi workers in collaboration with the Ministry of Women and Child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student-led community projects under supervision to assess maternal and infant health parameters in nearby villages.</w:t>
      </w:r>
    </w:p>
    <w:p>
      <w:pPr>
        <w:spacing w:line="276" w:lineRule="auto" w:after="120"/>
      </w:pPr>
      <w:r>
        <w:rPr>
          <w:rFonts w:ascii="Cambria" w:hAnsi="Cambria" w:eastAsia="Cambria"/>
          <w:b w:val="0"/>
          <w:i w:val="0"/>
          <w:sz w:val="22"/>
        </w:rPr>
        <w:t>Expected Institutional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awareness and literacy on maternal and child health within local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quality of care and knowledge base of Anganwadi workers and community health volunteers.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linkages between academia and community healthcare delivery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student understanding of rural health issues and development of empathy-driven healthcare professionals.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Tangible reduction in maternal mortality ratios (MMR) and neonatal deaths through preventive measures and skilled birth support.</w:t>
      </w:r>
    </w:p>
    <w:p>
      <w:pPr>
        <w:spacing w:line="276" w:lineRule="auto" w:after="120"/>
      </w:pPr>
      <w:r>
        <w:rPr>
          <w:rFonts w:ascii="Cambria" w:hAnsi="Cambria" w:eastAsia="Cambria"/>
          <w:b w:val="0"/>
          <w:i w:val="0"/>
          <w:sz w:val="22"/>
        </w:rPr>
        <w:t>Broader Impact on SDG-3 Achievement: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universal access to quality maternal healthcare and aligns with SDG Target 3.8 (Universal Health Coverage).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SDG-17 (Partnerships for the Goals) through collaboration between HEIs, government, and civil society.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Builds sustainable, community-centered healthcare ecosystems where universities act as catalysts for social change.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Demonstrates the pivotal role of HEIs as enablers of policy implementation, local empowerment, and global sustainability in the health sector.</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SDG Target 3.1 requires integrating education, research, and community engagement within HEI frameworks.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establishing extension cells, embedding field internships, empowering Anganwadi workers, and promoting maternal health awareness, HEIs can bridge the gap between knowledge and action.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steps not only enhance institutional impact but also contribute directly to reducing maternal mortality, improving public health resilience, and fostering a sustainable future for all.</w:t>
      </w:r>
    </w:p>
    <w:p>
      <w:pPr>
        <w:spacing w:before="360" w:after="200"/>
      </w:pPr>
      <w:r>
        <w:rPr>
          <w:rFonts w:ascii="Cambria" w:hAnsi="Cambria" w:eastAsia="Cambria"/>
          <w:b/>
          <w:i w:val="0"/>
          <w:color w:val="1F3A5F"/>
          <w:sz w:val="32"/>
        </w:rPr>
        <w:t>31. SDG-3 Target 3.2 and Minimal Recommended Actions for Higher Education Institutions (HEIs): Reducing Preventable Deaths of Newborns and Children under 5 Years of Age</w:t>
      </w:r>
    </w:p>
    <w:p>
      <w:pPr>
        <w:spacing w:line="276" w:lineRule="auto" w:after="120"/>
      </w:pPr>
      <w:r>
        <w:rPr>
          <w:rFonts w:ascii="Cambria" w:hAnsi="Cambria" w:eastAsia="Cambria"/>
          <w:b w:val="0"/>
          <w:i w:val="0"/>
          <w:sz w:val="22"/>
        </w:rPr>
        <w:t>SDG-3 Target 3.2:</w:t>
      </w:r>
    </w:p>
    <w:p>
      <w:pPr>
        <w:spacing w:line="276" w:lineRule="auto" w:after="120"/>
      </w:pPr>
      <w:r>
        <w:rPr>
          <w:rFonts w:ascii="Cambria" w:hAnsi="Cambria" w:eastAsia="Cambria"/>
          <w:b w:val="0"/>
          <w:i/>
          <w:sz w:val="22"/>
        </w:rPr>
        <w:t>"End preventable deaths of newborns and children under 5 years of age, aiming to reduce neonatal mortality to at least as low as 12 per 1,000 live births and under-5 mortality to at least as low as 25 per 1,000 live births by 2030."</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involve Higher Education Institutions (HEIs) — particularly those with medical, nursing, public health, and social sciences departments — in grassroots-level child health monitoring and community engagement.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that Anganwadi Centres (AWCs) function effectively as early childhood care and nutrition hubs through regular academic inspection, evaluation, and capacity support.</w:t>
      </w:r>
    </w:p>
    <w:p>
      <w:pPr>
        <w:spacing w:line="276" w:lineRule="auto" w:after="120"/>
      </w:pPr>
      <w:r>
        <w:rPr>
          <w:rFonts w:ascii="Cambria" w:hAnsi="Cambria" w:eastAsia="Cambria"/>
          <w:b w:val="0"/>
          <w:i w:val="0"/>
          <w:sz w:val="22"/>
        </w:rPr>
        <w:t>Minimal Recommended Action for HEIs</w:t>
      </w:r>
    </w:p>
    <w:p>
      <w:pPr>
        <w:spacing w:before="200" w:after="120"/>
      </w:pPr>
      <w:r>
        <w:rPr>
          <w:rFonts w:ascii="Cambria" w:hAnsi="Cambria" w:eastAsia="Cambria"/>
          <w:b/>
          <w:i w:val="0"/>
          <w:color w:val="1F3A5F"/>
          <w:sz w:val="24"/>
        </w:rPr>
        <w:t>1. Participation in Forming Village-Level Inspection Teams for Anganwadi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ensure the quality, accountability, and effectiveness of Anganwadi Centres in delivering early childhood nutrition, immunization, and health education services.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promote academic collaboration between HEIs and community-based institutions for strengthening maternal and child healthcare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HEIs should nominate faculty members and postgraduate students (especially from Public Health, Nutrition, Nursing, and Social Work) to participate in village-level inspection and monitoring teams.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the District Health Department, Integrated Child Development Services (ICDS), and local governance bodies (Panchayati Raj Institutions) to form joint inspection committees.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Each inspection team should:</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Evaluate nutrition services provided to pregnant women, lactating mothers, and children under 5 years.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Monitor growth charts, immunization records, hygiene standards, and food quality at AWCs.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Assess the availability of educational materials and health kits and ensure compliance with ICDS protocols.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Identify gaps in infrastructure, human resources, or training and submit monthly performance reports to the local health administration.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HEIs can also provide technical guidance, helping Anganwadi workers adopt data management tools and maintain digital health registers.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inspection rubrics and evaluation formats based on WHO and ICDS guidelines for consistent monitoring and record-keeping.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students to document field findings and use them for community-based research and policy recommendations.</w:t>
      </w:r>
    </w:p>
    <w:p>
      <w:pPr>
        <w:spacing w:line="276" w:lineRule="auto" w:after="120"/>
      </w:pPr>
      <w:r>
        <w:rPr>
          <w:rFonts w:ascii="Cambria" w:hAnsi="Cambria" w:eastAsia="Cambria"/>
          <w:b w:val="0"/>
          <w:i w:val="0"/>
          <w:sz w:val="22"/>
        </w:rPr>
        <w:t>Additional Supportive Initiatives by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awareness sessions for parents and caregivers during inspections to reinforce practices like exclusive breastfeeding, handwashing, and timely immunization.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nutrition and growth monitoring camps in collaboration with Anganwadi staff and local healthcare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 capacity-building workshops for Anganwadi workers on topics like child psychology, first aid, and balanced meal planning.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student projects or dissertations that focus on evaluating early childhood programs and recommending improvements.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service quality and efficiency of Anganwadi Centres through regular academic inspection.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transparency and accountability in the implementation of ICDS programs at the grassroots level.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linkages between HEIs, local governance, and healthcare systems for child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community trust and participation in early childhood health and nutrition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Tangible reduction in infant and under-5 mortality rates due to improved monitoring, awareness, and timely interventions.</w:t>
      </w:r>
    </w:p>
    <w:p>
      <w:pPr>
        <w:spacing w:line="276" w:lineRule="auto" w:after="120"/>
      </w:pPr>
      <w:r>
        <w:rPr>
          <w:rFonts w:ascii="Cambria" w:hAnsi="Cambria" w:eastAsia="Cambria"/>
          <w:b w:val="0"/>
          <w:i w:val="0"/>
          <w:sz w:val="22"/>
        </w:rPr>
        <w:t>Broader Impact on SDG-3 Achievement: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Target 3.2 by ensuring every child receives proper nutrition, immunization, and preventive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intersectoral collaboration between education, health, and social welfare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SDG-17 (Partnerships for the Goals) through community-based engagement and institutional partnerships.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Empowers HEIs to become agents of public accountability, research-based monitoring, and sustainable child development.</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active participation of HEIs in forming village-level inspection teams for Anganwadi Centres creates a structured mechanism to monitor and improve early childhood care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combining academic expertise with community service, HEIs can directly contribute to reducing neonatal and under-5 mortality, ensuring that no child is deprived of a healthy start to life.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initiative exemplifies how education and research institutions can be powerful enablers of health equity and sustainable development, advancing SDG-3: Good Health and Well-Being in measurable and impactful ways.</w:t>
      </w:r>
    </w:p>
    <w:p>
      <w:pPr>
        <w:spacing w:before="360" w:after="200"/>
      </w:pPr>
      <w:r>
        <w:rPr>
          <w:rFonts w:ascii="Cambria" w:hAnsi="Cambria" w:eastAsia="Cambria"/>
          <w:b/>
          <w:i w:val="0"/>
          <w:color w:val="1F3A5F"/>
          <w:sz w:val="32"/>
        </w:rPr>
        <w:t>32. SDG-3 Target 3.3 and Minimal Recommended Actions for Higher Education Institutions (HEIs): Combating Communicable Diseases and Promoting Health and Well-Being on Campuses</w:t>
      </w:r>
    </w:p>
    <w:p>
      <w:pPr>
        <w:spacing w:line="276" w:lineRule="auto" w:after="120"/>
      </w:pPr>
      <w:r>
        <w:rPr>
          <w:rFonts w:ascii="Cambria" w:hAnsi="Cambria" w:eastAsia="Cambria"/>
          <w:b w:val="0"/>
          <w:i w:val="0"/>
          <w:sz w:val="22"/>
        </w:rPr>
        <w:t>SDG-3 Target 3.3:</w:t>
      </w:r>
    </w:p>
    <w:p>
      <w:pPr>
        <w:spacing w:line="276" w:lineRule="auto" w:after="120"/>
      </w:pPr>
      <w:r>
        <w:rPr>
          <w:rFonts w:ascii="Cambria" w:hAnsi="Cambria" w:eastAsia="Cambria"/>
          <w:b w:val="0"/>
          <w:i/>
          <w:sz w:val="22"/>
        </w:rPr>
        <w:t>"By 2030, end the epidemics of AIDS, tuberculosis, malaria, and neglected tropical diseases, and combat hepatitis, water-borne diseases, and other communicable diseases."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empower Higher Education Institutions (HEIs) to take proactive measures in preventing the spread of communicable diseases, promoting vaccination awareness, and ensuring overall physical and mental well-being among students, staff, and local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develop health-conscious campuses that serve as models of wellness, preventive healthcare, and environmental safety, aligning with SDG-3: Good Health and Well-Being.</w:t>
      </w:r>
    </w:p>
    <w:p>
      <w:pPr>
        <w:spacing w:line="276" w:lineRule="auto" w:after="120"/>
      </w:pPr>
      <w:r>
        <w:rPr>
          <w:rFonts w:ascii="Cambria" w:hAnsi="Cambria" w:eastAsia="Cambria"/>
          <w:b w:val="0"/>
          <w:i w:val="0"/>
          <w:sz w:val="22"/>
        </w:rPr>
        <w:t>Minimal Recommended Actions for HEIs</w:t>
      </w:r>
    </w:p>
    <w:p>
      <w:pPr>
        <w:spacing w:before="200" w:after="120"/>
      </w:pPr>
      <w:r>
        <w:rPr>
          <w:rFonts w:ascii="Cambria" w:hAnsi="Cambria" w:eastAsia="Cambria"/>
          <w:b/>
          <w:i w:val="0"/>
          <w:color w:val="1F3A5F"/>
          <w:sz w:val="24"/>
        </w:rPr>
        <w:t>1. Conduct Awareness Programs for HPV Testing and Vaccination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raise awareness about Human Papillomavirus (HPV), a leading cause of cervical and other cancers, and to facilitate testing and vaccination among students and staff.</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health camps and seminars in collaboration with local health departments, NGOs, and hospitals to educate the campus community about HPV prevention.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Facilitate on-campus vaccination drives, ensuring access to affordable or subsidized vaccines, particularly for female students aged 9–26.</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health education modules on HPV, reproductive health, and cancer prevention into relevant courses or wellness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digital awareness campaigns using campus media, websites, and social platforms to promote participation and awareness.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public health experts and gynecologists for lectures and Q&amp;A sessions to dispel myths and promote preventive screening.</w:t>
      </w:r>
    </w:p>
    <w:p>
      <w:pPr>
        <w:spacing w:before="200" w:after="120"/>
      </w:pPr>
      <w:r>
        <w:rPr>
          <w:rFonts w:ascii="Cambria" w:hAnsi="Cambria" w:eastAsia="Cambria"/>
          <w:b/>
          <w:i w:val="0"/>
          <w:color w:val="1F3A5F"/>
          <w:sz w:val="24"/>
        </w:rPr>
        <w:t>2. Provide Access to Affordable Health and Well-Being Services on Campus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ensure that all students and staff have access to preventive and primary healthcare services without financial barriers.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campus health and wellness centres with qualified medical and counselling staff.</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Offer routine check-ups, vaccination clinics, blood donation drives, and health risk assessments.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local hospitals and diagnostic centres for referral and subsidized medical services.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health insurance schemes for students and staff to enhance healthcare accessibility.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Maintain a database for immunization and medical history through secure digital platforms.</w:t>
      </w:r>
    </w:p>
    <w:p>
      <w:pPr>
        <w:spacing w:before="200" w:after="120"/>
      </w:pPr>
      <w:r>
        <w:rPr>
          <w:rFonts w:ascii="Cambria" w:hAnsi="Cambria" w:eastAsia="Cambria"/>
          <w:b/>
          <w:i w:val="0"/>
          <w:color w:val="1F3A5F"/>
          <w:sz w:val="24"/>
        </w:rPr>
        <w:t>3. Implement Well-Being Programs for Staff and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reduce the incidence of lifestyle-related and mental health disorders through preventive education and wellness engagement.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fitness, yoga, and mindfulness sessions regularly as part of campus life.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mental health support systems, including counselling cells, peer support groups, and stress management workshops.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Observe World Health Days (Mental Health Day, Yoga Day, Cancer Awareness Day) to reinforce health promotion themes.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sports participation, recreational clubs, and wellness challenges to promote active living.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Monitor program outcomes through wellness surveys, attendance data, and periodic health audits.</w:t>
      </w:r>
    </w:p>
    <w:p>
      <w:pPr>
        <w:spacing w:before="200" w:after="120"/>
      </w:pPr>
      <w:r>
        <w:rPr>
          <w:rFonts w:ascii="Cambria" w:hAnsi="Cambria" w:eastAsia="Cambria"/>
          <w:b/>
          <w:i w:val="0"/>
          <w:color w:val="1F3A5F"/>
          <w:sz w:val="24"/>
        </w:rPr>
        <w:t>4. Implement "Eat Right" Policies on Campus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promote healthy dietary habits and ensure safe, nutritious, and sustainable food options within institutional cafeterias.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FSSAI's Eat Right Campus initiative to adopt certified food safety and nutrition standards.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Enforce policies that encourage low-sugar, low-salt, and trans-fat-free foods in canteens.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locally sourced, seasonal, and plant-based meals to support environmental and personal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nutrition awareness campaigns, cooking demonstrations, and food label literacy workshops.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Ban or restrict the sale of junk food, sugary drinks, and processed snacks on campus premises.</w:t>
      </w:r>
    </w:p>
    <w:p>
      <w:pPr>
        <w:spacing w:before="200" w:after="120"/>
      </w:pPr>
      <w:r>
        <w:rPr>
          <w:rFonts w:ascii="Cambria" w:hAnsi="Cambria" w:eastAsia="Cambria"/>
          <w:b/>
          <w:i w:val="0"/>
          <w:color w:val="1F3A5F"/>
          <w:sz w:val="24"/>
        </w:rPr>
        <w:t>5. Ensure Safe Practices for Handling Hazardous Substances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protect the health and safety of students, staff, and the environment from exposure to hazardous materials used in laboratories and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and enforce standard operating procedures (SOPs) for the handling, storage, and disposal of chemicals, biological materials, and e-waste.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safety audits and risk assessments periodically in all laboratories and research centres.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Train students, researchers, and technical staff in occupational safety protocols, including emergency response, first aid, and waste segregation.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Install proper ventilation, eye wash stations, and fire safety equipment in labs and hazardous zones.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certified waste management agencies to ensure compliance with environmental safety regulations.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awareness and participation in preventive vaccination and testing programs, reducing risk of HPV-related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healthcare accessibility and establishment of self-sustaining wellness ecosystems within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mental well-being and productivity among students and staff through proactive wellness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Safe, sustainable, and nutritionally conscious food environments that align with national health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occupational health and laboratory safety culture, minimizing risk from hazardous exposures.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Target 3.3 by addressing communicable diseases through testing, vaccination, and health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3.4 (reducing premature mortality from non-communicable diseases) and SDG 3.9 (reducing deaths from hazardous chemicals and pollution).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12 (Responsible Consumption and Production) through sustainable food policies and SDG 13 (Climate Action) via eco-friendly waste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Fosters a health-first institutional culture, transforming HEIs into models of sustainable and resilient communities.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implementing structured initiatives for disease prevention, mental wellness, healthy diets, and environmental safety, HEIs can significantly contribute to the achievement of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measures transform educational institutions into living laboratories of public health and sustainability, empowering both students and faculty to lead by example in promoting holistic well-being and sustainable health practices.</w:t>
      </w:r>
    </w:p>
    <w:p>
      <w:pPr>
        <w:spacing w:before="360" w:after="200"/>
      </w:pPr>
      <w:r>
        <w:rPr>
          <w:rFonts w:ascii="Cambria" w:hAnsi="Cambria" w:eastAsia="Cambria"/>
          <w:b/>
          <w:i w:val="0"/>
          <w:color w:val="1F3A5F"/>
          <w:sz w:val="32"/>
        </w:rPr>
        <w:t>33. SDG-3 Target 3.4 and Minimal Recommended Actions for Higher Education Institutions (HEIs): Reducing Non-Communicable Diseases and Promoting Mental Well-Being</w:t>
      </w:r>
    </w:p>
    <w:p>
      <w:pPr>
        <w:spacing w:line="276" w:lineRule="auto" w:after="120"/>
      </w:pPr>
      <w:r>
        <w:rPr>
          <w:rFonts w:ascii="Cambria" w:hAnsi="Cambria" w:eastAsia="Cambria"/>
          <w:b w:val="0"/>
          <w:i w:val="0"/>
          <w:sz w:val="22"/>
        </w:rPr>
        <w:t>SDG-3 Target 3.4:</w:t>
      </w:r>
    </w:p>
    <w:p>
      <w:pPr>
        <w:spacing w:line="276" w:lineRule="auto" w:after="120"/>
      </w:pPr>
      <w:r>
        <w:rPr>
          <w:rFonts w:ascii="Cambria" w:hAnsi="Cambria" w:eastAsia="Cambria"/>
          <w:b w:val="0"/>
          <w:i/>
          <w:sz w:val="22"/>
        </w:rPr>
        <w:t>"By 2030, reduce by one-third premature mortality from non-communicable diseases (NCDs) through prevention and treatment and promote mental health and well-being."</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enable Higher Education Institutions (HEIs) to foster a culture of physical fitness, emotional resilience, and moral strength among students and staff.</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encourage the establishment of institutional wellness infrastructure, mental health support systems, and value-based educational programs that nurture holistic human development.</w:t>
      </w:r>
    </w:p>
    <w:p>
      <w:pPr>
        <w:spacing w:line="276" w:lineRule="auto" w:after="120"/>
      </w:pPr>
      <w:r>
        <w:rPr>
          <w:rFonts w:ascii="Cambria" w:hAnsi="Cambria" w:eastAsia="Cambria"/>
          <w:b w:val="0"/>
          <w:i w:val="0"/>
          <w:sz w:val="22"/>
        </w:rPr>
        <w:t>Minimal Recommended Actions for HEIs</w:t>
      </w:r>
    </w:p>
    <w:p>
      <w:pPr>
        <w:spacing w:before="200" w:after="120"/>
      </w:pPr>
      <w:r>
        <w:rPr>
          <w:rFonts w:ascii="Cambria" w:hAnsi="Cambria" w:eastAsia="Cambria"/>
          <w:b/>
          <w:i w:val="0"/>
          <w:color w:val="1F3A5F"/>
          <w:sz w:val="24"/>
        </w:rPr>
        <w:t>1. Establish Health Centres, Yoga Centres, Vyayam Shalas, and Gyms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provide easy access to physical health and wellness facilities for students, faculty, and local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on-campus health and fitness centres equipped with yoga halls, gyms, and exercise areas to encourage regular physical activity.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Yoga Centres and Vyayam Shalas (traditional exercise facilities) in collaboration with the Ministry of AYUSH or recognized yoga institutions.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daily or weekly yoga and fitness sessions as part of campus routine, involving trained instructors.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health check-up units and counselling spaces within campus health centres.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Extend services to local residents through outreach programs, promoting a culture of fitness beyond the institution.</w:t>
      </w:r>
    </w:p>
    <w:p>
      <w:pPr>
        <w:spacing w:before="200" w:after="120"/>
      </w:pPr>
      <w:r>
        <w:rPr>
          <w:rFonts w:ascii="Cambria" w:hAnsi="Cambria" w:eastAsia="Cambria"/>
          <w:b/>
          <w:i w:val="0"/>
          <w:color w:val="1F3A5F"/>
          <w:sz w:val="24"/>
        </w:rPr>
        <w:t>2. Promote Physical Activities among Adolescents and Youth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instill lifelong habits of physical exercise and active living, thereby reducing the risk of lifestyle-related diseases such as obesity, diabetes, and hypertension.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Include mandatory sports and physical education hours in the curriculum.</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annual health and fitness events, marathons, cycling rallies, and intercollegiate sports competitions.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local sports organizations for training and talent development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fitness assessments and personalized exercise plans for students through campus health centres.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awareness campaigns on the benefits of physical activity through posters, digital media, and student clubs.</w:t>
      </w:r>
    </w:p>
    <w:p>
      <w:pPr>
        <w:spacing w:before="200" w:after="120"/>
      </w:pPr>
      <w:r>
        <w:rPr>
          <w:rFonts w:ascii="Cambria" w:hAnsi="Cambria" w:eastAsia="Cambria"/>
          <w:b/>
          <w:i w:val="0"/>
          <w:color w:val="1F3A5F"/>
          <w:sz w:val="24"/>
        </w:rPr>
        <w:t>3. Establish Programs to Reduce Frustration, Guilt, and Depression; Boost Emotional and Social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address rising mental health challenges among youth by promoting emotional intelligence, self-awareness, and positive thinking.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Yoga, Meditation, and Counselling Centres in every HEI to promote both physical and mental well-being.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Implement mindfulness, stress management, and emotional balance programs for students and faculty.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Appoint trained psychologists, counsellors, and peer mentors to handle academic stress, relationship issues, and personal crises.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mental health awareness campaigns focusing on topics like anxiety, self-esteem, burnout, and emotional regulation.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mental health organizations and helplines for continuous support and emergency referrals.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Art Therapy, Music Therapy, and Group Reflection Sessions as alternative wellness approaches.</w:t>
      </w:r>
    </w:p>
    <w:p>
      <w:pPr>
        <w:spacing w:before="200" w:after="120"/>
      </w:pPr>
      <w:r>
        <w:rPr>
          <w:rFonts w:ascii="Cambria" w:hAnsi="Cambria" w:eastAsia="Cambria"/>
          <w:b/>
          <w:i w:val="0"/>
          <w:color w:val="1F3A5F"/>
          <w:sz w:val="24"/>
        </w:rPr>
        <w:t>4. Initiatives for Character Building and Value-Based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nurture ethical leadership, empathy, and civic responsibility among students, complementing academic excellence with moral integrity.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value-based education modules into curricula focusing on compassion, integrity, social awareness, and community service.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leadership and personality development workshops to enhance self-confidence and teamwork skills.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volunteerism, social outreach, and environmental stewardship through NSS, NCC, and student clubs.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life-skills training programs that develop critical thinking, decision-making, and emotional intelligence.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Invite eminent thinkers, spiritual leaders, and social reformers for motivational talks and interactive sessions.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Recognize and reward students demonstrating ethical behavior, empathy, and community service.</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physical fitness levels and reduction in risk of non-communicable diseases (NCDs) among youth.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emotional resilience, optimism, and mental health stability within campus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inclusive wellness ecosystems where students and staff feel supported, valued, and inspired.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participation in sports, yoga, and physical wellness programs, leading to a culture of preventive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Development of socially responsible, value-driven graduates who contribute to community well-being and national development.</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3.4 directly by reducing premature mortality through preventive health measures and promoting mental wellness.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4.7 (Education for Sustainable Development) through value-based and holistic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16 (Peace, Justice, and Strong Institutions) by fostering emotional stability, ethical conduct, and social harmony.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17 (Partnerships for the Goals) through collaboration with health organizations, yoga institutes, and NGOs for program delivery.</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establishing wellness infrastructure, mental health programs, and value-based education systems, HEIs become models of holistic development that balance physical health, emotional intelligence, and moral integrity.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initiatives empower youth to lead purposeful, resilient, and health-conscious lives, ensuring that higher education contributes not only to intellectual growth but also to sustainable human well-being, in line with SDG-3: Good Health and Well-Being.</w:t>
      </w:r>
    </w:p>
    <w:p>
      <w:pPr>
        <w:spacing w:before="360" w:after="200"/>
      </w:pPr>
      <w:r>
        <w:rPr>
          <w:rFonts w:ascii="Cambria" w:hAnsi="Cambria" w:eastAsia="Cambria"/>
          <w:b/>
          <w:i w:val="0"/>
          <w:color w:val="1F3A5F"/>
          <w:sz w:val="32"/>
        </w:rPr>
        <w:t>34. SDG-3 Target 3.5 and Minimal Recommended Actions for Higher Education Institutions (HEIs): Prevention and Treatment of Substance Abuse and Drug Addiction</w:t>
      </w:r>
    </w:p>
    <w:p>
      <w:pPr>
        <w:spacing w:line="276" w:lineRule="auto" w:after="120"/>
      </w:pPr>
      <w:r>
        <w:rPr>
          <w:rFonts w:ascii="Cambria" w:hAnsi="Cambria" w:eastAsia="Cambria"/>
          <w:b w:val="0"/>
          <w:i w:val="0"/>
          <w:sz w:val="22"/>
        </w:rPr>
        <w:t>SDG-3 Target 3.5:</w:t>
      </w:r>
    </w:p>
    <w:p>
      <w:pPr>
        <w:spacing w:line="276" w:lineRule="auto" w:after="120"/>
      </w:pPr>
      <w:r>
        <w:rPr>
          <w:rFonts w:ascii="Cambria" w:hAnsi="Cambria" w:eastAsia="Cambria"/>
          <w:b w:val="0"/>
          <w:i/>
          <w:sz w:val="22"/>
        </w:rPr>
        <w:t>"Strengthen the prevention and treatment of substance abuse, including narcotic drug abuse and harmful use of alcohol."</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engage Higher Education Institutions (HEIs) in combating substance abuse through education, monitoring, counselling, and rehabilitation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create drug-free, safe, and psychologically healthy campuses by integrating preventive education, enforcement mechanisms, and socio-psychological care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that HEIs become centres of awareness and behavioral change, promoting a culture of health, responsibility, and social consciousness among youth.</w:t>
      </w:r>
    </w:p>
    <w:p>
      <w:pPr>
        <w:spacing w:line="276" w:lineRule="auto" w:after="120"/>
      </w:pPr>
      <w:r>
        <w:rPr>
          <w:rFonts w:ascii="Cambria" w:hAnsi="Cambria" w:eastAsia="Cambria"/>
          <w:b w:val="0"/>
          <w:i w:val="0"/>
          <w:sz w:val="22"/>
        </w:rPr>
        <w:t>Minimal Recommended Actions for HEIs</w:t>
      </w:r>
    </w:p>
    <w:p>
      <w:pPr>
        <w:spacing w:before="200" w:after="120"/>
      </w:pPr>
      <w:r>
        <w:rPr>
          <w:rFonts w:ascii="Cambria" w:hAnsi="Cambria" w:eastAsia="Cambria"/>
          <w:b/>
          <w:i w:val="0"/>
          <w:color w:val="1F3A5F"/>
          <w:sz w:val="24"/>
        </w:rPr>
        <w:t>1. Organize Mass Awareness Programs on Drug Addiction and Its Harmful Effects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educate students about the physical, psychological, and social consequences of substance abuse and addiction.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drug abuse awareness campaigns, seminars, and workshops under the theme "Say No to Drugs – Yes to Life."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state and central narcotics control agencies, health departments, and NGOs to deliver impactful awareness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Include interactive sessions, street plays, debates, and short film screenings that portray real-life consequences of drug abuse.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Observe International Day Against Drug Abuse and Illicit Trafficking (June 26) annually with institutional participation.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Disseminate educational materials such as posters, leaflets, and digital content across campuses to continuously reinforce awareness.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substance abuse education into orientation programs and value-based learning courses for all new students.</w:t>
      </w:r>
    </w:p>
    <w:p>
      <w:pPr>
        <w:spacing w:before="200" w:after="120"/>
      </w:pPr>
      <w:r>
        <w:rPr>
          <w:rFonts w:ascii="Cambria" w:hAnsi="Cambria" w:eastAsia="Cambria"/>
          <w:b/>
          <w:i w:val="0"/>
          <w:color w:val="1F3A5F"/>
          <w:sz w:val="24"/>
        </w:rPr>
        <w:t>2. Ensure Police Patrolling and Surprise Checking in Hostels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maintain discipline, prevent illegal substance use, and ensure safety within hostel premises.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Coordinate with local police departments to schedule periodic patrols and surprise inspections in hostels and nearby student accommodations.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joint anti-drug task forces comprising faculty advisors, student representatives, and local law enforcement officers.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Install CCTV surveillance and security checks at hostel entry points to detect illegal activities.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anonymous reporting mechanisms for students to safely inform authorities about drug-related incidents.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Maintain zero-tolerance policies for substance possession, use, or distribution on campus.</w:t>
      </w:r>
    </w:p>
    <w:p>
      <w:pPr>
        <w:spacing w:before="200" w:after="120"/>
      </w:pPr>
      <w:r>
        <w:rPr>
          <w:rFonts w:ascii="Cambria" w:hAnsi="Cambria" w:eastAsia="Cambria"/>
          <w:b/>
          <w:i w:val="0"/>
          <w:color w:val="1F3A5F"/>
          <w:sz w:val="24"/>
        </w:rPr>
        <w:t>3. Establish Counselling Cells for Socio-Psychological and Spiritual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address the psychological and emotional factors that contribute to drug addiction and to provide support for recovery.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Set up dedicated counselling cells staffed by trained psychologists, counsellors, and wellness experts.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Offer individual and group counselling sessions focusing on stress management, peer pressure, and emotional resilience.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spiritual well-being programs, meditation workshops, and personality development sessions to promote inner strength and positive thinking.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confidential counselling protocols to ensure privacy and encourage affected individuals to seek help voluntarily.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Train faculty mentors to identify early warning signs of substance abuse among students and refer them to counsellors.</w:t>
      </w:r>
    </w:p>
    <w:p>
      <w:pPr>
        <w:spacing w:before="200" w:after="120"/>
      </w:pPr>
      <w:r>
        <w:rPr>
          <w:rFonts w:ascii="Cambria" w:hAnsi="Cambria" w:eastAsia="Cambria"/>
          <w:b/>
          <w:i w:val="0"/>
          <w:color w:val="1F3A5F"/>
          <w:sz w:val="24"/>
        </w:rPr>
        <w:t>4. Collaborate with Psychotherapy and Medical Health Care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create a networked approach to addiction prevention and treatment by combining academic, medical, and community expertise.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Form MoUs with nearby psychotherapy, rehabilitation, and mental health care centres for referral and joint support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joint health camps and de-addiction drives in collaboration with hospitals and government health agencies.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Facilitate medical screening and detoxification support for students identified with substance-related disorders.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Invite experts in psychiatry, clinical psychology, and social work for guest lectures and therapy workshops.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community outreach programs where HEIs help local schools and villages run anti-drug campaigns.</w:t>
      </w:r>
    </w:p>
    <w:p>
      <w:pPr>
        <w:spacing w:before="200" w:after="120"/>
      </w:pPr>
      <w:r>
        <w:rPr>
          <w:rFonts w:ascii="Cambria" w:hAnsi="Cambria" w:eastAsia="Cambria"/>
          <w:b/>
          <w:i w:val="0"/>
          <w:color w:val="1F3A5F"/>
          <w:sz w:val="24"/>
        </w:rPr>
        <w:t>5. Identify and Monitor Drug Addiction Cases and Conduct Socio-Psychological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detect early-stage addiction cases and conduct continuous research for data-driven policy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drug monitoring committees in HEIs to identify, track, and support affected individuals confidentially.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anonymous self-reporting systems and student health surveys to gather early indicators of substance use trends.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academic research studies on substance abuse patterns, causes, and preventive strategies among youth populations.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Publish research findings in national journals and share recommendations with policymakers for evidence-based interventions.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Use research outcomes to design targeted mental health and awareness programs for high-risk groups within campuses.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Heightened awareness and preventive behavior regarding drug and alcohol abuse among students and staff.</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campus security, safety, and law enforcement collaboration to curb illegal substance distribution.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access to counselling, rehabilitation, and psychological support for affected individuals.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production of academic research and data supporting national anti-drug policies.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a zero-tolerance, health-promoting educational environment emphasizing wellness and social responsibility.</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Target 3.5 by enhancing prevention, monitoring, and treatment of substance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3.4 (Mental Health Promotion) through counselling and emotional well-being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16 (Peace, Justice, and Strong Institutions) by fostering safe, ethical, and disciplined campus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SDG 17 (Partnerships for the Goals) by promoting collaboration between HEIs, healthcare systems, law enforcement, and NGOs.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sustained awareness, counselling, and community collaboration, HEIs can act as powerful agents of social reform in the fight against drug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Establishing integrated systems for education, prevention, enforcement, and rehabilitation will help build drug-free campuses and healthier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institutionalizing these efforts, HEIs make a direct and lasting contribution to SDG-3: Good Health and Well-Being, nurturing youth who are mentally strong, socially aware, and capable of leading responsible lives.</w:t>
      </w:r>
    </w:p>
    <w:p>
      <w:pPr>
        <w:spacing w:before="360" w:after="200"/>
      </w:pPr>
      <w:r>
        <w:rPr>
          <w:rFonts w:ascii="Cambria" w:hAnsi="Cambria" w:eastAsia="Cambria"/>
          <w:b/>
          <w:i w:val="0"/>
          <w:color w:val="1F3A5F"/>
          <w:sz w:val="32"/>
        </w:rPr>
        <w:t>35. SDG-3 Target 3.6 and Minimal Recommended Actions for Higher Education Institutions (HEIs): Reducing Injuries and Deaths from Road Accidents through Training and Safety Education</w:t>
      </w:r>
    </w:p>
    <w:p>
      <w:pPr>
        <w:spacing w:line="276" w:lineRule="auto" w:after="120"/>
      </w:pPr>
      <w:r>
        <w:rPr>
          <w:rFonts w:ascii="Cambria" w:hAnsi="Cambria" w:eastAsia="Cambria"/>
          <w:b w:val="0"/>
          <w:i w:val="0"/>
          <w:sz w:val="22"/>
        </w:rPr>
        <w:t>SDG-3 Target 3.6:</w:t>
      </w:r>
    </w:p>
    <w:p>
      <w:pPr>
        <w:spacing w:line="276" w:lineRule="auto" w:after="120"/>
      </w:pPr>
      <w:r>
        <w:rPr>
          <w:rFonts w:ascii="Cambria" w:hAnsi="Cambria" w:eastAsia="Cambria"/>
          <w:b w:val="0"/>
          <w:i/>
          <w:sz w:val="22"/>
        </w:rPr>
        <w:t>"By 2030, halve the number of global deaths and injuries from road traffic accidents."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empower Higher Education Institutions (HEIs) to contribute directly to road safety awareness, emergency response training, and community preparedness.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students, faculty, and staff are equipped with essential first aid, accident prevention, and life-saving skills, thereby reducing road-related fatalities and injuries in their surrounding communities.</w:t>
      </w:r>
    </w:p>
    <w:p>
      <w:pPr>
        <w:spacing w:line="276" w:lineRule="auto" w:after="120"/>
      </w:pPr>
      <w:r>
        <w:rPr>
          <w:rFonts w:ascii="Cambria" w:hAnsi="Cambria" w:eastAsia="Cambria"/>
          <w:b w:val="0"/>
          <w:i w:val="0"/>
          <w:sz w:val="22"/>
        </w:rPr>
        <w:t>Minimal Recommended Actions for HEIs</w:t>
      </w:r>
    </w:p>
    <w:p>
      <w:pPr>
        <w:spacing w:before="200" w:after="120"/>
      </w:pPr>
      <w:r>
        <w:rPr>
          <w:rFonts w:ascii="Cambria" w:hAnsi="Cambria" w:eastAsia="Cambria"/>
          <w:b/>
          <w:i w:val="0"/>
          <w:color w:val="1F3A5F"/>
          <w:sz w:val="24"/>
        </w:rPr>
        <w:t>1. Training of Students in Emergency First Aid Procedures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enable students to provide immediate assistance in road accidents and medical emergencies, saving lives during the critical "golden hour."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Incorporate Basic Life Support (BLS) and First Aid Training modules into academic curricula across all disciplines.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Red Cross Societies, National Disaster Management Authority (NDMA), local hospitals, and St. John Ambulance Association to deliver certified first aid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hands-on workshops on emergency response, including: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CPR (Cardiopulmonary Resuscitation) techniques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Bleeding control and wound dressing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Fracture management and immobilization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Handling burns, head injuries, and shock</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Safe transport of accident victims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Equip university health centres and campus vehicles with first aid kits and stretchers for rapid response to emergencies.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the formation of student emergency response teams (SERTs) on campus to assist during accidents or disasters.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annual refresher training and drills for students, staff, and transport drivers.</w:t>
      </w:r>
    </w:p>
    <w:p>
      <w:pPr>
        <w:spacing w:before="200" w:after="120"/>
      </w:pPr>
      <w:r>
        <w:rPr>
          <w:rFonts w:ascii="Cambria" w:hAnsi="Cambria" w:eastAsia="Cambria"/>
          <w:b/>
          <w:i w:val="0"/>
          <w:color w:val="1F3A5F"/>
          <w:sz w:val="24"/>
        </w:rPr>
        <w:t>2. Introduce Road Safety Training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promote awareness, responsible behavior, and adherence to traffic safety norms among students and the community, thereby reducing accident rates.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Road Safety Education as a part of orientation programs or as a short-term certificate course.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Regional Transport Offices (RTOs), Traffic Police Departments, and Highway Safety Authorities to deliver road safety lectures and simulation sessions.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Install road safety signage, pedestrian crossings, and speed control mechanisms within and around the campus.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awareness drives and campaigns such as "Safe Drive, Save Life," "Helmet &amp; Seatbelt Day," and "No Mobile While Driving."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Involve students from engineering, social sciences, and management disciplines in designing road safety models, research studies, and behavioral analysis projects.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Celebrate National Road Safety Week (January) through exhibitions, quiz competitions, and street theatre on traffic safety themes.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Engage campus transportation units and student drivers in defensive driving workshops.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Publish annual campus safety audits and accident reports for continuous monitoring and improvement.</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first-response capacity among students and staff during medical emergencies or accidents.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awareness of road safety norms, leading to responsible behavior among young drivers and pedestrians.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number of accidents, injuries, and fatalities in and around educational campuses.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institutional image as a socially responsible, safety-conscious educational environment.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linkages between HEIs and public health, police, and transport departments for collaborative safety interventions.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 3.6 by fostering preventive education and rapid emergency response.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11.2 (Sustainable Transport Systems) through the promotion of safe, inclusive, and accessible mobility.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4.7 (Education for Sustainable Development) by building life skills, responsibility, and community safety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Encourages SDG 17 (Partnerships for the Goals) by promoting joint efforts between HEIs, government, and civic institutions.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structured training in first aid and road safety, HEIs can play a transformative role in reducing road traffic injuries and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equipping students with life-saving skills and responsible attitudes, institutions not only enhance individual competence but also contribute to safer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initiatives align with the global vision of SDG-3: Good Health and Well-Being, fostering a generation that values safety, empathy, and civic responsibility in daily life.</w:t>
      </w:r>
    </w:p>
    <w:p>
      <w:pPr>
        <w:spacing w:before="360" w:after="200"/>
      </w:pPr>
      <w:r>
        <w:rPr>
          <w:rFonts w:ascii="Cambria" w:hAnsi="Cambria" w:eastAsia="Cambria"/>
          <w:b/>
          <w:i w:val="0"/>
          <w:color w:val="1F3A5F"/>
          <w:sz w:val="32"/>
        </w:rPr>
        <w:t>36. SDG-3 Target 3.7 and Minimal Recommended Actions for Higher Education Institutions (HEIs): Ensuring Access to Sexual and Reproductive Health Services for Women</w:t>
      </w:r>
    </w:p>
    <w:p>
      <w:pPr>
        <w:spacing w:line="276" w:lineRule="auto" w:after="120"/>
      </w:pPr>
      <w:r>
        <w:rPr>
          <w:rFonts w:ascii="Cambria" w:hAnsi="Cambria" w:eastAsia="Cambria"/>
          <w:b w:val="0"/>
          <w:i w:val="0"/>
          <w:sz w:val="22"/>
        </w:rPr>
        <w:t>SDG-3 Target 3.7:</w:t>
      </w:r>
    </w:p>
    <w:p>
      <w:pPr>
        <w:spacing w:line="276" w:lineRule="auto" w:after="120"/>
      </w:pPr>
      <w:r>
        <w:rPr>
          <w:rFonts w:ascii="Cambria" w:hAnsi="Cambria" w:eastAsia="Cambria"/>
          <w:b w:val="0"/>
          <w:i/>
          <w:sz w:val="22"/>
        </w:rPr>
        <w:t>"By 2030, ensure universal access to sexual and reproductive health care services, including family planning, information and education, and the integration of reproductive health into national strategies and programs."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empower Higher Education Institutions (HEIs) to promote and provide access to female sexual and reproductive health (SRH) services and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create safe, informed, and inclusive environments where female students and staff can access reproductive healthcare without stigma, discrimination, or financial barriers.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awareness, prevention, and early intervention mechanisms for promoting women's health and well-being within and beyond campus communities.</w:t>
      </w:r>
    </w:p>
    <w:p>
      <w:pPr>
        <w:spacing w:line="276" w:lineRule="auto" w:after="120"/>
      </w:pPr>
      <w:r>
        <w:rPr>
          <w:rFonts w:ascii="Cambria" w:hAnsi="Cambria" w:eastAsia="Cambria"/>
          <w:b w:val="0"/>
          <w:i w:val="0"/>
          <w:sz w:val="22"/>
        </w:rPr>
        <w:t>Minimal Recommended Actions for HEIs</w:t>
      </w:r>
    </w:p>
    <w:p>
      <w:pPr>
        <w:spacing w:before="200" w:after="120"/>
      </w:pPr>
      <w:r>
        <w:rPr>
          <w:rFonts w:ascii="Cambria" w:hAnsi="Cambria" w:eastAsia="Cambria"/>
          <w:b/>
          <w:i w:val="0"/>
          <w:color w:val="1F3A5F"/>
          <w:sz w:val="24"/>
        </w:rPr>
        <w:t>1. Establish Reproductive Health Units within Campus Health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ensure that female students and staff have confidential, professional, and affordable access to reproductive health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dedicated SRH units within campus medical facilities staffed by qualified gynaecologists, nurses, and counsellors.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services for: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Menstrual health management (access to sanitary products and menstrual hygiene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Contraceptive counselling and distribution (condoms, oral contraceptives, and information on safe usage).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Pregnancy testing, preconception, and maternal health counselling.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Screening for sexually transmitted infections (STIs) including HPV and HIV testing.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privacy, dignity, and non-judgmental treatment during all consultations.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referral systems to nearby hospitals or government health centres for specialized care when needed.</w:t>
      </w:r>
    </w:p>
    <w:p>
      <w:pPr>
        <w:spacing w:before="200" w:after="120"/>
      </w:pPr>
      <w:r>
        <w:rPr>
          <w:rFonts w:ascii="Cambria" w:hAnsi="Cambria" w:eastAsia="Cambria"/>
          <w:b/>
          <w:i w:val="0"/>
          <w:color w:val="1F3A5F"/>
          <w:sz w:val="24"/>
        </w:rPr>
        <w:t>2. Conduct Awareness and Education Programs on Sexual and Reproductive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educate young women (and men) about safe sexual practices, reproductive rights, and preventive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seminars, workshops, and health talks led by medical experts and women's health organizations.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Reproductive Health and Hygiene Education into life-skill courses or value-based education modules.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Observe Menstrual Hygiene Day (May 28), World Contraception Day (September 26), and International Women's Health Day (May 28) through awareness campaigns.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Include male students in awareness sessions to promote mutual respect and understanding of gender-sensitive health issues.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Disseminate educational materials (brochures, posters, and digital media) focusing on STI prevention, consent, and safe reproductive practices.</w:t>
      </w:r>
    </w:p>
    <w:p>
      <w:pPr>
        <w:spacing w:before="200" w:after="120"/>
      </w:pPr>
      <w:r>
        <w:rPr>
          <w:rFonts w:ascii="Cambria" w:hAnsi="Cambria" w:eastAsia="Cambria"/>
          <w:b/>
          <w:i w:val="0"/>
          <w:color w:val="1F3A5F"/>
          <w:sz w:val="24"/>
        </w:rPr>
        <w:t>3. Ensure Access to Affordable and Hygienic Menstrual Care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promote menstrual hygiene as a basic health right and to remove the stigma surrounding menstruation.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Install sanitary napkin dispensers and incinerators in women's restrooms across the campus.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free or subsidized menstrual hygiene products to female students from economically weaker backgrounds.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awareness programs on menstrual health, nutrition during menstruation, and safe disposal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NGOs and local health departments for community-level outreach on menstrual health literacy.</w:t>
      </w:r>
    </w:p>
    <w:p>
      <w:pPr>
        <w:spacing w:before="200" w:after="120"/>
      </w:pPr>
      <w:r>
        <w:rPr>
          <w:rFonts w:ascii="Cambria" w:hAnsi="Cambria" w:eastAsia="Cambria"/>
          <w:b/>
          <w:i w:val="0"/>
          <w:color w:val="1F3A5F"/>
          <w:sz w:val="24"/>
        </w:rPr>
        <w:t>4. Offer Confidential Counselling and Mental Health Support for Women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address the emotional, psychological, and social dimensions of reproductive and sexual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Women's Counselling Cells within HEIs offering confidential guidance on relationship stress, reproductive decisions, and emotional well-being.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Employ trained female counsellors and mental health professionals to provide gender-sensitive support.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group therapy and self-awareness sessions focusing on body positivity, reproductive rights, and consent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that counselling services are non-discriminatory, inclusive, and accessible to all women, including those from marginalized communities.</w:t>
      </w:r>
    </w:p>
    <w:p>
      <w:pPr>
        <w:spacing w:before="200" w:after="120"/>
      </w:pPr>
      <w:r>
        <w:rPr>
          <w:rFonts w:ascii="Cambria" w:hAnsi="Cambria" w:eastAsia="Cambria"/>
          <w:b/>
          <w:i w:val="0"/>
          <w:color w:val="1F3A5F"/>
          <w:sz w:val="24"/>
        </w:rPr>
        <w:t>5. Collaboration and Research in Women's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strengthen institutional capacity for evidence-based interventions and policy advocacy in reproductive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government health departments, WHO, UNFPA, and local NGOs to implement SRH awareness and service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interdisciplinary research in women's health, reproductive rights, and menstrual hygiene management.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Publish findings and case studies to influence policy, campus governance, and health education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student-led women's health clubs to drive peer education and outreach initiatives.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access to reproductive healthcare and reduction in health risks such as STIs, unplanned pregnancies, and menstrual disorders.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awareness of sexual health, hygiene, and reproductive rights among young women.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mental and emotional well-being through counselling and gender-sensitive support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institutional commitment to women's empowerment and gender equality.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inclusive, stigma-free educational environments where women's health is prioritized as part of overall development.</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3.7 by promoting universal access to reproductive health services and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5 (Gender Equality) by empowering women with health autonomy and informed reproductive choices.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4.7 (Education for Sustainable Development) by integrating health and well-being education into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10 (Reduced Inequalities) by ensuring equitable access to reproductive care for all women, including those from rural or disadvantaged backgrounds.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providing comprehensive reproductive health services, education, and counselling, HEIs become powerful platforms for advancing women's health and empowerment.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Institutionalizing these services not only ensures compliance with SDG-3 (Good Health and Well-Being) but also fosters a culture of care, respect, and inclusivity that benefits both female students and society at large.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continuous awareness, accessibility, and collaboration, HEIs can play a transformative role in building healthier, more equitable, and gender-sensitive learning environments across India.</w:t>
      </w:r>
    </w:p>
    <w:p>
      <w:pPr>
        <w:spacing w:before="360" w:after="200"/>
      </w:pPr>
      <w:r>
        <w:rPr>
          <w:rFonts w:ascii="Cambria" w:hAnsi="Cambria" w:eastAsia="Cambria"/>
          <w:b/>
          <w:i w:val="0"/>
          <w:color w:val="1F3A5F"/>
          <w:sz w:val="32"/>
        </w:rPr>
        <w:t>37. SDG-3 Target 3.8 and Minimal Recommended Actions for Higher Education Institutions (HEIs): Ensuring Universal Health Coverage and Financial Protection for Employees</w:t>
      </w:r>
    </w:p>
    <w:p>
      <w:pPr>
        <w:spacing w:line="276" w:lineRule="auto" w:after="120"/>
      </w:pPr>
      <w:r>
        <w:rPr>
          <w:rFonts w:ascii="Cambria" w:hAnsi="Cambria" w:eastAsia="Cambria"/>
          <w:b w:val="0"/>
          <w:i w:val="0"/>
          <w:sz w:val="22"/>
        </w:rPr>
        <w:t>SDG-3 Target 3.8:</w:t>
      </w:r>
    </w:p>
    <w:p>
      <w:pPr>
        <w:spacing w:line="276" w:lineRule="auto" w:after="120"/>
      </w:pPr>
      <w:r>
        <w:rPr>
          <w:rFonts w:ascii="Cambria" w:hAnsi="Cambria" w:eastAsia="Cambria"/>
          <w:b w:val="0"/>
          <w:i/>
          <w:sz w:val="22"/>
        </w:rPr>
        <w:t>"Achieve universal health coverage, including financial risk protection, access to quality essential healthcare services, and access to safe, effective, quality, and affordable essential medicines and vaccines for all."</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enable Higher Education Institutions (HEIs) to contribute to universal health coverage (UHC) by ensuring that all employees—teaching and non-teaching—have access to comprehensive, affordable, and quality healthcare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institutional practices that safeguard the physical, mental, and financial well-being of employees and their families, aligning with the broader national and global public health agenda under SDG-3: Good Health and Well-Being.</w:t>
      </w:r>
    </w:p>
    <w:p>
      <w:pPr>
        <w:spacing w:line="276" w:lineRule="auto" w:after="120"/>
      </w:pPr>
      <w:r>
        <w:rPr>
          <w:rFonts w:ascii="Cambria" w:hAnsi="Cambria" w:eastAsia="Cambria"/>
          <w:b w:val="0"/>
          <w:i w:val="0"/>
          <w:sz w:val="22"/>
        </w:rPr>
        <w:t>Minimal Recommended Action for HEIs</w:t>
      </w:r>
    </w:p>
    <w:p>
      <w:pPr>
        <w:spacing w:before="200" w:after="120"/>
      </w:pPr>
      <w:r>
        <w:rPr>
          <w:rFonts w:ascii="Cambria" w:hAnsi="Cambria" w:eastAsia="Cambria"/>
          <w:b/>
          <w:i w:val="0"/>
          <w:color w:val="1F3A5F"/>
          <w:sz w:val="24"/>
        </w:rPr>
        <w:t>1. Provide Free or Subsidized Health Cover for Employees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protect employees from financial hardship caused by medical expenses and ensure timely access to healthcare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Implement a comprehensive health insurance policy that covers all categories of staff—academic, administrative, technical, and contractual employees.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Offer cashless medical facilities through partnerships with recognized hospitals and healthcare providers.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Cover essential medical services such 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Outpatient and inpatient 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Maternity and child healthcare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Emergency and surgical treatments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Preventive check-ups and vaccinations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full or partial premium payment by the institution for lower-income or contractual employees to guarantee equitable access.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Extend family coverage to include dependents (spouse, children, and parents), enhancing social protection.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Regularly review and update insurance policies to include new medical conditions, telemedicine options, and mental health consultations.</w:t>
      </w:r>
    </w:p>
    <w:p>
      <w:pPr>
        <w:spacing w:line="276" w:lineRule="auto" w:after="120"/>
        <w:ind w:left="720"/>
      </w:pPr>
      <w:r>
        <w:rPr>
          <w:rFonts w:ascii="Cambria" w:hAnsi="Cambria" w:eastAsia="Cambria"/>
          <w:b w:val="0"/>
          <w:i w:val="0"/>
          <w:sz w:val="22"/>
        </w:rPr>
        <w:t xml:space="preserve">o  </w:t>
      </w:r>
      <w:r>
        <w:rPr>
          <w:rFonts w:ascii="Cambria" w:hAnsi="Cambria" w:eastAsia="Cambria"/>
          <w:b w:val="0"/>
          <w:i w:val="0"/>
          <w:sz w:val="22"/>
        </w:rPr>
        <w:t xml:space="preserve">Collaborate with public sector health schemes such as </w:t>
      </w:r>
      <w:r>
        <w:rPr>
          <w:rFonts w:ascii="Cambria" w:hAnsi="Cambria" w:eastAsia="Cambria"/>
          <w:b w:val="0"/>
          <w:i/>
          <w:sz w:val="22"/>
        </w:rPr>
        <w:t>Ayushman Bharat</w:t>
      </w:r>
      <w:r>
        <w:rPr>
          <w:rFonts w:ascii="Cambria" w:hAnsi="Cambria" w:eastAsia="Cambria"/>
          <w:b w:val="0"/>
          <w:i w:val="0"/>
          <w:sz w:val="22"/>
        </w:rPr>
        <w:t xml:space="preserve">, </w:t>
      </w:r>
      <w:r>
        <w:rPr>
          <w:rFonts w:ascii="Cambria" w:hAnsi="Cambria" w:eastAsia="Cambria"/>
          <w:b w:val="0"/>
          <w:i/>
          <w:sz w:val="22"/>
        </w:rPr>
        <w:t>Employees' State Insurance (ESI)</w:t>
      </w:r>
      <w:r>
        <w:rPr>
          <w:rFonts w:ascii="Cambria" w:hAnsi="Cambria" w:eastAsia="Cambria"/>
          <w:b w:val="0"/>
          <w:i w:val="0"/>
          <w:sz w:val="22"/>
        </w:rPr>
        <w:t xml:space="preserve">, or </w:t>
      </w:r>
      <w:r>
        <w:rPr>
          <w:rFonts w:ascii="Cambria" w:hAnsi="Cambria" w:eastAsia="Cambria"/>
          <w:b w:val="0"/>
          <w:i/>
          <w:sz w:val="22"/>
        </w:rPr>
        <w:t>Central Government Health Scheme (CGHS)</w:t>
      </w:r>
      <w:r>
        <w:rPr>
          <w:rFonts w:ascii="Cambria" w:hAnsi="Cambria" w:eastAsia="Cambria"/>
          <w:b w:val="0"/>
          <w:i w:val="0"/>
          <w:sz w:val="22"/>
        </w:rPr>
        <w:t xml:space="preserve"> where applicable.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a dedicated health benefit committee to manage claims, monitor service quality, and ensure transparency in implementation.</w:t>
      </w:r>
    </w:p>
    <w:p>
      <w:pPr>
        <w:spacing w:before="200" w:after="120"/>
      </w:pPr>
      <w:r>
        <w:rPr>
          <w:rFonts w:ascii="Cambria" w:hAnsi="Cambria" w:eastAsia="Cambria"/>
          <w:b/>
          <w:i w:val="0"/>
          <w:color w:val="1F3A5F"/>
          <w:sz w:val="24"/>
        </w:rPr>
        <w:t>2. Establish Institutional Health and Wellness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complement insurance coverage with accessible on-campus healthcare services for employees.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Set up a campus health centre equipped with general physicians, nurses, and first-aid facilities.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Offer free annual health check-ups and preventive screenings (blood pressure, sugar levels, cholesterol, etc.) for employees.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Maintain digital health records for easy access and follow-up 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wellness programs, including yoga sessions, stress management workshops, and lifestyle modification guidance.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tie-ups with local diagnostic centres and hospitals for advanced investigations at negotiated institutional rates.</w:t>
      </w:r>
    </w:p>
    <w:p>
      <w:pPr>
        <w:spacing w:before="200" w:after="120"/>
      </w:pPr>
      <w:r>
        <w:rPr>
          <w:rFonts w:ascii="Cambria" w:hAnsi="Cambria" w:eastAsia="Cambria"/>
          <w:b/>
          <w:i w:val="0"/>
          <w:color w:val="1F3A5F"/>
          <w:sz w:val="24"/>
        </w:rPr>
        <w:t>3. Promote Preventive and Mental Health Care for Employees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address the holistic well-being of employees by including mental and emotional health in institutional health strategies.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mental health counselling sessions, meditation programs, and awareness talks on work-life balance and emotional resilience.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Offer Employee Assistance Programs (EAPs) providing confidential counselling for stress, burnout, or family-related issues.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routine health awareness drives on nutrition, exercise, and lifestyle diseases.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Observe World Health Day, World Mental Health Day, and National Wellness Week through health education campaigns.</w:t>
      </w:r>
    </w:p>
    <w:p>
      <w:pPr>
        <w:spacing w:before="200" w:after="120"/>
      </w:pPr>
      <w:r>
        <w:rPr>
          <w:rFonts w:ascii="Cambria" w:hAnsi="Cambria" w:eastAsia="Cambria"/>
          <w:b/>
          <w:i w:val="0"/>
          <w:color w:val="1F3A5F"/>
          <w:sz w:val="24"/>
        </w:rPr>
        <w:t>4. Integrate Health Benefits into Institutional Policy Frameworks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institutionalize healthcare as a fundamental employee right rather than a discretionary benefit.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Incorporate health cover provisions into HR manuals, service rules, and employment contracts.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Make health coverage a mandatory inclusion during recruitment or contract renewal processes.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Allocate annual budgetary provisions under the institutional welfare fund for healthcare initiatives.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Monitor annual health utilization reports to assess employee health trends and improve policy responsiveness.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Recognize and reward departments that actively promote employee well-being and safety.</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Guaranteed financial risk protection and reduced out-of-pocket expenditure for all employees.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employee morale, productivity, and retention due to enhanced workplace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preventive healthcare adoption, leading to early diagnosis and reduced disease burden.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Stronger institutional reputation as a health-promoting and employee-friendly organization.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Greater alignment with national health policies and international sustainable development frameworks.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 3.8 by providing universal health coverage at the institutional level.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8 (Decent Work and Economic Growth) by promoting safe, healthy, and sustainable working conditions.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10 (Reduced Inequalities) by ensuring equal health access for all categories of staff.</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17 (Partnerships for the Goals) through collaborations with healthcare providers and public health agencies.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providing free or subsidized health cover, HEIs can serve as models of social responsibility and sustainability, ensuring that every employee enjoys access to quality healthcare without financial strain.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measures transform campuses into healthy, equitable, and productive ecosystems, directly advancing the global agenda of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 doing so, HEIs not only safeguard their workforce but also demonstrate leadership in building inclusive and health-secure institutions that uphold the well-being of all stakeholders.</w:t>
      </w:r>
    </w:p>
    <w:p>
      <w:pPr>
        <w:spacing w:before="360" w:after="200"/>
      </w:pPr>
      <w:r>
        <w:rPr>
          <w:rFonts w:ascii="Cambria" w:hAnsi="Cambria" w:eastAsia="Cambria"/>
          <w:b/>
          <w:i w:val="0"/>
          <w:color w:val="1F3A5F"/>
          <w:sz w:val="32"/>
        </w:rPr>
        <w:t>38. SDG-3 Target 3.9 and Minimal Recommended Actions for Higher Education Institutions (HEIs): Ensuring Healthy Environments through Cleanliness, Waste Management, and Pollution Control</w:t>
      </w:r>
    </w:p>
    <w:p>
      <w:pPr>
        <w:spacing w:line="276" w:lineRule="auto" w:after="120"/>
      </w:pPr>
      <w:r>
        <w:rPr>
          <w:rFonts w:ascii="Cambria" w:hAnsi="Cambria" w:eastAsia="Cambria"/>
          <w:b w:val="0"/>
          <w:i w:val="0"/>
          <w:sz w:val="22"/>
        </w:rPr>
        <w:t>SDG-3 Target 3.9:</w:t>
      </w:r>
    </w:p>
    <w:p>
      <w:pPr>
        <w:spacing w:line="276" w:lineRule="auto" w:after="120"/>
      </w:pPr>
      <w:r>
        <w:rPr>
          <w:rFonts w:ascii="Cambria" w:hAnsi="Cambria" w:eastAsia="Cambria"/>
          <w:b w:val="0"/>
          <w:i/>
          <w:sz w:val="22"/>
        </w:rPr>
        <w:t>"By 2030, substantially reduce the number of deaths and illnesses from hazardous chemicals and air, water, and soil pollution and contamination."</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environmental health, cleanliness, and pollution-free campuses as an integral part of institutional responsibility toward achieving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that HEIs adopt scientifically sound waste disposal systems and embed the principles of Swachh Bharat Mission (SBM) into academic, social, and outreach activities.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build a culture of environmental consciousness and preventive health through student-led social participation and safe laboratory practices.</w:t>
      </w:r>
    </w:p>
    <w:p>
      <w:pPr>
        <w:spacing w:line="276" w:lineRule="auto" w:after="120"/>
      </w:pPr>
      <w:r>
        <w:rPr>
          <w:rFonts w:ascii="Cambria" w:hAnsi="Cambria" w:eastAsia="Cambria"/>
          <w:b w:val="0"/>
          <w:i w:val="0"/>
          <w:sz w:val="22"/>
        </w:rPr>
        <w:t>Minimal Recommended Actions for HEIs</w:t>
      </w:r>
    </w:p>
    <w:p>
      <w:pPr>
        <w:spacing w:before="200" w:after="120"/>
      </w:pPr>
      <w:r>
        <w:rPr>
          <w:rFonts w:ascii="Cambria" w:hAnsi="Cambria" w:eastAsia="Cambria"/>
          <w:b/>
          <w:i w:val="0"/>
          <w:color w:val="1F3A5F"/>
          <w:sz w:val="24"/>
        </w:rPr>
        <w:t>1. Implement 'Swachh Bharat Mission' as a Social Activity in Each Degree Program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integrate cleanliness, sanitation, and community hygiene into the core educational experience, promoting behavioral transformation and civic responsibility among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"Swachh Bharat Mission (SBM)" activities as part of the curriculum or social engagement component for every degree program (undergraduate and postgraduate).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students to participate in campus and community cleanliness drives, including waste segregation, plastic reduction, and beautification initiatives.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awareness campaigns in surrounding villages, schools, and urban localities to promote cleanliness, hygiene, and safe sanitation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local municipal bodies, NGOs, and Swachh Bharat Abhiyan offices to organize regular clean-up events and environmental workshops.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Include service-learning credits or marks for participation in SBM-related projects.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Celebrate Gandhi Jayanti (October 2) and World Environment Day (June 5) by conducting mass cleanliness campaigns across the campus.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student-led Green and Swachh Clubs to maintain ongoing hygiene and waste management initiatives throughout the academic year.</w:t>
      </w:r>
    </w:p>
    <w:p>
      <w:pPr>
        <w:spacing w:before="200" w:after="120"/>
      </w:pPr>
      <w:r>
        <w:rPr>
          <w:rFonts w:ascii="Cambria" w:hAnsi="Cambria" w:eastAsia="Cambria"/>
          <w:b/>
          <w:i w:val="0"/>
          <w:color w:val="1F3A5F"/>
          <w:sz w:val="24"/>
        </w:rPr>
        <w:t>2. Ensure Proper Chemical Waste Disposal Systems in All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safeguard human health and the environment from chemical exposure and contamination resulting from laboratory and research activities.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and implement a Chemical Waste Management Policy adhering to Environment, Health, and Safety (EH&amp;S) guidelines.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Classify and label hazardous and non-hazardous wastes generated from teaching laboratories, research units, and maintenance departments.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separate containment and collection units for chemical waste, biological waste, and e-waste across laboratories.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designated storage areas for temporary holding of hazardous materials before disposal or treatment.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authorized hazardous waste management agencies and local environmental boards for safe transportation and disposal.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Train faculty, lab technicians, and students in safe handling, segregation, and disposal protocols.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eco-friendly laboratory practices, such as the use of green solvents, micro-scale experiments, and waste minimization techniques.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Install chemical fume hoods and emergency wash stations in all laboratories to ensure occupational safety.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biannual safety audits and maintain compliance with national environmental safety regulations.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Display safety signage, Material Safety Data Sheets (MSDS), and disposal instructions prominently in all laboratory spaces.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student participation in national cleanliness and hygiene missions, leading to sustained community engagement.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clean, pollution-free, and health-promoting campus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in chemical and laboratory-related health risks through proper waste segregation and disposal.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compliance with environmental and health safety standards, ensuring institutional accountability.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Development of a generation of eco-conscious graduates committed to public health, sustainability, and environmental stewardship.</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3.9 by minimizing pollution-related health hazards and exposure to hazardous chemicals.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6.3 (Clean Water and Sanitation) through proper wastewater and chemical waste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11.6 (Sustainable Cities and Communities) by promoting waste reduction and sanitation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12.4 (Responsible Consumption and Production) through the adoption of environmentally sound waste management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13 (Climate Action) by reducing environmental degradation and promoting sustainability-oriented behaviors.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institutionalizing Swachh Bharat Mission activities and implementing robust chemical waste disposal systems, HEIs can act as epicentres of environmental and public health transformation.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initiatives not only ensure compliance with EH&amp;S standards but also instill in students a deep sense of social responsibility and environmental ethics.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education, awareness, and sustainable action, HEIs contribute significantly to the vision of a cleaner, healthier, and more sustainable India, aligning directly with SDG-3: Good Health and Well-Being and its allied sustainability goals.</w:t>
      </w:r>
    </w:p>
    <w:p>
      <w:pPr>
        <w:spacing w:before="360" w:after="200"/>
      </w:pPr>
      <w:r>
        <w:rPr>
          <w:rFonts w:ascii="Cambria" w:hAnsi="Cambria" w:eastAsia="Cambria"/>
          <w:b/>
          <w:i w:val="0"/>
          <w:color w:val="1F3A5F"/>
          <w:sz w:val="32"/>
        </w:rPr>
        <w:t>39. Proposed Research Agenda for Higher Education Institutions (HEIs) and Governmental Bodies under SDG-3: Good Health and Well-Being</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guide Higher Education Institutions (HEIs) and governmental agencies in developing a focused, evidence-based research roadmap aligned with Sustainable Development Goal 3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innovation, interdisciplinary collaboration, and policy-relevant studies aimed at improving public health systems, healthcare access, environmental health, and preventive medicine.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encourage the integration of SDG principles into curriculum design, academic research, and institutional strategy for sustainable societal transformation.</w:t>
      </w:r>
    </w:p>
    <w:p>
      <w:pPr>
        <w:spacing w:line="276" w:lineRule="auto" w:after="120"/>
      </w:pPr>
      <w:r>
        <w:rPr>
          <w:rFonts w:ascii="Cambria" w:hAnsi="Cambria" w:eastAsia="Cambria"/>
          <w:b w:val="0"/>
          <w:i w:val="0"/>
          <w:sz w:val="22"/>
        </w:rPr>
        <w:t>Proposed Research Areas for HEIs</w:t>
      </w:r>
    </w:p>
    <w:p>
      <w:pPr>
        <w:spacing w:before="200" w:after="120"/>
      </w:pPr>
      <w:r>
        <w:rPr>
          <w:rFonts w:ascii="Cambria" w:hAnsi="Cambria" w:eastAsia="Cambria"/>
          <w:b/>
          <w:i w:val="0"/>
          <w:color w:val="1F3A5F"/>
          <w:sz w:val="24"/>
        </w:rPr>
        <w:t>1. Public Health Systems and Preventive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research on the effectiveness of preventive health interventions such as vaccination programs, maternal care, and community health awareness campaigns.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Evaluate primary healthcare delivery models, focusing on affordability, accessibility, and quality of services in rural and urban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Study disease surveillance systems and their integration with technology for early detection and outbreak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community-based health indicators for assessing local and regional well-being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comparative studies on traditional medicine and modern healthcare systems to enhance integrative health policy design.</w:t>
      </w:r>
    </w:p>
    <w:p>
      <w:pPr>
        <w:spacing w:before="200" w:after="120"/>
      </w:pPr>
      <w:r>
        <w:rPr>
          <w:rFonts w:ascii="Cambria" w:hAnsi="Cambria" w:eastAsia="Cambria"/>
          <w:b/>
          <w:i w:val="0"/>
          <w:color w:val="1F3A5F"/>
          <w:sz w:val="24"/>
        </w:rPr>
        <w:t>2. Mental Health, Well-Being, and Youth Resilience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Investigate the prevalence, causes, and coping strategies for mental health issues among adolescents and higher education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Assess the impact of digital learning, social media, and urban stressors on mental wellness.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evidence-based frameworks for counselling, peer support, and institutional mental health policies.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Explore the role of yoga, meditation, and mindfulness practices in improving emotional resilience and cognitive performance.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Study long-term effects of lifestyle habits such as sleep, nutrition, and exercise on youth well-being.</w:t>
      </w:r>
    </w:p>
    <w:p>
      <w:pPr>
        <w:spacing w:before="200" w:after="120"/>
      </w:pPr>
      <w:r>
        <w:rPr>
          <w:rFonts w:ascii="Cambria" w:hAnsi="Cambria" w:eastAsia="Cambria"/>
          <w:b/>
          <w:i w:val="0"/>
          <w:color w:val="1F3A5F"/>
          <w:sz w:val="24"/>
        </w:rPr>
        <w:t>3. Health Education, Awareness, and SDG Integration in Curriculum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Redesign undergraduate and postgraduate curricula to include Health Education, Sustainable Development, and Social Responsibility modules.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studies on the impact of curriculum-based SDG education on student awareness, behavior, and career choices.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Evaluate MOOCs and digital learning platforms as tools for promoting health literacy and SDG-focused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teaching frameworks and evaluation rubrics for integrating SDG-3 concepts into classroom learning across disciplines.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Research the pedagogical outcomes of community-based learning initiatives such as fieldwork, health camps, and social internships.</w:t>
      </w:r>
    </w:p>
    <w:p>
      <w:pPr>
        <w:spacing w:before="200" w:after="120"/>
      </w:pPr>
      <w:r>
        <w:rPr>
          <w:rFonts w:ascii="Cambria" w:hAnsi="Cambria" w:eastAsia="Cambria"/>
          <w:b/>
          <w:i w:val="0"/>
          <w:color w:val="1F3A5F"/>
          <w:sz w:val="24"/>
        </w:rPr>
        <w:t>4. Environmental and Occupational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Study the relationship between environmental degradation (air, water, soil pollution) and public health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Research sustainable models for chemical waste management, clean water access, and eco-campus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Evaluate occupational health and safety conditions for workers in educational, industrial, and agricultural settings.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early-warning systems for pollution-related diseases and climate-induced health risks.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Examine the long-term health impacts of urbanization and industrialization through data-driven studies.</w:t>
      </w:r>
    </w:p>
    <w:p>
      <w:pPr>
        <w:spacing w:before="200" w:after="120"/>
      </w:pPr>
      <w:r>
        <w:rPr>
          <w:rFonts w:ascii="Cambria" w:hAnsi="Cambria" w:eastAsia="Cambria"/>
          <w:b/>
          <w:i w:val="0"/>
          <w:color w:val="1F3A5F"/>
          <w:sz w:val="24"/>
        </w:rPr>
        <w:t>5. Technology and Digital Health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Explore Artificial Intelligence (AI), Machine Learning (ML), and Big Data Analytics applications for disease prediction, telemedicine, and personalized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studies on the effectiveness of e-health platforms in improving access to healthcare in underserved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Research the adoption and user behavior of mobile health (mHealth) applications among students and rural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interdisciplinary collaborations between computer science, public health, and biomedical engineering departments to design scalable digital health tools.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prototypes for affordable wearable health monitoring devices and conduct pilot implementation studies.</w:t>
      </w:r>
    </w:p>
    <w:p>
      <w:pPr>
        <w:spacing w:before="200" w:after="120"/>
      </w:pPr>
      <w:r>
        <w:rPr>
          <w:rFonts w:ascii="Cambria" w:hAnsi="Cambria" w:eastAsia="Cambria"/>
          <w:b/>
          <w:i w:val="0"/>
          <w:color w:val="1F3A5F"/>
          <w:sz w:val="24"/>
        </w:rPr>
        <w:t>6. Gender and Reproductive Health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gender-sensitive studies focusing on female reproductive health, menstrual hygiene, and maternal health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Analyze policy gaps and implementation barriers in access to sexual and reproductive healthcare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Research the role of education, awareness, and socio-cultural practices in influencing women's health behaviors.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collaborative projects between HEIs and public health departments to improve health outcomes among women and marginalized communities.</w:t>
      </w:r>
    </w:p>
    <w:p>
      <w:pPr>
        <w:spacing w:before="200" w:after="120"/>
      </w:pPr>
      <w:r>
        <w:rPr>
          <w:rFonts w:ascii="Cambria" w:hAnsi="Cambria" w:eastAsia="Cambria"/>
          <w:b/>
          <w:i w:val="0"/>
          <w:color w:val="1F3A5F"/>
          <w:sz w:val="24"/>
        </w:rPr>
        <w:t>7. Nutrition, Lifestyle, and Non-Communicable Diseases (NCDs)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Study the dietary patterns and nutrition-related risk factors contributing to obesity, diabetes, and cardiovascular diseases among youth.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Evaluate the effectiveness of Eat Right Campus initiatives in improving nutritional habits.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research on food safety, sustainable agriculture, and micronutrient deficiencies.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studies linking physical activity, lifestyle management, and long-term health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Design and test institutional wellness models that combine diet, physical activity, and stress management programs.</w:t>
      </w:r>
    </w:p>
    <w:p>
      <w:pPr>
        <w:spacing w:line="276" w:lineRule="auto" w:after="120"/>
      </w:pPr>
      <w:r>
        <w:rPr>
          <w:rFonts w:ascii="Cambria" w:hAnsi="Cambria" w:eastAsia="Cambria"/>
          <w:b w:val="0"/>
          <w:i w:val="0"/>
          <w:sz w:val="22"/>
        </w:rPr>
        <w:t>Proposed Research Collaborations for Government and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Governmental Bodies: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Ministry of Health and Family Welfare (MoHFW), ICMR, NITI Aayog, AICTE, UGC, and AYUSH for policy-linked research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Utilize funding under National Health Mission (NHM) and Rashtriya Uchchatar Shiksha Abhiyan (RUSA) to support SDG-based research in universities.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joint data-sharing frameworks for health research, enabling real-time data collection and policy evaluation.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Create National Health Research Networks linking HEIs, hospitals, and local governments for collaborative projects.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Inter-HEI and Global Collaborations: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international universities through UNESCO Chairs, WHO Collaborating Centres, and SDG Academies.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joint publications, global conferences, and online courses on SDG-3 themes.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faculty exchange programs for global knowledge sharing in public health, environmental health, and sustainable education.</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evidence base for health policy and community-based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of SDG-3 principles into higher education curricula and research priorities.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interdisciplinary and inter-institutional collaboration in health and sustainability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Empowerment of students as health-conscious, socially responsible, and sustainability-oriented citizens.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Tangible contribution to national and global health indicators through research-driven policy innovations.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alignment of academic research with SDG-3 targets ensures that HEIs not only generate knowledge but also translate it into social impact.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redesigning curricula, fostering innovation, and strengthening partnerships, HEIs and governmental bodies can co-create a research ecosystem focused on sustainable health, equity,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integrated research agenda represents a critical step toward realizing the 2030 Vision for Good Health and Well-Being, reinforcing the role of education and research as the foundation of sustainable development.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