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mbria" w:hAnsi="Cambria"/>
          <w:b/>
          <w:color w:val="FF0000"/>
          <w:sz w:val="56"/>
        </w:rPr>
        <w:t>SDG-4: Quality Education</w:t>
      </w:r>
    </w:p>
    <w:p>
      <w:pPr>
        <w:spacing w:after="80"/>
        <w:jc w:val="center"/>
      </w:pPr>
      <w:r>
        <w:rPr>
          <w:rFonts w:ascii="Cambria" w:hAnsi="Cambria"/>
          <w:b/>
          <w:color w:val="FF0000"/>
          <w:sz w:val="56"/>
        </w:rPr>
        <w:t>in Higher Education Institutions</w:t>
      </w:r>
    </w:p>
    <w:p>
      <w:pPr>
        <w:spacing w:before="200" w:after="600"/>
        <w:jc w:val="center"/>
      </w:pPr>
      <w:r>
        <w:rPr>
          <w:rFonts w:ascii="Cambria" w:hAnsi="Cambria"/>
          <w:b/>
          <w:sz w:val="28"/>
        </w:rPr>
        <w:t>Aligning with NAAC, NIRF, NBA, and QS I-GAUGE Frameworks  —  Part 1 of 2</w:t>
      </w:r>
    </w:p>
    <w:p/>
    <w:p/>
    <w:p/>
    <w:p/>
    <w:p>
      <w:pPr>
        <w:spacing w:after="40"/>
      </w:pPr>
      <w:r>
        <w:rPr>
          <w:rFonts w:ascii="Cambria" w:hAnsi="Cambria"/>
          <w:b/>
          <w:sz w:val="24"/>
        </w:rPr>
        <w:t>Dr Venkata Rama Krishna Tottempudi</w:t>
      </w:r>
    </w:p>
    <w:p>
      <w:pPr>
        <w:spacing w:after="40"/>
      </w:pPr>
      <w:r>
        <w:rPr>
          <w:rFonts w:ascii="Cambria" w:hAnsi="Cambria"/>
          <w:b/>
          <w:sz w:val="24"/>
        </w:rPr>
        <w:t>Professor, Avanthi Institute of Engineering &amp; Technology</w:t>
      </w:r>
    </w:p>
    <w:p/>
    <w:p>
      <w:pPr>
        <w:spacing w:after="40"/>
      </w:pPr>
      <w:r>
        <w:rPr>
          <w:rFonts w:ascii="Cambria" w:hAnsi="Cambria"/>
          <w:b/>
          <w:sz w:val="24"/>
        </w:rPr>
        <w:t>Sai Saran Tottempudi</w:t>
      </w:r>
    </w:p>
    <w:p>
      <w:pPr>
        <w:spacing w:after="40"/>
      </w:pPr>
      <w:r>
        <w:rPr>
          <w:rFonts w:ascii="Cambria" w:hAnsi="Cambria"/>
          <w:b/>
          <w:sz w:val="24"/>
        </w:rPr>
        <w:t>Lecturer, Avanthi Institute of Engineering &amp; Technology</w:t>
      </w:r>
    </w:p>
    <w:p/>
    <w:p>
      <w:r>
        <w:br w:type="page"/>
      </w:r>
    </w:p>
    <w:p>
      <w:pPr>
        <w:spacing w:before="240" w:after="120"/>
        <w:jc w:val="left"/>
      </w:pPr>
      <w:r>
        <w:rPr>
          <w:rFonts w:ascii="Cambria" w:hAnsi="Cambria"/>
          <w:b/>
          <w:color w:val="1F3A5F"/>
          <w:sz w:val="28"/>
        </w:rPr>
        <w:t>ACKNOWLEDGEMENT</w:t>
      </w:r>
    </w:p>
    <w:p>
      <w:pPr>
        <w:spacing w:after="120"/>
        <w:jc w:val="both"/>
      </w:pPr>
      <w:r>
        <w:rPr>
          <w:rFonts w:ascii="Cambria" w:hAnsi="Cambria"/>
          <w:b w:val="0"/>
          <w:i w:val="0"/>
          <w:sz w:val="22"/>
        </w:rPr>
        <w:t>The authors gratefully acknowledge the visionary leadership of the Government of India and the Ministry of Education (MoE) for their continued commitment to advancing the United Nations Sustainable Development Goal 4 (SDG-4): Quality Education within the national higher education landscape. The formulation of the National Education Policy 2020 (NEP-2020) has been a landmark step in translating the global aspirations of inclusive, equitable, and lifelong learning into the Indian context.</w:t>
      </w:r>
    </w:p>
    <w:p>
      <w:pPr>
        <w:spacing w:after="120"/>
        <w:jc w:val="both"/>
      </w:pPr>
      <w:r>
        <w:rPr>
          <w:rFonts w:ascii="Cambria" w:hAnsi="Cambria"/>
          <w:b w:val="0"/>
          <w:i w:val="0"/>
          <w:sz w:val="22"/>
        </w:rPr>
        <w:t>Sincere appreciation is extended to the University Grants Commission (UGC), All India Council for Technical Education (AICTE), National Assessment and Accreditation Council (NAAC), National Board of Accreditation (NBA), and the National Institutional Ranking Framework (NIRF) for embedding SDG-4 parameters into accreditation, evaluation, and ranking systems—thereby ensuring that quality and sustainability remain central to institutional growth and governance.</w:t>
      </w:r>
    </w:p>
    <w:p>
      <w:pPr>
        <w:spacing w:after="120"/>
        <w:jc w:val="both"/>
      </w:pPr>
      <w:r>
        <w:rPr>
          <w:rFonts w:ascii="Cambria" w:hAnsi="Cambria"/>
          <w:b w:val="0"/>
          <w:i w:val="0"/>
          <w:sz w:val="22"/>
        </w:rPr>
        <w:t>The contribution of NITI Aayog, NCERT, SCERTs, and State Higher Education Councils in creating convergence among policy, practice, and performance monitoring is also duly recognized. Their collaborative frameworks have helped translate SDG-4 targets into measurable national milestones.</w:t>
      </w:r>
    </w:p>
    <w:p>
      <w:pPr>
        <w:spacing w:after="120"/>
        <w:jc w:val="both"/>
      </w:pPr>
      <w:r>
        <w:rPr>
          <w:rFonts w:ascii="Cambria" w:hAnsi="Cambria"/>
          <w:b w:val="0"/>
          <w:i w:val="0"/>
          <w:sz w:val="22"/>
        </w:rPr>
        <w:t>Gratitude is also extended to Vice-Chancellors, Principals, IQAC Coordinators, Faculty Members, and Administrative Leaders of various Higher Education Institutions who have embraced the responsibility of aligning teaching, research, extension, and governance processes with SDG-4. Their innovation and perseverance continue to strengthen India's position as a global advocate of sustainable, inclusive, and technology-enabled education.</w:t>
      </w:r>
    </w:p>
    <w:p>
      <w:pPr>
        <w:spacing w:after="120"/>
        <w:jc w:val="both"/>
      </w:pPr>
      <w:r>
        <w:rPr>
          <w:rFonts w:ascii="Cambria" w:hAnsi="Cambria"/>
          <w:b w:val="0"/>
          <w:i w:val="0"/>
          <w:sz w:val="22"/>
        </w:rPr>
        <w:t>Special thanks are due to the United Nations Educational, Scientific and Cultural Organization (UNESCO), the United Nations Development Programme (UNDP), and other international partners for providing frameworks, indicators, and best practices that have guided the national adaptation of SDG-4 within higher education ecosystems.</w:t>
      </w:r>
    </w:p>
    <w:p/>
    <w:p>
      <w:pPr>
        <w:spacing w:after="120"/>
        <w:jc w:val="both"/>
      </w:pPr>
      <w:r>
        <w:rPr>
          <w:rFonts w:ascii="Cambria" w:hAnsi="Cambria"/>
          <w:sz w:val="22"/>
        </w:rPr>
        <w:t xml:space="preserve">My heartfelt thanks to </w:t>
      </w:r>
      <w:r>
        <w:rPr>
          <w:rFonts w:ascii="Cambria" w:hAnsi="Cambria"/>
          <w:b/>
          <w:sz w:val="22"/>
        </w:rPr>
        <w:t>Smt. M. Gnaneshwari, Chairperson -AIET,</w:t>
      </w:r>
      <w:r>
        <w:rPr>
          <w:rFonts w:ascii="Cambria" w:hAnsi="Cambria"/>
          <w:sz w:val="22"/>
        </w:rPr>
        <w:t xml:space="preserve"> for his constant encouragement, and to </w:t>
      </w:r>
      <w:r>
        <w:rPr>
          <w:rFonts w:ascii="Cambria" w:hAnsi="Cambria"/>
          <w:b/>
          <w:sz w:val="22"/>
        </w:rPr>
        <w:t>Sri. M. Srinivasa Rao,</w:t>
      </w:r>
      <w:r>
        <w:rPr>
          <w:rFonts w:ascii="Cambria" w:hAnsi="Cambria"/>
          <w:sz w:val="22"/>
        </w:rPr>
        <w:t xml:space="preserve"> Ex Minister Govt. Of AP, Member of Legislative Assembly, Bheemili., for providing the necessary facilities and support to bring this book to completion.</w:t>
      </w:r>
    </w:p>
    <w:p>
      <w:pPr>
        <w:spacing w:after="120"/>
        <w:jc w:val="both"/>
      </w:pPr>
      <w:r>
        <w:rPr>
          <w:rFonts w:ascii="Cambria" w:hAnsi="Cambria"/>
          <w:sz w:val="22"/>
        </w:rPr>
        <w:t xml:space="preserve">In addition, I gratefully acknowledge the support of </w:t>
      </w:r>
      <w:r>
        <w:rPr>
          <w:rFonts w:ascii="Cambria" w:hAnsi="Cambria"/>
          <w:b/>
          <w:sz w:val="22"/>
        </w:rPr>
        <w:t>Dr. A.Chandra Sekhar and Dr.B.Murali Krishna</w:t>
      </w:r>
      <w:r>
        <w:rPr>
          <w:rFonts w:ascii="Cambria" w:hAnsi="Cambria"/>
          <w:sz w:val="22"/>
        </w:rPr>
        <w:t>, whose contributions have been invaluable.</w:t>
      </w:r>
    </w:p>
    <w:p>
      <w:pPr>
        <w:spacing w:after="120"/>
        <w:jc w:val="both"/>
      </w:pPr>
      <w:r>
        <w:rPr>
          <w:rFonts w:ascii="Cambria" w:hAnsi="Cambria"/>
          <w:sz w:val="22"/>
        </w:rPr>
        <w:t xml:space="preserve">Most importantly, I must thank my wife and best friend, </w:t>
      </w:r>
      <w:r>
        <w:rPr>
          <w:rFonts w:ascii="Cambria" w:hAnsi="Cambria"/>
          <w:b/>
          <w:sz w:val="22"/>
        </w:rPr>
        <w:t>Sailaja Tottempudi</w:t>
      </w:r>
      <w:r>
        <w:rPr>
          <w:rFonts w:ascii="Cambria" w:hAnsi="Cambria"/>
          <w:sz w:val="22"/>
        </w:rPr>
        <w:t>, for her unwavering support and strength through every phase of this journey.</w:t>
      </w:r>
    </w:p>
    <w:p>
      <w:pPr>
        <w:spacing w:after="120"/>
        <w:jc w:val="both"/>
      </w:pPr>
      <w:r>
        <w:rPr>
          <w:rFonts w:ascii="Cambria" w:hAnsi="Cambria"/>
          <w:b w:val="0"/>
          <w:i w:val="0"/>
          <w:sz w:val="22"/>
        </w:rPr>
        <w:t>Finally, I express my deep gratitude to my family and well-wishers for their continuous encouragement and moral support throughout this endeavor.</w:t>
      </w:r>
    </w:p>
    <w:p>
      <w:pPr>
        <w:spacing w:after="120"/>
        <w:jc w:val="both"/>
      </w:pPr>
      <w:r>
        <w:rPr>
          <w:rFonts w:ascii="Cambria" w:hAnsi="Cambria"/>
          <w:b w:val="0"/>
          <w:i w:val="0"/>
          <w:sz w:val="22"/>
        </w:rPr>
        <w:t>This book is a humble contribution toward building a more quality-conscious, outcome-oriented, and institutionally accountable higher education ecosystem in India.</w:t>
      </w:r>
    </w:p>
    <w:p/>
    <w:p>
      <w:pPr>
        <w:spacing w:after="120"/>
        <w:jc w:val="both"/>
      </w:pPr>
      <w:r>
        <w:rPr>
          <w:rFonts w:ascii="Cambria" w:hAnsi="Cambria"/>
          <w:b/>
          <w:i w:val="0"/>
          <w:sz w:val="22"/>
        </w:rPr>
        <w:t>Dr. V. Rama Krishna Tottempudi</w:t>
      </w:r>
    </w:p>
    <w:p>
      <w:pPr>
        <w:spacing w:after="120"/>
        <w:jc w:val="both"/>
      </w:pPr>
      <w:r>
        <w:rPr>
          <w:rFonts w:ascii="Cambria" w:hAnsi="Cambria"/>
          <w:b/>
          <w:i w:val="0"/>
          <w:sz w:val="22"/>
        </w:rPr>
        <w:t>Sai Saran Tottempudi</w:t>
      </w:r>
    </w:p>
    <w:p>
      <w:r>
        <w:br w:type="page"/>
      </w:r>
    </w:p>
    <w:p>
      <w:pPr>
        <w:spacing w:before="240" w:after="120"/>
        <w:jc w:val="left"/>
      </w:pPr>
      <w:r>
        <w:rPr>
          <w:rFonts w:ascii="Cambria" w:hAnsi="Cambria"/>
          <w:b/>
          <w:color w:val="1F3A5F"/>
          <w:sz w:val="28"/>
        </w:rPr>
        <w:t>About Dr. T. V. Rama Krishna</w:t>
      </w:r>
    </w:p>
    <w:p>
      <w:pPr>
        <w:spacing w:after="120"/>
        <w:jc w:val="both"/>
      </w:pPr>
      <w:r>
        <w:rPr>
          <w:rFonts w:ascii="Cambria" w:hAnsi="Cambria"/>
          <w:b w:val="0"/>
          <w:i w:val="0"/>
          <w:sz w:val="22"/>
        </w:rPr>
        <w:t>Dr. T. V. Rama Krishna is a distinguished academician, researcher, and administrator with 25 years of teaching experience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He has successfully guided 5 Ph.D. scholars and continues to serve as a recognized research supervisor at Andhra University, JNTU Ananthapuram, Koneru Lakshmaiah Education Foundation (KLEF) University, and Sri Chandrasekharendra Saraswathi Viswa Mahavidyalaya University. His supervision has fostered high-quality research outcomes in engineering, technology, and applied sciences.</w:t>
      </w:r>
    </w:p>
    <w:p>
      <w:pPr>
        <w:spacing w:after="120"/>
        <w:jc w:val="both"/>
      </w:pPr>
      <w:r>
        <w:rPr>
          <w:rFonts w:ascii="Cambria" w:hAnsi="Cambria"/>
          <w:b w:val="0"/>
          <w:i w:val="0"/>
          <w:sz w:val="22"/>
        </w:rPr>
        <w:t>Dr. Rama Krishna is a prolific researcher with an extensive publication record of 97 research papers, including 50 indexed in Scopus and 3 in SCI journals. His research expertise is widely recognized, and his profile can be accessed here: Scopus Author ID – 56397099300.</w:t>
      </w:r>
    </w:p>
    <w:p>
      <w:pPr>
        <w:spacing w:after="120"/>
        <w:jc w:val="both"/>
      </w:pPr>
      <w:r>
        <w:rPr>
          <w:rFonts w:ascii="Cambria" w:hAnsi="Cambria"/>
          <w:b w:val="0"/>
          <w:i w:val="0"/>
          <w:sz w:val="22"/>
        </w:rPr>
        <w:t>Dr. T. V. Rama Krishna has held several distinguished academic and administrative positions across reputed institutions in Andhra Pradesh and Telangana. At Sanketika Vidya Parishad Engineering College (SVPEC), he served as the Ratified Principal from Andhra University, where he also took on responsibilities as Dean of Academics, Ratified Professor, and Member Secretary of the Governing Body, a statutory body under UGC. He later contributed as the Ratified Principal from JNTU, Hyderabad at Bharat Institute of Engineering and Technology (BIET), where his primary duties included serving as Dean of Academics and Member Secretary of the Governing Body.</w:t>
      </w:r>
    </w:p>
    <w:p>
      <w:pPr>
        <w:spacing w:after="120"/>
        <w:jc w:val="both"/>
      </w:pPr>
      <w:r>
        <w:rPr>
          <w:rFonts w:ascii="Cambria" w:hAnsi="Cambria"/>
          <w:b w:val="0"/>
          <w:i w:val="0"/>
          <w:sz w:val="22"/>
        </w:rPr>
        <w:t>At Sasi Institute of Technology and Engineering (SITE), he functioned as a Ratified Professor from JNTUK, Kakinada, while also serving as Principal and Dean of Academics. His statutory and governance roles at SITE included Governing Body Member, Academic Council Member Secretary, BoS Member, Finance Committee Coordinator, Planning &amp; Development Committee Coordinator, NAAC Coordinator, IQAC Coordinator, and NBA Coordinator, reflecting his extensive expertise in quality assurance and institutional governance.</w:t>
      </w:r>
    </w:p>
    <w:p>
      <w:pPr>
        <w:spacing w:after="120"/>
        <w:jc w:val="both"/>
      </w:pPr>
      <w:r>
        <w:rPr>
          <w:rFonts w:ascii="Cambria" w:hAnsi="Cambria"/>
          <w:b w:val="0"/>
          <w:i w:val="0"/>
          <w:sz w:val="22"/>
        </w:rPr>
        <w:t>At Koneru Lakshmaiah College of Engineering (KLCE) / KLEF University, Dr. Rama Krishna contributed as a Ratified Professor, Director of e-Resources, Associate Dean of Academics, and Associate Dean of Library Resources &amp; Technical Services and Certificate Courses. Additionally, he served as Professor In-Charge of Certificate Courses and the Central Library, while also holding statutory roles as Academic Council Member and BoS Member under UGC guidelines.</w:t>
      </w:r>
    </w:p>
    <w:p>
      <w:pPr>
        <w:spacing w:after="120"/>
        <w:jc w:val="both"/>
      </w:pPr>
      <w:r>
        <w:rPr>
          <w:rFonts w:ascii="Cambria" w:hAnsi="Cambria"/>
          <w:b w:val="0"/>
          <w:i w:val="0"/>
          <w:sz w:val="22"/>
        </w:rPr>
        <w:t>Earlier in his career, at R.V.R. &amp; J.C. College of Engineering, he was ratified as an Assistant Professor and subsequently promoted to Associate Professor under Acharya Nagarjuna University. During this period, he also served as NBA Criterion 7 In-Charge, focusing on infrastructure, facilities, and sustainability in accreditation processes.</w:t>
      </w:r>
    </w:p>
    <w:p>
      <w:pPr>
        <w:spacing w:after="120"/>
        <w:jc w:val="both"/>
      </w:pPr>
      <w:r>
        <w:rPr>
          <w:rFonts w:ascii="Cambria" w:hAnsi="Cambria"/>
          <w:b w:val="0"/>
          <w:i w:val="0"/>
          <w:sz w:val="22"/>
        </w:rPr>
        <w:t>With his 25 years of teaching, 5 awarded Ph.D.s, 97 publications,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jc w:val="both"/>
      </w:pPr>
      <w:r>
        <w:rPr>
          <w:rFonts w:ascii="Cambria" w:hAnsi="Cambria"/>
          <w:b w:val="0"/>
          <w:i w:val="0"/>
          <w:sz w:val="22"/>
        </w:rPr>
        <w:t>LinkedIn Profile: Dr. Tottempudi Venkata Rama Krishna</w:t>
      </w:r>
    </w:p>
    <w:p>
      <w:pPr>
        <w:spacing w:before="240" w:after="120"/>
        <w:jc w:val="left"/>
      </w:pPr>
      <w:r>
        <w:rPr>
          <w:rFonts w:ascii="Cambria" w:hAnsi="Cambria"/>
          <w:b/>
          <w:color w:val="1F3A5F"/>
          <w:sz w:val="28"/>
        </w:rPr>
        <w:t>Abstract</w:t>
      </w:r>
    </w:p>
    <w:p>
      <w:pPr>
        <w:spacing w:after="120"/>
        <w:jc w:val="both"/>
      </w:pPr>
      <w:r>
        <w:rPr>
          <w:rFonts w:ascii="Cambria" w:hAnsi="Cambria"/>
          <w:b w:val="0"/>
          <w:i w:val="0"/>
          <w:sz w:val="22"/>
        </w:rPr>
        <w:t>The United Nations Sustainable Development Goal 4 (SDG-4) — Quality Education — emphasizes inclusive, equitable, and lifelong learning opportunities for all. In the context of Higher Education Institutions (HEIs), this goal serves as a catalyst for transforming academic structures, pedagogical models, and institutional governance into systems that not only deliver knowledge but also build responsible, sustainable, and globally competent citizens. India's National Education Policy (NEP-2020) represents a strategic alignment with SDG-4, redefining educational priorities across early childhood, school, and tertiary levels to ensure access, quality, equity, and employability.</w:t>
      </w:r>
    </w:p>
    <w:p>
      <w:pPr>
        <w:spacing w:after="120"/>
        <w:jc w:val="both"/>
      </w:pPr>
      <w:r>
        <w:rPr>
          <w:rFonts w:ascii="Cambria" w:hAnsi="Cambria"/>
          <w:b w:val="0"/>
          <w:i w:val="0"/>
          <w:sz w:val="22"/>
        </w:rPr>
        <w:t>HEIs play a pivotal role in operationalizing SDG-4 by fostering human capital development, promoting research and innovation, and implementing sustainability practices within campuses and curricula. Institutions are increasingly integrating SDG-oriented courses, interdisciplinary research clusters, and experiential learning frameworks that emphasize environmental stewardship, gender equality, and social inclusion. The University Grants Commission (UGC), AICTE, NAAC, NBA, and NIRF have embedded sustainability and quality metrics into accreditation and ranking frameworks, thereby institutionalizing accountability and continuous improvement.</w:t>
      </w:r>
    </w:p>
    <w:p>
      <w:pPr>
        <w:spacing w:after="120"/>
        <w:jc w:val="both"/>
      </w:pPr>
      <w:r>
        <w:rPr>
          <w:rFonts w:ascii="Cambria" w:hAnsi="Cambria"/>
          <w:b w:val="0"/>
          <w:i w:val="0"/>
          <w:sz w:val="22"/>
        </w:rPr>
        <w:t>This paper underscores how higher education contributes to achieving SDG-4 through policy coherence, institutional capacity-building, and stakeholder engagement. It explores initiatives such as Digital Universities, Academic Bank of Credits (ABC), Vocational and Skill Integration, and Gender Inclusion Funds, which align with NEP-2020's vision of universal and transformative education. Furthermore, it highlights the importance of faculty development, e-learning infrastructure, inclusive pedagogy, and international partnerships in ensuring sustainable progress toward 2030 targets.</w:t>
      </w:r>
    </w:p>
    <w:p>
      <w:pPr>
        <w:spacing w:after="120"/>
        <w:jc w:val="both"/>
      </w:pPr>
      <w:r>
        <w:rPr>
          <w:rFonts w:ascii="Cambria" w:hAnsi="Cambria"/>
          <w:b w:val="0"/>
          <w:i w:val="0"/>
          <w:sz w:val="22"/>
        </w:rPr>
        <w:t>Ultimately, achieving SDG-4 in HEIs is not confined to curriculum reforms or infrastructural expansion but extends to nurturing a culture of innovation, equity, and ethical leadership. By positioning universities as hubs for lifelong learning, research excellence, and community empowerment, India's higher education system is emerging as a driving force in realizing both national aspirations and the global 2030 Agenda for Sustainable Development.</w:t>
      </w:r>
    </w:p>
    <w:p>
      <w:r>
        <w:br w:type="page"/>
      </w:r>
    </w:p>
    <w:p>
      <w:pPr>
        <w:spacing w:before="240" w:after="120"/>
        <w:jc w:val="left"/>
      </w:pPr>
      <w:r>
        <w:rPr>
          <w:rFonts w:ascii="Cambria" w:hAnsi="Cambria"/>
          <w:b/>
          <w:color w:val="1F3A5F"/>
          <w:sz w:val="28"/>
        </w:rPr>
        <w:t>Table of Contents</w:t>
      </w:r>
    </w:p>
    <w:tbl>
      <w:tblPr>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left"/>
            </w:pPr>
            <w:r/>
            <w:r>
              <w:rPr>
                <w:rFonts w:ascii="Cambria" w:hAnsi="Cambria"/>
                <w:b/>
                <w:i w:val="0"/>
                <w:color w:val="FFFFFF"/>
                <w:sz w:val="22"/>
              </w:rPr>
              <w:t>S. No</w:t>
            </w:r>
          </w:p>
        </w:tc>
        <w:tc>
          <w:tcPr>
            <w:tcW w:type="dxa" w:w="7540"/>
            <w:shd w:val="clear" w:color="auto" w:fill="1F3A5F"/>
            <w:tcW w:w="7541" w:type="dxa"/>
          </w:tcPr>
          <w:p>
            <w:pPr>
              <w:jc w:val="left"/>
            </w:pPr>
            <w:r/>
            <w:r>
              <w:rPr>
                <w:rFonts w:ascii="Cambria" w:hAnsi="Cambria"/>
                <w:b/>
                <w:i w:val="0"/>
                <w:color w:val="FFFFFF"/>
                <w:sz w:val="22"/>
              </w:rPr>
              <w:t>Content</w:t>
            </w:r>
          </w:p>
        </w:tc>
        <w:tc>
          <w:tcPr>
            <w:tcW w:type="dxa" w:w="1020"/>
            <w:shd w:val="clear" w:color="auto" w:fill="1F3A5F"/>
            <w:tcW w:w="1020" w:type="dxa"/>
          </w:tcPr>
          <w:p>
            <w:pPr>
              <w:jc w:val="left"/>
            </w:pPr>
            <w:r/>
            <w:r>
              <w:rPr>
                <w:rFonts w:ascii="Cambria" w:hAnsi="Cambria"/>
                <w:b/>
                <w:i w:val="0"/>
                <w:color w:val="FFFFFF"/>
                <w:sz w:val="22"/>
              </w:rPr>
              <w:t>Pg. No</w:t>
            </w:r>
          </w:p>
        </w:tc>
      </w:tr>
      <w:tr>
        <w:tc>
          <w:tcPr>
            <w:tcW w:type="dxa" w:w="850"/>
            <w:tcW w:w="850" w:type="dxa"/>
          </w:tcPr>
          <w:p>
            <w:pPr>
              <w:jc w:val="left"/>
            </w:pPr>
            <w:r/>
            <w:r>
              <w:rPr>
                <w:rFonts w:ascii="Cambria" w:hAnsi="Cambria"/>
                <w:b w:val="0"/>
                <w:i w:val="0"/>
                <w:sz w:val="22"/>
              </w:rPr>
              <w:t>1</w:t>
            </w:r>
          </w:p>
        </w:tc>
        <w:tc>
          <w:tcPr>
            <w:tcW w:type="dxa" w:w="7540"/>
            <w:tcW w:w="7541" w:type="dxa"/>
          </w:tcPr>
          <w:p>
            <w:pPr>
              <w:jc w:val="left"/>
            </w:pPr>
            <w:r/>
            <w:r>
              <w:rPr>
                <w:rFonts w:ascii="Cambria" w:hAnsi="Cambria"/>
                <w:b w:val="0"/>
                <w:i w:val="0"/>
                <w:sz w:val="22"/>
              </w:rPr>
              <w:t>SDG-4: Ensure Inclusive and Equitable Quality Education and Promote Lifelong Learning Opportunities for All</w:t>
            </w:r>
          </w:p>
        </w:tc>
        <w:tc>
          <w:tcPr>
            <w:tcW w:type="dxa" w:w="1020"/>
            <w:tcW w:w="1020" w:type="dxa"/>
          </w:tcPr>
          <w:p>
            <w:pPr>
              <w:jc w:val="left"/>
            </w:pPr>
            <w:r/>
            <w:r>
              <w:rPr>
                <w:rFonts w:ascii="Cambria" w:hAnsi="Cambria"/>
                <w:b w:val="0"/>
                <w:i w:val="0"/>
                <w:sz w:val="22"/>
              </w:rPr>
              <w:t>001</w:t>
            </w:r>
          </w:p>
        </w:tc>
      </w:tr>
      <w:tr>
        <w:tc>
          <w:tcPr>
            <w:tcW w:type="dxa" w:w="850"/>
            <w:tcW w:w="850" w:type="dxa"/>
            <w:shd w:val="clear" w:color="auto" w:fill="DCE6F1"/>
          </w:tcPr>
          <w:p>
            <w:pPr>
              <w:jc w:val="left"/>
            </w:pPr>
            <w:r/>
            <w:r>
              <w:rPr>
                <w:rFonts w:ascii="Cambria" w:hAnsi="Cambria"/>
                <w:b w:val="0"/>
                <w:i w:val="0"/>
                <w:sz w:val="22"/>
              </w:rPr>
              <w:t>2</w:t>
            </w:r>
          </w:p>
        </w:tc>
        <w:tc>
          <w:tcPr>
            <w:tcW w:type="dxa" w:w="7540"/>
            <w:tcW w:w="7541" w:type="dxa"/>
            <w:shd w:val="clear" w:color="auto" w:fill="DCE6F1"/>
          </w:tcPr>
          <w:p>
            <w:pPr>
              <w:jc w:val="left"/>
            </w:pPr>
            <w:r/>
            <w:r>
              <w:rPr>
                <w:rFonts w:ascii="Cambria" w:hAnsi="Cambria"/>
                <w:b w:val="0"/>
                <w:i w:val="0"/>
                <w:sz w:val="22"/>
              </w:rPr>
              <w:t>United Nations Sustainable Development Goal 4 (Quality Education): Targets and Means of Implementation</w:t>
            </w:r>
          </w:p>
        </w:tc>
        <w:tc>
          <w:tcPr>
            <w:tcW w:type="dxa" w:w="1020"/>
            <w:tcW w:w="1020" w:type="dxa"/>
            <w:shd w:val="clear" w:color="auto" w:fill="DCE6F1"/>
          </w:tcPr>
          <w:p>
            <w:pPr>
              <w:jc w:val="left"/>
            </w:pPr>
            <w:r/>
            <w:r>
              <w:rPr>
                <w:rFonts w:ascii="Cambria" w:hAnsi="Cambria"/>
                <w:b w:val="0"/>
                <w:i w:val="0"/>
                <w:sz w:val="22"/>
              </w:rPr>
              <w:t>008</w:t>
            </w:r>
          </w:p>
        </w:tc>
      </w:tr>
      <w:tr>
        <w:tc>
          <w:tcPr>
            <w:tcW w:type="dxa" w:w="850"/>
            <w:tcW w:w="850" w:type="dxa"/>
          </w:tcPr>
          <w:p>
            <w:pPr>
              <w:jc w:val="left"/>
            </w:pPr>
            <w:r/>
            <w:r>
              <w:rPr>
                <w:rFonts w:ascii="Cambria" w:hAnsi="Cambria"/>
                <w:b w:val="0"/>
                <w:i w:val="0"/>
                <w:sz w:val="22"/>
              </w:rPr>
              <w:t>3</w:t>
            </w:r>
          </w:p>
        </w:tc>
        <w:tc>
          <w:tcPr>
            <w:tcW w:type="dxa" w:w="7540"/>
            <w:tcW w:w="7541" w:type="dxa"/>
          </w:tcPr>
          <w:p>
            <w:pPr>
              <w:jc w:val="left"/>
            </w:pPr>
            <w:r/>
            <w:r>
              <w:rPr>
                <w:rFonts w:ascii="Cambria" w:hAnsi="Cambria"/>
                <w:b w:val="0"/>
                <w:i w:val="0"/>
                <w:sz w:val="22"/>
              </w:rPr>
              <w:t>India's Progress Against SDG-4 Targets in Alignment with NEP-2020</w:t>
            </w:r>
          </w:p>
        </w:tc>
        <w:tc>
          <w:tcPr>
            <w:tcW w:type="dxa" w:w="1020"/>
            <w:tcW w:w="1020" w:type="dxa"/>
          </w:tcPr>
          <w:p>
            <w:pPr>
              <w:jc w:val="left"/>
            </w:pPr>
            <w:r/>
            <w:r>
              <w:rPr>
                <w:rFonts w:ascii="Cambria" w:hAnsi="Cambria"/>
                <w:b w:val="0"/>
                <w:i w:val="0"/>
                <w:sz w:val="22"/>
              </w:rPr>
              <w:t>010</w:t>
            </w:r>
          </w:p>
        </w:tc>
      </w:tr>
      <w:tr>
        <w:tc>
          <w:tcPr>
            <w:tcW w:type="dxa" w:w="850"/>
            <w:tcW w:w="850" w:type="dxa"/>
            <w:shd w:val="clear" w:color="auto" w:fill="DCE6F1"/>
          </w:tcPr>
          <w:p>
            <w:pPr>
              <w:jc w:val="left"/>
            </w:pPr>
            <w:r/>
            <w:r>
              <w:rPr>
                <w:rFonts w:ascii="Cambria" w:hAnsi="Cambria"/>
                <w:b w:val="0"/>
                <w:i w:val="0"/>
                <w:sz w:val="22"/>
              </w:rPr>
              <w:t>4</w:t>
            </w:r>
          </w:p>
        </w:tc>
        <w:tc>
          <w:tcPr>
            <w:tcW w:type="dxa" w:w="7540"/>
            <w:tcW w:w="7541" w:type="dxa"/>
            <w:shd w:val="clear" w:color="auto" w:fill="DCE6F1"/>
          </w:tcPr>
          <w:p>
            <w:pPr>
              <w:jc w:val="left"/>
            </w:pPr>
            <w:r/>
            <w:r>
              <w:rPr>
                <w:rFonts w:ascii="Cambria" w:hAnsi="Cambria"/>
                <w:b w:val="0"/>
                <w:i w:val="0"/>
                <w:sz w:val="22"/>
              </w:rPr>
              <w:t>Short term (1–3 years): quick starts &amp; foundations (NEP-2020 → SDG-4)</w:t>
            </w:r>
          </w:p>
        </w:tc>
        <w:tc>
          <w:tcPr>
            <w:tcW w:type="dxa" w:w="1020"/>
            <w:tcW w:w="1020" w:type="dxa"/>
            <w:shd w:val="clear" w:color="auto" w:fill="DCE6F1"/>
          </w:tcPr>
          <w:p>
            <w:pPr>
              <w:jc w:val="left"/>
            </w:pPr>
            <w:r/>
            <w:r>
              <w:rPr>
                <w:rFonts w:ascii="Cambria" w:hAnsi="Cambria"/>
                <w:b w:val="0"/>
                <w:i w:val="0"/>
                <w:sz w:val="22"/>
              </w:rPr>
              <w:t>012</w:t>
            </w:r>
          </w:p>
        </w:tc>
      </w:tr>
      <w:tr>
        <w:tc>
          <w:tcPr>
            <w:tcW w:type="dxa" w:w="850"/>
            <w:tcW w:w="850" w:type="dxa"/>
          </w:tcPr>
          <w:p>
            <w:pPr>
              <w:jc w:val="left"/>
            </w:pPr>
            <w:r/>
            <w:r>
              <w:rPr>
                <w:rFonts w:ascii="Cambria" w:hAnsi="Cambria"/>
                <w:b w:val="0"/>
                <w:i w:val="0"/>
                <w:sz w:val="22"/>
              </w:rPr>
              <w:t>5</w:t>
            </w:r>
          </w:p>
        </w:tc>
        <w:tc>
          <w:tcPr>
            <w:tcW w:type="dxa" w:w="7540"/>
            <w:tcW w:w="7541" w:type="dxa"/>
          </w:tcPr>
          <w:p>
            <w:pPr>
              <w:jc w:val="left"/>
            </w:pPr>
            <w:r/>
            <w:r>
              <w:rPr>
                <w:rFonts w:ascii="Cambria" w:hAnsi="Cambria"/>
                <w:b w:val="0"/>
                <w:i w:val="0"/>
                <w:sz w:val="22"/>
              </w:rPr>
              <w:t>Medium term (4–7 years): scale &amp; system integration</w:t>
            </w:r>
          </w:p>
        </w:tc>
        <w:tc>
          <w:tcPr>
            <w:tcW w:type="dxa" w:w="1020"/>
            <w:tcW w:w="1020" w:type="dxa"/>
          </w:tcPr>
          <w:p>
            <w:pPr>
              <w:jc w:val="left"/>
            </w:pPr>
            <w:r/>
            <w:r>
              <w:rPr>
                <w:rFonts w:ascii="Cambria" w:hAnsi="Cambria"/>
                <w:b w:val="0"/>
                <w:i w:val="0"/>
                <w:sz w:val="22"/>
              </w:rPr>
              <w:t>013</w:t>
            </w:r>
          </w:p>
        </w:tc>
      </w:tr>
      <w:tr>
        <w:tc>
          <w:tcPr>
            <w:tcW w:type="dxa" w:w="850"/>
            <w:tcW w:w="850" w:type="dxa"/>
            <w:shd w:val="clear" w:color="auto" w:fill="DCE6F1"/>
          </w:tcPr>
          <w:p>
            <w:pPr>
              <w:jc w:val="left"/>
            </w:pPr>
            <w:r/>
            <w:r>
              <w:rPr>
                <w:rFonts w:ascii="Cambria" w:hAnsi="Cambria"/>
                <w:b w:val="0"/>
                <w:i w:val="0"/>
                <w:sz w:val="22"/>
              </w:rPr>
              <w:t>6</w:t>
            </w:r>
          </w:p>
        </w:tc>
        <w:tc>
          <w:tcPr>
            <w:tcW w:type="dxa" w:w="7540"/>
            <w:tcW w:w="7541" w:type="dxa"/>
            <w:shd w:val="clear" w:color="auto" w:fill="DCE6F1"/>
          </w:tcPr>
          <w:p>
            <w:pPr>
              <w:jc w:val="left"/>
            </w:pPr>
            <w:r/>
            <w:r>
              <w:rPr>
                <w:rFonts w:ascii="Cambria" w:hAnsi="Cambria"/>
                <w:b w:val="0"/>
                <w:i w:val="0"/>
                <w:sz w:val="22"/>
              </w:rPr>
              <w:t>Long term (8–15 years): institutionalization &amp; global leadership</w:t>
            </w:r>
          </w:p>
        </w:tc>
        <w:tc>
          <w:tcPr>
            <w:tcW w:type="dxa" w:w="1020"/>
            <w:tcW w:w="1020" w:type="dxa"/>
            <w:shd w:val="clear" w:color="auto" w:fill="DCE6F1"/>
          </w:tcPr>
          <w:p>
            <w:pPr>
              <w:jc w:val="left"/>
            </w:pPr>
            <w:r/>
            <w:r>
              <w:rPr>
                <w:rFonts w:ascii="Cambria" w:hAnsi="Cambria"/>
                <w:b w:val="0"/>
                <w:i w:val="0"/>
                <w:sz w:val="22"/>
              </w:rPr>
              <w:t>014</w:t>
            </w:r>
          </w:p>
        </w:tc>
      </w:tr>
      <w:tr>
        <w:tc>
          <w:tcPr>
            <w:tcW w:type="dxa" w:w="850"/>
            <w:tcW w:w="850" w:type="dxa"/>
          </w:tcPr>
          <w:p>
            <w:pPr>
              <w:jc w:val="left"/>
            </w:pPr>
            <w:r/>
            <w:r>
              <w:rPr>
                <w:rFonts w:ascii="Cambria" w:hAnsi="Cambria"/>
                <w:b w:val="0"/>
                <w:i w:val="0"/>
                <w:sz w:val="22"/>
              </w:rPr>
              <w:t>7</w:t>
            </w:r>
          </w:p>
        </w:tc>
        <w:tc>
          <w:tcPr>
            <w:tcW w:type="dxa" w:w="7540"/>
            <w:tcW w:w="7541" w:type="dxa"/>
          </w:tcPr>
          <w:p>
            <w:pPr>
              <w:jc w:val="left"/>
            </w:pPr>
            <w:r/>
            <w:r>
              <w:rPr>
                <w:rFonts w:ascii="Cambria" w:hAnsi="Cambria"/>
                <w:b w:val="0"/>
                <w:i w:val="0"/>
                <w:sz w:val="22"/>
              </w:rPr>
              <w:t>National Policy Mapping, Roadmaps, and Implementation Frameworks for SDG-4 (Quality Education)</w:t>
            </w:r>
          </w:p>
        </w:tc>
        <w:tc>
          <w:tcPr>
            <w:tcW w:type="dxa" w:w="1020"/>
            <w:tcW w:w="1020" w:type="dxa"/>
          </w:tcPr>
          <w:p>
            <w:pPr>
              <w:jc w:val="left"/>
            </w:pPr>
            <w:r/>
            <w:r>
              <w:rPr>
                <w:rFonts w:ascii="Cambria" w:hAnsi="Cambria"/>
                <w:b w:val="0"/>
                <w:i w:val="0"/>
                <w:sz w:val="22"/>
              </w:rPr>
              <w:t>016</w:t>
            </w:r>
          </w:p>
        </w:tc>
      </w:tr>
      <w:tr>
        <w:tc>
          <w:tcPr>
            <w:tcW w:type="dxa" w:w="850"/>
            <w:tcW w:w="850" w:type="dxa"/>
            <w:shd w:val="clear" w:color="auto" w:fill="DCE6F1"/>
          </w:tcPr>
          <w:p>
            <w:pPr>
              <w:jc w:val="left"/>
            </w:pPr>
            <w:r/>
            <w:r>
              <w:rPr>
                <w:rFonts w:ascii="Cambria" w:hAnsi="Cambria"/>
                <w:b w:val="0"/>
                <w:i w:val="0"/>
                <w:sz w:val="22"/>
              </w:rPr>
              <w:t>8</w:t>
            </w:r>
          </w:p>
        </w:tc>
        <w:tc>
          <w:tcPr>
            <w:tcW w:type="dxa" w:w="7540"/>
            <w:tcW w:w="7541" w:type="dxa"/>
            <w:shd w:val="clear" w:color="auto" w:fill="DCE6F1"/>
          </w:tcPr>
          <w:p>
            <w:pPr>
              <w:jc w:val="left"/>
            </w:pPr>
            <w:r/>
            <w:r>
              <w:rPr>
                <w:rFonts w:ascii="Cambria" w:hAnsi="Cambria"/>
                <w:b w:val="0"/>
                <w:i w:val="0"/>
                <w:sz w:val="22"/>
              </w:rPr>
              <w:t>Incorporating SDG-Related Courses and Programmes in HEIs</w:t>
            </w:r>
          </w:p>
        </w:tc>
        <w:tc>
          <w:tcPr>
            <w:tcW w:type="dxa" w:w="1020"/>
            <w:tcW w:w="1020" w:type="dxa"/>
            <w:shd w:val="clear" w:color="auto" w:fill="DCE6F1"/>
          </w:tcPr>
          <w:p>
            <w:pPr>
              <w:jc w:val="left"/>
            </w:pPr>
            <w:r/>
            <w:r>
              <w:rPr>
                <w:rFonts w:ascii="Cambria" w:hAnsi="Cambria"/>
                <w:b w:val="0"/>
                <w:i w:val="0"/>
                <w:sz w:val="22"/>
              </w:rPr>
              <w:t>019</w:t>
            </w:r>
          </w:p>
        </w:tc>
      </w:tr>
      <w:tr>
        <w:tc>
          <w:tcPr>
            <w:tcW w:type="dxa" w:w="850"/>
            <w:tcW w:w="850" w:type="dxa"/>
          </w:tcPr>
          <w:p>
            <w:pPr>
              <w:jc w:val="left"/>
            </w:pPr>
            <w:r/>
            <w:r>
              <w:rPr>
                <w:rFonts w:ascii="Cambria" w:hAnsi="Cambria"/>
                <w:b w:val="0"/>
                <w:i w:val="0"/>
                <w:sz w:val="22"/>
              </w:rPr>
              <w:t>9</w:t>
            </w:r>
          </w:p>
        </w:tc>
        <w:tc>
          <w:tcPr>
            <w:tcW w:type="dxa" w:w="7540"/>
            <w:tcW w:w="7541" w:type="dxa"/>
          </w:tcPr>
          <w:p>
            <w:pPr>
              <w:jc w:val="left"/>
            </w:pPr>
            <w:r/>
            <w:r>
              <w:rPr>
                <w:rFonts w:ascii="Cambria" w:hAnsi="Cambria"/>
                <w:b w:val="0"/>
                <w:i w:val="0"/>
                <w:sz w:val="22"/>
              </w:rPr>
              <w:t>MOOCs in Vernacular and Local Languages</w:t>
            </w:r>
          </w:p>
        </w:tc>
        <w:tc>
          <w:tcPr>
            <w:tcW w:type="dxa" w:w="1020"/>
            <w:tcW w:w="1020" w:type="dxa"/>
          </w:tcPr>
          <w:p>
            <w:pPr>
              <w:jc w:val="left"/>
            </w:pPr>
            <w:r/>
            <w:r>
              <w:rPr>
                <w:rFonts w:ascii="Cambria" w:hAnsi="Cambria"/>
                <w:b w:val="0"/>
                <w:i w:val="0"/>
                <w:sz w:val="22"/>
              </w:rPr>
              <w:t>038</w:t>
            </w:r>
          </w:p>
        </w:tc>
      </w:tr>
      <w:tr>
        <w:tc>
          <w:tcPr>
            <w:tcW w:type="dxa" w:w="850"/>
            <w:tcW w:w="850" w:type="dxa"/>
            <w:shd w:val="clear" w:color="auto" w:fill="DCE6F1"/>
          </w:tcPr>
          <w:p>
            <w:pPr>
              <w:jc w:val="left"/>
            </w:pPr>
            <w:r/>
            <w:r>
              <w:rPr>
                <w:rFonts w:ascii="Cambria" w:hAnsi="Cambria"/>
                <w:b w:val="0"/>
                <w:i w:val="0"/>
                <w:sz w:val="22"/>
              </w:rPr>
              <w:t>10</w:t>
            </w:r>
          </w:p>
        </w:tc>
        <w:tc>
          <w:tcPr>
            <w:tcW w:type="dxa" w:w="7540"/>
            <w:tcW w:w="7541" w:type="dxa"/>
            <w:shd w:val="clear" w:color="auto" w:fill="DCE6F1"/>
          </w:tcPr>
          <w:p>
            <w:pPr>
              <w:jc w:val="left"/>
            </w:pPr>
            <w:r/>
            <w:r>
              <w:rPr>
                <w:rFonts w:ascii="Cambria" w:hAnsi="Cambria"/>
                <w:b w:val="0"/>
                <w:i w:val="0"/>
                <w:sz w:val="22"/>
              </w:rPr>
              <w:t>Community Outreach: HEI Contributions to SDG-4</w:t>
            </w:r>
          </w:p>
        </w:tc>
        <w:tc>
          <w:tcPr>
            <w:tcW w:type="dxa" w:w="1020"/>
            <w:tcW w:w="1020" w:type="dxa"/>
            <w:shd w:val="clear" w:color="auto" w:fill="DCE6F1"/>
          </w:tcPr>
          <w:p>
            <w:pPr>
              <w:jc w:val="left"/>
            </w:pPr>
            <w:r/>
            <w:r>
              <w:rPr>
                <w:rFonts w:ascii="Cambria" w:hAnsi="Cambria"/>
                <w:b w:val="0"/>
                <w:i w:val="0"/>
                <w:sz w:val="22"/>
              </w:rPr>
              <w:t>040</w:t>
            </w:r>
          </w:p>
        </w:tc>
      </w:tr>
      <w:tr>
        <w:tc>
          <w:tcPr>
            <w:tcW w:type="dxa" w:w="850"/>
            <w:tcW w:w="850" w:type="dxa"/>
          </w:tcPr>
          <w:p>
            <w:pPr>
              <w:jc w:val="left"/>
            </w:pPr>
            <w:r/>
            <w:r>
              <w:rPr>
                <w:rFonts w:ascii="Cambria" w:hAnsi="Cambria"/>
                <w:b w:val="0"/>
                <w:i w:val="0"/>
                <w:sz w:val="22"/>
              </w:rPr>
              <w:t>11</w:t>
            </w:r>
          </w:p>
        </w:tc>
        <w:tc>
          <w:tcPr>
            <w:tcW w:type="dxa" w:w="7540"/>
            <w:tcW w:w="7541" w:type="dxa"/>
          </w:tcPr>
          <w:p>
            <w:pPr>
              <w:jc w:val="left"/>
            </w:pPr>
            <w:r/>
            <w:r>
              <w:rPr>
                <w:rFonts w:ascii="Cambria" w:hAnsi="Cambria"/>
                <w:b w:val="0"/>
                <w:i w:val="0"/>
                <w:sz w:val="22"/>
              </w:rPr>
              <w:t>Literacy Centres and Preschools on University Campuses</w:t>
            </w:r>
          </w:p>
        </w:tc>
        <w:tc>
          <w:tcPr>
            <w:tcW w:type="dxa" w:w="1020"/>
            <w:tcW w:w="1020" w:type="dxa"/>
          </w:tcPr>
          <w:p>
            <w:pPr>
              <w:jc w:val="left"/>
            </w:pPr>
            <w:r/>
            <w:r>
              <w:rPr>
                <w:rFonts w:ascii="Cambria" w:hAnsi="Cambria"/>
                <w:b w:val="0"/>
                <w:i w:val="0"/>
                <w:sz w:val="22"/>
              </w:rPr>
              <w:t>042</w:t>
            </w:r>
          </w:p>
        </w:tc>
      </w:tr>
      <w:tr>
        <w:tc>
          <w:tcPr>
            <w:tcW w:type="dxa" w:w="850"/>
            <w:tcW w:w="850" w:type="dxa"/>
            <w:shd w:val="clear" w:color="auto" w:fill="DCE6F1"/>
          </w:tcPr>
          <w:p>
            <w:pPr>
              <w:jc w:val="left"/>
            </w:pPr>
            <w:r/>
            <w:r>
              <w:rPr>
                <w:rFonts w:ascii="Cambria" w:hAnsi="Cambria"/>
                <w:b w:val="0"/>
                <w:i w:val="0"/>
                <w:sz w:val="22"/>
              </w:rPr>
              <w:t>12</w:t>
            </w:r>
          </w:p>
        </w:tc>
        <w:tc>
          <w:tcPr>
            <w:tcW w:type="dxa" w:w="7540"/>
            <w:tcW w:w="7541" w:type="dxa"/>
            <w:shd w:val="clear" w:color="auto" w:fill="DCE6F1"/>
          </w:tcPr>
          <w:p>
            <w:pPr>
              <w:jc w:val="left"/>
            </w:pPr>
            <w:r/>
            <w:r>
              <w:rPr>
                <w:rFonts w:ascii="Cambria" w:hAnsi="Cambria"/>
                <w:b w:val="0"/>
                <w:i w:val="0"/>
                <w:sz w:val="22"/>
              </w:rPr>
              <w:t>Establishing Centres of Excellence and Faculty Coordinators for SDGs</w:t>
            </w:r>
          </w:p>
        </w:tc>
        <w:tc>
          <w:tcPr>
            <w:tcW w:type="dxa" w:w="1020"/>
            <w:tcW w:w="1020" w:type="dxa"/>
            <w:shd w:val="clear" w:color="auto" w:fill="DCE6F1"/>
          </w:tcPr>
          <w:p>
            <w:pPr>
              <w:jc w:val="left"/>
            </w:pPr>
            <w:r/>
            <w:r>
              <w:rPr>
                <w:rFonts w:ascii="Cambria" w:hAnsi="Cambria"/>
                <w:b w:val="0"/>
                <w:i w:val="0"/>
                <w:sz w:val="22"/>
              </w:rPr>
              <w:t>045</w:t>
            </w:r>
          </w:p>
        </w:tc>
      </w:tr>
      <w:tr>
        <w:tc>
          <w:tcPr>
            <w:tcW w:type="dxa" w:w="850"/>
            <w:tcW w:w="850" w:type="dxa"/>
          </w:tcPr>
          <w:p>
            <w:pPr>
              <w:jc w:val="left"/>
            </w:pPr>
            <w:r/>
            <w:r>
              <w:rPr>
                <w:rFonts w:ascii="Cambria" w:hAnsi="Cambria"/>
                <w:b w:val="0"/>
                <w:i w:val="0"/>
                <w:sz w:val="22"/>
              </w:rPr>
              <w:t>13</w:t>
            </w:r>
          </w:p>
        </w:tc>
        <w:tc>
          <w:tcPr>
            <w:tcW w:type="dxa" w:w="7540"/>
            <w:tcW w:w="7541" w:type="dxa"/>
          </w:tcPr>
          <w:p>
            <w:pPr>
              <w:jc w:val="left"/>
            </w:pPr>
            <w:r/>
            <w:r>
              <w:rPr>
                <w:rFonts w:ascii="Cambria" w:hAnsi="Cambria"/>
                <w:b w:val="0"/>
                <w:i w:val="0"/>
                <w:sz w:val="22"/>
              </w:rPr>
              <w:t>Allocating Budget and Aligning Doctoral Research with SDGs</w:t>
            </w:r>
          </w:p>
        </w:tc>
        <w:tc>
          <w:tcPr>
            <w:tcW w:type="dxa" w:w="1020"/>
            <w:tcW w:w="1020" w:type="dxa"/>
          </w:tcPr>
          <w:p>
            <w:pPr>
              <w:jc w:val="left"/>
            </w:pPr>
            <w:r/>
            <w:r>
              <w:rPr>
                <w:rFonts w:ascii="Cambria" w:hAnsi="Cambria"/>
                <w:b w:val="0"/>
                <w:i w:val="0"/>
                <w:sz w:val="22"/>
              </w:rPr>
              <w:t>048</w:t>
            </w:r>
          </w:p>
        </w:tc>
      </w:tr>
      <w:tr>
        <w:tc>
          <w:tcPr>
            <w:tcW w:type="dxa" w:w="850"/>
            <w:tcW w:w="850" w:type="dxa"/>
            <w:shd w:val="clear" w:color="auto" w:fill="DCE6F1"/>
          </w:tcPr>
          <w:p>
            <w:pPr>
              <w:jc w:val="left"/>
            </w:pPr>
            <w:r/>
            <w:r>
              <w:rPr>
                <w:rFonts w:ascii="Cambria" w:hAnsi="Cambria"/>
                <w:b w:val="0"/>
                <w:i w:val="0"/>
                <w:sz w:val="22"/>
              </w:rPr>
              <w:t>14</w:t>
            </w:r>
          </w:p>
        </w:tc>
        <w:tc>
          <w:tcPr>
            <w:tcW w:type="dxa" w:w="7540"/>
            <w:tcW w:w="7541" w:type="dxa"/>
            <w:shd w:val="clear" w:color="auto" w:fill="DCE6F1"/>
          </w:tcPr>
          <w:p>
            <w:pPr>
              <w:jc w:val="left"/>
            </w:pPr>
            <w:r/>
            <w:r>
              <w:rPr>
                <w:rFonts w:ascii="Cambria" w:hAnsi="Cambria"/>
                <w:b w:val="0"/>
                <w:i w:val="0"/>
                <w:sz w:val="22"/>
              </w:rPr>
              <w:t>Institutional Sustainability and Ranking Performance (Funding, Visibility)</w:t>
            </w:r>
          </w:p>
        </w:tc>
        <w:tc>
          <w:tcPr>
            <w:tcW w:type="dxa" w:w="1020"/>
            <w:tcW w:w="1020" w:type="dxa"/>
            <w:shd w:val="clear" w:color="auto" w:fill="DCE6F1"/>
          </w:tcPr>
          <w:p>
            <w:pPr>
              <w:jc w:val="left"/>
            </w:pPr>
            <w:r/>
            <w:r>
              <w:rPr>
                <w:rFonts w:ascii="Cambria" w:hAnsi="Cambria"/>
                <w:b w:val="0"/>
                <w:i w:val="0"/>
                <w:sz w:val="22"/>
              </w:rPr>
              <w:t>050</w:t>
            </w:r>
          </w:p>
        </w:tc>
      </w:tr>
      <w:tr>
        <w:tc>
          <w:tcPr>
            <w:tcW w:type="dxa" w:w="850"/>
            <w:tcW w:w="850" w:type="dxa"/>
          </w:tcPr>
          <w:p>
            <w:pPr>
              <w:jc w:val="left"/>
            </w:pPr>
            <w:r/>
            <w:r>
              <w:rPr>
                <w:rFonts w:ascii="Cambria" w:hAnsi="Cambria"/>
                <w:b w:val="0"/>
                <w:i w:val="0"/>
                <w:sz w:val="22"/>
              </w:rPr>
              <w:t>15</w:t>
            </w:r>
          </w:p>
        </w:tc>
        <w:tc>
          <w:tcPr>
            <w:tcW w:type="dxa" w:w="7540"/>
            <w:tcW w:w="7541" w:type="dxa"/>
          </w:tcPr>
          <w:p>
            <w:pPr>
              <w:jc w:val="left"/>
            </w:pPr>
            <w:r/>
            <w:r>
              <w:rPr>
                <w:rFonts w:ascii="Cambria" w:hAnsi="Cambria"/>
                <w:b w:val="0"/>
                <w:i w:val="0"/>
                <w:sz w:val="22"/>
              </w:rPr>
              <w:t>Government to Create 3–5 New Institutions of National Importance Focused on SDGs</w:t>
            </w:r>
          </w:p>
        </w:tc>
        <w:tc>
          <w:tcPr>
            <w:tcW w:type="dxa" w:w="1020"/>
            <w:tcW w:w="1020" w:type="dxa"/>
          </w:tcPr>
          <w:p>
            <w:pPr>
              <w:jc w:val="left"/>
            </w:pPr>
            <w:r/>
            <w:r>
              <w:rPr>
                <w:rFonts w:ascii="Cambria" w:hAnsi="Cambria"/>
                <w:b w:val="0"/>
                <w:i w:val="0"/>
                <w:sz w:val="22"/>
              </w:rPr>
              <w:t>056</w:t>
            </w:r>
          </w:p>
        </w:tc>
      </w:tr>
      <w:tr>
        <w:tc>
          <w:tcPr>
            <w:tcW w:type="dxa" w:w="850"/>
            <w:tcW w:w="850" w:type="dxa"/>
            <w:shd w:val="clear" w:color="auto" w:fill="DCE6F1"/>
          </w:tcPr>
          <w:p>
            <w:pPr>
              <w:jc w:val="left"/>
            </w:pPr>
            <w:r/>
            <w:r>
              <w:rPr>
                <w:rFonts w:ascii="Cambria" w:hAnsi="Cambria"/>
                <w:b w:val="0"/>
                <w:i w:val="0"/>
                <w:sz w:val="22"/>
              </w:rPr>
              <w:t>16</w:t>
            </w:r>
          </w:p>
        </w:tc>
        <w:tc>
          <w:tcPr>
            <w:tcW w:type="dxa" w:w="7540"/>
            <w:tcW w:w="7541" w:type="dxa"/>
            <w:shd w:val="clear" w:color="auto" w:fill="DCE6F1"/>
          </w:tcPr>
          <w:p>
            <w:pPr>
              <w:jc w:val="left"/>
            </w:pPr>
            <w:r/>
            <w:r>
              <w:rPr>
                <w:rFonts w:ascii="Cambria" w:hAnsi="Cambria"/>
                <w:b w:val="0"/>
                <w:i w:val="0"/>
                <w:sz w:val="22"/>
              </w:rPr>
              <w:t>HEIs Addressing Quality, Accessibility, Equality, Equity, and Accountability in Indian Higher Education</w:t>
            </w:r>
          </w:p>
        </w:tc>
        <w:tc>
          <w:tcPr>
            <w:tcW w:type="dxa" w:w="1020"/>
            <w:tcW w:w="1020" w:type="dxa"/>
            <w:shd w:val="clear" w:color="auto" w:fill="DCE6F1"/>
          </w:tcPr>
          <w:p>
            <w:pPr>
              <w:jc w:val="left"/>
            </w:pPr>
            <w:r/>
            <w:r>
              <w:rPr>
                <w:rFonts w:ascii="Cambria" w:hAnsi="Cambria"/>
                <w:b w:val="0"/>
                <w:i w:val="0"/>
                <w:sz w:val="22"/>
              </w:rPr>
              <w:t>062</w:t>
            </w:r>
          </w:p>
        </w:tc>
      </w:tr>
      <w:tr>
        <w:tc>
          <w:tcPr>
            <w:tcW w:type="dxa" w:w="850"/>
            <w:tcW w:w="850" w:type="dxa"/>
          </w:tcPr>
          <w:p>
            <w:pPr>
              <w:jc w:val="left"/>
            </w:pPr>
            <w:r/>
            <w:r>
              <w:rPr>
                <w:rFonts w:ascii="Cambria" w:hAnsi="Cambria"/>
                <w:b w:val="0"/>
                <w:i w:val="0"/>
                <w:sz w:val="22"/>
              </w:rPr>
              <w:t>17</w:t>
            </w:r>
          </w:p>
        </w:tc>
        <w:tc>
          <w:tcPr>
            <w:tcW w:type="dxa" w:w="7540"/>
            <w:tcW w:w="7541" w:type="dxa"/>
          </w:tcPr>
          <w:p>
            <w:pPr>
              <w:jc w:val="left"/>
            </w:pPr>
            <w:r/>
            <w:r>
              <w:rPr>
                <w:rFonts w:ascii="Cambria" w:hAnsi="Cambria"/>
                <w:b w:val="0"/>
                <w:i w:val="0"/>
                <w:sz w:val="22"/>
              </w:rPr>
              <w:t>Supporting Vulnerable and Disadvantaged Groups in Higher Education</w:t>
            </w:r>
          </w:p>
        </w:tc>
        <w:tc>
          <w:tcPr>
            <w:tcW w:type="dxa" w:w="1020"/>
            <w:tcW w:w="1020" w:type="dxa"/>
          </w:tcPr>
          <w:p>
            <w:pPr>
              <w:jc w:val="left"/>
            </w:pPr>
            <w:r/>
            <w:r>
              <w:rPr>
                <w:rFonts w:ascii="Cambria" w:hAnsi="Cambria"/>
                <w:b w:val="0"/>
                <w:i w:val="0"/>
                <w:sz w:val="22"/>
              </w:rPr>
              <w:t>067</w:t>
            </w:r>
          </w:p>
        </w:tc>
      </w:tr>
      <w:tr>
        <w:tc>
          <w:tcPr>
            <w:tcW w:type="dxa" w:w="850"/>
            <w:tcW w:w="850" w:type="dxa"/>
            <w:shd w:val="clear" w:color="auto" w:fill="DCE6F1"/>
          </w:tcPr>
          <w:p>
            <w:pPr>
              <w:jc w:val="left"/>
            </w:pPr>
            <w:r/>
            <w:r>
              <w:rPr>
                <w:rFonts w:ascii="Cambria" w:hAnsi="Cambria"/>
                <w:b w:val="0"/>
                <w:i w:val="0"/>
                <w:sz w:val="22"/>
              </w:rPr>
              <w:t>18</w:t>
            </w:r>
          </w:p>
        </w:tc>
        <w:tc>
          <w:tcPr>
            <w:tcW w:type="dxa" w:w="7540"/>
            <w:tcW w:w="7541" w:type="dxa"/>
            <w:shd w:val="clear" w:color="auto" w:fill="DCE6F1"/>
          </w:tcPr>
          <w:p>
            <w:pPr>
              <w:jc w:val="left"/>
            </w:pPr>
            <w:r/>
            <w:r>
              <w:rPr>
                <w:rFonts w:ascii="Cambria" w:hAnsi="Cambria"/>
                <w:b w:val="0"/>
                <w:i w:val="0"/>
                <w:sz w:val="22"/>
              </w:rPr>
              <w:t>HEIs of Eminence as Mentors for Achieving SDG-4</w:t>
            </w:r>
          </w:p>
        </w:tc>
        <w:tc>
          <w:tcPr>
            <w:tcW w:type="dxa" w:w="1020"/>
            <w:tcW w:w="1020" w:type="dxa"/>
            <w:shd w:val="clear" w:color="auto" w:fill="DCE6F1"/>
          </w:tcPr>
          <w:p>
            <w:pPr>
              <w:jc w:val="left"/>
            </w:pPr>
            <w:r/>
            <w:r>
              <w:rPr>
                <w:rFonts w:ascii="Cambria" w:hAnsi="Cambria"/>
                <w:b w:val="0"/>
                <w:i w:val="0"/>
                <w:sz w:val="22"/>
              </w:rPr>
              <w:t>072</w:t>
            </w:r>
          </w:p>
        </w:tc>
      </w:tr>
      <w:tr>
        <w:tc>
          <w:tcPr>
            <w:tcW w:type="dxa" w:w="850"/>
            <w:tcW w:w="850" w:type="dxa"/>
          </w:tcPr>
          <w:p>
            <w:pPr>
              <w:jc w:val="left"/>
            </w:pPr>
            <w:r/>
            <w:r>
              <w:rPr>
                <w:rFonts w:ascii="Cambria" w:hAnsi="Cambria"/>
                <w:b w:val="0"/>
                <w:i w:val="0"/>
                <w:sz w:val="22"/>
              </w:rPr>
              <w:t>19</w:t>
            </w:r>
          </w:p>
        </w:tc>
        <w:tc>
          <w:tcPr>
            <w:tcW w:type="dxa" w:w="7540"/>
            <w:tcW w:w="7541" w:type="dxa"/>
          </w:tcPr>
          <w:p>
            <w:pPr>
              <w:jc w:val="left"/>
            </w:pPr>
            <w:r/>
            <w:r>
              <w:rPr>
                <w:rFonts w:ascii="Cambria" w:hAnsi="Cambria"/>
                <w:b w:val="0"/>
                <w:i w:val="0"/>
                <w:sz w:val="22"/>
              </w:rPr>
              <w:t>Regulatory &amp; Accreditation Role in Ensuring Green &amp; Sustainable Campuses under SDG-4</w:t>
            </w:r>
          </w:p>
        </w:tc>
        <w:tc>
          <w:tcPr>
            <w:tcW w:type="dxa" w:w="1020"/>
            <w:tcW w:w="1020" w:type="dxa"/>
          </w:tcPr>
          <w:p>
            <w:pPr>
              <w:jc w:val="left"/>
            </w:pPr>
            <w:r/>
            <w:r>
              <w:rPr>
                <w:rFonts w:ascii="Cambria" w:hAnsi="Cambria"/>
                <w:b w:val="0"/>
                <w:i w:val="0"/>
                <w:sz w:val="22"/>
              </w:rPr>
              <w:t>076</w:t>
            </w:r>
          </w:p>
        </w:tc>
      </w:tr>
      <w:tr>
        <w:tc>
          <w:tcPr>
            <w:tcW w:type="dxa" w:w="850"/>
            <w:tcW w:w="850" w:type="dxa"/>
            <w:shd w:val="clear" w:color="auto" w:fill="DCE6F1"/>
          </w:tcPr>
          <w:p>
            <w:pPr>
              <w:jc w:val="left"/>
            </w:pPr>
            <w:r/>
            <w:r>
              <w:rPr>
                <w:rFonts w:ascii="Cambria" w:hAnsi="Cambria"/>
                <w:b w:val="0"/>
                <w:i w:val="0"/>
                <w:sz w:val="22"/>
              </w:rPr>
              <w:t>20</w:t>
            </w:r>
          </w:p>
        </w:tc>
        <w:tc>
          <w:tcPr>
            <w:tcW w:type="dxa" w:w="7540"/>
            <w:tcW w:w="7541" w:type="dxa"/>
            <w:shd w:val="clear" w:color="auto" w:fill="DCE6F1"/>
          </w:tcPr>
          <w:p>
            <w:pPr>
              <w:jc w:val="left"/>
            </w:pPr>
            <w:r/>
            <w:r>
              <w:rPr>
                <w:rFonts w:ascii="Cambria" w:hAnsi="Cambria"/>
                <w:b w:val="0"/>
                <w:i w:val="0"/>
                <w:sz w:val="22"/>
              </w:rPr>
              <w:t>Research Parks &amp; Knowledge Hubs for SDG-4</w:t>
            </w:r>
          </w:p>
        </w:tc>
        <w:tc>
          <w:tcPr>
            <w:tcW w:type="dxa" w:w="1020"/>
            <w:tcW w:w="1020" w:type="dxa"/>
            <w:shd w:val="clear" w:color="auto" w:fill="DCE6F1"/>
          </w:tcPr>
          <w:p>
            <w:pPr>
              <w:jc w:val="left"/>
            </w:pPr>
            <w:r/>
            <w:r>
              <w:rPr>
                <w:rFonts w:ascii="Cambria" w:hAnsi="Cambria"/>
                <w:b w:val="0"/>
                <w:i w:val="0"/>
                <w:sz w:val="22"/>
              </w:rPr>
              <w:t>083</w:t>
            </w:r>
          </w:p>
        </w:tc>
      </w:tr>
      <w:tr>
        <w:tc>
          <w:tcPr>
            <w:tcW w:type="dxa" w:w="850"/>
            <w:tcW w:w="850" w:type="dxa"/>
          </w:tcPr>
          <w:p>
            <w:pPr>
              <w:jc w:val="left"/>
            </w:pPr>
            <w:r/>
            <w:r>
              <w:rPr>
                <w:rFonts w:ascii="Cambria" w:hAnsi="Cambria"/>
                <w:b w:val="0"/>
                <w:i w:val="0"/>
                <w:sz w:val="22"/>
              </w:rPr>
              <w:t>21</w:t>
            </w:r>
          </w:p>
        </w:tc>
        <w:tc>
          <w:tcPr>
            <w:tcW w:type="dxa" w:w="7540"/>
            <w:tcW w:w="7541" w:type="dxa"/>
          </w:tcPr>
          <w:p>
            <w:pPr>
              <w:jc w:val="left"/>
            </w:pPr>
            <w:r/>
            <w:r>
              <w:rPr>
                <w:rFonts w:ascii="Cambria" w:hAnsi="Cambria"/>
                <w:b w:val="0"/>
                <w:i w:val="0"/>
                <w:sz w:val="22"/>
              </w:rPr>
              <w:t>Multidisciplinary Curriculum &amp; Indian Knowledge System (IKS) for SDG-4</w:t>
            </w:r>
          </w:p>
        </w:tc>
        <w:tc>
          <w:tcPr>
            <w:tcW w:type="dxa" w:w="1020"/>
            <w:tcW w:w="1020" w:type="dxa"/>
          </w:tcPr>
          <w:p>
            <w:pPr>
              <w:jc w:val="left"/>
            </w:pPr>
            <w:r/>
            <w:r>
              <w:rPr>
                <w:rFonts w:ascii="Cambria" w:hAnsi="Cambria"/>
                <w:b w:val="0"/>
                <w:i w:val="0"/>
                <w:sz w:val="22"/>
              </w:rPr>
              <w:t>090</w:t>
            </w:r>
          </w:p>
        </w:tc>
      </w:tr>
      <w:tr>
        <w:tc>
          <w:tcPr>
            <w:tcW w:type="dxa" w:w="850"/>
            <w:tcW w:w="850" w:type="dxa"/>
            <w:shd w:val="clear" w:color="auto" w:fill="DCE6F1"/>
          </w:tcPr>
          <w:p>
            <w:pPr>
              <w:jc w:val="left"/>
            </w:pPr>
            <w:r/>
            <w:r>
              <w:rPr>
                <w:rFonts w:ascii="Cambria" w:hAnsi="Cambria"/>
                <w:b w:val="0"/>
                <w:i w:val="0"/>
                <w:sz w:val="22"/>
              </w:rPr>
              <w:t>22</w:t>
            </w:r>
          </w:p>
        </w:tc>
        <w:tc>
          <w:tcPr>
            <w:tcW w:type="dxa" w:w="7540"/>
            <w:tcW w:w="7541" w:type="dxa"/>
            <w:shd w:val="clear" w:color="auto" w:fill="DCE6F1"/>
          </w:tcPr>
          <w:p>
            <w:pPr>
              <w:jc w:val="left"/>
            </w:pPr>
            <w:r/>
            <w:r>
              <w:rPr>
                <w:rFonts w:ascii="Cambria" w:hAnsi="Cambria"/>
                <w:b w:val="0"/>
                <w:i w:val="0"/>
                <w:sz w:val="22"/>
              </w:rPr>
              <w:t>Multilingual SDG Education &amp; Mandatory Sustainability Courses</w:t>
            </w:r>
          </w:p>
        </w:tc>
        <w:tc>
          <w:tcPr>
            <w:tcW w:type="dxa" w:w="1020"/>
            <w:tcW w:w="1020" w:type="dxa"/>
            <w:shd w:val="clear" w:color="auto" w:fill="DCE6F1"/>
          </w:tcPr>
          <w:p>
            <w:pPr>
              <w:jc w:val="left"/>
            </w:pPr>
            <w:r/>
            <w:r>
              <w:rPr>
                <w:rFonts w:ascii="Cambria" w:hAnsi="Cambria"/>
                <w:b w:val="0"/>
                <w:i w:val="0"/>
                <w:sz w:val="22"/>
              </w:rPr>
              <w:t>097</w:t>
            </w:r>
          </w:p>
        </w:tc>
      </w:tr>
      <w:tr>
        <w:tc>
          <w:tcPr>
            <w:tcW w:type="dxa" w:w="850"/>
            <w:tcW w:w="850" w:type="dxa"/>
          </w:tcPr>
          <w:p>
            <w:pPr>
              <w:jc w:val="left"/>
            </w:pPr>
            <w:r/>
            <w:r>
              <w:rPr>
                <w:rFonts w:ascii="Cambria" w:hAnsi="Cambria"/>
                <w:b w:val="0"/>
                <w:i w:val="0"/>
                <w:sz w:val="22"/>
              </w:rPr>
              <w:t>23</w:t>
            </w:r>
          </w:p>
        </w:tc>
        <w:tc>
          <w:tcPr>
            <w:tcW w:type="dxa" w:w="7540"/>
            <w:tcW w:w="7541" w:type="dxa"/>
          </w:tcPr>
          <w:p>
            <w:pPr>
              <w:jc w:val="left"/>
            </w:pPr>
            <w:r/>
            <w:r>
              <w:rPr>
                <w:rFonts w:ascii="Cambria" w:hAnsi="Cambria"/>
                <w:b w:val="0"/>
                <w:i w:val="0"/>
                <w:sz w:val="22"/>
              </w:rPr>
              <w:t>Flexibility, Dynamism &amp; Synergy in HEIs for SDGs</w:t>
            </w:r>
          </w:p>
        </w:tc>
        <w:tc>
          <w:tcPr>
            <w:tcW w:type="dxa" w:w="1020"/>
            <w:tcW w:w="1020" w:type="dxa"/>
          </w:tcPr>
          <w:p>
            <w:pPr>
              <w:jc w:val="left"/>
            </w:pPr>
            <w:r/>
            <w:r>
              <w:rPr>
                <w:rFonts w:ascii="Cambria" w:hAnsi="Cambria"/>
                <w:b w:val="0"/>
                <w:i w:val="0"/>
                <w:sz w:val="22"/>
              </w:rPr>
              <w:t>102</w:t>
            </w:r>
          </w:p>
        </w:tc>
      </w:tr>
      <w:tr>
        <w:tc>
          <w:tcPr>
            <w:tcW w:type="dxa" w:w="850"/>
            <w:tcW w:w="850" w:type="dxa"/>
            <w:shd w:val="clear" w:color="auto" w:fill="DCE6F1"/>
          </w:tcPr>
          <w:p>
            <w:pPr>
              <w:jc w:val="left"/>
            </w:pPr>
            <w:r/>
            <w:r>
              <w:rPr>
                <w:rFonts w:ascii="Cambria" w:hAnsi="Cambria"/>
                <w:b w:val="0"/>
                <w:i w:val="0"/>
                <w:sz w:val="22"/>
              </w:rPr>
              <w:t>24</w:t>
            </w:r>
          </w:p>
        </w:tc>
        <w:tc>
          <w:tcPr>
            <w:tcW w:type="dxa" w:w="7540"/>
            <w:tcW w:w="7541" w:type="dxa"/>
            <w:shd w:val="clear" w:color="auto" w:fill="DCE6F1"/>
          </w:tcPr>
          <w:p>
            <w:pPr>
              <w:jc w:val="left"/>
            </w:pPr>
            <w:r/>
            <w:r>
              <w:rPr>
                <w:rFonts w:ascii="Cambria" w:hAnsi="Cambria"/>
                <w:b w:val="0"/>
                <w:i w:val="0"/>
                <w:sz w:val="22"/>
              </w:rPr>
              <w:t>Clean &amp; Smart Campuses in HEIs</w:t>
            </w:r>
          </w:p>
        </w:tc>
        <w:tc>
          <w:tcPr>
            <w:tcW w:type="dxa" w:w="1020"/>
            <w:tcW w:w="1020" w:type="dxa"/>
            <w:shd w:val="clear" w:color="auto" w:fill="DCE6F1"/>
          </w:tcPr>
          <w:p>
            <w:pPr>
              <w:jc w:val="left"/>
            </w:pPr>
            <w:r/>
            <w:r>
              <w:rPr>
                <w:rFonts w:ascii="Cambria" w:hAnsi="Cambria"/>
                <w:b w:val="0"/>
                <w:i w:val="0"/>
                <w:sz w:val="22"/>
              </w:rPr>
              <w:t>107</w:t>
            </w:r>
          </w:p>
        </w:tc>
      </w:tr>
      <w:tr>
        <w:tc>
          <w:tcPr>
            <w:tcW w:type="dxa" w:w="850"/>
            <w:tcW w:w="850" w:type="dxa"/>
          </w:tcPr>
          <w:p>
            <w:pPr>
              <w:jc w:val="left"/>
            </w:pPr>
            <w:r/>
            <w:r>
              <w:rPr>
                <w:rFonts w:ascii="Cambria" w:hAnsi="Cambria"/>
                <w:b w:val="0"/>
                <w:i w:val="0"/>
                <w:sz w:val="22"/>
              </w:rPr>
              <w:t>25</w:t>
            </w:r>
          </w:p>
        </w:tc>
        <w:tc>
          <w:tcPr>
            <w:tcW w:type="dxa" w:w="7540"/>
            <w:tcW w:w="7541" w:type="dxa"/>
          </w:tcPr>
          <w:p>
            <w:pPr>
              <w:jc w:val="left"/>
            </w:pPr>
            <w:r/>
            <w:r>
              <w:rPr>
                <w:rFonts w:ascii="Cambria" w:hAnsi="Cambria"/>
                <w:b w:val="0"/>
                <w:i w:val="0"/>
                <w:sz w:val="22"/>
              </w:rPr>
              <w:t>Promoting Sustainable Lifestyles in HEIs</w:t>
            </w:r>
          </w:p>
        </w:tc>
        <w:tc>
          <w:tcPr>
            <w:tcW w:type="dxa" w:w="1020"/>
            <w:tcW w:w="1020" w:type="dxa"/>
          </w:tcPr>
          <w:p>
            <w:pPr>
              <w:jc w:val="left"/>
            </w:pPr>
            <w:r/>
            <w:r>
              <w:rPr>
                <w:rFonts w:ascii="Cambria" w:hAnsi="Cambria"/>
                <w:b w:val="0"/>
                <w:i w:val="0"/>
                <w:sz w:val="22"/>
              </w:rPr>
              <w:t>112</w:t>
            </w:r>
          </w:p>
        </w:tc>
      </w:tr>
      <w:tr>
        <w:tc>
          <w:tcPr>
            <w:tcW w:type="dxa" w:w="850"/>
            <w:tcW w:w="850" w:type="dxa"/>
            <w:shd w:val="clear" w:color="auto" w:fill="DCE6F1"/>
          </w:tcPr>
          <w:p>
            <w:pPr>
              <w:jc w:val="left"/>
            </w:pPr>
            <w:r/>
            <w:r>
              <w:rPr>
                <w:rFonts w:ascii="Cambria" w:hAnsi="Cambria"/>
                <w:b w:val="0"/>
                <w:i w:val="0"/>
                <w:sz w:val="22"/>
              </w:rPr>
              <w:t>26</w:t>
            </w:r>
          </w:p>
        </w:tc>
        <w:tc>
          <w:tcPr>
            <w:tcW w:type="dxa" w:w="7540"/>
            <w:tcW w:w="7541" w:type="dxa"/>
            <w:shd w:val="clear" w:color="auto" w:fill="DCE6F1"/>
          </w:tcPr>
          <w:p>
            <w:pPr>
              <w:jc w:val="left"/>
            </w:pPr>
            <w:r/>
            <w:r>
              <w:rPr>
                <w:rFonts w:ascii="Cambria" w:hAnsi="Cambria"/>
                <w:b w:val="0"/>
                <w:i w:val="0"/>
                <w:sz w:val="22"/>
              </w:rPr>
              <w:t>Equity &amp; Access through Employment, Training &amp; Regulation in HEIs</w:t>
            </w:r>
          </w:p>
        </w:tc>
        <w:tc>
          <w:tcPr>
            <w:tcW w:type="dxa" w:w="1020"/>
            <w:tcW w:w="1020" w:type="dxa"/>
            <w:shd w:val="clear" w:color="auto" w:fill="DCE6F1"/>
          </w:tcPr>
          <w:p>
            <w:pPr>
              <w:jc w:val="left"/>
            </w:pPr>
            <w:r/>
            <w:r>
              <w:rPr>
                <w:rFonts w:ascii="Cambria" w:hAnsi="Cambria"/>
                <w:b w:val="0"/>
                <w:i w:val="0"/>
                <w:sz w:val="22"/>
              </w:rPr>
              <w:t>117</w:t>
            </w:r>
          </w:p>
        </w:tc>
      </w:tr>
      <w:tr>
        <w:tc>
          <w:tcPr>
            <w:tcW w:type="dxa" w:w="850"/>
            <w:tcW w:w="850" w:type="dxa"/>
          </w:tcPr>
          <w:p>
            <w:pPr>
              <w:jc w:val="left"/>
            </w:pPr>
            <w:r/>
            <w:r>
              <w:rPr>
                <w:rFonts w:ascii="Cambria" w:hAnsi="Cambria"/>
                <w:b w:val="0"/>
                <w:i w:val="0"/>
                <w:sz w:val="22"/>
              </w:rPr>
              <w:t>27</w:t>
            </w:r>
          </w:p>
        </w:tc>
        <w:tc>
          <w:tcPr>
            <w:tcW w:type="dxa" w:w="7540"/>
            <w:tcW w:w="7541" w:type="dxa"/>
          </w:tcPr>
          <w:p>
            <w:pPr>
              <w:jc w:val="left"/>
            </w:pPr>
            <w:r/>
            <w:r>
              <w:rPr>
                <w:rFonts w:ascii="Cambria" w:hAnsi="Cambria"/>
                <w:b w:val="0"/>
                <w:i w:val="0"/>
                <w:sz w:val="22"/>
              </w:rPr>
              <w:t>Scholarships &amp; Financial Assistance in HEIs</w:t>
            </w:r>
          </w:p>
        </w:tc>
        <w:tc>
          <w:tcPr>
            <w:tcW w:type="dxa" w:w="1020"/>
            <w:tcW w:w="1020" w:type="dxa"/>
          </w:tcPr>
          <w:p>
            <w:pPr>
              <w:jc w:val="left"/>
            </w:pPr>
            <w:r/>
            <w:r>
              <w:rPr>
                <w:rFonts w:ascii="Cambria" w:hAnsi="Cambria"/>
                <w:b w:val="0"/>
                <w:i w:val="0"/>
                <w:sz w:val="22"/>
              </w:rPr>
              <w:t>122</w:t>
            </w:r>
          </w:p>
        </w:tc>
      </w:tr>
      <w:tr>
        <w:tc>
          <w:tcPr>
            <w:tcW w:type="dxa" w:w="850"/>
            <w:tcW w:w="850" w:type="dxa"/>
            <w:shd w:val="clear" w:color="auto" w:fill="DCE6F1"/>
          </w:tcPr>
          <w:p>
            <w:pPr>
              <w:jc w:val="left"/>
            </w:pPr>
            <w:r/>
            <w:r>
              <w:rPr>
                <w:rFonts w:ascii="Cambria" w:hAnsi="Cambria"/>
                <w:b w:val="0"/>
                <w:i w:val="0"/>
                <w:sz w:val="22"/>
              </w:rPr>
              <w:t>28</w:t>
            </w:r>
          </w:p>
        </w:tc>
        <w:tc>
          <w:tcPr>
            <w:tcW w:type="dxa" w:w="7540"/>
            <w:tcW w:w="7541" w:type="dxa"/>
            <w:shd w:val="clear" w:color="auto" w:fill="DCE6F1"/>
          </w:tcPr>
          <w:p>
            <w:pPr>
              <w:jc w:val="left"/>
            </w:pPr>
            <w:r/>
            <w:r>
              <w:rPr>
                <w:rFonts w:ascii="Cambria" w:hAnsi="Cambria"/>
                <w:b w:val="0"/>
                <w:i w:val="0"/>
                <w:sz w:val="22"/>
              </w:rPr>
              <w:t>Supporting Creativity &amp; Innovation in HEIs</w:t>
            </w:r>
          </w:p>
        </w:tc>
        <w:tc>
          <w:tcPr>
            <w:tcW w:type="dxa" w:w="1020"/>
            <w:tcW w:w="1020" w:type="dxa"/>
            <w:shd w:val="clear" w:color="auto" w:fill="DCE6F1"/>
          </w:tcPr>
          <w:p>
            <w:pPr>
              <w:jc w:val="left"/>
            </w:pPr>
            <w:r/>
            <w:r>
              <w:rPr>
                <w:rFonts w:ascii="Cambria" w:hAnsi="Cambria"/>
                <w:b w:val="0"/>
                <w:i w:val="0"/>
                <w:sz w:val="22"/>
              </w:rPr>
              <w:t>127</w:t>
            </w:r>
          </w:p>
        </w:tc>
      </w:tr>
      <w:tr>
        <w:tc>
          <w:tcPr>
            <w:tcW w:type="dxa" w:w="850"/>
            <w:tcW w:w="850" w:type="dxa"/>
          </w:tcPr>
          <w:p>
            <w:pPr>
              <w:jc w:val="left"/>
            </w:pPr>
            <w:r/>
            <w:r>
              <w:rPr>
                <w:rFonts w:ascii="Cambria" w:hAnsi="Cambria"/>
                <w:b w:val="0"/>
                <w:i w:val="0"/>
                <w:sz w:val="22"/>
              </w:rPr>
              <w:t>29</w:t>
            </w:r>
          </w:p>
        </w:tc>
        <w:tc>
          <w:tcPr>
            <w:tcW w:type="dxa" w:w="7540"/>
            <w:tcW w:w="7541" w:type="dxa"/>
          </w:tcPr>
          <w:p>
            <w:pPr>
              <w:jc w:val="left"/>
            </w:pPr>
            <w:r/>
            <w:r>
              <w:rPr>
                <w:rFonts w:ascii="Cambria" w:hAnsi="Cambria"/>
                <w:b w:val="0"/>
                <w:i w:val="0"/>
                <w:sz w:val="22"/>
              </w:rPr>
              <w:t>Monitoring Employment Outcomes &amp; Academic Workload Management</w:t>
            </w:r>
          </w:p>
        </w:tc>
        <w:tc>
          <w:tcPr>
            <w:tcW w:type="dxa" w:w="1020"/>
            <w:tcW w:w="1020" w:type="dxa"/>
          </w:tcPr>
          <w:p>
            <w:pPr>
              <w:jc w:val="left"/>
            </w:pPr>
            <w:r/>
            <w:r>
              <w:rPr>
                <w:rFonts w:ascii="Cambria" w:hAnsi="Cambria"/>
                <w:b w:val="0"/>
                <w:i w:val="0"/>
                <w:sz w:val="22"/>
              </w:rPr>
              <w:t>131</w:t>
            </w:r>
          </w:p>
        </w:tc>
      </w:tr>
    </w:tbl>
    <w:p>
      <w:r>
        <w:br w:type="page"/>
      </w:r>
    </w:p>
    <w:p>
      <w:pPr>
        <w:spacing w:before="280" w:after="160"/>
        <w:jc w:val="left"/>
      </w:pPr>
      <w:r>
        <w:rPr>
          <w:rFonts w:ascii="Cambria" w:hAnsi="Cambria"/>
          <w:b/>
          <w:color w:val="1F3A5F"/>
          <w:sz w:val="32"/>
        </w:rPr>
        <w:t>1. SDG-4: Ensure Inclusive and Equitable Quality Education and Promote Lifelong Learning Opportunities for All</w:t>
      </w:r>
    </w:p>
    <w:p>
      <w:pPr>
        <w:spacing w:before="200" w:after="80"/>
        <w:jc w:val="left"/>
      </w:pPr>
      <w:r>
        <w:rPr>
          <w:rFonts w:ascii="Cambria" w:hAnsi="Cambria"/>
          <w:b/>
          <w:color w:val="1F3A5F"/>
          <w:sz w:val="25"/>
        </w:rPr>
        <w:t>SDG-4: Quality Education</w:t>
      </w:r>
    </w:p>
    <w:p>
      <w:pPr>
        <w:spacing w:before="200" w:after="80"/>
        <w:jc w:val="left"/>
      </w:pPr>
      <w:r>
        <w:rPr>
          <w:rFonts w:ascii="Cambria" w:hAnsi="Cambria"/>
          <w:b/>
          <w:color w:val="1F3A5F"/>
          <w:sz w:val="25"/>
        </w:rPr>
        <w:t>Overview</w:t>
      </w:r>
    </w:p>
    <w:p>
      <w:pPr>
        <w:pStyle w:val="ListBullet"/>
        <w:ind w:left="357"/>
        <w:jc w:val="both"/>
      </w:pPr>
      <w:r>
        <w:rPr>
          <w:rFonts w:ascii="Cambria" w:hAnsi="Cambria"/>
          <w:sz w:val="22"/>
        </w:rPr>
        <w:t>SDG-4 is central to the United Nations' 2030 Agenda for Sustainable Development.</w:t>
      </w:r>
    </w:p>
    <w:p>
      <w:pPr>
        <w:pStyle w:val="ListBullet"/>
        <w:ind w:left="357"/>
        <w:jc w:val="both"/>
      </w:pPr>
      <w:r>
        <w:rPr>
          <w:rFonts w:ascii="Cambria" w:hAnsi="Cambria"/>
          <w:sz w:val="22"/>
        </w:rPr>
        <w:t>It acknowledges education as both a fundamental human right and a public good that drives other SDGs such as health (SDG-3), gender equality (SDG-5), decent work (SDG-8), and reduced inequalities (SDG-10).</w:t>
      </w:r>
    </w:p>
    <w:p>
      <w:pPr>
        <w:pStyle w:val="ListBullet"/>
        <w:ind w:left="357"/>
        <w:jc w:val="both"/>
      </w:pPr>
      <w:r>
        <w:rPr>
          <w:rFonts w:ascii="Cambria" w:hAnsi="Cambria"/>
          <w:sz w:val="22"/>
        </w:rPr>
        <w:t xml:space="preserve">The goal stresses </w:t>
      </w:r>
      <w:r>
        <w:rPr>
          <w:rFonts w:ascii="Cambria" w:hAnsi="Cambria"/>
          <w:i/>
          <w:sz w:val="22"/>
        </w:rPr>
        <w:t>inclusivity, equity, quality, and lifelong learning</w:t>
      </w:r>
      <w:r>
        <w:rPr>
          <w:rFonts w:ascii="Cambria" w:hAnsi="Cambria"/>
          <w:sz w:val="22"/>
        </w:rPr>
        <w:t xml:space="preserve"> as the backbone of global educational reforms.</w:t>
      </w:r>
    </w:p>
    <w:p>
      <w:pPr>
        <w:spacing w:after="120"/>
        <w:jc w:val="both"/>
      </w:pPr>
      <w:r>
        <w:rPr>
          <w:rFonts w:ascii="Cambria" w:hAnsi="Cambria"/>
          <w:b/>
          <w:i w:val="0"/>
          <w:sz w:val="22"/>
        </w:rPr>
        <w:t>Detailed Breakdown of Targets</w:t>
      </w:r>
    </w:p>
    <w:p>
      <w:pPr>
        <w:pStyle w:val="ListBullet"/>
        <w:ind w:left="357"/>
        <w:jc w:val="both"/>
      </w:pPr>
      <w:r>
        <w:rPr>
          <w:rFonts w:ascii="Cambria" w:hAnsi="Cambria"/>
          <w:b/>
          <w:sz w:val="22"/>
        </w:rPr>
        <w:t xml:space="preserve">Target 4.1: </w:t>
      </w:r>
      <w:r>
        <w:rPr>
          <w:rFonts w:ascii="Cambria" w:hAnsi="Cambria"/>
          <w:sz w:val="22"/>
        </w:rPr>
        <w:t>By 2030, ensure all girls and boys complete free, equitable, and quality primary and secondary education leading to effective learning outcomes.</w:t>
      </w:r>
    </w:p>
    <w:p>
      <w:pPr>
        <w:pStyle w:val="ListBullet2"/>
        <w:ind w:left="720"/>
        <w:jc w:val="both"/>
      </w:pPr>
      <w:r>
        <w:rPr>
          <w:rFonts w:ascii="Cambria" w:hAnsi="Cambria"/>
          <w:b/>
          <w:sz w:val="22"/>
        </w:rPr>
        <w:t xml:space="preserve">Focus: </w:t>
      </w:r>
      <w:r>
        <w:rPr>
          <w:rFonts w:ascii="Cambria" w:hAnsi="Cambria"/>
          <w:sz w:val="22"/>
        </w:rPr>
        <w:t>Compulsory education, curriculum reform, standardized assessments.</w:t>
      </w:r>
    </w:p>
    <w:p>
      <w:pPr>
        <w:pStyle w:val="ListBullet"/>
        <w:ind w:left="357"/>
        <w:jc w:val="both"/>
      </w:pPr>
      <w:r>
        <w:rPr>
          <w:rFonts w:ascii="Cambria" w:hAnsi="Cambria"/>
          <w:b/>
          <w:sz w:val="22"/>
        </w:rPr>
        <w:t xml:space="preserve">Target 4.2: </w:t>
      </w:r>
      <w:r>
        <w:rPr>
          <w:rFonts w:ascii="Cambria" w:hAnsi="Cambria"/>
          <w:sz w:val="22"/>
        </w:rPr>
        <w:t>Ensure all children have access to quality early childhood development, care, and pre-primary education.</w:t>
      </w:r>
    </w:p>
    <w:p>
      <w:pPr>
        <w:pStyle w:val="ListBullet2"/>
        <w:ind w:left="720"/>
        <w:jc w:val="both"/>
      </w:pPr>
      <w:r>
        <w:rPr>
          <w:rFonts w:ascii="Cambria" w:hAnsi="Cambria"/>
          <w:b/>
          <w:sz w:val="22"/>
        </w:rPr>
        <w:t xml:space="preserve">Focus: </w:t>
      </w:r>
      <w:r>
        <w:rPr>
          <w:rFonts w:ascii="Cambria" w:hAnsi="Cambria"/>
          <w:sz w:val="22"/>
        </w:rPr>
        <w:t>Preschool education, nutritional programs, parental awareness.</w:t>
      </w:r>
    </w:p>
    <w:p>
      <w:pPr>
        <w:pStyle w:val="ListBullet"/>
        <w:ind w:left="357"/>
        <w:jc w:val="both"/>
      </w:pPr>
      <w:r>
        <w:rPr>
          <w:rFonts w:ascii="Cambria" w:hAnsi="Cambria"/>
          <w:b/>
          <w:sz w:val="22"/>
        </w:rPr>
        <w:t xml:space="preserve">Target 4.3: </w:t>
      </w:r>
      <w:r>
        <w:rPr>
          <w:rFonts w:ascii="Cambria" w:hAnsi="Cambria"/>
          <w:sz w:val="22"/>
        </w:rPr>
        <w:t>Ensure equal access to affordable and quality technical, vocational, and tertiary education, including university.</w:t>
      </w:r>
    </w:p>
    <w:p>
      <w:pPr>
        <w:pStyle w:val="ListBullet2"/>
        <w:ind w:left="720"/>
        <w:jc w:val="both"/>
      </w:pPr>
      <w:r>
        <w:rPr>
          <w:rFonts w:ascii="Cambria" w:hAnsi="Cambria"/>
          <w:b/>
          <w:sz w:val="22"/>
        </w:rPr>
        <w:t xml:space="preserve">Focus: </w:t>
      </w:r>
      <w:r>
        <w:rPr>
          <w:rFonts w:ascii="Cambria" w:hAnsi="Cambria"/>
          <w:sz w:val="22"/>
        </w:rPr>
        <w:t>Expanding higher education, online learning, and vocational training.</w:t>
      </w:r>
    </w:p>
    <w:p>
      <w:pPr>
        <w:pStyle w:val="ListBullet"/>
        <w:ind w:left="357"/>
        <w:jc w:val="both"/>
      </w:pPr>
      <w:r>
        <w:rPr>
          <w:rFonts w:ascii="Cambria" w:hAnsi="Cambria"/>
          <w:b/>
          <w:sz w:val="22"/>
        </w:rPr>
        <w:t xml:space="preserve">Target 4.4: </w:t>
      </w:r>
      <w:r>
        <w:rPr>
          <w:rFonts w:ascii="Cambria" w:hAnsi="Cambria"/>
          <w:sz w:val="22"/>
        </w:rPr>
        <w:t>By 2030, substantially increase the number of youth and adults with relevant skills, including technical and vocational skills for employment, decent jobs, and entrepreneurship.</w:t>
      </w:r>
    </w:p>
    <w:p>
      <w:pPr>
        <w:pStyle w:val="ListBullet2"/>
        <w:ind w:left="720"/>
        <w:jc w:val="both"/>
      </w:pPr>
      <w:r>
        <w:rPr>
          <w:rFonts w:ascii="Cambria" w:hAnsi="Cambria"/>
          <w:b/>
          <w:sz w:val="22"/>
        </w:rPr>
        <w:t xml:space="preserve">Focus: </w:t>
      </w:r>
      <w:r>
        <w:rPr>
          <w:rFonts w:ascii="Cambria" w:hAnsi="Cambria"/>
          <w:sz w:val="22"/>
        </w:rPr>
        <w:t>STEM education, digital skills, entrepreneurship programs.</w:t>
      </w:r>
    </w:p>
    <w:p>
      <w:pPr>
        <w:pStyle w:val="ListBullet"/>
        <w:ind w:left="357"/>
        <w:jc w:val="both"/>
      </w:pPr>
      <w:r>
        <w:rPr>
          <w:rFonts w:ascii="Cambria" w:hAnsi="Cambria"/>
          <w:b/>
          <w:sz w:val="22"/>
        </w:rPr>
        <w:t xml:space="preserve">Target 4.5: </w:t>
      </w:r>
      <w:r>
        <w:rPr>
          <w:rFonts w:ascii="Cambria" w:hAnsi="Cambria"/>
          <w:sz w:val="22"/>
        </w:rPr>
        <w:t>Eliminate gender disparities in education and ensure equal access to vulnerable groups.</w:t>
      </w:r>
    </w:p>
    <w:p>
      <w:pPr>
        <w:pStyle w:val="ListBullet2"/>
        <w:ind w:left="720"/>
        <w:jc w:val="both"/>
      </w:pPr>
      <w:r>
        <w:rPr>
          <w:rFonts w:ascii="Cambria" w:hAnsi="Cambria"/>
          <w:b/>
          <w:sz w:val="22"/>
        </w:rPr>
        <w:t xml:space="preserve">Focus: </w:t>
      </w:r>
      <w:r>
        <w:rPr>
          <w:rFonts w:ascii="Cambria" w:hAnsi="Cambria"/>
          <w:sz w:val="22"/>
        </w:rPr>
        <w:t>Girls, disabled learners, indigenous and rural communities.</w:t>
      </w:r>
    </w:p>
    <w:p>
      <w:pPr>
        <w:pStyle w:val="ListBullet"/>
        <w:ind w:left="357"/>
        <w:jc w:val="both"/>
      </w:pPr>
      <w:r>
        <w:rPr>
          <w:rFonts w:ascii="Cambria" w:hAnsi="Cambria"/>
          <w:b/>
          <w:sz w:val="22"/>
        </w:rPr>
        <w:t xml:space="preserve">Target 4.6: </w:t>
      </w:r>
      <w:r>
        <w:rPr>
          <w:rFonts w:ascii="Cambria" w:hAnsi="Cambria"/>
          <w:sz w:val="22"/>
        </w:rPr>
        <w:t>Achieve literacy and numeracy for all youth and a substantial proportion of adults.</w:t>
      </w:r>
    </w:p>
    <w:p>
      <w:pPr>
        <w:pStyle w:val="ListBullet2"/>
        <w:ind w:left="720"/>
        <w:jc w:val="both"/>
      </w:pPr>
      <w:r>
        <w:rPr>
          <w:rFonts w:ascii="Cambria" w:hAnsi="Cambria"/>
          <w:b/>
          <w:sz w:val="22"/>
        </w:rPr>
        <w:t xml:space="preserve">Focus: </w:t>
      </w:r>
      <w:r>
        <w:rPr>
          <w:rFonts w:ascii="Cambria" w:hAnsi="Cambria"/>
          <w:sz w:val="22"/>
        </w:rPr>
        <w:t>Adult education programs, literacy campaigns, community learning.</w:t>
      </w:r>
    </w:p>
    <w:p>
      <w:pPr>
        <w:pStyle w:val="ListBullet"/>
        <w:ind w:left="357"/>
        <w:jc w:val="both"/>
      </w:pPr>
      <w:r>
        <w:rPr>
          <w:rFonts w:ascii="Cambria" w:hAnsi="Cambria"/>
          <w:b/>
          <w:sz w:val="22"/>
        </w:rPr>
        <w:t xml:space="preserve">Target 4.7: </w:t>
      </w:r>
      <w:r>
        <w:rPr>
          <w:rFonts w:ascii="Cambria" w:hAnsi="Cambria"/>
          <w:sz w:val="22"/>
        </w:rPr>
        <w:t>Ensure all learners acquire knowledge and skills to promote sustainable development, global citizenship, cultural diversity, and human rights.</w:t>
      </w:r>
    </w:p>
    <w:p>
      <w:pPr>
        <w:pStyle w:val="ListBullet2"/>
        <w:ind w:left="720"/>
        <w:jc w:val="both"/>
      </w:pPr>
      <w:r>
        <w:rPr>
          <w:rFonts w:ascii="Cambria" w:hAnsi="Cambria"/>
          <w:b/>
          <w:sz w:val="22"/>
        </w:rPr>
        <w:t xml:space="preserve">Focus: </w:t>
      </w:r>
      <w:r>
        <w:rPr>
          <w:rFonts w:ascii="Cambria" w:hAnsi="Cambria"/>
          <w:sz w:val="22"/>
        </w:rPr>
        <w:t>Climate change education, ethics, multicultural awareness.</w:t>
      </w:r>
    </w:p>
    <w:p>
      <w:pPr>
        <w:pStyle w:val="ListBullet"/>
        <w:ind w:left="357"/>
        <w:jc w:val="both"/>
      </w:pPr>
      <w:r>
        <w:rPr>
          <w:rFonts w:ascii="Cambria" w:hAnsi="Cambria"/>
          <w:b/>
          <w:sz w:val="22"/>
        </w:rPr>
        <w:t xml:space="preserve">Target 4.a: </w:t>
      </w:r>
      <w:r>
        <w:rPr>
          <w:rFonts w:ascii="Cambria" w:hAnsi="Cambria"/>
          <w:sz w:val="22"/>
        </w:rPr>
        <w:t>Build and upgrade safe, non-violent, inclusive, and effective learning environments.</w:t>
      </w:r>
    </w:p>
    <w:p>
      <w:pPr>
        <w:pStyle w:val="ListBullet2"/>
        <w:ind w:left="720"/>
        <w:jc w:val="both"/>
      </w:pPr>
      <w:r>
        <w:rPr>
          <w:rFonts w:ascii="Cambria" w:hAnsi="Cambria"/>
          <w:b/>
          <w:sz w:val="22"/>
        </w:rPr>
        <w:t xml:space="preserve">Focus: </w:t>
      </w:r>
      <w:r>
        <w:rPr>
          <w:rFonts w:ascii="Cambria" w:hAnsi="Cambria"/>
          <w:sz w:val="22"/>
        </w:rPr>
        <w:t>School infrastructure, sanitation, ICT integration.</w:t>
      </w:r>
    </w:p>
    <w:p>
      <w:pPr>
        <w:pStyle w:val="ListBullet"/>
        <w:ind w:left="357"/>
        <w:jc w:val="both"/>
      </w:pPr>
      <w:r>
        <w:rPr>
          <w:rFonts w:ascii="Cambria" w:hAnsi="Cambria"/>
          <w:b/>
          <w:sz w:val="22"/>
        </w:rPr>
        <w:t xml:space="preserve">Target 4.b: </w:t>
      </w:r>
      <w:r>
        <w:rPr>
          <w:rFonts w:ascii="Cambria" w:hAnsi="Cambria"/>
          <w:sz w:val="22"/>
        </w:rPr>
        <w:t>Expand scholarships for students in developing countries.</w:t>
      </w:r>
    </w:p>
    <w:p>
      <w:pPr>
        <w:pStyle w:val="ListBullet2"/>
        <w:ind w:left="720"/>
        <w:jc w:val="both"/>
      </w:pPr>
      <w:r>
        <w:rPr>
          <w:rFonts w:ascii="Cambria" w:hAnsi="Cambria"/>
          <w:b/>
          <w:sz w:val="22"/>
        </w:rPr>
        <w:t xml:space="preserve">Focus: </w:t>
      </w:r>
      <w:r>
        <w:rPr>
          <w:rFonts w:ascii="Cambria" w:hAnsi="Cambria"/>
          <w:sz w:val="22"/>
        </w:rPr>
        <w:t>International exchange, scholarships, partnerships.</w:t>
      </w:r>
    </w:p>
    <w:p>
      <w:pPr>
        <w:pStyle w:val="ListBullet"/>
        <w:ind w:left="357"/>
        <w:jc w:val="both"/>
      </w:pPr>
      <w:r>
        <w:rPr>
          <w:rFonts w:ascii="Cambria" w:hAnsi="Cambria"/>
          <w:b/>
          <w:sz w:val="22"/>
        </w:rPr>
        <w:t xml:space="preserve">Target 4.c: </w:t>
      </w:r>
      <w:r>
        <w:rPr>
          <w:rFonts w:ascii="Cambria" w:hAnsi="Cambria"/>
          <w:sz w:val="22"/>
        </w:rPr>
        <w:t>Substantially increase the supply of qualified teachers.</w:t>
      </w:r>
    </w:p>
    <w:p>
      <w:pPr>
        <w:pStyle w:val="ListBullet2"/>
        <w:ind w:left="720"/>
        <w:jc w:val="both"/>
      </w:pPr>
      <w:r>
        <w:rPr>
          <w:rFonts w:ascii="Cambria" w:hAnsi="Cambria"/>
          <w:b/>
          <w:sz w:val="22"/>
        </w:rPr>
        <w:t xml:space="preserve">Focus: </w:t>
      </w:r>
      <w:r>
        <w:rPr>
          <w:rFonts w:ascii="Cambria" w:hAnsi="Cambria"/>
          <w:sz w:val="22"/>
        </w:rPr>
        <w:t>Teacher training, incentives, and professional development.</w:t>
      </w:r>
    </w:p>
    <w:p>
      <w:pPr>
        <w:spacing w:after="120"/>
        <w:jc w:val="both"/>
      </w:pPr>
      <w:r>
        <w:rPr>
          <w:rFonts w:ascii="Cambria" w:hAnsi="Cambria"/>
          <w:b/>
          <w:i w:val="0"/>
          <w:sz w:val="22"/>
        </w:rPr>
        <w:t>Challenges Hindering Progress</w:t>
      </w:r>
    </w:p>
    <w:p>
      <w:pPr>
        <w:pStyle w:val="ListBullet"/>
        <w:ind w:left="357"/>
        <w:jc w:val="both"/>
      </w:pPr>
      <w:r>
        <w:rPr>
          <w:rFonts w:ascii="Cambria" w:hAnsi="Cambria"/>
          <w:b/>
          <w:sz w:val="22"/>
        </w:rPr>
        <w:t xml:space="preserve">Access Issues: </w:t>
      </w:r>
      <w:r>
        <w:rPr>
          <w:rFonts w:ascii="Cambria" w:hAnsi="Cambria"/>
          <w:sz w:val="22"/>
        </w:rPr>
        <w:t>Millions of children remain out of school due to poverty, conflict, or disability.</w:t>
      </w:r>
    </w:p>
    <w:p>
      <w:pPr>
        <w:pStyle w:val="ListBullet"/>
        <w:ind w:left="357"/>
        <w:jc w:val="both"/>
      </w:pPr>
      <w:r>
        <w:rPr>
          <w:rFonts w:ascii="Cambria" w:hAnsi="Cambria"/>
          <w:b/>
          <w:sz w:val="22"/>
        </w:rPr>
        <w:t xml:space="preserve">Quality Concerns: </w:t>
      </w:r>
      <w:r>
        <w:rPr>
          <w:rFonts w:ascii="Cambria" w:hAnsi="Cambria"/>
          <w:sz w:val="22"/>
        </w:rPr>
        <w:t>Enrolment has increased, but many students lack minimum proficiency in reading and math.</w:t>
      </w:r>
    </w:p>
    <w:p>
      <w:pPr>
        <w:pStyle w:val="ListBullet"/>
        <w:ind w:left="357"/>
        <w:jc w:val="both"/>
      </w:pPr>
      <w:r>
        <w:rPr>
          <w:rFonts w:ascii="Cambria" w:hAnsi="Cambria"/>
          <w:b/>
          <w:sz w:val="22"/>
        </w:rPr>
        <w:t xml:space="preserve">Digital Divide: </w:t>
      </w:r>
      <w:r>
        <w:rPr>
          <w:rFonts w:ascii="Cambria" w:hAnsi="Cambria"/>
          <w:sz w:val="22"/>
        </w:rPr>
        <w:t>Unequal access to online resources, devices, and the internet.</w:t>
      </w:r>
    </w:p>
    <w:p>
      <w:pPr>
        <w:pStyle w:val="ListBullet"/>
        <w:ind w:left="357"/>
        <w:jc w:val="both"/>
      </w:pPr>
      <w:r>
        <w:rPr>
          <w:rFonts w:ascii="Cambria" w:hAnsi="Cambria"/>
          <w:b/>
          <w:sz w:val="22"/>
        </w:rPr>
        <w:t xml:space="preserve">Teacher Shortages: </w:t>
      </w:r>
      <w:r>
        <w:rPr>
          <w:rFonts w:ascii="Cambria" w:hAnsi="Cambria"/>
          <w:sz w:val="22"/>
        </w:rPr>
        <w:t>UNESCO estimates a need for over 69 million new teachers by 2030.</w:t>
      </w:r>
    </w:p>
    <w:p>
      <w:pPr>
        <w:pStyle w:val="ListBullet"/>
        <w:ind w:left="357"/>
        <w:jc w:val="both"/>
      </w:pPr>
      <w:r>
        <w:rPr>
          <w:rFonts w:ascii="Cambria" w:hAnsi="Cambria"/>
          <w:b/>
          <w:sz w:val="22"/>
        </w:rPr>
        <w:t xml:space="preserve">Gender Inequality: </w:t>
      </w:r>
      <w:r>
        <w:rPr>
          <w:rFonts w:ascii="Cambria" w:hAnsi="Cambria"/>
          <w:sz w:val="22"/>
        </w:rPr>
        <w:t>In some regions, social and cultural norms prevent girls from completing education.</w:t>
      </w:r>
    </w:p>
    <w:p>
      <w:pPr>
        <w:pStyle w:val="ListBullet"/>
        <w:ind w:left="357"/>
        <w:jc w:val="both"/>
      </w:pPr>
      <w:r>
        <w:rPr>
          <w:rFonts w:ascii="Cambria" w:hAnsi="Cambria"/>
          <w:b/>
          <w:sz w:val="22"/>
        </w:rPr>
        <w:t xml:space="preserve">Financial Barriers: </w:t>
      </w:r>
      <w:r>
        <w:rPr>
          <w:rFonts w:ascii="Cambria" w:hAnsi="Cambria"/>
          <w:sz w:val="22"/>
        </w:rPr>
        <w:t>Insufficient government spending and reliance on donor funding.</w:t>
      </w:r>
    </w:p>
    <w:p>
      <w:pPr>
        <w:pStyle w:val="ListBullet"/>
        <w:ind w:left="357"/>
        <w:jc w:val="both"/>
      </w:pPr>
      <w:r>
        <w:rPr>
          <w:rFonts w:ascii="Cambria" w:hAnsi="Cambria"/>
          <w:b/>
          <w:sz w:val="22"/>
        </w:rPr>
        <w:t xml:space="preserve">Impact of COVID-19: </w:t>
      </w:r>
      <w:r>
        <w:rPr>
          <w:rFonts w:ascii="Cambria" w:hAnsi="Cambria"/>
          <w:sz w:val="22"/>
        </w:rPr>
        <w:t>Widened learning gaps, with the most disadvantaged suffering the most.</w:t>
      </w:r>
    </w:p>
    <w:p>
      <w:pPr>
        <w:spacing w:after="120"/>
        <w:jc w:val="both"/>
      </w:pPr>
      <w:r>
        <w:rPr>
          <w:rFonts w:ascii="Cambria" w:hAnsi="Cambria"/>
          <w:b/>
          <w:i w:val="0"/>
          <w:sz w:val="22"/>
        </w:rPr>
        <w:t>Global Initiatives and Frameworks</w:t>
      </w:r>
    </w:p>
    <w:p>
      <w:pPr>
        <w:pStyle w:val="ListBullet"/>
        <w:ind w:left="357"/>
        <w:jc w:val="both"/>
      </w:pPr>
      <w:r>
        <w:rPr>
          <w:rFonts w:ascii="Cambria" w:hAnsi="Cambria"/>
          <w:b/>
          <w:sz w:val="22"/>
        </w:rPr>
        <w:t xml:space="preserve">UNESCO's Education 2030 Framework for Action (FFA): </w:t>
      </w:r>
      <w:r>
        <w:rPr>
          <w:rFonts w:ascii="Cambria" w:hAnsi="Cambria"/>
          <w:sz w:val="22"/>
        </w:rPr>
        <w:t>Provides a roadmap for implementation and monitoring.</w:t>
      </w:r>
    </w:p>
    <w:p>
      <w:pPr>
        <w:pStyle w:val="ListBullet"/>
        <w:ind w:left="357"/>
        <w:jc w:val="both"/>
      </w:pPr>
      <w:r>
        <w:rPr>
          <w:rFonts w:ascii="Cambria" w:hAnsi="Cambria"/>
          <w:b/>
          <w:sz w:val="22"/>
        </w:rPr>
        <w:t xml:space="preserve">Global Education Monitoring (GEM) Report: </w:t>
      </w:r>
      <w:r>
        <w:rPr>
          <w:rFonts w:ascii="Cambria" w:hAnsi="Cambria"/>
          <w:sz w:val="22"/>
        </w:rPr>
        <w:t>Tracks progress and identifies gaps.</w:t>
      </w:r>
    </w:p>
    <w:p>
      <w:pPr>
        <w:pStyle w:val="ListBullet"/>
        <w:ind w:left="357"/>
        <w:jc w:val="both"/>
      </w:pPr>
      <w:r>
        <w:rPr>
          <w:rFonts w:ascii="Cambria" w:hAnsi="Cambria"/>
          <w:b/>
          <w:sz w:val="22"/>
        </w:rPr>
        <w:t xml:space="preserve">Global Partnership for Education (GPE): </w:t>
      </w:r>
      <w:r>
        <w:rPr>
          <w:rFonts w:ascii="Cambria" w:hAnsi="Cambria"/>
          <w:sz w:val="22"/>
        </w:rPr>
        <w:t>Supports financing for low-income countries.</w:t>
      </w:r>
    </w:p>
    <w:p>
      <w:pPr>
        <w:pStyle w:val="ListBullet"/>
        <w:ind w:left="357"/>
        <w:jc w:val="both"/>
      </w:pPr>
      <w:r>
        <w:rPr>
          <w:rFonts w:ascii="Cambria" w:hAnsi="Cambria"/>
          <w:b/>
          <w:sz w:val="22"/>
        </w:rPr>
        <w:t xml:space="preserve">Education Cannot Wait (ECW): </w:t>
      </w:r>
      <w:r>
        <w:rPr>
          <w:rFonts w:ascii="Cambria" w:hAnsi="Cambria"/>
          <w:sz w:val="22"/>
        </w:rPr>
        <w:t>Targets education in emergencies and conflict zones.</w:t>
      </w:r>
    </w:p>
    <w:p>
      <w:pPr>
        <w:pStyle w:val="ListBullet"/>
        <w:ind w:left="357"/>
        <w:jc w:val="both"/>
      </w:pPr>
      <w:r>
        <w:rPr>
          <w:rFonts w:ascii="Cambria" w:hAnsi="Cambria"/>
          <w:b/>
          <w:sz w:val="22"/>
        </w:rPr>
        <w:t xml:space="preserve">Digital Initiatives: </w:t>
      </w:r>
      <w:r>
        <w:rPr>
          <w:rFonts w:ascii="Cambria" w:hAnsi="Cambria"/>
          <w:sz w:val="22"/>
        </w:rPr>
        <w:t>MOOCs (Coursera, edX), Open Educational Resources (OER), and mobile learning.</w:t>
      </w:r>
    </w:p>
    <w:p>
      <w:pPr>
        <w:spacing w:after="120"/>
        <w:jc w:val="both"/>
      </w:pPr>
      <w:r>
        <w:rPr>
          <w:rFonts w:ascii="Cambria" w:hAnsi="Cambria"/>
          <w:b/>
          <w:i w:val="0"/>
          <w:sz w:val="22"/>
        </w:rPr>
        <w:t>National-Level Interventions (Examples)</w:t>
      </w:r>
    </w:p>
    <w:p>
      <w:pPr>
        <w:pStyle w:val="ListBullet"/>
        <w:ind w:left="357"/>
        <w:jc w:val="both"/>
      </w:pPr>
      <w:r>
        <w:rPr>
          <w:rFonts w:ascii="Cambria" w:hAnsi="Cambria"/>
          <w:b/>
          <w:sz w:val="22"/>
        </w:rPr>
        <w:t xml:space="preserve">India: </w:t>
      </w:r>
      <w:r>
        <w:rPr>
          <w:rFonts w:ascii="Cambria" w:hAnsi="Cambria"/>
          <w:sz w:val="22"/>
        </w:rPr>
        <w:t>Samagra Shiksha Abhiyan (integrated school education scheme), NEP 2020 reforms.</w:t>
      </w:r>
    </w:p>
    <w:p>
      <w:pPr>
        <w:pStyle w:val="ListBullet"/>
        <w:ind w:left="357"/>
        <w:jc w:val="both"/>
      </w:pPr>
      <w:r>
        <w:rPr>
          <w:rFonts w:ascii="Cambria" w:hAnsi="Cambria"/>
          <w:b/>
          <w:sz w:val="22"/>
        </w:rPr>
        <w:t xml:space="preserve">USA: </w:t>
      </w:r>
      <w:r>
        <w:rPr>
          <w:rFonts w:ascii="Cambria" w:hAnsi="Cambria"/>
          <w:sz w:val="22"/>
        </w:rPr>
        <w:t>Every Student Succeeds Act (ESSA), focus on accountability and equity.</w:t>
      </w:r>
    </w:p>
    <w:p>
      <w:pPr>
        <w:pStyle w:val="ListBullet"/>
        <w:ind w:left="357"/>
        <w:jc w:val="both"/>
      </w:pPr>
      <w:r>
        <w:rPr>
          <w:rFonts w:ascii="Cambria" w:hAnsi="Cambria"/>
          <w:b/>
          <w:sz w:val="22"/>
        </w:rPr>
        <w:t xml:space="preserve">European Union: </w:t>
      </w:r>
      <w:r>
        <w:rPr>
          <w:rFonts w:ascii="Cambria" w:hAnsi="Cambria"/>
          <w:sz w:val="22"/>
        </w:rPr>
        <w:t>Erasmus+ program, promoting cross-border higher education and research.</w:t>
      </w:r>
    </w:p>
    <w:p>
      <w:pPr>
        <w:pStyle w:val="ListBullet"/>
        <w:ind w:left="357"/>
        <w:jc w:val="both"/>
      </w:pPr>
      <w:r>
        <w:rPr>
          <w:rFonts w:ascii="Cambria" w:hAnsi="Cambria"/>
          <w:b/>
          <w:sz w:val="22"/>
        </w:rPr>
        <w:t xml:space="preserve">African Union: </w:t>
      </w:r>
      <w:r>
        <w:rPr>
          <w:rFonts w:ascii="Cambria" w:hAnsi="Cambria"/>
          <w:sz w:val="22"/>
        </w:rPr>
        <w:t>Continental Education Strategy for Africa (CESA 16-25).</w:t>
      </w:r>
    </w:p>
    <w:p>
      <w:pPr>
        <w:spacing w:after="120"/>
        <w:jc w:val="both"/>
      </w:pPr>
      <w:r>
        <w:rPr>
          <w:rFonts w:ascii="Cambria" w:hAnsi="Cambria"/>
          <w:b/>
          <w:i w:val="0"/>
          <w:sz w:val="22"/>
        </w:rPr>
        <w:t>Role of Higher Education Institutions (HEIs)</w:t>
      </w:r>
    </w:p>
    <w:p>
      <w:pPr>
        <w:pStyle w:val="ListBullet"/>
        <w:ind w:left="357"/>
        <w:jc w:val="both"/>
      </w:pPr>
      <w:r>
        <w:rPr>
          <w:rFonts w:ascii="Cambria" w:hAnsi="Cambria"/>
          <w:sz w:val="22"/>
        </w:rPr>
        <w:t>Act as incubators of innovation, research, and teacher training.</w:t>
      </w:r>
    </w:p>
    <w:p>
      <w:pPr>
        <w:pStyle w:val="ListBullet"/>
        <w:ind w:left="357"/>
        <w:jc w:val="both"/>
      </w:pPr>
      <w:r>
        <w:rPr>
          <w:rFonts w:ascii="Cambria" w:hAnsi="Cambria"/>
          <w:sz w:val="22"/>
        </w:rPr>
        <w:t>Design curricula that integrate SDG themes, sustainability, and global citizenship.</w:t>
      </w:r>
    </w:p>
    <w:p>
      <w:pPr>
        <w:pStyle w:val="ListBullet"/>
        <w:ind w:left="357"/>
        <w:jc w:val="both"/>
      </w:pPr>
      <w:r>
        <w:rPr>
          <w:rFonts w:ascii="Cambria" w:hAnsi="Cambria"/>
          <w:sz w:val="22"/>
        </w:rPr>
        <w:t>Provide scholarships, mentorship, and outreach programs for disadvantaged groups.</w:t>
      </w:r>
    </w:p>
    <w:p>
      <w:pPr>
        <w:pStyle w:val="ListBullet"/>
        <w:ind w:left="357"/>
        <w:jc w:val="both"/>
      </w:pPr>
      <w:r>
        <w:rPr>
          <w:rFonts w:ascii="Cambria" w:hAnsi="Cambria"/>
          <w:sz w:val="22"/>
        </w:rPr>
        <w:t>Support adult learning and lifelong education opportunities.</w:t>
      </w:r>
    </w:p>
    <w:p>
      <w:pPr>
        <w:pStyle w:val="ListBullet"/>
        <w:ind w:left="357"/>
        <w:jc w:val="both"/>
      </w:pPr>
      <w:r>
        <w:rPr>
          <w:rFonts w:ascii="Cambria" w:hAnsi="Cambria"/>
          <w:sz w:val="22"/>
        </w:rPr>
        <w:t>Collaborate with industries for skill development and employability programs.</w:t>
      </w:r>
    </w:p>
    <w:p>
      <w:pPr>
        <w:spacing w:after="120"/>
        <w:jc w:val="both"/>
      </w:pPr>
      <w:r>
        <w:rPr>
          <w:rFonts w:ascii="Cambria" w:hAnsi="Cambria"/>
          <w:b/>
          <w:i w:val="0"/>
          <w:sz w:val="22"/>
        </w:rPr>
        <w:t>Outcomes and Expected Global Impact</w:t>
      </w:r>
    </w:p>
    <w:p>
      <w:pPr>
        <w:pStyle w:val="ListBullet"/>
        <w:ind w:left="357"/>
        <w:jc w:val="both"/>
      </w:pPr>
      <w:r>
        <w:rPr>
          <w:rFonts w:ascii="Cambria" w:hAnsi="Cambria"/>
          <w:b/>
          <w:sz w:val="22"/>
        </w:rPr>
        <w:t xml:space="preserve">Short-Term: </w:t>
      </w:r>
      <w:r>
        <w:rPr>
          <w:rFonts w:ascii="Cambria" w:hAnsi="Cambria"/>
          <w:sz w:val="22"/>
        </w:rPr>
        <w:t>Improved school enrolment, reduced dropout rates, better-trained teachers.</w:t>
      </w:r>
    </w:p>
    <w:p>
      <w:pPr>
        <w:pStyle w:val="ListBullet"/>
        <w:ind w:left="357"/>
        <w:jc w:val="both"/>
      </w:pPr>
      <w:r>
        <w:rPr>
          <w:rFonts w:ascii="Cambria" w:hAnsi="Cambria"/>
          <w:b/>
          <w:sz w:val="22"/>
        </w:rPr>
        <w:t xml:space="preserve">Medium-Term: </w:t>
      </w:r>
      <w:r>
        <w:rPr>
          <w:rFonts w:ascii="Cambria" w:hAnsi="Cambria"/>
          <w:sz w:val="22"/>
        </w:rPr>
        <w:t>Greater employability, digital literacy, closing gender gaps in education.</w:t>
      </w:r>
    </w:p>
    <w:p>
      <w:pPr>
        <w:pStyle w:val="ListBullet"/>
        <w:ind w:left="357"/>
        <w:jc w:val="both"/>
      </w:pPr>
      <w:r>
        <w:rPr>
          <w:rFonts w:ascii="Cambria" w:hAnsi="Cambria"/>
          <w:b/>
          <w:sz w:val="22"/>
        </w:rPr>
        <w:t xml:space="preserve">Long-Term: </w:t>
      </w:r>
      <w:r>
        <w:rPr>
          <w:rFonts w:ascii="Cambria" w:hAnsi="Cambria"/>
          <w:sz w:val="22"/>
        </w:rPr>
        <w:t>Sustainable development driven by educated, skilled, and responsible citizens; reduction of poverty and inequalities.</w:t>
      </w:r>
    </w:p>
    <w:p>
      <w:pPr>
        <w:spacing w:before="200" w:after="80"/>
        <w:jc w:val="left"/>
      </w:pPr>
      <w:r>
        <w:rPr>
          <w:rFonts w:ascii="Cambria" w:hAnsi="Cambria"/>
          <w:b/>
          <w:color w:val="1F3A5F"/>
          <w:sz w:val="25"/>
        </w:rPr>
        <w:t>Policy–Action–Outcome Table for SDG-4: Quality Education</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Policy</w:t>
            </w:r>
          </w:p>
        </w:tc>
        <w:tc>
          <w:tcPr>
            <w:tcW w:type="dxa" w:w="3685"/>
            <w:shd w:val="clear" w:color="auto" w:fill="1F3A5F"/>
            <w:tcW w:w="3685" w:type="dxa"/>
          </w:tcPr>
          <w:p>
            <w:pPr>
              <w:jc w:val="left"/>
            </w:pPr>
            <w:r/>
            <w:r>
              <w:rPr>
                <w:rFonts w:ascii="Cambria" w:hAnsi="Cambria"/>
                <w:b/>
                <w:i w:val="0"/>
                <w:color w:val="FFFFFF"/>
                <w:sz w:val="22"/>
              </w:rPr>
              <w:t>Action</w:t>
            </w:r>
          </w:p>
        </w:tc>
        <w:tc>
          <w:tcPr>
            <w:tcW w:type="dxa" w:w="3458"/>
            <w:shd w:val="clear" w:color="auto" w:fill="1F3A5F"/>
            <w:tcW w:w="3458" w:type="dxa"/>
          </w:tcPr>
          <w:p>
            <w:pPr>
              <w:jc w:val="left"/>
            </w:pPr>
            <w:r/>
            <w:r>
              <w:rPr>
                <w:rFonts w:ascii="Cambria" w:hAnsi="Cambria"/>
                <w:b/>
                <w:i w:val="0"/>
                <w:color w:val="FFFFFF"/>
                <w:sz w:val="22"/>
              </w:rPr>
              <w:t>Expected Outcome</w:t>
            </w:r>
          </w:p>
        </w:tc>
      </w:tr>
      <w:tr>
        <w:tc>
          <w:tcPr>
            <w:tcW w:type="dxa" w:w="2268"/>
            <w:tcW w:w="2268" w:type="dxa"/>
          </w:tcPr>
          <w:p>
            <w:pPr>
              <w:jc w:val="left"/>
            </w:pPr>
            <w:r/>
            <w:r>
              <w:rPr>
                <w:rFonts w:ascii="Cambria" w:hAnsi="Cambria"/>
                <w:b w:val="0"/>
                <w:i w:val="0"/>
                <w:sz w:val="22"/>
              </w:rPr>
              <w:t>Universal access to free and quality education</w:t>
            </w:r>
          </w:p>
        </w:tc>
        <w:tc>
          <w:tcPr>
            <w:tcW w:type="dxa" w:w="3685"/>
            <w:tcW w:w="3685" w:type="dxa"/>
          </w:tcPr>
          <w:p>
            <w:pPr>
              <w:jc w:val="left"/>
            </w:pPr>
            <w:r/>
            <w:r>
              <w:rPr>
                <w:rFonts w:ascii="Cambria" w:hAnsi="Cambria"/>
                <w:b w:val="0"/>
                <w:i w:val="0"/>
                <w:sz w:val="22"/>
              </w:rPr>
              <w:t>Implement free and compulsory primary &amp; secondary schooling with national curriculum reforms and standardized assessments</w:t>
            </w:r>
          </w:p>
        </w:tc>
        <w:tc>
          <w:tcPr>
            <w:tcW w:type="dxa" w:w="3458"/>
            <w:tcW w:w="3458" w:type="dxa"/>
          </w:tcPr>
          <w:p>
            <w:pPr>
              <w:jc w:val="left"/>
            </w:pPr>
            <w:r/>
            <w:r>
              <w:rPr>
                <w:rFonts w:ascii="Cambria" w:hAnsi="Cambria"/>
                <w:b w:val="0"/>
                <w:i w:val="0"/>
                <w:sz w:val="22"/>
              </w:rPr>
              <w:t>Increased enrolment, reduced dropout rates, improved literacy and numeracy outcomes</w:t>
            </w:r>
          </w:p>
        </w:tc>
      </w:tr>
      <w:tr>
        <w:tc>
          <w:tcPr>
            <w:tcW w:type="dxa" w:w="2268"/>
            <w:tcW w:w="2268" w:type="dxa"/>
            <w:shd w:val="clear" w:color="auto" w:fill="DCE6F1"/>
          </w:tcPr>
          <w:p>
            <w:pPr>
              <w:jc w:val="left"/>
            </w:pPr>
            <w:r/>
            <w:r>
              <w:rPr>
                <w:rFonts w:ascii="Cambria" w:hAnsi="Cambria"/>
                <w:b w:val="0"/>
                <w:i w:val="0"/>
                <w:sz w:val="22"/>
              </w:rPr>
              <w:t>Early childhood education policy</w:t>
            </w:r>
          </w:p>
        </w:tc>
        <w:tc>
          <w:tcPr>
            <w:tcW w:type="dxa" w:w="3685"/>
            <w:tcW w:w="3685" w:type="dxa"/>
            <w:shd w:val="clear" w:color="auto" w:fill="DCE6F1"/>
          </w:tcPr>
          <w:p>
            <w:pPr>
              <w:jc w:val="left"/>
            </w:pPr>
            <w:r/>
            <w:r>
              <w:rPr>
                <w:rFonts w:ascii="Cambria" w:hAnsi="Cambria"/>
                <w:b w:val="0"/>
                <w:i w:val="0"/>
                <w:sz w:val="22"/>
              </w:rPr>
              <w:t>Establish nationwide pre-primary education centers, integrate nutrition and parental awareness programs</w:t>
            </w:r>
          </w:p>
        </w:tc>
        <w:tc>
          <w:tcPr>
            <w:tcW w:type="dxa" w:w="3458"/>
            <w:tcW w:w="3458" w:type="dxa"/>
            <w:shd w:val="clear" w:color="auto" w:fill="DCE6F1"/>
          </w:tcPr>
          <w:p>
            <w:pPr>
              <w:jc w:val="left"/>
            </w:pPr>
            <w:r/>
            <w:r>
              <w:rPr>
                <w:rFonts w:ascii="Cambria" w:hAnsi="Cambria"/>
                <w:b w:val="0"/>
                <w:i w:val="0"/>
                <w:sz w:val="22"/>
              </w:rPr>
              <w:t>Improved school readiness, cognitive development, and long-term academic performance</w:t>
            </w:r>
          </w:p>
        </w:tc>
      </w:tr>
      <w:tr>
        <w:tc>
          <w:tcPr>
            <w:tcW w:type="dxa" w:w="2268"/>
            <w:tcW w:w="2268" w:type="dxa"/>
          </w:tcPr>
          <w:p>
            <w:pPr>
              <w:jc w:val="left"/>
            </w:pPr>
            <w:r/>
            <w:r>
              <w:rPr>
                <w:rFonts w:ascii="Cambria" w:hAnsi="Cambria"/>
                <w:b w:val="0"/>
                <w:i w:val="0"/>
                <w:sz w:val="22"/>
              </w:rPr>
              <w:t>Affordable vocational &amp; higher education</w:t>
            </w:r>
          </w:p>
        </w:tc>
        <w:tc>
          <w:tcPr>
            <w:tcW w:type="dxa" w:w="3685"/>
            <w:tcW w:w="3685" w:type="dxa"/>
          </w:tcPr>
          <w:p>
            <w:pPr>
              <w:jc w:val="left"/>
            </w:pPr>
            <w:r/>
            <w:r>
              <w:rPr>
                <w:rFonts w:ascii="Cambria" w:hAnsi="Cambria"/>
                <w:b w:val="0"/>
                <w:i w:val="0"/>
                <w:sz w:val="22"/>
              </w:rPr>
              <w:t>Expand vocational training institutes, online/distance learning, provide financial aid and scholarships</w:t>
            </w:r>
          </w:p>
        </w:tc>
        <w:tc>
          <w:tcPr>
            <w:tcW w:type="dxa" w:w="3458"/>
            <w:tcW w:w="3458" w:type="dxa"/>
          </w:tcPr>
          <w:p>
            <w:pPr>
              <w:jc w:val="left"/>
            </w:pPr>
            <w:r/>
            <w:r>
              <w:rPr>
                <w:rFonts w:ascii="Cambria" w:hAnsi="Cambria"/>
                <w:b w:val="0"/>
                <w:i w:val="0"/>
                <w:sz w:val="22"/>
              </w:rPr>
              <w:t>Greater access to tertiary education, improved employability and entrepreneurship opportunities</w:t>
            </w:r>
          </w:p>
        </w:tc>
      </w:tr>
      <w:tr>
        <w:tc>
          <w:tcPr>
            <w:tcW w:type="dxa" w:w="2268"/>
            <w:tcW w:w="2268" w:type="dxa"/>
            <w:shd w:val="clear" w:color="auto" w:fill="DCE6F1"/>
          </w:tcPr>
          <w:p>
            <w:pPr>
              <w:jc w:val="left"/>
            </w:pPr>
            <w:r/>
            <w:r>
              <w:rPr>
                <w:rFonts w:ascii="Cambria" w:hAnsi="Cambria"/>
                <w:b w:val="0"/>
                <w:i w:val="0"/>
                <w:sz w:val="22"/>
              </w:rPr>
              <w:t>Gender equality in education</w:t>
            </w:r>
          </w:p>
        </w:tc>
        <w:tc>
          <w:tcPr>
            <w:tcW w:type="dxa" w:w="3685"/>
            <w:tcW w:w="3685" w:type="dxa"/>
            <w:shd w:val="clear" w:color="auto" w:fill="DCE6F1"/>
          </w:tcPr>
          <w:p>
            <w:pPr>
              <w:jc w:val="left"/>
            </w:pPr>
            <w:r/>
            <w:r>
              <w:rPr>
                <w:rFonts w:ascii="Cambria" w:hAnsi="Cambria"/>
                <w:b w:val="0"/>
                <w:i w:val="0"/>
                <w:sz w:val="22"/>
              </w:rPr>
              <w:t>Implement girl-child scholarship schemes, safe transport, awareness campaigns, inclusive classrooms</w:t>
            </w:r>
          </w:p>
        </w:tc>
        <w:tc>
          <w:tcPr>
            <w:tcW w:type="dxa" w:w="3458"/>
            <w:tcW w:w="3458" w:type="dxa"/>
            <w:shd w:val="clear" w:color="auto" w:fill="DCE6F1"/>
          </w:tcPr>
          <w:p>
            <w:pPr>
              <w:jc w:val="left"/>
            </w:pPr>
            <w:r/>
            <w:r>
              <w:rPr>
                <w:rFonts w:ascii="Cambria" w:hAnsi="Cambria"/>
                <w:b w:val="0"/>
                <w:i w:val="0"/>
                <w:sz w:val="22"/>
              </w:rPr>
              <w:t>Elimination of gender disparities, higher female enrolment and completion rates</w:t>
            </w:r>
          </w:p>
        </w:tc>
      </w:tr>
      <w:tr>
        <w:tc>
          <w:tcPr>
            <w:tcW w:type="dxa" w:w="2268"/>
            <w:tcW w:w="2268" w:type="dxa"/>
          </w:tcPr>
          <w:p>
            <w:pPr>
              <w:jc w:val="left"/>
            </w:pPr>
            <w:r/>
            <w:r>
              <w:rPr>
                <w:rFonts w:ascii="Cambria" w:hAnsi="Cambria"/>
                <w:b w:val="0"/>
                <w:i w:val="0"/>
                <w:sz w:val="22"/>
              </w:rPr>
              <w:t>Adult literacy &amp; lifelong learning</w:t>
            </w:r>
          </w:p>
        </w:tc>
        <w:tc>
          <w:tcPr>
            <w:tcW w:type="dxa" w:w="3685"/>
            <w:tcW w:w="3685" w:type="dxa"/>
          </w:tcPr>
          <w:p>
            <w:pPr>
              <w:jc w:val="left"/>
            </w:pPr>
            <w:r/>
            <w:r>
              <w:rPr>
                <w:rFonts w:ascii="Cambria" w:hAnsi="Cambria"/>
                <w:b w:val="0"/>
                <w:i w:val="0"/>
                <w:sz w:val="22"/>
              </w:rPr>
              <w:t>Launch community learning centers, adult literacy campaigns, and digital literacy programs</w:t>
            </w:r>
          </w:p>
        </w:tc>
        <w:tc>
          <w:tcPr>
            <w:tcW w:type="dxa" w:w="3458"/>
            <w:tcW w:w="3458" w:type="dxa"/>
          </w:tcPr>
          <w:p>
            <w:pPr>
              <w:jc w:val="left"/>
            </w:pPr>
            <w:r/>
            <w:r>
              <w:rPr>
                <w:rFonts w:ascii="Cambria" w:hAnsi="Cambria"/>
                <w:b w:val="0"/>
                <w:i w:val="0"/>
                <w:sz w:val="22"/>
              </w:rPr>
              <w:t>Universal literacy and numeracy, upskilling of workforce, enhanced community participation</w:t>
            </w:r>
          </w:p>
        </w:tc>
      </w:tr>
      <w:tr>
        <w:tc>
          <w:tcPr>
            <w:tcW w:type="dxa" w:w="2268"/>
            <w:tcW w:w="2268" w:type="dxa"/>
            <w:shd w:val="clear" w:color="auto" w:fill="DCE6F1"/>
          </w:tcPr>
          <w:p>
            <w:pPr>
              <w:jc w:val="left"/>
            </w:pPr>
            <w:r/>
            <w:r>
              <w:rPr>
                <w:rFonts w:ascii="Cambria" w:hAnsi="Cambria"/>
                <w:b w:val="0"/>
                <w:i w:val="0"/>
                <w:sz w:val="22"/>
              </w:rPr>
              <w:t>Teacher education &amp; capacity building</w:t>
            </w:r>
          </w:p>
        </w:tc>
        <w:tc>
          <w:tcPr>
            <w:tcW w:type="dxa" w:w="3685"/>
            <w:tcW w:w="3685" w:type="dxa"/>
            <w:shd w:val="clear" w:color="auto" w:fill="DCE6F1"/>
          </w:tcPr>
          <w:p>
            <w:pPr>
              <w:jc w:val="left"/>
            </w:pPr>
            <w:r/>
            <w:r>
              <w:rPr>
                <w:rFonts w:ascii="Cambria" w:hAnsi="Cambria"/>
                <w:b w:val="0"/>
                <w:i w:val="0"/>
                <w:sz w:val="22"/>
              </w:rPr>
              <w:t>Invest in teacher training institutes, continuous professional development, incentives for rural postings</w:t>
            </w:r>
          </w:p>
        </w:tc>
        <w:tc>
          <w:tcPr>
            <w:tcW w:type="dxa" w:w="3458"/>
            <w:tcW w:w="3458" w:type="dxa"/>
            <w:shd w:val="clear" w:color="auto" w:fill="DCE6F1"/>
          </w:tcPr>
          <w:p>
            <w:pPr>
              <w:jc w:val="left"/>
            </w:pPr>
            <w:r/>
            <w:r>
              <w:rPr>
                <w:rFonts w:ascii="Cambria" w:hAnsi="Cambria"/>
                <w:b w:val="0"/>
                <w:i w:val="0"/>
                <w:sz w:val="22"/>
              </w:rPr>
              <w:t>Better quality teaching, reduced teacher shortages, improved student learning outcomes</w:t>
            </w:r>
          </w:p>
        </w:tc>
      </w:tr>
      <w:tr>
        <w:tc>
          <w:tcPr>
            <w:tcW w:type="dxa" w:w="2268"/>
            <w:tcW w:w="2268" w:type="dxa"/>
          </w:tcPr>
          <w:p>
            <w:pPr>
              <w:jc w:val="left"/>
            </w:pPr>
            <w:r/>
            <w:r>
              <w:rPr>
                <w:rFonts w:ascii="Cambria" w:hAnsi="Cambria"/>
                <w:b w:val="0"/>
                <w:i w:val="0"/>
                <w:sz w:val="22"/>
              </w:rPr>
              <w:t>Inclusive education policy</w:t>
            </w:r>
          </w:p>
        </w:tc>
        <w:tc>
          <w:tcPr>
            <w:tcW w:type="dxa" w:w="3685"/>
            <w:tcW w:w="3685" w:type="dxa"/>
          </w:tcPr>
          <w:p>
            <w:pPr>
              <w:jc w:val="left"/>
            </w:pPr>
            <w:r/>
            <w:r>
              <w:rPr>
                <w:rFonts w:ascii="Cambria" w:hAnsi="Cambria"/>
                <w:b w:val="0"/>
                <w:i w:val="0"/>
                <w:sz w:val="22"/>
              </w:rPr>
              <w:t>Provide assistive technologies, special schools, scholarships for marginalized and disabled learners</w:t>
            </w:r>
          </w:p>
        </w:tc>
        <w:tc>
          <w:tcPr>
            <w:tcW w:type="dxa" w:w="3458"/>
            <w:tcW w:w="3458" w:type="dxa"/>
          </w:tcPr>
          <w:p>
            <w:pPr>
              <w:jc w:val="left"/>
            </w:pPr>
            <w:r/>
            <w:r>
              <w:rPr>
                <w:rFonts w:ascii="Cambria" w:hAnsi="Cambria"/>
                <w:b w:val="0"/>
                <w:i w:val="0"/>
                <w:sz w:val="22"/>
              </w:rPr>
              <w:t>Greater participation of vulnerable groups, inclusive learning environments</w:t>
            </w:r>
          </w:p>
        </w:tc>
      </w:tr>
      <w:tr>
        <w:tc>
          <w:tcPr>
            <w:tcW w:type="dxa" w:w="2268"/>
            <w:tcW w:w="2268" w:type="dxa"/>
            <w:shd w:val="clear" w:color="auto" w:fill="DCE6F1"/>
          </w:tcPr>
          <w:p>
            <w:pPr>
              <w:jc w:val="left"/>
            </w:pPr>
            <w:r/>
            <w:r>
              <w:rPr>
                <w:rFonts w:ascii="Cambria" w:hAnsi="Cambria"/>
                <w:b w:val="0"/>
                <w:i w:val="0"/>
                <w:sz w:val="22"/>
              </w:rPr>
              <w:t>Safe &amp; effective school infrastructure</w:t>
            </w:r>
          </w:p>
        </w:tc>
        <w:tc>
          <w:tcPr>
            <w:tcW w:type="dxa" w:w="3685"/>
            <w:tcW w:w="3685" w:type="dxa"/>
            <w:shd w:val="clear" w:color="auto" w:fill="DCE6F1"/>
          </w:tcPr>
          <w:p>
            <w:pPr>
              <w:jc w:val="left"/>
            </w:pPr>
            <w:r/>
            <w:r>
              <w:rPr>
                <w:rFonts w:ascii="Cambria" w:hAnsi="Cambria"/>
                <w:b w:val="0"/>
                <w:i w:val="0"/>
                <w:sz w:val="22"/>
              </w:rPr>
              <w:t>Upgrade schools with sanitation, ICT labs, internet access, safe learning spaces</w:t>
            </w:r>
          </w:p>
        </w:tc>
        <w:tc>
          <w:tcPr>
            <w:tcW w:type="dxa" w:w="3458"/>
            <w:tcW w:w="3458" w:type="dxa"/>
            <w:shd w:val="clear" w:color="auto" w:fill="DCE6F1"/>
          </w:tcPr>
          <w:p>
            <w:pPr>
              <w:jc w:val="left"/>
            </w:pPr>
            <w:r/>
            <w:r>
              <w:rPr>
                <w:rFonts w:ascii="Cambria" w:hAnsi="Cambria"/>
                <w:b w:val="0"/>
                <w:i w:val="0"/>
                <w:sz w:val="22"/>
              </w:rPr>
              <w:t>Improved learning environment, digital inclusion, reduced absenteeism (especially among girls)</w:t>
            </w:r>
          </w:p>
        </w:tc>
      </w:tr>
      <w:tr>
        <w:tc>
          <w:tcPr>
            <w:tcW w:type="dxa" w:w="2268"/>
            <w:tcW w:w="2268" w:type="dxa"/>
          </w:tcPr>
          <w:p>
            <w:pPr>
              <w:jc w:val="left"/>
            </w:pPr>
            <w:r/>
            <w:r>
              <w:rPr>
                <w:rFonts w:ascii="Cambria" w:hAnsi="Cambria"/>
                <w:b w:val="0"/>
                <w:i w:val="0"/>
                <w:sz w:val="22"/>
              </w:rPr>
              <w:t>Education for sustainable development &amp; global citizenship</w:t>
            </w:r>
          </w:p>
        </w:tc>
        <w:tc>
          <w:tcPr>
            <w:tcW w:type="dxa" w:w="3685"/>
            <w:tcW w:w="3685" w:type="dxa"/>
          </w:tcPr>
          <w:p>
            <w:pPr>
              <w:jc w:val="left"/>
            </w:pPr>
            <w:r/>
            <w:r>
              <w:rPr>
                <w:rFonts w:ascii="Cambria" w:hAnsi="Cambria"/>
                <w:b w:val="0"/>
                <w:i w:val="0"/>
                <w:sz w:val="22"/>
              </w:rPr>
              <w:t>Integrate sustainability, climate change, human rights, and cultural diversity into curricula</w:t>
            </w:r>
          </w:p>
        </w:tc>
        <w:tc>
          <w:tcPr>
            <w:tcW w:type="dxa" w:w="3458"/>
            <w:tcW w:w="3458" w:type="dxa"/>
          </w:tcPr>
          <w:p>
            <w:pPr>
              <w:jc w:val="left"/>
            </w:pPr>
            <w:r/>
            <w:r>
              <w:rPr>
                <w:rFonts w:ascii="Cambria" w:hAnsi="Cambria"/>
                <w:b w:val="0"/>
                <w:i w:val="0"/>
                <w:sz w:val="22"/>
              </w:rPr>
              <w:t>Creation of responsible, environmentally conscious, and globally aware citizens</w:t>
            </w:r>
          </w:p>
        </w:tc>
      </w:tr>
      <w:tr>
        <w:tc>
          <w:tcPr>
            <w:tcW w:type="dxa" w:w="2268"/>
            <w:tcW w:w="2268" w:type="dxa"/>
            <w:shd w:val="clear" w:color="auto" w:fill="DCE6F1"/>
          </w:tcPr>
          <w:p>
            <w:pPr>
              <w:jc w:val="left"/>
            </w:pPr>
            <w:r/>
            <w:r>
              <w:rPr>
                <w:rFonts w:ascii="Cambria" w:hAnsi="Cambria"/>
                <w:b w:val="0"/>
                <w:i w:val="0"/>
                <w:sz w:val="22"/>
              </w:rPr>
              <w:t>International collaboration &amp; scholarships</w:t>
            </w:r>
          </w:p>
        </w:tc>
        <w:tc>
          <w:tcPr>
            <w:tcW w:type="dxa" w:w="3685"/>
            <w:tcW w:w="3685" w:type="dxa"/>
            <w:shd w:val="clear" w:color="auto" w:fill="DCE6F1"/>
          </w:tcPr>
          <w:p>
            <w:pPr>
              <w:jc w:val="left"/>
            </w:pPr>
            <w:r/>
            <w:r>
              <w:rPr>
                <w:rFonts w:ascii="Cambria" w:hAnsi="Cambria"/>
                <w:b w:val="0"/>
                <w:i w:val="0"/>
                <w:sz w:val="22"/>
              </w:rPr>
              <w:t>Expand student exchange programs, cross-border partnerships, and scholarship schemes for developing countries</w:t>
            </w:r>
          </w:p>
        </w:tc>
        <w:tc>
          <w:tcPr>
            <w:tcW w:type="dxa" w:w="3458"/>
            <w:tcW w:w="3458" w:type="dxa"/>
            <w:shd w:val="clear" w:color="auto" w:fill="DCE6F1"/>
          </w:tcPr>
          <w:p>
            <w:pPr>
              <w:jc w:val="left"/>
            </w:pPr>
            <w:r/>
            <w:r>
              <w:rPr>
                <w:rFonts w:ascii="Cambria" w:hAnsi="Cambria"/>
                <w:b w:val="0"/>
                <w:i w:val="0"/>
                <w:sz w:val="22"/>
              </w:rPr>
              <w:t>Global mobility of students, stronger international cooperation, knowledge-sharing</w:t>
            </w:r>
          </w:p>
        </w:tc>
      </w:tr>
    </w:tbl>
    <w:p>
      <w:pPr>
        <w:spacing w:before="200" w:after="80"/>
        <w:jc w:val="left"/>
      </w:pPr>
      <w:r>
        <w:rPr>
          <w:rFonts w:ascii="Cambria" w:hAnsi="Cambria"/>
          <w:b/>
          <w:color w:val="1F3A5F"/>
          <w:sz w:val="25"/>
        </w:rPr>
        <w:t>Multi-Level Roadmap for SDG-4: Quality Education</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587"/>
            <w:shd w:val="clear" w:color="auto" w:fill="1F3A5F"/>
            <w:tcW w:w="1587" w:type="dxa"/>
          </w:tcPr>
          <w:p>
            <w:pPr>
              <w:jc w:val="left"/>
            </w:pPr>
            <w:r/>
            <w:r>
              <w:rPr>
                <w:rFonts w:ascii="Cambria" w:hAnsi="Cambria"/>
                <w:b/>
                <w:i w:val="0"/>
                <w:color w:val="FFFFFF"/>
                <w:sz w:val="22"/>
              </w:rPr>
              <w:t>Policy Area</w:t>
            </w:r>
          </w:p>
        </w:tc>
        <w:tc>
          <w:tcPr>
            <w:tcW w:type="dxa" w:w="1984"/>
            <w:shd w:val="clear" w:color="auto" w:fill="1F3A5F"/>
            <w:tcW w:w="1984" w:type="dxa"/>
          </w:tcPr>
          <w:p>
            <w:pPr>
              <w:jc w:val="left"/>
            </w:pPr>
            <w:r/>
            <w:r>
              <w:rPr>
                <w:rFonts w:ascii="Cambria" w:hAnsi="Cambria"/>
                <w:b/>
                <w:i w:val="0"/>
                <w:color w:val="FFFFFF"/>
                <w:sz w:val="22"/>
              </w:rPr>
              <w:t>Short-Term Actions (1–3 years)</w:t>
            </w:r>
          </w:p>
        </w:tc>
        <w:tc>
          <w:tcPr>
            <w:tcW w:type="dxa" w:w="1984"/>
            <w:shd w:val="clear" w:color="auto" w:fill="1F3A5F"/>
            <w:tcW w:w="1984" w:type="dxa"/>
          </w:tcPr>
          <w:p>
            <w:pPr>
              <w:jc w:val="left"/>
            </w:pPr>
            <w:r/>
            <w:r>
              <w:rPr>
                <w:rFonts w:ascii="Cambria" w:hAnsi="Cambria"/>
                <w:b/>
                <w:i w:val="0"/>
                <w:color w:val="FFFFFF"/>
                <w:sz w:val="22"/>
              </w:rPr>
              <w:t>Medium-Term Actions (4–7 years)</w:t>
            </w:r>
          </w:p>
        </w:tc>
        <w:tc>
          <w:tcPr>
            <w:tcW w:type="dxa" w:w="1928"/>
            <w:shd w:val="clear" w:color="auto" w:fill="1F3A5F"/>
            <w:tcW w:w="1927" w:type="dxa"/>
          </w:tcPr>
          <w:p>
            <w:pPr>
              <w:jc w:val="left"/>
            </w:pPr>
            <w:r/>
            <w:r>
              <w:rPr>
                <w:rFonts w:ascii="Cambria" w:hAnsi="Cambria"/>
                <w:b/>
                <w:i w:val="0"/>
                <w:color w:val="FFFFFF"/>
                <w:sz w:val="22"/>
              </w:rPr>
              <w:t>Long-Term Actions (8–15 years)</w:t>
            </w:r>
          </w:p>
        </w:tc>
        <w:tc>
          <w:tcPr>
            <w:tcW w:type="dxa" w:w="1928"/>
            <w:shd w:val="clear" w:color="auto" w:fill="1F3A5F"/>
            <w:tcW w:w="1927" w:type="dxa"/>
          </w:tcPr>
          <w:p>
            <w:pPr>
              <w:jc w:val="left"/>
            </w:pPr>
            <w:r/>
            <w:r>
              <w:rPr>
                <w:rFonts w:ascii="Cambria" w:hAnsi="Cambria"/>
                <w:b/>
                <w:i w:val="0"/>
                <w:color w:val="FFFFFF"/>
                <w:sz w:val="22"/>
              </w:rPr>
              <w:t>Expected Outcomes</w:t>
            </w:r>
          </w:p>
        </w:tc>
      </w:tr>
      <w:tr>
        <w:tc>
          <w:tcPr>
            <w:tcW w:type="dxa" w:w="1587"/>
            <w:tcW w:w="1587" w:type="dxa"/>
          </w:tcPr>
          <w:p>
            <w:pPr>
              <w:jc w:val="left"/>
            </w:pPr>
            <w:r/>
            <w:r>
              <w:rPr>
                <w:rFonts w:ascii="Cambria" w:hAnsi="Cambria"/>
                <w:b w:val="0"/>
                <w:i w:val="0"/>
                <w:sz w:val="22"/>
              </w:rPr>
              <w:t>Universal access to free and quality education</w:t>
            </w:r>
          </w:p>
        </w:tc>
        <w:tc>
          <w:tcPr>
            <w:tcW w:type="dxa" w:w="1984"/>
            <w:tcW w:w="1984" w:type="dxa"/>
          </w:tcPr>
          <w:p>
            <w:pPr>
              <w:jc w:val="left"/>
            </w:pPr>
            <w:r/>
            <w:r>
              <w:rPr>
                <w:rFonts w:ascii="Cambria" w:hAnsi="Cambria"/>
                <w:b w:val="0"/>
                <w:i w:val="0"/>
                <w:sz w:val="22"/>
              </w:rPr>
              <w:t>Implement free &amp; compulsory primary education, distribute textbooks &amp; digital resources</w:t>
            </w:r>
          </w:p>
        </w:tc>
        <w:tc>
          <w:tcPr>
            <w:tcW w:type="dxa" w:w="1984"/>
            <w:tcW w:w="1984" w:type="dxa"/>
          </w:tcPr>
          <w:p>
            <w:pPr>
              <w:jc w:val="left"/>
            </w:pPr>
            <w:r/>
            <w:r>
              <w:rPr>
                <w:rFonts w:ascii="Cambria" w:hAnsi="Cambria"/>
                <w:b w:val="0"/>
                <w:i w:val="0"/>
                <w:sz w:val="22"/>
              </w:rPr>
              <w:t>Expand compulsory secondary education, introduce standardized national assessments</w:t>
            </w:r>
          </w:p>
        </w:tc>
        <w:tc>
          <w:tcPr>
            <w:tcW w:type="dxa" w:w="1928"/>
            <w:tcW w:w="1927" w:type="dxa"/>
          </w:tcPr>
          <w:p>
            <w:pPr>
              <w:jc w:val="left"/>
            </w:pPr>
            <w:r/>
            <w:r>
              <w:rPr>
                <w:rFonts w:ascii="Cambria" w:hAnsi="Cambria"/>
                <w:b w:val="0"/>
                <w:i w:val="0"/>
                <w:sz w:val="22"/>
              </w:rPr>
              <w:t>Achieve universal primary &amp; secondary completion rates globally</w:t>
            </w:r>
          </w:p>
        </w:tc>
        <w:tc>
          <w:tcPr>
            <w:tcW w:type="dxa" w:w="1928"/>
            <w:tcW w:w="1927" w:type="dxa"/>
          </w:tcPr>
          <w:p>
            <w:pPr>
              <w:jc w:val="left"/>
            </w:pPr>
            <w:r/>
            <w:r>
              <w:rPr>
                <w:rFonts w:ascii="Cambria" w:hAnsi="Cambria"/>
                <w:b w:val="0"/>
                <w:i w:val="0"/>
                <w:sz w:val="22"/>
              </w:rPr>
              <w:t>Improved enrolment, literacy &amp; numeracy outcomes</w:t>
            </w:r>
          </w:p>
        </w:tc>
      </w:tr>
      <w:tr>
        <w:tc>
          <w:tcPr>
            <w:tcW w:type="dxa" w:w="1587"/>
            <w:tcW w:w="1587" w:type="dxa"/>
            <w:shd w:val="clear" w:color="auto" w:fill="DCE6F1"/>
          </w:tcPr>
          <w:p>
            <w:pPr>
              <w:jc w:val="left"/>
            </w:pPr>
            <w:r/>
            <w:r>
              <w:rPr>
                <w:rFonts w:ascii="Cambria" w:hAnsi="Cambria"/>
                <w:b w:val="0"/>
                <w:i w:val="0"/>
                <w:sz w:val="22"/>
              </w:rPr>
              <w:t>Early childhood education</w:t>
            </w:r>
          </w:p>
        </w:tc>
        <w:tc>
          <w:tcPr>
            <w:tcW w:type="dxa" w:w="1984"/>
            <w:tcW w:w="1984" w:type="dxa"/>
            <w:shd w:val="clear" w:color="auto" w:fill="DCE6F1"/>
          </w:tcPr>
          <w:p>
            <w:pPr>
              <w:jc w:val="left"/>
            </w:pPr>
            <w:r/>
            <w:r>
              <w:rPr>
                <w:rFonts w:ascii="Cambria" w:hAnsi="Cambria"/>
                <w:b w:val="0"/>
                <w:i w:val="0"/>
                <w:sz w:val="22"/>
              </w:rPr>
              <w:t>Establish community-based pre-schools, train caregivers, integrate nutrition programs</w:t>
            </w:r>
          </w:p>
        </w:tc>
        <w:tc>
          <w:tcPr>
            <w:tcW w:type="dxa" w:w="1984"/>
            <w:tcW w:w="1984" w:type="dxa"/>
            <w:shd w:val="clear" w:color="auto" w:fill="DCE6F1"/>
          </w:tcPr>
          <w:p>
            <w:pPr>
              <w:jc w:val="left"/>
            </w:pPr>
            <w:r/>
            <w:r>
              <w:rPr>
                <w:rFonts w:ascii="Cambria" w:hAnsi="Cambria"/>
                <w:b w:val="0"/>
                <w:i w:val="0"/>
                <w:sz w:val="22"/>
              </w:rPr>
              <w:t>Scale up nationwide pre-primary centers, monitor learning outcomes</w:t>
            </w:r>
          </w:p>
        </w:tc>
        <w:tc>
          <w:tcPr>
            <w:tcW w:type="dxa" w:w="1928"/>
            <w:tcW w:w="1927" w:type="dxa"/>
            <w:shd w:val="clear" w:color="auto" w:fill="DCE6F1"/>
          </w:tcPr>
          <w:p>
            <w:pPr>
              <w:jc w:val="left"/>
            </w:pPr>
            <w:r/>
            <w:r>
              <w:rPr>
                <w:rFonts w:ascii="Cambria" w:hAnsi="Cambria"/>
                <w:b w:val="0"/>
                <w:i w:val="0"/>
                <w:sz w:val="22"/>
              </w:rPr>
              <w:t>Institutionalize early childhood education as part of national education law</w:t>
            </w:r>
          </w:p>
        </w:tc>
        <w:tc>
          <w:tcPr>
            <w:tcW w:type="dxa" w:w="1928"/>
            <w:tcW w:w="1927" w:type="dxa"/>
            <w:shd w:val="clear" w:color="auto" w:fill="DCE6F1"/>
          </w:tcPr>
          <w:p>
            <w:pPr>
              <w:jc w:val="left"/>
            </w:pPr>
            <w:r/>
            <w:r>
              <w:rPr>
                <w:rFonts w:ascii="Cambria" w:hAnsi="Cambria"/>
                <w:b w:val="0"/>
                <w:i w:val="0"/>
                <w:sz w:val="22"/>
              </w:rPr>
              <w:t>Higher school readiness, improved long-term academic performance</w:t>
            </w:r>
          </w:p>
        </w:tc>
      </w:tr>
      <w:tr>
        <w:tc>
          <w:tcPr>
            <w:tcW w:type="dxa" w:w="1587"/>
            <w:tcW w:w="1587" w:type="dxa"/>
          </w:tcPr>
          <w:p>
            <w:pPr>
              <w:jc w:val="left"/>
            </w:pPr>
            <w:r/>
            <w:r>
              <w:rPr>
                <w:rFonts w:ascii="Cambria" w:hAnsi="Cambria"/>
                <w:b w:val="0"/>
                <w:i w:val="0"/>
                <w:sz w:val="22"/>
              </w:rPr>
              <w:t>Vocational &amp; higher education affordability</w:t>
            </w:r>
          </w:p>
        </w:tc>
        <w:tc>
          <w:tcPr>
            <w:tcW w:type="dxa" w:w="1984"/>
            <w:tcW w:w="1984" w:type="dxa"/>
          </w:tcPr>
          <w:p>
            <w:pPr>
              <w:jc w:val="left"/>
            </w:pPr>
            <w:r/>
            <w:r>
              <w:rPr>
                <w:rFonts w:ascii="Cambria" w:hAnsi="Cambria"/>
                <w:b w:val="0"/>
                <w:i w:val="0"/>
                <w:sz w:val="22"/>
              </w:rPr>
              <w:t>Provide vocational skill centers, subsidized technical courses, need-based scholarships</w:t>
            </w:r>
          </w:p>
        </w:tc>
        <w:tc>
          <w:tcPr>
            <w:tcW w:type="dxa" w:w="1984"/>
            <w:tcW w:w="1984" w:type="dxa"/>
          </w:tcPr>
          <w:p>
            <w:pPr>
              <w:jc w:val="left"/>
            </w:pPr>
            <w:r/>
            <w:r>
              <w:rPr>
                <w:rFonts w:ascii="Cambria" w:hAnsi="Cambria"/>
                <w:b w:val="0"/>
                <w:i w:val="0"/>
                <w:sz w:val="22"/>
              </w:rPr>
              <w:t>Expand online/distance higher education, industry partnerships for skills</w:t>
            </w:r>
          </w:p>
        </w:tc>
        <w:tc>
          <w:tcPr>
            <w:tcW w:type="dxa" w:w="1928"/>
            <w:tcW w:w="1927" w:type="dxa"/>
          </w:tcPr>
          <w:p>
            <w:pPr>
              <w:jc w:val="left"/>
            </w:pPr>
            <w:r/>
            <w:r>
              <w:rPr>
                <w:rFonts w:ascii="Cambria" w:hAnsi="Cambria"/>
                <w:b w:val="0"/>
                <w:i w:val="0"/>
                <w:sz w:val="22"/>
              </w:rPr>
              <w:t>Global access to tertiary &amp; lifelong education with strong digital ecosystems</w:t>
            </w:r>
          </w:p>
        </w:tc>
        <w:tc>
          <w:tcPr>
            <w:tcW w:type="dxa" w:w="1928"/>
            <w:tcW w:w="1927" w:type="dxa"/>
          </w:tcPr>
          <w:p>
            <w:pPr>
              <w:jc w:val="left"/>
            </w:pPr>
            <w:r/>
            <w:r>
              <w:rPr>
                <w:rFonts w:ascii="Cambria" w:hAnsi="Cambria"/>
                <w:b w:val="0"/>
                <w:i w:val="0"/>
                <w:sz w:val="22"/>
              </w:rPr>
              <w:t>Workforce prepared for changing labor markets, improved employability</w:t>
            </w:r>
          </w:p>
        </w:tc>
      </w:tr>
      <w:tr>
        <w:tc>
          <w:tcPr>
            <w:tcW w:type="dxa" w:w="1587"/>
            <w:tcW w:w="1587" w:type="dxa"/>
            <w:shd w:val="clear" w:color="auto" w:fill="DCE6F1"/>
          </w:tcPr>
          <w:p>
            <w:pPr>
              <w:jc w:val="left"/>
            </w:pPr>
            <w:r/>
            <w:r>
              <w:rPr>
                <w:rFonts w:ascii="Cambria" w:hAnsi="Cambria"/>
                <w:b w:val="0"/>
                <w:i w:val="0"/>
                <w:sz w:val="22"/>
              </w:rPr>
              <w:t>Gender equality in education</w:t>
            </w:r>
          </w:p>
        </w:tc>
        <w:tc>
          <w:tcPr>
            <w:tcW w:type="dxa" w:w="1984"/>
            <w:tcW w:w="1984" w:type="dxa"/>
            <w:shd w:val="clear" w:color="auto" w:fill="DCE6F1"/>
          </w:tcPr>
          <w:p>
            <w:pPr>
              <w:jc w:val="left"/>
            </w:pPr>
            <w:r/>
            <w:r>
              <w:rPr>
                <w:rFonts w:ascii="Cambria" w:hAnsi="Cambria"/>
                <w:b w:val="0"/>
                <w:i w:val="0"/>
                <w:sz w:val="22"/>
              </w:rPr>
              <w:t>Scholarships for girls, safe transport, awareness campaigns against gender bias</w:t>
            </w:r>
          </w:p>
        </w:tc>
        <w:tc>
          <w:tcPr>
            <w:tcW w:type="dxa" w:w="1984"/>
            <w:tcW w:w="1984" w:type="dxa"/>
            <w:shd w:val="clear" w:color="auto" w:fill="DCE6F1"/>
          </w:tcPr>
          <w:p>
            <w:pPr>
              <w:jc w:val="left"/>
            </w:pPr>
            <w:r/>
            <w:r>
              <w:rPr>
                <w:rFonts w:ascii="Cambria" w:hAnsi="Cambria"/>
                <w:b w:val="0"/>
                <w:i w:val="0"/>
                <w:sz w:val="22"/>
              </w:rPr>
              <w:t>Expand female participation in STEM, mentorship programs, women leadership roles in education</w:t>
            </w:r>
          </w:p>
        </w:tc>
        <w:tc>
          <w:tcPr>
            <w:tcW w:type="dxa" w:w="1928"/>
            <w:tcW w:w="1927" w:type="dxa"/>
            <w:shd w:val="clear" w:color="auto" w:fill="DCE6F1"/>
          </w:tcPr>
          <w:p>
            <w:pPr>
              <w:jc w:val="left"/>
            </w:pPr>
            <w:r/>
            <w:r>
              <w:rPr>
                <w:rFonts w:ascii="Cambria" w:hAnsi="Cambria"/>
                <w:b w:val="0"/>
                <w:i w:val="0"/>
                <w:sz w:val="22"/>
              </w:rPr>
              <w:t>Eliminate all systemic gender disparities in education</w:t>
            </w:r>
          </w:p>
        </w:tc>
        <w:tc>
          <w:tcPr>
            <w:tcW w:type="dxa" w:w="1928"/>
            <w:tcW w:w="1927" w:type="dxa"/>
            <w:shd w:val="clear" w:color="auto" w:fill="DCE6F1"/>
          </w:tcPr>
          <w:p>
            <w:pPr>
              <w:jc w:val="left"/>
            </w:pPr>
            <w:r/>
            <w:r>
              <w:rPr>
                <w:rFonts w:ascii="Cambria" w:hAnsi="Cambria"/>
                <w:b w:val="0"/>
                <w:i w:val="0"/>
                <w:sz w:val="22"/>
              </w:rPr>
              <w:t>Increased female enrolment, retention, and leadership in all levels of education</w:t>
            </w:r>
          </w:p>
        </w:tc>
      </w:tr>
      <w:tr>
        <w:tc>
          <w:tcPr>
            <w:tcW w:type="dxa" w:w="1587"/>
            <w:tcW w:w="1587" w:type="dxa"/>
          </w:tcPr>
          <w:p>
            <w:pPr>
              <w:jc w:val="left"/>
            </w:pPr>
            <w:r/>
            <w:r>
              <w:rPr>
                <w:rFonts w:ascii="Cambria" w:hAnsi="Cambria"/>
                <w:b w:val="0"/>
                <w:i w:val="0"/>
                <w:sz w:val="22"/>
              </w:rPr>
              <w:t>Adult literacy &amp; lifelong learning</w:t>
            </w:r>
          </w:p>
        </w:tc>
        <w:tc>
          <w:tcPr>
            <w:tcW w:type="dxa" w:w="1984"/>
            <w:tcW w:w="1984" w:type="dxa"/>
          </w:tcPr>
          <w:p>
            <w:pPr>
              <w:jc w:val="left"/>
            </w:pPr>
            <w:r/>
            <w:r>
              <w:rPr>
                <w:rFonts w:ascii="Cambria" w:hAnsi="Cambria"/>
                <w:b w:val="0"/>
                <w:i w:val="0"/>
                <w:sz w:val="22"/>
              </w:rPr>
              <w:t>Launch adult literacy &amp; numeracy campaigns through community centers</w:t>
            </w:r>
          </w:p>
        </w:tc>
        <w:tc>
          <w:tcPr>
            <w:tcW w:type="dxa" w:w="1984"/>
            <w:tcW w:w="1984" w:type="dxa"/>
          </w:tcPr>
          <w:p>
            <w:pPr>
              <w:jc w:val="left"/>
            </w:pPr>
            <w:r/>
            <w:r>
              <w:rPr>
                <w:rFonts w:ascii="Cambria" w:hAnsi="Cambria"/>
                <w:b w:val="0"/>
                <w:i w:val="0"/>
                <w:sz w:val="22"/>
              </w:rPr>
              <w:t>Expand digital literacy and ICT skill programs for adults</w:t>
            </w:r>
          </w:p>
        </w:tc>
        <w:tc>
          <w:tcPr>
            <w:tcW w:type="dxa" w:w="1928"/>
            <w:tcW w:w="1927" w:type="dxa"/>
          </w:tcPr>
          <w:p>
            <w:pPr>
              <w:jc w:val="left"/>
            </w:pPr>
            <w:r/>
            <w:r>
              <w:rPr>
                <w:rFonts w:ascii="Cambria" w:hAnsi="Cambria"/>
                <w:b w:val="0"/>
                <w:i w:val="0"/>
                <w:sz w:val="22"/>
              </w:rPr>
              <w:t>Establish nationwide culture of lifelong learning via open universities</w:t>
            </w:r>
          </w:p>
        </w:tc>
        <w:tc>
          <w:tcPr>
            <w:tcW w:type="dxa" w:w="1928"/>
            <w:tcW w:w="1927" w:type="dxa"/>
          </w:tcPr>
          <w:p>
            <w:pPr>
              <w:jc w:val="left"/>
            </w:pPr>
            <w:r/>
            <w:r>
              <w:rPr>
                <w:rFonts w:ascii="Cambria" w:hAnsi="Cambria"/>
                <w:b w:val="0"/>
                <w:i w:val="0"/>
                <w:sz w:val="22"/>
              </w:rPr>
              <w:t>Universal adult literacy, lifelong upskilling opportunities</w:t>
            </w:r>
          </w:p>
        </w:tc>
      </w:tr>
    </w:tbl>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587"/>
            <w:shd w:val="clear" w:color="auto" w:fill="1F3A5F"/>
            <w:tcW w:w="1587" w:type="dxa"/>
          </w:tcPr>
          <w:p>
            <w:pPr>
              <w:jc w:val="left"/>
            </w:pPr>
            <w:r/>
            <w:r>
              <w:rPr>
                <w:rFonts w:ascii="Cambria" w:hAnsi="Cambria"/>
                <w:b/>
                <w:i w:val="0"/>
                <w:color w:val="FFFFFF"/>
                <w:sz w:val="22"/>
              </w:rPr>
              <w:t>Policy Area</w:t>
            </w:r>
          </w:p>
        </w:tc>
        <w:tc>
          <w:tcPr>
            <w:tcW w:type="dxa" w:w="1984"/>
            <w:shd w:val="clear" w:color="auto" w:fill="1F3A5F"/>
            <w:tcW w:w="1984" w:type="dxa"/>
          </w:tcPr>
          <w:p>
            <w:pPr>
              <w:jc w:val="left"/>
            </w:pPr>
            <w:r/>
            <w:r>
              <w:rPr>
                <w:rFonts w:ascii="Cambria" w:hAnsi="Cambria"/>
                <w:b/>
                <w:i w:val="0"/>
                <w:color w:val="FFFFFF"/>
                <w:sz w:val="22"/>
              </w:rPr>
              <w:t>Short-Term Actions (1–3 yrs)</w:t>
            </w:r>
          </w:p>
        </w:tc>
        <w:tc>
          <w:tcPr>
            <w:tcW w:type="dxa" w:w="1984"/>
            <w:shd w:val="clear" w:color="auto" w:fill="1F3A5F"/>
            <w:tcW w:w="1984" w:type="dxa"/>
          </w:tcPr>
          <w:p>
            <w:pPr>
              <w:jc w:val="left"/>
            </w:pPr>
            <w:r/>
            <w:r>
              <w:rPr>
                <w:rFonts w:ascii="Cambria" w:hAnsi="Cambria"/>
                <w:b/>
                <w:i w:val="0"/>
                <w:color w:val="FFFFFF"/>
                <w:sz w:val="22"/>
              </w:rPr>
              <w:t>Medium-Term Actions (4–7 yrs)</w:t>
            </w:r>
          </w:p>
        </w:tc>
        <w:tc>
          <w:tcPr>
            <w:tcW w:type="dxa" w:w="1928"/>
            <w:shd w:val="clear" w:color="auto" w:fill="1F3A5F"/>
            <w:tcW w:w="1927" w:type="dxa"/>
          </w:tcPr>
          <w:p>
            <w:pPr>
              <w:jc w:val="left"/>
            </w:pPr>
            <w:r/>
            <w:r>
              <w:rPr>
                <w:rFonts w:ascii="Cambria" w:hAnsi="Cambria"/>
                <w:b/>
                <w:i w:val="0"/>
                <w:color w:val="FFFFFF"/>
                <w:sz w:val="22"/>
              </w:rPr>
              <w:t>Long-Term Actions (8–15 yrs)</w:t>
            </w:r>
          </w:p>
        </w:tc>
        <w:tc>
          <w:tcPr>
            <w:tcW w:type="dxa" w:w="1928"/>
            <w:shd w:val="clear" w:color="auto" w:fill="1F3A5F"/>
            <w:tcW w:w="1927" w:type="dxa"/>
          </w:tcPr>
          <w:p>
            <w:pPr>
              <w:jc w:val="left"/>
            </w:pPr>
            <w:r/>
            <w:r>
              <w:rPr>
                <w:rFonts w:ascii="Cambria" w:hAnsi="Cambria"/>
                <w:b/>
                <w:i w:val="0"/>
                <w:color w:val="FFFFFF"/>
                <w:sz w:val="22"/>
              </w:rPr>
              <w:t>Expected Outcomes</w:t>
            </w:r>
          </w:p>
        </w:tc>
      </w:tr>
      <w:tr>
        <w:tc>
          <w:tcPr>
            <w:tcW w:type="dxa" w:w="1587"/>
            <w:tcW w:w="1587" w:type="dxa"/>
          </w:tcPr>
          <w:p>
            <w:pPr>
              <w:jc w:val="left"/>
            </w:pPr>
            <w:r/>
            <w:r>
              <w:rPr>
                <w:rFonts w:ascii="Cambria" w:hAnsi="Cambria"/>
                <w:b w:val="0"/>
                <w:i w:val="0"/>
                <w:sz w:val="22"/>
              </w:rPr>
              <w:t>Teacher training &amp; professional development</w:t>
            </w:r>
          </w:p>
        </w:tc>
        <w:tc>
          <w:tcPr>
            <w:tcW w:type="dxa" w:w="1984"/>
            <w:tcW w:w="1984" w:type="dxa"/>
          </w:tcPr>
          <w:p>
            <w:pPr>
              <w:jc w:val="left"/>
            </w:pPr>
            <w:r/>
            <w:r>
              <w:rPr>
                <w:rFonts w:ascii="Cambria" w:hAnsi="Cambria"/>
                <w:b w:val="0"/>
                <w:i w:val="0"/>
                <w:sz w:val="22"/>
              </w:rPr>
              <w:t>Teacher pedagogy &amp; ICT training, rural incentives; inclusive methods; incentivize rural postings</w:t>
            </w:r>
          </w:p>
        </w:tc>
        <w:tc>
          <w:tcPr>
            <w:tcW w:type="dxa" w:w="1984"/>
            <w:tcW w:w="1984" w:type="dxa"/>
          </w:tcPr>
          <w:p>
            <w:pPr>
              <w:jc w:val="left"/>
            </w:pPr>
            <w:r/>
            <w:r>
              <w:rPr>
                <w:rFonts w:ascii="Cambria" w:hAnsi="Cambria"/>
                <w:b w:val="0"/>
                <w:i w:val="0"/>
                <w:sz w:val="22"/>
              </w:rPr>
              <w:t>Continuous certification, international exchange; certification, cross-country teacher exchange programs</w:t>
            </w:r>
          </w:p>
        </w:tc>
        <w:tc>
          <w:tcPr>
            <w:tcW w:type="dxa" w:w="1928"/>
            <w:tcW w:w="1927" w:type="dxa"/>
          </w:tcPr>
          <w:p>
            <w:pPr>
              <w:jc w:val="left"/>
            </w:pPr>
            <w:r/>
            <w:r>
              <w:rPr>
                <w:rFonts w:ascii="Cambria" w:hAnsi="Cambria"/>
                <w:b w:val="0"/>
                <w:i w:val="0"/>
                <w:sz w:val="22"/>
              </w:rPr>
              <w:t>Adequate supply of motivated teachers; motivated teaching workforce</w:t>
            </w:r>
          </w:p>
        </w:tc>
        <w:tc>
          <w:tcPr>
            <w:tcW w:type="dxa" w:w="1928"/>
            <w:tcW w:w="1927" w:type="dxa"/>
          </w:tcPr>
          <w:p>
            <w:pPr>
              <w:jc w:val="left"/>
            </w:pPr>
            <w:r/>
            <w:r>
              <w:rPr>
                <w:rFonts w:ascii="Cambria" w:hAnsi="Cambria"/>
                <w:b w:val="0"/>
                <w:i w:val="0"/>
                <w:sz w:val="22"/>
              </w:rPr>
              <w:t>Improved teaching quality; improved student learning outcomes</w:t>
            </w:r>
          </w:p>
        </w:tc>
      </w:tr>
      <w:tr>
        <w:tc>
          <w:tcPr>
            <w:tcW w:type="dxa" w:w="1587"/>
            <w:tcW w:w="1587" w:type="dxa"/>
            <w:shd w:val="clear" w:color="auto" w:fill="DCE6F1"/>
          </w:tcPr>
          <w:p>
            <w:pPr>
              <w:jc w:val="left"/>
            </w:pPr>
            <w:r/>
            <w:r>
              <w:rPr>
                <w:rFonts w:ascii="Cambria" w:hAnsi="Cambria"/>
                <w:b w:val="0"/>
                <w:i w:val="0"/>
                <w:sz w:val="22"/>
              </w:rPr>
              <w:t>Inclusive education</w:t>
            </w:r>
          </w:p>
        </w:tc>
        <w:tc>
          <w:tcPr>
            <w:tcW w:type="dxa" w:w="1984"/>
            <w:tcW w:w="1984" w:type="dxa"/>
            <w:shd w:val="clear" w:color="auto" w:fill="DCE6F1"/>
          </w:tcPr>
          <w:p>
            <w:pPr>
              <w:jc w:val="left"/>
            </w:pPr>
            <w:r/>
            <w:r>
              <w:rPr>
                <w:rFonts w:ascii="Cambria" w:hAnsi="Cambria"/>
                <w:b w:val="0"/>
                <w:i w:val="0"/>
                <w:sz w:val="22"/>
              </w:rPr>
              <w:t>Assistive tech, scholarships for marginalized groups</w:t>
            </w:r>
          </w:p>
        </w:tc>
        <w:tc>
          <w:tcPr>
            <w:tcW w:type="dxa" w:w="1984"/>
            <w:tcW w:w="1984" w:type="dxa"/>
            <w:shd w:val="clear" w:color="auto" w:fill="DCE6F1"/>
          </w:tcPr>
          <w:p>
            <w:pPr>
              <w:jc w:val="left"/>
            </w:pPr>
            <w:r/>
            <w:r>
              <w:rPr>
                <w:rFonts w:ascii="Cambria" w:hAnsi="Cambria"/>
                <w:b w:val="0"/>
                <w:i w:val="0"/>
                <w:sz w:val="22"/>
              </w:rPr>
              <w:t>Inclusive classrooms, special educator training, policy integration for disabilities</w:t>
            </w:r>
          </w:p>
        </w:tc>
        <w:tc>
          <w:tcPr>
            <w:tcW w:type="dxa" w:w="1928"/>
            <w:tcW w:w="1927" w:type="dxa"/>
            <w:shd w:val="clear" w:color="auto" w:fill="DCE6F1"/>
          </w:tcPr>
          <w:p>
            <w:pPr>
              <w:jc w:val="left"/>
            </w:pPr>
            <w:r/>
            <w:r>
              <w:rPr>
                <w:rFonts w:ascii="Cambria" w:hAnsi="Cambria"/>
                <w:b w:val="0"/>
                <w:i w:val="0"/>
                <w:sz w:val="22"/>
              </w:rPr>
              <w:t>Social inclusion of marginalized learners; full social inclusion of marginalized and disabled learners in mainstream education</w:t>
            </w:r>
          </w:p>
        </w:tc>
        <w:tc>
          <w:tcPr>
            <w:tcW w:type="dxa" w:w="1928"/>
            <w:tcW w:w="1927" w:type="dxa"/>
            <w:shd w:val="clear" w:color="auto" w:fill="DCE6F1"/>
          </w:tcPr>
          <w:p>
            <w:pPr>
              <w:jc w:val="left"/>
            </w:pPr>
            <w:r/>
            <w:r>
              <w:rPr>
                <w:rFonts w:ascii="Cambria" w:hAnsi="Cambria"/>
                <w:b w:val="0"/>
                <w:i w:val="0"/>
                <w:sz w:val="22"/>
              </w:rPr>
              <w:t>Equitable, inclusive systems; equitable and inclusive education systems</w:t>
            </w:r>
          </w:p>
        </w:tc>
      </w:tr>
      <w:tr>
        <w:tc>
          <w:tcPr>
            <w:tcW w:type="dxa" w:w="1587"/>
            <w:tcW w:w="1587" w:type="dxa"/>
          </w:tcPr>
          <w:p>
            <w:pPr>
              <w:jc w:val="left"/>
            </w:pPr>
            <w:r/>
            <w:r>
              <w:rPr>
                <w:rFonts w:ascii="Cambria" w:hAnsi="Cambria"/>
                <w:b w:val="0"/>
                <w:i w:val="0"/>
                <w:sz w:val="22"/>
              </w:rPr>
              <w:t>School infrastructure &amp; digital access</w:t>
            </w:r>
          </w:p>
        </w:tc>
        <w:tc>
          <w:tcPr>
            <w:tcW w:type="dxa" w:w="1984"/>
            <w:tcW w:w="1984" w:type="dxa"/>
          </w:tcPr>
          <w:p>
            <w:pPr>
              <w:jc w:val="left"/>
            </w:pPr>
            <w:r/>
            <w:r>
              <w:rPr>
                <w:rFonts w:ascii="Cambria" w:hAnsi="Cambria"/>
                <w:b w:val="0"/>
                <w:i w:val="0"/>
                <w:sz w:val="22"/>
              </w:rPr>
              <w:t>Basic ICT, sanitation, electricity</w:t>
            </w:r>
          </w:p>
        </w:tc>
        <w:tc>
          <w:tcPr>
            <w:tcW w:type="dxa" w:w="1984"/>
            <w:tcW w:w="1984" w:type="dxa"/>
          </w:tcPr>
          <w:p>
            <w:pPr>
              <w:jc w:val="left"/>
            </w:pPr>
            <w:r/>
            <w:r>
              <w:rPr>
                <w:rFonts w:ascii="Cambria" w:hAnsi="Cambria"/>
                <w:b w:val="0"/>
                <w:i w:val="0"/>
                <w:sz w:val="22"/>
              </w:rPr>
              <w:t>Expand broadband, safe school policies</w:t>
            </w:r>
          </w:p>
        </w:tc>
        <w:tc>
          <w:tcPr>
            <w:tcW w:type="dxa" w:w="1928"/>
            <w:tcW w:w="1927" w:type="dxa"/>
          </w:tcPr>
          <w:p>
            <w:pPr>
              <w:jc w:val="left"/>
            </w:pPr>
            <w:r/>
            <w:r>
              <w:rPr>
                <w:rFonts w:ascii="Cambria" w:hAnsi="Cambria"/>
                <w:b w:val="0"/>
                <w:i w:val="0"/>
                <w:sz w:val="22"/>
              </w:rPr>
              <w:t>Smart, climate-resilient schools</w:t>
            </w:r>
          </w:p>
        </w:tc>
        <w:tc>
          <w:tcPr>
            <w:tcW w:type="dxa" w:w="1928"/>
            <w:tcW w:w="1927" w:type="dxa"/>
          </w:tcPr>
          <w:p>
            <w:pPr>
              <w:jc w:val="left"/>
            </w:pPr>
            <w:r/>
            <w:r>
              <w:rPr>
                <w:rFonts w:ascii="Cambria" w:hAnsi="Cambria"/>
                <w:b w:val="0"/>
                <w:i w:val="0"/>
                <w:sz w:val="22"/>
              </w:rPr>
              <w:t>Digitally connected, safe learning spaces; safe, inclusive, digitally connected schools worldwide</w:t>
            </w:r>
          </w:p>
        </w:tc>
      </w:tr>
      <w:tr>
        <w:tc>
          <w:tcPr>
            <w:tcW w:type="dxa" w:w="1587"/>
            <w:tcW w:w="1587" w:type="dxa"/>
            <w:shd w:val="clear" w:color="auto" w:fill="DCE6F1"/>
          </w:tcPr>
          <w:p>
            <w:pPr>
              <w:jc w:val="left"/>
            </w:pPr>
            <w:r/>
            <w:r>
              <w:rPr>
                <w:rFonts w:ascii="Cambria" w:hAnsi="Cambria"/>
                <w:b w:val="0"/>
                <w:i w:val="0"/>
                <w:sz w:val="22"/>
              </w:rPr>
              <w:t>Education for sustainable development</w:t>
            </w:r>
          </w:p>
        </w:tc>
        <w:tc>
          <w:tcPr>
            <w:tcW w:type="dxa" w:w="1984"/>
            <w:tcW w:w="1984" w:type="dxa"/>
            <w:shd w:val="clear" w:color="auto" w:fill="DCE6F1"/>
          </w:tcPr>
          <w:p>
            <w:pPr>
              <w:jc w:val="left"/>
            </w:pPr>
            <w:r/>
            <w:r>
              <w:rPr>
                <w:rFonts w:ascii="Cambria" w:hAnsi="Cambria"/>
                <w:b w:val="0"/>
                <w:i w:val="0"/>
                <w:sz w:val="22"/>
              </w:rPr>
              <w:t>Integrate SDGs, climate education, human rights into curricula</w:t>
            </w:r>
          </w:p>
        </w:tc>
        <w:tc>
          <w:tcPr>
            <w:tcW w:type="dxa" w:w="1984"/>
            <w:tcW w:w="1984" w:type="dxa"/>
            <w:shd w:val="clear" w:color="auto" w:fill="DCE6F1"/>
          </w:tcPr>
          <w:p>
            <w:pPr>
              <w:jc w:val="left"/>
            </w:pPr>
            <w:r/>
            <w:r>
              <w:rPr>
                <w:rFonts w:ascii="Cambria" w:hAnsi="Cambria"/>
                <w:b w:val="0"/>
                <w:i w:val="0"/>
                <w:sz w:val="22"/>
              </w:rPr>
              <w:t>Scale experiential learning, interdisciplinary programs</w:t>
            </w:r>
          </w:p>
        </w:tc>
        <w:tc>
          <w:tcPr>
            <w:tcW w:type="dxa" w:w="1928"/>
            <w:tcW w:w="1927" w:type="dxa"/>
            <w:shd w:val="clear" w:color="auto" w:fill="DCE6F1"/>
          </w:tcPr>
          <w:p>
            <w:pPr>
              <w:jc w:val="left"/>
            </w:pPr>
            <w:r/>
            <w:r>
              <w:rPr>
                <w:rFonts w:ascii="Cambria" w:hAnsi="Cambria"/>
                <w:b w:val="0"/>
                <w:i w:val="0"/>
                <w:sz w:val="22"/>
              </w:rPr>
              <w:t>Global citizenship in higher education &amp; research</w:t>
            </w:r>
          </w:p>
        </w:tc>
        <w:tc>
          <w:tcPr>
            <w:tcW w:type="dxa" w:w="1928"/>
            <w:tcW w:w="1927" w:type="dxa"/>
            <w:shd w:val="clear" w:color="auto" w:fill="DCE6F1"/>
          </w:tcPr>
          <w:p>
            <w:pPr>
              <w:jc w:val="left"/>
            </w:pPr>
            <w:r/>
            <w:r>
              <w:rPr>
                <w:rFonts w:ascii="Cambria" w:hAnsi="Cambria"/>
                <w:b w:val="0"/>
                <w:i w:val="0"/>
                <w:sz w:val="22"/>
              </w:rPr>
              <w:t>Sustainable, responsible citizens; responsible, environmentally conscious, and globally aware citizens</w:t>
            </w:r>
          </w:p>
        </w:tc>
      </w:tr>
      <w:tr>
        <w:tc>
          <w:tcPr>
            <w:tcW w:type="dxa" w:w="1587"/>
            <w:tcW w:w="1587" w:type="dxa"/>
          </w:tcPr>
          <w:p>
            <w:pPr>
              <w:jc w:val="left"/>
            </w:pPr>
            <w:r/>
            <w:r>
              <w:rPr>
                <w:rFonts w:ascii="Cambria" w:hAnsi="Cambria"/>
                <w:b w:val="0"/>
                <w:i w:val="0"/>
                <w:sz w:val="22"/>
              </w:rPr>
              <w:t>International collaboration &amp; scholarships</w:t>
            </w:r>
          </w:p>
        </w:tc>
        <w:tc>
          <w:tcPr>
            <w:tcW w:type="dxa" w:w="1984"/>
            <w:tcW w:w="1984" w:type="dxa"/>
          </w:tcPr>
          <w:p>
            <w:pPr>
              <w:jc w:val="left"/>
            </w:pPr>
            <w:r/>
            <w:r>
              <w:rPr>
                <w:rFonts w:ascii="Cambria" w:hAnsi="Cambria"/>
                <w:b w:val="0"/>
                <w:i w:val="0"/>
                <w:sz w:val="22"/>
              </w:rPr>
              <w:t>Expand scholarships for low-income countries</w:t>
            </w:r>
          </w:p>
        </w:tc>
        <w:tc>
          <w:tcPr>
            <w:tcW w:type="dxa" w:w="1984"/>
            <w:tcW w:w="1984" w:type="dxa"/>
          </w:tcPr>
          <w:p>
            <w:pPr>
              <w:jc w:val="left"/>
            </w:pPr>
            <w:r/>
            <w:r>
              <w:rPr>
                <w:rFonts w:ascii="Cambria" w:hAnsi="Cambria"/>
                <w:b w:val="0"/>
                <w:i w:val="0"/>
                <w:sz w:val="22"/>
              </w:rPr>
              <w:t>Strengthen global networks &amp; exchanges</w:t>
            </w:r>
          </w:p>
        </w:tc>
        <w:tc>
          <w:tcPr>
            <w:tcW w:type="dxa" w:w="1928"/>
            <w:tcW w:w="1927" w:type="dxa"/>
          </w:tcPr>
          <w:p>
            <w:pPr>
              <w:jc w:val="left"/>
            </w:pPr>
            <w:r/>
            <w:r>
              <w:rPr>
                <w:rFonts w:ascii="Cambria" w:hAnsi="Cambria"/>
                <w:b w:val="0"/>
                <w:i w:val="0"/>
                <w:sz w:val="22"/>
              </w:rPr>
              <w:t>Sustainable global partnerships</w:t>
            </w:r>
          </w:p>
        </w:tc>
        <w:tc>
          <w:tcPr>
            <w:tcW w:type="dxa" w:w="1928"/>
            <w:tcW w:w="1927" w:type="dxa"/>
          </w:tcPr>
          <w:p>
            <w:pPr>
              <w:jc w:val="left"/>
            </w:pPr>
            <w:r/>
            <w:r>
              <w:rPr>
                <w:rFonts w:ascii="Cambria" w:hAnsi="Cambria"/>
                <w:b w:val="0"/>
                <w:i w:val="0"/>
                <w:sz w:val="22"/>
              </w:rPr>
              <w:t>Knowledge sharing, global solidarity; enhanced mobility, cross-border research collaboration, global solidarity in education</w:t>
            </w:r>
          </w:p>
        </w:tc>
      </w:tr>
    </w:tbl>
    <w:p>
      <w:pPr>
        <w:spacing w:before="200" w:after="80"/>
        <w:jc w:val="left"/>
      </w:pPr>
      <w:r>
        <w:rPr>
          <w:rFonts w:ascii="Cambria" w:hAnsi="Cambria"/>
          <w:b/>
          <w:color w:val="1F3A5F"/>
          <w:sz w:val="25"/>
        </w:rPr>
        <w:t>Policy–Action–Outcome Roadmap with KPIs for SDG-4</w:t>
      </w:r>
    </w:p>
    <w:tbl>
      <w:tblPr>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1474"/>
            <w:shd w:val="clear" w:color="auto" w:fill="1F3A5F"/>
            <w:tcW w:w="1474" w:type="dxa"/>
          </w:tcPr>
          <w:p>
            <w:pPr>
              <w:jc w:val="left"/>
            </w:pPr>
            <w:r/>
            <w:r>
              <w:rPr>
                <w:rFonts w:ascii="Cambria" w:hAnsi="Cambria"/>
                <w:b/>
                <w:i w:val="0"/>
                <w:color w:val="FFFFFF"/>
                <w:sz w:val="22"/>
              </w:rPr>
              <w:t>Policy Area</w:t>
            </w:r>
          </w:p>
        </w:tc>
        <w:tc>
          <w:tcPr>
            <w:tcW w:type="dxa" w:w="1474"/>
            <w:shd w:val="clear" w:color="auto" w:fill="1F3A5F"/>
            <w:tcW w:w="1474" w:type="dxa"/>
          </w:tcPr>
          <w:p>
            <w:pPr>
              <w:jc w:val="left"/>
            </w:pPr>
            <w:r/>
            <w:r>
              <w:rPr>
                <w:rFonts w:ascii="Cambria" w:hAnsi="Cambria"/>
                <w:b/>
                <w:i w:val="0"/>
                <w:color w:val="FFFFFF"/>
                <w:sz w:val="22"/>
              </w:rPr>
              <w:t>Short-Term</w:t>
            </w:r>
          </w:p>
        </w:tc>
        <w:tc>
          <w:tcPr>
            <w:tcW w:type="dxa" w:w="1474"/>
            <w:shd w:val="clear" w:color="auto" w:fill="1F3A5F"/>
            <w:tcW w:w="1474" w:type="dxa"/>
          </w:tcPr>
          <w:p>
            <w:pPr>
              <w:jc w:val="left"/>
            </w:pPr>
            <w:r/>
            <w:r>
              <w:rPr>
                <w:rFonts w:ascii="Cambria" w:hAnsi="Cambria"/>
                <w:b/>
                <w:i w:val="0"/>
                <w:color w:val="FFFFFF"/>
                <w:sz w:val="22"/>
              </w:rPr>
              <w:t>Medium-Term</w:t>
            </w:r>
          </w:p>
        </w:tc>
        <w:tc>
          <w:tcPr>
            <w:tcW w:type="dxa" w:w="1474"/>
            <w:shd w:val="clear" w:color="auto" w:fill="1F3A5F"/>
            <w:tcW w:w="1474" w:type="dxa"/>
          </w:tcPr>
          <w:p>
            <w:pPr>
              <w:jc w:val="left"/>
            </w:pPr>
            <w:r/>
            <w:r>
              <w:rPr>
                <w:rFonts w:ascii="Cambria" w:hAnsi="Cambria"/>
                <w:b/>
                <w:i w:val="0"/>
                <w:color w:val="FFFFFF"/>
                <w:sz w:val="22"/>
              </w:rPr>
              <w:t>Long-Term</w:t>
            </w:r>
          </w:p>
        </w:tc>
        <w:tc>
          <w:tcPr>
            <w:tcW w:type="dxa" w:w="1474"/>
            <w:shd w:val="clear" w:color="auto" w:fill="1F3A5F"/>
            <w:tcW w:w="1474" w:type="dxa"/>
          </w:tcPr>
          <w:p>
            <w:pPr>
              <w:jc w:val="left"/>
            </w:pPr>
            <w:r/>
            <w:r>
              <w:rPr>
                <w:rFonts w:ascii="Cambria" w:hAnsi="Cambria"/>
                <w:b/>
                <w:i w:val="0"/>
                <w:color w:val="FFFFFF"/>
                <w:sz w:val="22"/>
              </w:rPr>
              <w:t>Expected Outcomes</w:t>
            </w:r>
          </w:p>
        </w:tc>
        <w:tc>
          <w:tcPr>
            <w:tcW w:type="dxa" w:w="2041"/>
            <w:shd w:val="clear" w:color="auto" w:fill="1F3A5F"/>
            <w:tcW w:w="2041" w:type="dxa"/>
          </w:tcPr>
          <w:p>
            <w:pPr>
              <w:jc w:val="left"/>
            </w:pPr>
            <w:r/>
            <w:r>
              <w:rPr>
                <w:rFonts w:ascii="Cambria" w:hAnsi="Cambria"/>
                <w:b/>
                <w:i w:val="0"/>
                <w:color w:val="FFFFFF"/>
                <w:sz w:val="22"/>
              </w:rPr>
              <w:t>Key Performance Indicators (KPIs)</w:t>
            </w:r>
          </w:p>
        </w:tc>
      </w:tr>
      <w:tr>
        <w:tc>
          <w:tcPr>
            <w:tcW w:type="dxa" w:w="1474"/>
            <w:tcW w:w="1474" w:type="dxa"/>
          </w:tcPr>
          <w:p>
            <w:pPr>
              <w:jc w:val="left"/>
            </w:pPr>
            <w:r/>
            <w:r>
              <w:rPr>
                <w:rFonts w:ascii="Cambria" w:hAnsi="Cambria"/>
                <w:b w:val="0"/>
                <w:i w:val="0"/>
                <w:sz w:val="22"/>
              </w:rPr>
              <w:t>Universal access to free and quality education</w:t>
            </w:r>
          </w:p>
        </w:tc>
        <w:tc>
          <w:tcPr>
            <w:tcW w:type="dxa" w:w="1474"/>
            <w:tcW w:w="1474" w:type="dxa"/>
          </w:tcPr>
          <w:p>
            <w:pPr>
              <w:jc w:val="left"/>
            </w:pPr>
            <w:r/>
            <w:r>
              <w:rPr>
                <w:rFonts w:ascii="Cambria" w:hAnsi="Cambria"/>
                <w:b w:val="0"/>
                <w:i w:val="0"/>
                <w:sz w:val="22"/>
              </w:rPr>
              <w:t>Free &amp; compulsory primary schooling, distribute resources</w:t>
            </w:r>
          </w:p>
        </w:tc>
        <w:tc>
          <w:tcPr>
            <w:tcW w:type="dxa" w:w="1474"/>
            <w:tcW w:w="1474" w:type="dxa"/>
          </w:tcPr>
          <w:p>
            <w:pPr>
              <w:jc w:val="left"/>
            </w:pPr>
            <w:r/>
            <w:r>
              <w:rPr>
                <w:rFonts w:ascii="Cambria" w:hAnsi="Cambria"/>
                <w:b w:val="0"/>
                <w:i w:val="0"/>
                <w:sz w:val="22"/>
              </w:rPr>
              <w:t>Expand compulsory secondary education, standardized assessments</w:t>
            </w:r>
          </w:p>
        </w:tc>
        <w:tc>
          <w:tcPr>
            <w:tcW w:type="dxa" w:w="1474"/>
            <w:tcW w:w="1474" w:type="dxa"/>
          </w:tcPr>
          <w:p>
            <w:pPr>
              <w:jc w:val="left"/>
            </w:pPr>
            <w:r/>
            <w:r>
              <w:rPr>
                <w:rFonts w:ascii="Cambria" w:hAnsi="Cambria"/>
                <w:b w:val="0"/>
                <w:i w:val="0"/>
                <w:sz w:val="22"/>
              </w:rPr>
              <w:t>Universal primary &amp; secondary completion globally</w:t>
            </w:r>
          </w:p>
        </w:tc>
        <w:tc>
          <w:tcPr>
            <w:tcW w:type="dxa" w:w="1474"/>
            <w:tcW w:w="1474" w:type="dxa"/>
          </w:tcPr>
          <w:p>
            <w:pPr>
              <w:jc w:val="left"/>
            </w:pPr>
            <w:r/>
            <w:r>
              <w:rPr>
                <w:rFonts w:ascii="Cambria" w:hAnsi="Cambria"/>
                <w:b w:val="0"/>
                <w:i w:val="0"/>
                <w:sz w:val="22"/>
              </w:rPr>
              <w:t>Improved literacy &amp; numeracy</w:t>
            </w:r>
          </w:p>
        </w:tc>
        <w:tc>
          <w:tcPr>
            <w:tcW w:type="dxa" w:w="2041"/>
            <w:tcW w:w="2041" w:type="dxa"/>
          </w:tcPr>
          <w:p>
            <w:pPr>
              <w:jc w:val="left"/>
            </w:pPr>
            <w:r/>
            <w:r>
              <w:rPr>
                <w:rFonts w:ascii="Cambria" w:hAnsi="Cambria"/>
                <w:b w:val="0"/>
                <w:i w:val="0"/>
                <w:sz w:val="22"/>
              </w:rPr>
              <w:t>Net Enrolment Ratio (NER) in primary &amp; secondary (%); Dropout Rate (%); Learning Outcomes (reading &amp; math proficiency at grade 2/3, 5, 8)</w:t>
            </w:r>
          </w:p>
        </w:tc>
      </w:tr>
      <w:tr>
        <w:tc>
          <w:tcPr>
            <w:tcW w:type="dxa" w:w="1474"/>
            <w:tcW w:w="1474" w:type="dxa"/>
            <w:shd w:val="clear" w:color="auto" w:fill="DCE6F1"/>
          </w:tcPr>
          <w:p>
            <w:pPr>
              <w:jc w:val="left"/>
            </w:pPr>
            <w:r/>
            <w:r>
              <w:rPr>
                <w:rFonts w:ascii="Cambria" w:hAnsi="Cambria"/>
                <w:b w:val="0"/>
                <w:i w:val="0"/>
                <w:sz w:val="22"/>
              </w:rPr>
              <w:t>Early childhood education</w:t>
            </w:r>
          </w:p>
        </w:tc>
        <w:tc>
          <w:tcPr>
            <w:tcW w:type="dxa" w:w="1474"/>
            <w:tcW w:w="1474" w:type="dxa"/>
            <w:shd w:val="clear" w:color="auto" w:fill="DCE6F1"/>
          </w:tcPr>
          <w:p>
            <w:pPr>
              <w:jc w:val="left"/>
            </w:pPr>
            <w:r/>
            <w:r>
              <w:rPr>
                <w:rFonts w:ascii="Cambria" w:hAnsi="Cambria"/>
                <w:b w:val="0"/>
                <w:i w:val="0"/>
                <w:sz w:val="22"/>
              </w:rPr>
              <w:t>Community-based preschools, caregiver training</w:t>
            </w:r>
          </w:p>
        </w:tc>
        <w:tc>
          <w:tcPr>
            <w:tcW w:type="dxa" w:w="1474"/>
            <w:tcW w:w="1474" w:type="dxa"/>
            <w:shd w:val="clear" w:color="auto" w:fill="DCE6F1"/>
          </w:tcPr>
          <w:p>
            <w:pPr>
              <w:jc w:val="left"/>
            </w:pPr>
            <w:r/>
            <w:r>
              <w:rPr>
                <w:rFonts w:ascii="Cambria" w:hAnsi="Cambria"/>
                <w:b w:val="0"/>
                <w:i w:val="0"/>
                <w:sz w:val="22"/>
              </w:rPr>
              <w:t>Nationwide pre-primary education centers, monitoring</w:t>
            </w:r>
          </w:p>
        </w:tc>
        <w:tc>
          <w:tcPr>
            <w:tcW w:type="dxa" w:w="1474"/>
            <w:tcW w:w="1474" w:type="dxa"/>
            <w:shd w:val="clear" w:color="auto" w:fill="DCE6F1"/>
          </w:tcPr>
          <w:p>
            <w:pPr>
              <w:jc w:val="left"/>
            </w:pPr>
            <w:r/>
            <w:r>
              <w:rPr>
                <w:rFonts w:ascii="Cambria" w:hAnsi="Cambria"/>
                <w:b w:val="0"/>
                <w:i w:val="0"/>
                <w:sz w:val="22"/>
              </w:rPr>
              <w:t>Early childhood education institutionalized in law</w:t>
            </w:r>
          </w:p>
        </w:tc>
        <w:tc>
          <w:tcPr>
            <w:tcW w:type="dxa" w:w="1474"/>
            <w:tcW w:w="1474" w:type="dxa"/>
            <w:shd w:val="clear" w:color="auto" w:fill="DCE6F1"/>
          </w:tcPr>
          <w:p>
            <w:pPr>
              <w:jc w:val="left"/>
            </w:pPr>
            <w:r/>
            <w:r>
              <w:rPr>
                <w:rFonts w:ascii="Cambria" w:hAnsi="Cambria"/>
                <w:b w:val="0"/>
                <w:i w:val="0"/>
                <w:sz w:val="22"/>
              </w:rPr>
              <w:t>School readiness, long-term academic success</w:t>
            </w:r>
          </w:p>
        </w:tc>
        <w:tc>
          <w:tcPr>
            <w:tcW w:type="dxa" w:w="2041"/>
            <w:tcW w:w="2041" w:type="dxa"/>
            <w:shd w:val="clear" w:color="auto" w:fill="DCE6F1"/>
          </w:tcPr>
          <w:p>
            <w:pPr>
              <w:jc w:val="left"/>
            </w:pPr>
            <w:r/>
            <w:r>
              <w:rPr>
                <w:rFonts w:ascii="Cambria" w:hAnsi="Cambria"/>
                <w:b w:val="0"/>
                <w:i w:val="0"/>
                <w:sz w:val="22"/>
              </w:rPr>
              <w:t>Pre-primary Gross Enrolment Ratio (%); % of trained caregivers/teachers; Early Childhood Development Index (ECDI)</w:t>
            </w:r>
          </w:p>
        </w:tc>
      </w:tr>
      <w:tr>
        <w:tc>
          <w:tcPr>
            <w:tcW w:type="dxa" w:w="1474"/>
            <w:tcW w:w="1474" w:type="dxa"/>
          </w:tcPr>
          <w:p>
            <w:pPr>
              <w:jc w:val="left"/>
            </w:pPr>
            <w:r/>
            <w:r>
              <w:rPr>
                <w:rFonts w:ascii="Cambria" w:hAnsi="Cambria"/>
                <w:b w:val="0"/>
                <w:i w:val="0"/>
                <w:sz w:val="22"/>
              </w:rPr>
              <w:t>Vocational &amp; higher education affordability</w:t>
            </w:r>
          </w:p>
        </w:tc>
        <w:tc>
          <w:tcPr>
            <w:tcW w:type="dxa" w:w="1474"/>
            <w:tcW w:w="1474" w:type="dxa"/>
          </w:tcPr>
          <w:p>
            <w:pPr>
              <w:jc w:val="left"/>
            </w:pPr>
            <w:r/>
            <w:r>
              <w:rPr>
                <w:rFonts w:ascii="Cambria" w:hAnsi="Cambria"/>
                <w:b w:val="0"/>
                <w:i w:val="0"/>
                <w:sz w:val="22"/>
              </w:rPr>
              <w:t>Skill centers, subsidized technical courses</w:t>
            </w:r>
          </w:p>
        </w:tc>
        <w:tc>
          <w:tcPr>
            <w:tcW w:type="dxa" w:w="1474"/>
            <w:tcW w:w="1474" w:type="dxa"/>
          </w:tcPr>
          <w:p>
            <w:pPr>
              <w:jc w:val="left"/>
            </w:pPr>
            <w:r/>
            <w:r>
              <w:rPr>
                <w:rFonts w:ascii="Cambria" w:hAnsi="Cambria"/>
                <w:b w:val="0"/>
                <w:i w:val="0"/>
                <w:sz w:val="22"/>
              </w:rPr>
              <w:t>Expand online/distance learning, industry partnerships</w:t>
            </w:r>
          </w:p>
        </w:tc>
        <w:tc>
          <w:tcPr>
            <w:tcW w:type="dxa" w:w="1474"/>
            <w:tcW w:w="1474" w:type="dxa"/>
          </w:tcPr>
          <w:p>
            <w:pPr>
              <w:jc w:val="left"/>
            </w:pPr>
            <w:r/>
            <w:r>
              <w:rPr>
                <w:rFonts w:ascii="Cambria" w:hAnsi="Cambria"/>
                <w:b w:val="0"/>
                <w:i w:val="0"/>
                <w:sz w:val="22"/>
              </w:rPr>
              <w:t>Global access to tertiary &amp; lifelong education</w:t>
            </w:r>
          </w:p>
        </w:tc>
        <w:tc>
          <w:tcPr>
            <w:tcW w:type="dxa" w:w="1474"/>
            <w:tcW w:w="1474" w:type="dxa"/>
          </w:tcPr>
          <w:p>
            <w:pPr>
              <w:jc w:val="left"/>
            </w:pPr>
            <w:r/>
            <w:r>
              <w:rPr>
                <w:rFonts w:ascii="Cambria" w:hAnsi="Cambria"/>
                <w:b w:val="0"/>
                <w:i w:val="0"/>
                <w:sz w:val="22"/>
              </w:rPr>
              <w:t>Workforce ready for future jobs</w:t>
            </w:r>
          </w:p>
        </w:tc>
        <w:tc>
          <w:tcPr>
            <w:tcW w:type="dxa" w:w="2041"/>
            <w:tcW w:w="2041" w:type="dxa"/>
          </w:tcPr>
          <w:p>
            <w:pPr>
              <w:jc w:val="left"/>
            </w:pPr>
            <w:r/>
            <w:r>
              <w:rPr>
                <w:rFonts w:ascii="Cambria" w:hAnsi="Cambria"/>
                <w:b w:val="0"/>
                <w:i w:val="0"/>
                <w:sz w:val="22"/>
              </w:rPr>
              <w:t>Gross Enrolment Ratio in tertiary education (%); Number of vocational training graduates; Graduate Employability Rate (%)</w:t>
            </w:r>
          </w:p>
        </w:tc>
      </w:tr>
      <w:tr>
        <w:tc>
          <w:tcPr>
            <w:tcW w:type="dxa" w:w="1474"/>
            <w:tcW w:w="1474" w:type="dxa"/>
            <w:shd w:val="clear" w:color="auto" w:fill="DCE6F1"/>
          </w:tcPr>
          <w:p>
            <w:pPr>
              <w:jc w:val="left"/>
            </w:pPr>
            <w:r/>
            <w:r>
              <w:rPr>
                <w:rFonts w:ascii="Cambria" w:hAnsi="Cambria"/>
                <w:b w:val="0"/>
                <w:i w:val="0"/>
                <w:sz w:val="22"/>
              </w:rPr>
              <w:t>Gender equality in education</w:t>
            </w:r>
          </w:p>
        </w:tc>
        <w:tc>
          <w:tcPr>
            <w:tcW w:type="dxa" w:w="1474"/>
            <w:tcW w:w="1474" w:type="dxa"/>
            <w:shd w:val="clear" w:color="auto" w:fill="DCE6F1"/>
          </w:tcPr>
          <w:p>
            <w:pPr>
              <w:jc w:val="left"/>
            </w:pPr>
            <w:r/>
            <w:r>
              <w:rPr>
                <w:rFonts w:ascii="Cambria" w:hAnsi="Cambria"/>
                <w:b w:val="0"/>
                <w:i w:val="0"/>
                <w:sz w:val="22"/>
              </w:rPr>
              <w:t>Scholarships for girls, safe transport, awareness campaigns</w:t>
            </w:r>
          </w:p>
        </w:tc>
        <w:tc>
          <w:tcPr>
            <w:tcW w:type="dxa" w:w="1474"/>
            <w:tcW w:w="1474" w:type="dxa"/>
            <w:shd w:val="clear" w:color="auto" w:fill="DCE6F1"/>
          </w:tcPr>
          <w:p>
            <w:pPr>
              <w:jc w:val="left"/>
            </w:pPr>
            <w:r/>
            <w:r>
              <w:rPr>
                <w:rFonts w:ascii="Cambria" w:hAnsi="Cambria"/>
                <w:b w:val="0"/>
                <w:i w:val="0"/>
                <w:sz w:val="22"/>
              </w:rPr>
              <w:t>Expand female participation in STEM, mentorship programs</w:t>
            </w:r>
          </w:p>
        </w:tc>
        <w:tc>
          <w:tcPr>
            <w:tcW w:type="dxa" w:w="1474"/>
            <w:tcW w:w="1474" w:type="dxa"/>
            <w:shd w:val="clear" w:color="auto" w:fill="DCE6F1"/>
          </w:tcPr>
          <w:p>
            <w:pPr>
              <w:jc w:val="left"/>
            </w:pPr>
            <w:r/>
            <w:r>
              <w:rPr>
                <w:rFonts w:ascii="Cambria" w:hAnsi="Cambria"/>
                <w:b w:val="0"/>
                <w:i w:val="0"/>
                <w:sz w:val="22"/>
              </w:rPr>
              <w:t>Eliminate systemic gender disparities</w:t>
            </w:r>
          </w:p>
        </w:tc>
        <w:tc>
          <w:tcPr>
            <w:tcW w:type="dxa" w:w="1474"/>
            <w:tcW w:w="1474" w:type="dxa"/>
            <w:shd w:val="clear" w:color="auto" w:fill="DCE6F1"/>
          </w:tcPr>
          <w:p>
            <w:pPr>
              <w:jc w:val="left"/>
            </w:pPr>
            <w:r/>
            <w:r>
              <w:rPr>
                <w:rFonts w:ascii="Cambria" w:hAnsi="Cambria"/>
                <w:b w:val="0"/>
                <w:i w:val="0"/>
                <w:sz w:val="22"/>
              </w:rPr>
              <w:t>Equal opportunities for girls &amp; women</w:t>
            </w:r>
          </w:p>
        </w:tc>
        <w:tc>
          <w:tcPr>
            <w:tcW w:type="dxa" w:w="2041"/>
            <w:tcW w:w="2041" w:type="dxa"/>
            <w:shd w:val="clear" w:color="auto" w:fill="DCE6F1"/>
          </w:tcPr>
          <w:p>
            <w:pPr>
              <w:jc w:val="left"/>
            </w:pPr>
            <w:r/>
            <w:r>
              <w:rPr>
                <w:rFonts w:ascii="Cambria" w:hAnsi="Cambria"/>
                <w:b w:val="0"/>
                <w:i w:val="0"/>
                <w:sz w:val="22"/>
              </w:rPr>
              <w:t>Gender Parity Index (GPI) at primary, secondary &amp; tertiary; Female enrolment in STEM (%); Female completion rate (%)</w:t>
            </w:r>
          </w:p>
        </w:tc>
      </w:tr>
      <w:tr>
        <w:tc>
          <w:tcPr>
            <w:tcW w:type="dxa" w:w="1474"/>
            <w:tcW w:w="1474" w:type="dxa"/>
          </w:tcPr>
          <w:p>
            <w:pPr>
              <w:jc w:val="left"/>
            </w:pPr>
            <w:r/>
            <w:r>
              <w:rPr>
                <w:rFonts w:ascii="Cambria" w:hAnsi="Cambria"/>
                <w:b w:val="0"/>
                <w:i w:val="0"/>
                <w:sz w:val="22"/>
              </w:rPr>
              <w:t>Adult literacy &amp; lifelong learning</w:t>
            </w:r>
          </w:p>
        </w:tc>
        <w:tc>
          <w:tcPr>
            <w:tcW w:type="dxa" w:w="1474"/>
            <w:tcW w:w="1474" w:type="dxa"/>
          </w:tcPr>
          <w:p>
            <w:pPr>
              <w:jc w:val="left"/>
            </w:pPr>
            <w:r/>
            <w:r>
              <w:rPr>
                <w:rFonts w:ascii="Cambria" w:hAnsi="Cambria"/>
                <w:b w:val="0"/>
                <w:i w:val="0"/>
                <w:sz w:val="22"/>
              </w:rPr>
              <w:t>Literacy &amp; numeracy campaigns via community centers</w:t>
            </w:r>
          </w:p>
        </w:tc>
        <w:tc>
          <w:tcPr>
            <w:tcW w:type="dxa" w:w="1474"/>
            <w:tcW w:w="1474" w:type="dxa"/>
          </w:tcPr>
          <w:p>
            <w:pPr>
              <w:jc w:val="left"/>
            </w:pPr>
            <w:r/>
            <w:r>
              <w:rPr>
                <w:rFonts w:ascii="Cambria" w:hAnsi="Cambria"/>
                <w:b w:val="0"/>
                <w:i w:val="0"/>
                <w:sz w:val="22"/>
              </w:rPr>
              <w:t>Expand digital literacy &amp; ICT programs</w:t>
            </w:r>
          </w:p>
        </w:tc>
        <w:tc>
          <w:tcPr>
            <w:tcW w:type="dxa" w:w="1474"/>
            <w:tcW w:w="1474" w:type="dxa"/>
          </w:tcPr>
          <w:p>
            <w:pPr>
              <w:jc w:val="left"/>
            </w:pPr>
            <w:r/>
            <w:r>
              <w:rPr>
                <w:rFonts w:ascii="Cambria" w:hAnsi="Cambria"/>
                <w:b w:val="0"/>
                <w:i w:val="0"/>
                <w:sz w:val="22"/>
              </w:rPr>
              <w:t>National culture of lifelong learning</w:t>
            </w:r>
          </w:p>
        </w:tc>
        <w:tc>
          <w:tcPr>
            <w:tcW w:type="dxa" w:w="1474"/>
            <w:tcW w:w="1474" w:type="dxa"/>
          </w:tcPr>
          <w:p>
            <w:pPr>
              <w:jc w:val="left"/>
            </w:pPr>
            <w:r/>
            <w:r>
              <w:rPr>
                <w:rFonts w:ascii="Cambria" w:hAnsi="Cambria"/>
                <w:b w:val="0"/>
                <w:i w:val="0"/>
                <w:sz w:val="22"/>
              </w:rPr>
              <w:t>Universal adult literacy, upskilling</w:t>
            </w:r>
          </w:p>
        </w:tc>
        <w:tc>
          <w:tcPr>
            <w:tcW w:type="dxa" w:w="2041"/>
            <w:tcW w:w="2041" w:type="dxa"/>
          </w:tcPr>
          <w:p>
            <w:pPr>
              <w:jc w:val="left"/>
            </w:pPr>
            <w:r/>
            <w:r>
              <w:rPr>
                <w:rFonts w:ascii="Cambria" w:hAnsi="Cambria"/>
                <w:b w:val="0"/>
                <w:i w:val="0"/>
                <w:sz w:val="22"/>
              </w:rPr>
              <w:t>Adult Literacy Rate (%); Adult ICT Literacy Rate (%); Participation rate in lifelong learning (%)</w:t>
            </w:r>
          </w:p>
        </w:tc>
      </w:tr>
      <w:tr>
        <w:tc>
          <w:tcPr>
            <w:tcW w:type="dxa" w:w="1474"/>
            <w:tcW w:w="1474" w:type="dxa"/>
            <w:shd w:val="clear" w:color="auto" w:fill="DCE6F1"/>
          </w:tcPr>
          <w:p>
            <w:pPr>
              <w:jc w:val="left"/>
            </w:pPr>
            <w:r/>
            <w:r>
              <w:rPr>
                <w:rFonts w:ascii="Cambria" w:hAnsi="Cambria"/>
                <w:b w:val="0"/>
                <w:i w:val="0"/>
                <w:sz w:val="22"/>
              </w:rPr>
              <w:t>Teacher training &amp; professional development</w:t>
            </w:r>
          </w:p>
        </w:tc>
        <w:tc>
          <w:tcPr>
            <w:tcW w:type="dxa" w:w="1474"/>
            <w:tcW w:w="1474" w:type="dxa"/>
            <w:shd w:val="clear" w:color="auto" w:fill="DCE6F1"/>
          </w:tcPr>
          <w:p>
            <w:pPr>
              <w:jc w:val="left"/>
            </w:pPr>
            <w:r/>
            <w:r>
              <w:rPr>
                <w:rFonts w:ascii="Cambria" w:hAnsi="Cambria"/>
                <w:b w:val="0"/>
                <w:i w:val="0"/>
                <w:sz w:val="22"/>
              </w:rPr>
              <w:t>Teacher pedagogy &amp; ICT training, rural incentives</w:t>
            </w:r>
          </w:p>
        </w:tc>
        <w:tc>
          <w:tcPr>
            <w:tcW w:type="dxa" w:w="1474"/>
            <w:tcW w:w="1474" w:type="dxa"/>
            <w:shd w:val="clear" w:color="auto" w:fill="DCE6F1"/>
          </w:tcPr>
          <w:p>
            <w:pPr>
              <w:jc w:val="left"/>
            </w:pPr>
            <w:r/>
            <w:r>
              <w:rPr>
                <w:rFonts w:ascii="Cambria" w:hAnsi="Cambria"/>
                <w:b w:val="0"/>
                <w:i w:val="0"/>
                <w:sz w:val="22"/>
              </w:rPr>
              <w:t>Continuous certification, international exchange</w:t>
            </w:r>
          </w:p>
        </w:tc>
        <w:tc>
          <w:tcPr>
            <w:tcW w:type="dxa" w:w="1474"/>
            <w:tcW w:w="1474" w:type="dxa"/>
            <w:shd w:val="clear" w:color="auto" w:fill="DCE6F1"/>
          </w:tcPr>
          <w:p>
            <w:pPr>
              <w:jc w:val="left"/>
            </w:pPr>
            <w:r/>
            <w:r>
              <w:rPr>
                <w:rFonts w:ascii="Cambria" w:hAnsi="Cambria"/>
                <w:b w:val="0"/>
                <w:i w:val="0"/>
                <w:sz w:val="22"/>
              </w:rPr>
              <w:t>Adequate supply of motivated teachers</w:t>
            </w:r>
          </w:p>
        </w:tc>
        <w:tc>
          <w:tcPr>
            <w:tcW w:type="dxa" w:w="1474"/>
            <w:tcW w:w="1474" w:type="dxa"/>
            <w:shd w:val="clear" w:color="auto" w:fill="DCE6F1"/>
          </w:tcPr>
          <w:p>
            <w:pPr>
              <w:jc w:val="left"/>
            </w:pPr>
            <w:r/>
            <w:r>
              <w:rPr>
                <w:rFonts w:ascii="Cambria" w:hAnsi="Cambria"/>
                <w:b w:val="0"/>
                <w:i w:val="0"/>
                <w:sz w:val="22"/>
              </w:rPr>
              <w:t>Improved teaching quality</w:t>
            </w:r>
          </w:p>
        </w:tc>
        <w:tc>
          <w:tcPr>
            <w:tcW w:type="dxa" w:w="2041"/>
            <w:tcW w:w="2041" w:type="dxa"/>
            <w:shd w:val="clear" w:color="auto" w:fill="DCE6F1"/>
          </w:tcPr>
          <w:p>
            <w:pPr>
              <w:jc w:val="left"/>
            </w:pPr>
            <w:r/>
            <w:r>
              <w:rPr>
                <w:rFonts w:ascii="Cambria" w:hAnsi="Cambria"/>
                <w:b w:val="0"/>
                <w:i w:val="0"/>
                <w:sz w:val="22"/>
              </w:rPr>
              <w:t>Pupil–Teacher Ratio (PTR); % of teachers with minimum qualifications; % of teachers receiving in-service training annually</w:t>
            </w:r>
          </w:p>
        </w:tc>
      </w:tr>
      <w:tr>
        <w:tc>
          <w:tcPr>
            <w:tcW w:type="dxa" w:w="1474"/>
            <w:tcW w:w="1474" w:type="dxa"/>
          </w:tcPr>
          <w:p>
            <w:pPr>
              <w:jc w:val="left"/>
            </w:pPr>
            <w:r/>
            <w:r>
              <w:rPr>
                <w:rFonts w:ascii="Cambria" w:hAnsi="Cambria"/>
                <w:b w:val="0"/>
                <w:i w:val="0"/>
                <w:sz w:val="22"/>
              </w:rPr>
              <w:t>Inclusive education</w:t>
            </w:r>
          </w:p>
        </w:tc>
        <w:tc>
          <w:tcPr>
            <w:tcW w:type="dxa" w:w="1474"/>
            <w:tcW w:w="1474" w:type="dxa"/>
          </w:tcPr>
          <w:p>
            <w:pPr>
              <w:jc w:val="left"/>
            </w:pPr>
            <w:r/>
            <w:r>
              <w:rPr>
                <w:rFonts w:ascii="Cambria" w:hAnsi="Cambria"/>
                <w:b w:val="0"/>
                <w:i w:val="0"/>
                <w:sz w:val="22"/>
              </w:rPr>
              <w:t>Assistive tech, scholarships for marginalized groups</w:t>
            </w:r>
          </w:p>
        </w:tc>
        <w:tc>
          <w:tcPr>
            <w:tcW w:type="dxa" w:w="1474"/>
            <w:tcW w:w="1474" w:type="dxa"/>
          </w:tcPr>
          <w:p>
            <w:pPr>
              <w:jc w:val="left"/>
            </w:pPr>
            <w:r/>
            <w:r>
              <w:rPr>
                <w:rFonts w:ascii="Cambria" w:hAnsi="Cambria"/>
                <w:b w:val="0"/>
                <w:i w:val="0"/>
                <w:sz w:val="22"/>
              </w:rPr>
              <w:t>Inclusive classrooms, special educator training</w:t>
            </w:r>
          </w:p>
        </w:tc>
        <w:tc>
          <w:tcPr>
            <w:tcW w:type="dxa" w:w="1474"/>
            <w:tcW w:w="1474" w:type="dxa"/>
          </w:tcPr>
          <w:p>
            <w:pPr>
              <w:jc w:val="left"/>
            </w:pPr>
            <w:r/>
            <w:r>
              <w:rPr>
                <w:rFonts w:ascii="Cambria" w:hAnsi="Cambria"/>
                <w:b w:val="0"/>
                <w:i w:val="0"/>
                <w:sz w:val="22"/>
              </w:rPr>
              <w:t>Social inclusion of marginalized learners</w:t>
            </w:r>
          </w:p>
        </w:tc>
        <w:tc>
          <w:tcPr>
            <w:tcW w:type="dxa" w:w="1474"/>
            <w:tcW w:w="1474" w:type="dxa"/>
          </w:tcPr>
          <w:p>
            <w:pPr>
              <w:jc w:val="left"/>
            </w:pPr>
            <w:r/>
            <w:r>
              <w:rPr>
                <w:rFonts w:ascii="Cambria" w:hAnsi="Cambria"/>
                <w:b w:val="0"/>
                <w:i w:val="0"/>
                <w:sz w:val="22"/>
              </w:rPr>
              <w:t>Equitable, inclusive systems</w:t>
            </w:r>
          </w:p>
        </w:tc>
        <w:tc>
          <w:tcPr>
            <w:tcW w:type="dxa" w:w="2041"/>
            <w:tcW w:w="2041" w:type="dxa"/>
          </w:tcPr>
          <w:p>
            <w:pPr>
              <w:jc w:val="left"/>
            </w:pPr>
            <w:r/>
            <w:r>
              <w:rPr>
                <w:rFonts w:ascii="Cambria" w:hAnsi="Cambria"/>
                <w:b w:val="0"/>
                <w:i w:val="0"/>
                <w:sz w:val="22"/>
              </w:rPr>
              <w:t>% of schools with accessible facilities; Enrolment rate of disabled children (%); % of teachers trained in inclusive education</w:t>
            </w:r>
          </w:p>
        </w:tc>
      </w:tr>
      <w:tr>
        <w:tc>
          <w:tcPr>
            <w:tcW w:type="dxa" w:w="1474"/>
            <w:tcW w:w="1474" w:type="dxa"/>
            <w:shd w:val="clear" w:color="auto" w:fill="DCE6F1"/>
          </w:tcPr>
          <w:p>
            <w:pPr>
              <w:jc w:val="left"/>
            </w:pPr>
            <w:r/>
            <w:r>
              <w:rPr>
                <w:rFonts w:ascii="Cambria" w:hAnsi="Cambria"/>
                <w:b w:val="0"/>
                <w:i w:val="0"/>
                <w:sz w:val="22"/>
              </w:rPr>
              <w:t>School infrastructure &amp; digital access</w:t>
            </w:r>
          </w:p>
        </w:tc>
        <w:tc>
          <w:tcPr>
            <w:tcW w:type="dxa" w:w="1474"/>
            <w:tcW w:w="1474" w:type="dxa"/>
            <w:shd w:val="clear" w:color="auto" w:fill="DCE6F1"/>
          </w:tcPr>
          <w:p>
            <w:pPr>
              <w:jc w:val="left"/>
            </w:pPr>
            <w:r/>
            <w:r>
              <w:rPr>
                <w:rFonts w:ascii="Cambria" w:hAnsi="Cambria"/>
                <w:b w:val="0"/>
                <w:i w:val="0"/>
                <w:sz w:val="22"/>
              </w:rPr>
              <w:t>Basic ICT, sanitation, electricity</w:t>
            </w:r>
          </w:p>
        </w:tc>
        <w:tc>
          <w:tcPr>
            <w:tcW w:type="dxa" w:w="1474"/>
            <w:tcW w:w="1474" w:type="dxa"/>
            <w:shd w:val="clear" w:color="auto" w:fill="DCE6F1"/>
          </w:tcPr>
          <w:p>
            <w:pPr>
              <w:jc w:val="left"/>
            </w:pPr>
            <w:r/>
            <w:r>
              <w:rPr>
                <w:rFonts w:ascii="Cambria" w:hAnsi="Cambria"/>
                <w:b w:val="0"/>
                <w:i w:val="0"/>
                <w:sz w:val="22"/>
              </w:rPr>
              <w:t>Expand broadband, safe school policies</w:t>
            </w:r>
          </w:p>
        </w:tc>
        <w:tc>
          <w:tcPr>
            <w:tcW w:type="dxa" w:w="1474"/>
            <w:tcW w:w="1474" w:type="dxa"/>
            <w:shd w:val="clear" w:color="auto" w:fill="DCE6F1"/>
          </w:tcPr>
          <w:p>
            <w:pPr>
              <w:jc w:val="left"/>
            </w:pPr>
            <w:r/>
            <w:r>
              <w:rPr>
                <w:rFonts w:ascii="Cambria" w:hAnsi="Cambria"/>
                <w:b w:val="0"/>
                <w:i w:val="0"/>
                <w:sz w:val="22"/>
              </w:rPr>
              <w:t>Smart, climate-resilient schools</w:t>
            </w:r>
          </w:p>
        </w:tc>
        <w:tc>
          <w:tcPr>
            <w:tcW w:type="dxa" w:w="1474"/>
            <w:tcW w:w="1474" w:type="dxa"/>
            <w:shd w:val="clear" w:color="auto" w:fill="DCE6F1"/>
          </w:tcPr>
          <w:p>
            <w:pPr>
              <w:jc w:val="left"/>
            </w:pPr>
            <w:r/>
            <w:r>
              <w:rPr>
                <w:rFonts w:ascii="Cambria" w:hAnsi="Cambria"/>
                <w:b w:val="0"/>
                <w:i w:val="0"/>
                <w:sz w:val="22"/>
              </w:rPr>
              <w:t>Digitally connected, safe learning spaces</w:t>
            </w:r>
          </w:p>
        </w:tc>
        <w:tc>
          <w:tcPr>
            <w:tcW w:type="dxa" w:w="2041"/>
            <w:tcW w:w="2041" w:type="dxa"/>
            <w:shd w:val="clear" w:color="auto" w:fill="DCE6F1"/>
          </w:tcPr>
          <w:p>
            <w:pPr>
              <w:jc w:val="left"/>
            </w:pPr>
            <w:r/>
            <w:r>
              <w:rPr>
                <w:rFonts w:ascii="Cambria" w:hAnsi="Cambria"/>
                <w:b w:val="0"/>
                <w:i w:val="0"/>
                <w:sz w:val="22"/>
              </w:rPr>
              <w:t>% of schools with electricity, internet, sanitation; % of schools using ICT in teaching; Student–computer ratio</w:t>
            </w:r>
          </w:p>
        </w:tc>
      </w:tr>
      <w:tr>
        <w:tc>
          <w:tcPr>
            <w:tcW w:type="dxa" w:w="1474"/>
            <w:tcW w:w="1474" w:type="dxa"/>
          </w:tcPr>
          <w:p>
            <w:pPr>
              <w:jc w:val="left"/>
            </w:pPr>
            <w:r/>
            <w:r>
              <w:rPr>
                <w:rFonts w:ascii="Cambria" w:hAnsi="Cambria"/>
                <w:b w:val="0"/>
                <w:i w:val="0"/>
                <w:sz w:val="22"/>
              </w:rPr>
              <w:t>Education for sustainable development</w:t>
            </w:r>
          </w:p>
        </w:tc>
        <w:tc>
          <w:tcPr>
            <w:tcW w:type="dxa" w:w="1474"/>
            <w:tcW w:w="1474" w:type="dxa"/>
          </w:tcPr>
          <w:p>
            <w:pPr>
              <w:jc w:val="left"/>
            </w:pPr>
            <w:r/>
            <w:r>
              <w:rPr>
                <w:rFonts w:ascii="Cambria" w:hAnsi="Cambria"/>
                <w:b w:val="0"/>
                <w:i w:val="0"/>
                <w:sz w:val="22"/>
              </w:rPr>
              <w:t>Integrate SDGs, climate education, human rights into curricula</w:t>
            </w:r>
          </w:p>
        </w:tc>
        <w:tc>
          <w:tcPr>
            <w:tcW w:type="dxa" w:w="1474"/>
            <w:tcW w:w="1474" w:type="dxa"/>
          </w:tcPr>
          <w:p>
            <w:pPr>
              <w:jc w:val="left"/>
            </w:pPr>
            <w:r/>
            <w:r>
              <w:rPr>
                <w:rFonts w:ascii="Cambria" w:hAnsi="Cambria"/>
                <w:b w:val="0"/>
                <w:i w:val="0"/>
                <w:sz w:val="22"/>
              </w:rPr>
              <w:t>Scale experiential learning, interdisciplinary programs</w:t>
            </w:r>
          </w:p>
        </w:tc>
        <w:tc>
          <w:tcPr>
            <w:tcW w:type="dxa" w:w="1474"/>
            <w:tcW w:w="1474" w:type="dxa"/>
          </w:tcPr>
          <w:p>
            <w:pPr>
              <w:jc w:val="left"/>
            </w:pPr>
            <w:r/>
            <w:r>
              <w:rPr>
                <w:rFonts w:ascii="Cambria" w:hAnsi="Cambria"/>
                <w:b w:val="0"/>
                <w:i w:val="0"/>
                <w:sz w:val="22"/>
              </w:rPr>
              <w:t>Global citizenship in higher education &amp; research</w:t>
            </w:r>
          </w:p>
        </w:tc>
        <w:tc>
          <w:tcPr>
            <w:tcW w:type="dxa" w:w="1474"/>
            <w:tcW w:w="1474" w:type="dxa"/>
          </w:tcPr>
          <w:p>
            <w:pPr>
              <w:jc w:val="left"/>
            </w:pPr>
            <w:r/>
            <w:r>
              <w:rPr>
                <w:rFonts w:ascii="Cambria" w:hAnsi="Cambria"/>
                <w:b w:val="0"/>
                <w:i w:val="0"/>
                <w:sz w:val="22"/>
              </w:rPr>
              <w:t>Sustainable, responsible citizens</w:t>
            </w:r>
          </w:p>
        </w:tc>
        <w:tc>
          <w:tcPr>
            <w:tcW w:type="dxa" w:w="2041"/>
            <w:tcW w:w="2041" w:type="dxa"/>
          </w:tcPr>
          <w:p>
            <w:pPr>
              <w:jc w:val="left"/>
            </w:pPr>
            <w:r/>
            <w:r>
              <w:rPr>
                <w:rFonts w:ascii="Cambria" w:hAnsi="Cambria"/>
                <w:b w:val="0"/>
                <w:i w:val="0"/>
                <w:sz w:val="22"/>
              </w:rPr>
              <w:t>% of schools integrating sustainability education; % of students engaged in environmental/community projects; Global Citizenship Education Index</w:t>
            </w:r>
          </w:p>
        </w:tc>
      </w:tr>
      <w:tr>
        <w:tc>
          <w:tcPr>
            <w:tcW w:type="dxa" w:w="1474"/>
            <w:tcW w:w="1474" w:type="dxa"/>
            <w:shd w:val="clear" w:color="auto" w:fill="DCE6F1"/>
          </w:tcPr>
          <w:p>
            <w:pPr>
              <w:jc w:val="left"/>
            </w:pPr>
            <w:r/>
            <w:r>
              <w:rPr>
                <w:rFonts w:ascii="Cambria" w:hAnsi="Cambria"/>
                <w:b w:val="0"/>
                <w:i w:val="0"/>
                <w:sz w:val="22"/>
              </w:rPr>
              <w:t>International collaboration &amp; scholarships</w:t>
            </w:r>
          </w:p>
        </w:tc>
        <w:tc>
          <w:tcPr>
            <w:tcW w:type="dxa" w:w="1474"/>
            <w:tcW w:w="1474" w:type="dxa"/>
            <w:shd w:val="clear" w:color="auto" w:fill="DCE6F1"/>
          </w:tcPr>
          <w:p>
            <w:pPr>
              <w:jc w:val="left"/>
            </w:pPr>
            <w:r/>
            <w:r>
              <w:rPr>
                <w:rFonts w:ascii="Cambria" w:hAnsi="Cambria"/>
                <w:b w:val="0"/>
                <w:i w:val="0"/>
                <w:sz w:val="22"/>
              </w:rPr>
              <w:t>Expand scholarships for low-income countries</w:t>
            </w:r>
          </w:p>
        </w:tc>
        <w:tc>
          <w:tcPr>
            <w:tcW w:type="dxa" w:w="1474"/>
            <w:tcW w:w="1474" w:type="dxa"/>
            <w:shd w:val="clear" w:color="auto" w:fill="DCE6F1"/>
          </w:tcPr>
          <w:p>
            <w:pPr>
              <w:jc w:val="left"/>
            </w:pPr>
            <w:r/>
            <w:r>
              <w:rPr>
                <w:rFonts w:ascii="Cambria" w:hAnsi="Cambria"/>
                <w:b w:val="0"/>
                <w:i w:val="0"/>
                <w:sz w:val="22"/>
              </w:rPr>
              <w:t>Strengthen global networks &amp; exchanges</w:t>
            </w:r>
          </w:p>
        </w:tc>
        <w:tc>
          <w:tcPr>
            <w:tcW w:type="dxa" w:w="1474"/>
            <w:tcW w:w="1474" w:type="dxa"/>
            <w:shd w:val="clear" w:color="auto" w:fill="DCE6F1"/>
          </w:tcPr>
          <w:p>
            <w:pPr>
              <w:jc w:val="left"/>
            </w:pPr>
            <w:r/>
            <w:r>
              <w:rPr>
                <w:rFonts w:ascii="Cambria" w:hAnsi="Cambria"/>
                <w:b w:val="0"/>
                <w:i w:val="0"/>
                <w:sz w:val="22"/>
              </w:rPr>
              <w:t>Sustainable global partnerships</w:t>
            </w:r>
          </w:p>
        </w:tc>
        <w:tc>
          <w:tcPr>
            <w:tcW w:type="dxa" w:w="1474"/>
            <w:tcW w:w="1474" w:type="dxa"/>
            <w:shd w:val="clear" w:color="auto" w:fill="DCE6F1"/>
          </w:tcPr>
          <w:p>
            <w:pPr>
              <w:jc w:val="left"/>
            </w:pPr>
            <w:r/>
            <w:r>
              <w:rPr>
                <w:rFonts w:ascii="Cambria" w:hAnsi="Cambria"/>
                <w:b w:val="0"/>
                <w:i w:val="0"/>
                <w:sz w:val="22"/>
              </w:rPr>
              <w:t>Knowledge sharing, global solidarity</w:t>
            </w:r>
          </w:p>
        </w:tc>
        <w:tc>
          <w:tcPr>
            <w:tcW w:type="dxa" w:w="2041"/>
            <w:tcW w:w="2041" w:type="dxa"/>
            <w:shd w:val="clear" w:color="auto" w:fill="DCE6F1"/>
          </w:tcPr>
          <w:p>
            <w:pPr>
              <w:jc w:val="left"/>
            </w:pPr>
            <w:r/>
            <w:r>
              <w:rPr>
                <w:rFonts w:ascii="Cambria" w:hAnsi="Cambria"/>
                <w:b w:val="0"/>
                <w:i w:val="0"/>
                <w:sz w:val="22"/>
              </w:rPr>
              <w:t>Number of scholarships awarded to developing country students; Number of international academic partnerships; % of students in exchange/mobility programs</w:t>
            </w:r>
          </w:p>
        </w:tc>
      </w:tr>
    </w:tbl>
    <w:p>
      <w:r>
        <w:br w:type="page"/>
      </w:r>
    </w:p>
    <w:p>
      <w:pPr>
        <w:spacing w:before="280" w:after="160"/>
        <w:jc w:val="left"/>
      </w:pPr>
      <w:r>
        <w:rPr>
          <w:rFonts w:ascii="Cambria" w:hAnsi="Cambria"/>
          <w:b/>
          <w:color w:val="1F3A5F"/>
          <w:sz w:val="32"/>
        </w:rPr>
        <w:t>2. United Nations Sustainable Development Goal 4 (Quality Education): Targets and Means of Implementation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850"/>
            <w:shd w:val="clear" w:color="auto" w:fill="1F3A5F"/>
            <w:tcW w:w="850" w:type="dxa"/>
          </w:tcPr>
          <w:p>
            <w:pPr>
              <w:jc w:val="left"/>
            </w:pPr>
            <w:r/>
            <w:r>
              <w:rPr>
                <w:rFonts w:ascii="Cambria" w:hAnsi="Cambria"/>
                <w:b/>
                <w:i w:val="0"/>
                <w:color w:val="FFFFFF"/>
                <w:sz w:val="22"/>
              </w:rPr>
              <w:t>Target No.</w:t>
            </w:r>
          </w:p>
        </w:tc>
        <w:tc>
          <w:tcPr>
            <w:tcW w:type="dxa" w:w="1417"/>
            <w:shd w:val="clear" w:color="auto" w:fill="1F3A5F"/>
            <w:tcW w:w="1417" w:type="dxa"/>
          </w:tcPr>
          <w:p>
            <w:pPr>
              <w:jc w:val="left"/>
            </w:pPr>
            <w:r/>
            <w:r>
              <w:rPr>
                <w:rFonts w:ascii="Cambria" w:hAnsi="Cambria"/>
                <w:b/>
                <w:i w:val="0"/>
                <w:color w:val="FFFFFF"/>
                <w:sz w:val="22"/>
              </w:rPr>
              <w:t>Category</w:t>
            </w:r>
          </w:p>
        </w:tc>
        <w:tc>
          <w:tcPr>
            <w:tcW w:type="dxa" w:w="4309"/>
            <w:shd w:val="clear" w:color="auto" w:fill="1F3A5F"/>
            <w:tcW w:w="4309" w:type="dxa"/>
          </w:tcPr>
          <w:p>
            <w:pPr>
              <w:jc w:val="left"/>
            </w:pPr>
            <w:r/>
            <w:r>
              <w:rPr>
                <w:rFonts w:ascii="Cambria" w:hAnsi="Cambria"/>
                <w:b/>
                <w:i w:val="0"/>
                <w:color w:val="FFFFFF"/>
                <w:sz w:val="22"/>
              </w:rPr>
              <w:t>Official SDG-4 Target Description</w:t>
            </w:r>
          </w:p>
        </w:tc>
        <w:tc>
          <w:tcPr>
            <w:tcW w:type="dxa" w:w="2835"/>
            <w:shd w:val="clear" w:color="auto" w:fill="1F3A5F"/>
            <w:tcW w:w="2835" w:type="dxa"/>
          </w:tcPr>
          <w:p>
            <w:pPr>
              <w:jc w:val="left"/>
            </w:pPr>
            <w:r/>
            <w:r>
              <w:rPr>
                <w:rFonts w:ascii="Cambria" w:hAnsi="Cambria"/>
                <w:b/>
                <w:i w:val="0"/>
                <w:color w:val="FFFFFF"/>
                <w:sz w:val="22"/>
              </w:rPr>
              <w:t>Purpose / Focus Area</w:t>
            </w:r>
          </w:p>
        </w:tc>
      </w:tr>
      <w:tr>
        <w:tc>
          <w:tcPr>
            <w:tcW w:type="dxa" w:w="850"/>
            <w:tcW w:w="850" w:type="dxa"/>
          </w:tcPr>
          <w:p>
            <w:pPr>
              <w:jc w:val="left"/>
            </w:pPr>
            <w:r/>
            <w:r>
              <w:rPr>
                <w:rFonts w:ascii="Cambria" w:hAnsi="Cambria"/>
                <w:b w:val="0"/>
                <w:i w:val="0"/>
                <w:sz w:val="22"/>
              </w:rPr>
              <w:t>4.1</w:t>
            </w:r>
          </w:p>
        </w:tc>
        <w:tc>
          <w:tcPr>
            <w:tcW w:type="dxa" w:w="1417"/>
            <w:tcW w:w="1417" w:type="dxa"/>
          </w:tcPr>
          <w:p>
            <w:pPr>
              <w:jc w:val="left"/>
            </w:pPr>
            <w:r/>
            <w:r>
              <w:rPr>
                <w:rFonts w:ascii="Cambria" w:hAnsi="Cambria"/>
                <w:b w:val="0"/>
                <w:i w:val="0"/>
                <w:sz w:val="22"/>
              </w:rPr>
              <w:t>Core Target</w:t>
            </w:r>
          </w:p>
        </w:tc>
        <w:tc>
          <w:tcPr>
            <w:tcW w:type="dxa" w:w="4309"/>
            <w:tcW w:w="4309" w:type="dxa"/>
          </w:tcPr>
          <w:p>
            <w:pPr>
              <w:jc w:val="left"/>
            </w:pPr>
            <w:r/>
            <w:r>
              <w:rPr>
                <w:rFonts w:ascii="Cambria" w:hAnsi="Cambria"/>
                <w:b w:val="0"/>
                <w:i w:val="0"/>
                <w:sz w:val="22"/>
              </w:rPr>
              <w:t>By 2030, ensure that all girls and boys complete free, equitable, and quality primary and secondary education leading to relevant and effective learning outcomes.</w:t>
            </w:r>
          </w:p>
        </w:tc>
        <w:tc>
          <w:tcPr>
            <w:tcW w:type="dxa" w:w="2835"/>
            <w:tcW w:w="2835" w:type="dxa"/>
          </w:tcPr>
          <w:p>
            <w:pPr>
              <w:jc w:val="left"/>
            </w:pPr>
            <w:r/>
            <w:r>
              <w:rPr>
                <w:rFonts w:ascii="Cambria" w:hAnsi="Cambria"/>
                <w:b w:val="0"/>
                <w:i w:val="0"/>
                <w:sz w:val="22"/>
              </w:rPr>
              <w:t>Guarantees universal access to quality basic education and reduces dropout rates.</w:t>
            </w:r>
          </w:p>
        </w:tc>
      </w:tr>
      <w:tr>
        <w:tc>
          <w:tcPr>
            <w:tcW w:type="dxa" w:w="850"/>
            <w:tcW w:w="850" w:type="dxa"/>
            <w:shd w:val="clear" w:color="auto" w:fill="DCE6F1"/>
          </w:tcPr>
          <w:p>
            <w:pPr>
              <w:jc w:val="left"/>
            </w:pPr>
            <w:r/>
            <w:r>
              <w:rPr>
                <w:rFonts w:ascii="Cambria" w:hAnsi="Cambria"/>
                <w:b w:val="0"/>
                <w:i w:val="0"/>
                <w:sz w:val="22"/>
              </w:rPr>
              <w:t>4.2</w:t>
            </w:r>
          </w:p>
        </w:tc>
        <w:tc>
          <w:tcPr>
            <w:tcW w:type="dxa" w:w="1417"/>
            <w:tcW w:w="1417" w:type="dxa"/>
            <w:shd w:val="clear" w:color="auto" w:fill="DCE6F1"/>
          </w:tcPr>
          <w:p>
            <w:pPr>
              <w:jc w:val="left"/>
            </w:pPr>
            <w:r/>
            <w:r>
              <w:rPr>
                <w:rFonts w:ascii="Cambria" w:hAnsi="Cambria"/>
                <w:b w:val="0"/>
                <w:i w:val="0"/>
                <w:sz w:val="22"/>
              </w:rPr>
              <w:t>Core Target</w:t>
            </w:r>
          </w:p>
        </w:tc>
        <w:tc>
          <w:tcPr>
            <w:tcW w:type="dxa" w:w="4309"/>
            <w:tcW w:w="4309" w:type="dxa"/>
            <w:shd w:val="clear" w:color="auto" w:fill="DCE6F1"/>
          </w:tcPr>
          <w:p>
            <w:pPr>
              <w:jc w:val="left"/>
            </w:pPr>
            <w:r/>
            <w:r>
              <w:rPr>
                <w:rFonts w:ascii="Cambria" w:hAnsi="Cambria"/>
                <w:b w:val="0"/>
                <w:i w:val="0"/>
                <w:sz w:val="22"/>
              </w:rPr>
              <w:t>By 2030, ensure that all girls and boys have access to quality early childhood development, care, and pre-primary education so that they are ready for primary education.</w:t>
            </w:r>
          </w:p>
        </w:tc>
        <w:tc>
          <w:tcPr>
            <w:tcW w:type="dxa" w:w="2835"/>
            <w:tcW w:w="2835" w:type="dxa"/>
            <w:shd w:val="clear" w:color="auto" w:fill="DCE6F1"/>
          </w:tcPr>
          <w:p>
            <w:pPr>
              <w:jc w:val="left"/>
            </w:pPr>
            <w:r/>
            <w:r>
              <w:rPr>
                <w:rFonts w:ascii="Cambria" w:hAnsi="Cambria"/>
                <w:b w:val="0"/>
                <w:i w:val="0"/>
                <w:sz w:val="22"/>
              </w:rPr>
              <w:t>Strengthens early childhood care and foundational learning through pre-primary access.</w:t>
            </w:r>
          </w:p>
        </w:tc>
      </w:tr>
      <w:tr>
        <w:tc>
          <w:tcPr>
            <w:tcW w:type="dxa" w:w="850"/>
            <w:tcW w:w="850" w:type="dxa"/>
          </w:tcPr>
          <w:p>
            <w:pPr>
              <w:jc w:val="left"/>
            </w:pPr>
            <w:r/>
            <w:r>
              <w:rPr>
                <w:rFonts w:ascii="Cambria" w:hAnsi="Cambria"/>
                <w:b w:val="0"/>
                <w:i w:val="0"/>
                <w:sz w:val="22"/>
              </w:rPr>
              <w:t>4.3</w:t>
            </w:r>
          </w:p>
        </w:tc>
        <w:tc>
          <w:tcPr>
            <w:tcW w:type="dxa" w:w="1417"/>
            <w:tcW w:w="1417" w:type="dxa"/>
          </w:tcPr>
          <w:p>
            <w:pPr>
              <w:jc w:val="left"/>
            </w:pPr>
            <w:r/>
            <w:r>
              <w:rPr>
                <w:rFonts w:ascii="Cambria" w:hAnsi="Cambria"/>
                <w:b w:val="0"/>
                <w:i w:val="0"/>
                <w:sz w:val="22"/>
              </w:rPr>
              <w:t>Core Target</w:t>
            </w:r>
          </w:p>
        </w:tc>
        <w:tc>
          <w:tcPr>
            <w:tcW w:type="dxa" w:w="4309"/>
            <w:tcW w:w="4309" w:type="dxa"/>
          </w:tcPr>
          <w:p>
            <w:pPr>
              <w:jc w:val="left"/>
            </w:pPr>
            <w:r/>
            <w:r>
              <w:rPr>
                <w:rFonts w:ascii="Cambria" w:hAnsi="Cambria"/>
                <w:b w:val="0"/>
                <w:i w:val="0"/>
                <w:sz w:val="22"/>
              </w:rPr>
              <w:t>By 2030, ensure equal access for all women and men to affordable and quality technical, vocational, and tertiary education, including university.</w:t>
            </w:r>
          </w:p>
        </w:tc>
        <w:tc>
          <w:tcPr>
            <w:tcW w:type="dxa" w:w="2835"/>
            <w:tcW w:w="2835" w:type="dxa"/>
          </w:tcPr>
          <w:p>
            <w:pPr>
              <w:jc w:val="left"/>
            </w:pPr>
            <w:r/>
            <w:r>
              <w:rPr>
                <w:rFonts w:ascii="Cambria" w:hAnsi="Cambria"/>
                <w:b w:val="0"/>
                <w:i w:val="0"/>
                <w:sz w:val="22"/>
              </w:rPr>
              <w:t>Expands equitable and affordable lifelong learning opportunities at higher and technical levels.</w:t>
            </w:r>
          </w:p>
        </w:tc>
      </w:tr>
      <w:tr>
        <w:tc>
          <w:tcPr>
            <w:tcW w:type="dxa" w:w="850"/>
            <w:tcW w:w="850" w:type="dxa"/>
            <w:shd w:val="clear" w:color="auto" w:fill="DCE6F1"/>
          </w:tcPr>
          <w:p>
            <w:pPr>
              <w:jc w:val="left"/>
            </w:pPr>
            <w:r/>
            <w:r>
              <w:rPr>
                <w:rFonts w:ascii="Cambria" w:hAnsi="Cambria"/>
                <w:b w:val="0"/>
                <w:i w:val="0"/>
                <w:sz w:val="22"/>
              </w:rPr>
              <w:t>4.4</w:t>
            </w:r>
          </w:p>
        </w:tc>
        <w:tc>
          <w:tcPr>
            <w:tcW w:type="dxa" w:w="1417"/>
            <w:tcW w:w="1417" w:type="dxa"/>
            <w:shd w:val="clear" w:color="auto" w:fill="DCE6F1"/>
          </w:tcPr>
          <w:p>
            <w:pPr>
              <w:jc w:val="left"/>
            </w:pPr>
            <w:r/>
            <w:r>
              <w:rPr>
                <w:rFonts w:ascii="Cambria" w:hAnsi="Cambria"/>
                <w:b w:val="0"/>
                <w:i w:val="0"/>
                <w:sz w:val="22"/>
              </w:rPr>
              <w:t>Core Target</w:t>
            </w:r>
          </w:p>
        </w:tc>
        <w:tc>
          <w:tcPr>
            <w:tcW w:type="dxa" w:w="4309"/>
            <w:tcW w:w="4309" w:type="dxa"/>
            <w:shd w:val="clear" w:color="auto" w:fill="DCE6F1"/>
          </w:tcPr>
          <w:p>
            <w:pPr>
              <w:jc w:val="left"/>
            </w:pPr>
            <w:r/>
            <w:r>
              <w:rPr>
                <w:rFonts w:ascii="Cambria" w:hAnsi="Cambria"/>
                <w:b w:val="0"/>
                <w:i w:val="0"/>
                <w:sz w:val="22"/>
              </w:rPr>
              <w:t>By 2030, substantially increase the number of youth and adults who have relevant skills, including technical and vocational skills, for employment, decent jobs, and entrepreneurship.</w:t>
            </w:r>
          </w:p>
        </w:tc>
        <w:tc>
          <w:tcPr>
            <w:tcW w:type="dxa" w:w="2835"/>
            <w:tcW w:w="2835" w:type="dxa"/>
            <w:shd w:val="clear" w:color="auto" w:fill="DCE6F1"/>
          </w:tcPr>
          <w:p>
            <w:pPr>
              <w:jc w:val="left"/>
            </w:pPr>
            <w:r/>
            <w:r>
              <w:rPr>
                <w:rFonts w:ascii="Cambria" w:hAnsi="Cambria"/>
                <w:b w:val="0"/>
                <w:i w:val="0"/>
                <w:sz w:val="22"/>
              </w:rPr>
              <w:t>Develops a skilled, employable, and entrepreneurial workforce for sustainable economies.</w:t>
            </w:r>
          </w:p>
        </w:tc>
      </w:tr>
      <w:tr>
        <w:tc>
          <w:tcPr>
            <w:tcW w:type="dxa" w:w="850"/>
            <w:tcW w:w="850" w:type="dxa"/>
          </w:tcPr>
          <w:p>
            <w:pPr>
              <w:jc w:val="left"/>
            </w:pPr>
            <w:r/>
            <w:r>
              <w:rPr>
                <w:rFonts w:ascii="Cambria" w:hAnsi="Cambria"/>
                <w:b w:val="0"/>
                <w:i w:val="0"/>
                <w:sz w:val="22"/>
              </w:rPr>
              <w:t>4.5</w:t>
            </w:r>
          </w:p>
        </w:tc>
        <w:tc>
          <w:tcPr>
            <w:tcW w:type="dxa" w:w="1417"/>
            <w:tcW w:w="1417" w:type="dxa"/>
          </w:tcPr>
          <w:p>
            <w:pPr>
              <w:jc w:val="left"/>
            </w:pPr>
            <w:r/>
            <w:r>
              <w:rPr>
                <w:rFonts w:ascii="Cambria" w:hAnsi="Cambria"/>
                <w:b w:val="0"/>
                <w:i w:val="0"/>
                <w:sz w:val="22"/>
              </w:rPr>
              <w:t>Core Target</w:t>
            </w:r>
          </w:p>
        </w:tc>
        <w:tc>
          <w:tcPr>
            <w:tcW w:type="dxa" w:w="4309"/>
            <w:tcW w:w="4309" w:type="dxa"/>
          </w:tcPr>
          <w:p>
            <w:pPr>
              <w:jc w:val="left"/>
            </w:pPr>
            <w:r/>
            <w:r>
              <w:rPr>
                <w:rFonts w:ascii="Cambria" w:hAnsi="Cambria"/>
                <w:b w:val="0"/>
                <w:i w:val="0"/>
                <w:sz w:val="22"/>
              </w:rPr>
              <w:t>By 2030, eliminate gender disparities in education and ensure equal access to all levels of education and vocational training for the vulnerable, including persons with disabilities, indigenous peoples, and children in vulnerable situations.</w:t>
            </w:r>
          </w:p>
        </w:tc>
        <w:tc>
          <w:tcPr>
            <w:tcW w:type="dxa" w:w="2835"/>
            <w:tcW w:w="2835" w:type="dxa"/>
          </w:tcPr>
          <w:p>
            <w:pPr>
              <w:jc w:val="left"/>
            </w:pPr>
            <w:r/>
            <w:r>
              <w:rPr>
                <w:rFonts w:ascii="Cambria" w:hAnsi="Cambria"/>
                <w:b w:val="0"/>
                <w:i w:val="0"/>
                <w:sz w:val="22"/>
              </w:rPr>
              <w:t>Promotes inclusion, equity, and nondiscrimination across all education levels.</w:t>
            </w:r>
          </w:p>
        </w:tc>
      </w:tr>
      <w:tr>
        <w:tc>
          <w:tcPr>
            <w:tcW w:type="dxa" w:w="850"/>
            <w:tcW w:w="850" w:type="dxa"/>
            <w:shd w:val="clear" w:color="auto" w:fill="DCE6F1"/>
          </w:tcPr>
          <w:p>
            <w:pPr>
              <w:jc w:val="left"/>
            </w:pPr>
            <w:r/>
            <w:r>
              <w:rPr>
                <w:rFonts w:ascii="Cambria" w:hAnsi="Cambria"/>
                <w:b w:val="0"/>
                <w:i w:val="0"/>
                <w:sz w:val="22"/>
              </w:rPr>
              <w:t>4.6</w:t>
            </w:r>
          </w:p>
        </w:tc>
        <w:tc>
          <w:tcPr>
            <w:tcW w:type="dxa" w:w="1417"/>
            <w:tcW w:w="1417" w:type="dxa"/>
            <w:shd w:val="clear" w:color="auto" w:fill="DCE6F1"/>
          </w:tcPr>
          <w:p>
            <w:pPr>
              <w:jc w:val="left"/>
            </w:pPr>
            <w:r/>
            <w:r>
              <w:rPr>
                <w:rFonts w:ascii="Cambria" w:hAnsi="Cambria"/>
                <w:b w:val="0"/>
                <w:i w:val="0"/>
                <w:sz w:val="22"/>
              </w:rPr>
              <w:t>Core Target</w:t>
            </w:r>
          </w:p>
        </w:tc>
        <w:tc>
          <w:tcPr>
            <w:tcW w:type="dxa" w:w="4309"/>
            <w:tcW w:w="4309" w:type="dxa"/>
            <w:shd w:val="clear" w:color="auto" w:fill="DCE6F1"/>
          </w:tcPr>
          <w:p>
            <w:pPr>
              <w:jc w:val="left"/>
            </w:pPr>
            <w:r/>
            <w:r>
              <w:rPr>
                <w:rFonts w:ascii="Cambria" w:hAnsi="Cambria"/>
                <w:b w:val="0"/>
                <w:i w:val="0"/>
                <w:sz w:val="22"/>
              </w:rPr>
              <w:t>By 2030, ensure that all youth and a substantial proportion of adults, both men and women, achieve literacy and numeracy.</w:t>
            </w:r>
          </w:p>
        </w:tc>
        <w:tc>
          <w:tcPr>
            <w:tcW w:type="dxa" w:w="2835"/>
            <w:tcW w:w="2835" w:type="dxa"/>
            <w:shd w:val="clear" w:color="auto" w:fill="DCE6F1"/>
          </w:tcPr>
          <w:p>
            <w:pPr>
              <w:jc w:val="left"/>
            </w:pPr>
            <w:r/>
            <w:r>
              <w:rPr>
                <w:rFonts w:ascii="Cambria" w:hAnsi="Cambria"/>
                <w:b w:val="0"/>
                <w:i w:val="0"/>
                <w:sz w:val="22"/>
              </w:rPr>
              <w:t>Achieves universal literacy and numeracy through lifelong learning and adult education.</w:t>
            </w:r>
          </w:p>
        </w:tc>
      </w:tr>
      <w:tr>
        <w:tc>
          <w:tcPr>
            <w:tcW w:type="dxa" w:w="850"/>
            <w:tcW w:w="850" w:type="dxa"/>
          </w:tcPr>
          <w:p>
            <w:pPr>
              <w:jc w:val="left"/>
            </w:pPr>
            <w:r/>
            <w:r>
              <w:rPr>
                <w:rFonts w:ascii="Cambria" w:hAnsi="Cambria"/>
                <w:b w:val="0"/>
                <w:i w:val="0"/>
                <w:sz w:val="22"/>
              </w:rPr>
              <w:t>4.7</w:t>
            </w:r>
          </w:p>
        </w:tc>
        <w:tc>
          <w:tcPr>
            <w:tcW w:type="dxa" w:w="1417"/>
            <w:tcW w:w="1417" w:type="dxa"/>
          </w:tcPr>
          <w:p>
            <w:pPr>
              <w:jc w:val="left"/>
            </w:pPr>
            <w:r/>
            <w:r>
              <w:rPr>
                <w:rFonts w:ascii="Cambria" w:hAnsi="Cambria"/>
                <w:b w:val="0"/>
                <w:i w:val="0"/>
                <w:sz w:val="22"/>
              </w:rPr>
              <w:t>Core Target</w:t>
            </w:r>
          </w:p>
        </w:tc>
        <w:tc>
          <w:tcPr>
            <w:tcW w:type="dxa" w:w="4309"/>
            <w:tcW w:w="4309" w:type="dxa"/>
          </w:tcPr>
          <w:p>
            <w:pPr>
              <w:jc w:val="left"/>
            </w:pPr>
            <w:r/>
            <w:r>
              <w:rPr>
                <w:rFonts w:ascii="Cambria" w:hAnsi="Cambria"/>
                <w:b w:val="0"/>
                <w:i w:val="0"/>
                <w:sz w:val="22"/>
              </w:rPr>
              <w:t>By 2030, ensure that all learners acquire the knowledge and skills needed to promote sustainable development, including education for sustainable lifestyles, human rights, gender equality, peace, global citizenship, and appreciation of cultural diversity.</w:t>
            </w:r>
          </w:p>
        </w:tc>
        <w:tc>
          <w:tcPr>
            <w:tcW w:type="dxa" w:w="2835"/>
            <w:tcW w:w="2835" w:type="dxa"/>
          </w:tcPr>
          <w:p>
            <w:pPr>
              <w:jc w:val="left"/>
            </w:pPr>
            <w:r/>
            <w:r>
              <w:rPr>
                <w:rFonts w:ascii="Cambria" w:hAnsi="Cambria"/>
                <w:b w:val="0"/>
                <w:i w:val="0"/>
                <w:sz w:val="22"/>
              </w:rPr>
              <w:t>Embeds education for sustainable development (ESD) and global citizenship across learning systems.</w:t>
            </w:r>
          </w:p>
        </w:tc>
      </w:tr>
      <w:tr>
        <w:tc>
          <w:tcPr>
            <w:tcW w:type="dxa" w:w="850"/>
            <w:tcW w:w="850" w:type="dxa"/>
            <w:shd w:val="clear" w:color="auto" w:fill="DCE6F1"/>
          </w:tcPr>
          <w:p>
            <w:pPr>
              <w:jc w:val="left"/>
            </w:pPr>
            <w:r/>
            <w:r>
              <w:rPr>
                <w:rFonts w:ascii="Cambria" w:hAnsi="Cambria"/>
                <w:b w:val="0"/>
                <w:i w:val="0"/>
                <w:sz w:val="22"/>
              </w:rPr>
              <w:t>4.A</w:t>
            </w:r>
          </w:p>
        </w:tc>
        <w:tc>
          <w:tcPr>
            <w:tcW w:type="dxa" w:w="1417"/>
            <w:tcW w:w="1417" w:type="dxa"/>
            <w:shd w:val="clear" w:color="auto" w:fill="DCE6F1"/>
          </w:tcPr>
          <w:p>
            <w:pPr>
              <w:jc w:val="left"/>
            </w:pPr>
            <w:r/>
            <w:r>
              <w:rPr>
                <w:rFonts w:ascii="Cambria" w:hAnsi="Cambria"/>
                <w:b w:val="0"/>
                <w:i w:val="0"/>
                <w:sz w:val="22"/>
              </w:rPr>
              <w:t>Means of Implementation</w:t>
            </w:r>
          </w:p>
        </w:tc>
        <w:tc>
          <w:tcPr>
            <w:tcW w:type="dxa" w:w="4309"/>
            <w:tcW w:w="4309" w:type="dxa"/>
            <w:shd w:val="clear" w:color="auto" w:fill="DCE6F1"/>
          </w:tcPr>
          <w:p>
            <w:pPr>
              <w:jc w:val="left"/>
            </w:pPr>
            <w:r/>
            <w:r>
              <w:rPr>
                <w:rFonts w:ascii="Cambria" w:hAnsi="Cambria"/>
                <w:b w:val="0"/>
                <w:i w:val="0"/>
                <w:sz w:val="22"/>
              </w:rPr>
              <w:t>Build and upgrade education facilities that are child-, disability-, and gender-sensitive and provide safe, non-violent, inclusive, and effective learning environments for all.</w:t>
            </w:r>
          </w:p>
        </w:tc>
        <w:tc>
          <w:tcPr>
            <w:tcW w:type="dxa" w:w="2835"/>
            <w:tcW w:w="2835" w:type="dxa"/>
            <w:shd w:val="clear" w:color="auto" w:fill="DCE6F1"/>
          </w:tcPr>
          <w:p>
            <w:pPr>
              <w:jc w:val="left"/>
            </w:pPr>
            <w:r/>
            <w:r>
              <w:rPr>
                <w:rFonts w:ascii="Cambria" w:hAnsi="Cambria"/>
                <w:b w:val="0"/>
                <w:i w:val="0"/>
                <w:sz w:val="22"/>
              </w:rPr>
              <w:t>Focuses on infrastructure, accessibility, and safety standards in all learning spaces.</w:t>
            </w:r>
          </w:p>
        </w:tc>
      </w:tr>
      <w:tr>
        <w:tc>
          <w:tcPr>
            <w:tcW w:type="dxa" w:w="850"/>
            <w:tcW w:w="850" w:type="dxa"/>
          </w:tcPr>
          <w:p>
            <w:pPr>
              <w:jc w:val="left"/>
            </w:pPr>
            <w:r/>
            <w:r>
              <w:rPr>
                <w:rFonts w:ascii="Cambria" w:hAnsi="Cambria"/>
                <w:b w:val="0"/>
                <w:i w:val="0"/>
                <w:sz w:val="22"/>
              </w:rPr>
              <w:t>4.B</w:t>
            </w:r>
          </w:p>
        </w:tc>
        <w:tc>
          <w:tcPr>
            <w:tcW w:type="dxa" w:w="1417"/>
            <w:tcW w:w="1417" w:type="dxa"/>
          </w:tcPr>
          <w:p>
            <w:pPr>
              <w:jc w:val="left"/>
            </w:pPr>
            <w:r/>
            <w:r>
              <w:rPr>
                <w:rFonts w:ascii="Cambria" w:hAnsi="Cambria"/>
                <w:b w:val="0"/>
                <w:i w:val="0"/>
                <w:sz w:val="22"/>
              </w:rPr>
              <w:t>Means of Implementation</w:t>
            </w:r>
          </w:p>
        </w:tc>
        <w:tc>
          <w:tcPr>
            <w:tcW w:type="dxa" w:w="4309"/>
            <w:tcW w:w="4309" w:type="dxa"/>
          </w:tcPr>
          <w:p>
            <w:pPr>
              <w:jc w:val="left"/>
            </w:pPr>
            <w:r/>
            <w:r>
              <w:rPr>
                <w:rFonts w:ascii="Cambria" w:hAnsi="Cambria"/>
                <w:b w:val="0"/>
                <w:i w:val="0"/>
                <w:sz w:val="22"/>
              </w:rPr>
              <w:t>By 2030, substantially expand globally the number of scholarships available to developing countries—particularly least developed countries, small island developing states, and African nations—for higher education and vocational training in developed and developing countries.</w:t>
            </w:r>
          </w:p>
        </w:tc>
        <w:tc>
          <w:tcPr>
            <w:tcW w:type="dxa" w:w="2835"/>
            <w:tcW w:w="2835" w:type="dxa"/>
          </w:tcPr>
          <w:p>
            <w:pPr>
              <w:jc w:val="left"/>
            </w:pPr>
            <w:r/>
            <w:r>
              <w:rPr>
                <w:rFonts w:ascii="Cambria" w:hAnsi="Cambria"/>
                <w:b w:val="0"/>
                <w:i w:val="0"/>
                <w:sz w:val="22"/>
              </w:rPr>
              <w:t>Expands international scholarships and educational cooperation, promoting global academic mobility.</w:t>
            </w:r>
          </w:p>
        </w:tc>
      </w:tr>
      <w:tr>
        <w:tc>
          <w:tcPr>
            <w:tcW w:type="dxa" w:w="850"/>
            <w:tcW w:w="850" w:type="dxa"/>
            <w:shd w:val="clear" w:color="auto" w:fill="DCE6F1"/>
          </w:tcPr>
          <w:p>
            <w:pPr>
              <w:jc w:val="left"/>
            </w:pPr>
            <w:r/>
            <w:r>
              <w:rPr>
                <w:rFonts w:ascii="Cambria" w:hAnsi="Cambria"/>
                <w:b w:val="0"/>
                <w:i w:val="0"/>
                <w:sz w:val="22"/>
              </w:rPr>
              <w:t>4.C</w:t>
            </w:r>
          </w:p>
        </w:tc>
        <w:tc>
          <w:tcPr>
            <w:tcW w:type="dxa" w:w="1417"/>
            <w:tcW w:w="1417" w:type="dxa"/>
            <w:shd w:val="clear" w:color="auto" w:fill="DCE6F1"/>
          </w:tcPr>
          <w:p>
            <w:pPr>
              <w:jc w:val="left"/>
            </w:pPr>
            <w:r/>
            <w:r>
              <w:rPr>
                <w:rFonts w:ascii="Cambria" w:hAnsi="Cambria"/>
                <w:b w:val="0"/>
                <w:i w:val="0"/>
                <w:sz w:val="22"/>
              </w:rPr>
              <w:t>Means of Implementation</w:t>
            </w:r>
          </w:p>
        </w:tc>
        <w:tc>
          <w:tcPr>
            <w:tcW w:type="dxa" w:w="4309"/>
            <w:tcW w:w="4309" w:type="dxa"/>
            <w:shd w:val="clear" w:color="auto" w:fill="DCE6F1"/>
          </w:tcPr>
          <w:p>
            <w:pPr>
              <w:jc w:val="left"/>
            </w:pPr>
            <w:r/>
            <w:r>
              <w:rPr>
                <w:rFonts w:ascii="Cambria" w:hAnsi="Cambria"/>
                <w:b w:val="0"/>
                <w:i w:val="0"/>
                <w:sz w:val="22"/>
              </w:rPr>
              <w:t>By 2030, substantially increase the supply of qualified teachers, including through international cooperation for teacher training in developing countries, especially least developed countries and small island developing states.</w:t>
            </w:r>
          </w:p>
        </w:tc>
        <w:tc>
          <w:tcPr>
            <w:tcW w:type="dxa" w:w="2835"/>
            <w:tcW w:w="2835" w:type="dxa"/>
            <w:shd w:val="clear" w:color="auto" w:fill="DCE6F1"/>
          </w:tcPr>
          <w:p>
            <w:pPr>
              <w:jc w:val="left"/>
            </w:pPr>
            <w:r/>
            <w:r>
              <w:rPr>
                <w:rFonts w:ascii="Cambria" w:hAnsi="Cambria"/>
                <w:b w:val="0"/>
                <w:i w:val="0"/>
                <w:sz w:val="22"/>
              </w:rPr>
              <w:t>Strengthens teacher capacity and global cooperation for quality education delivery.</w:t>
            </w:r>
          </w:p>
        </w:tc>
      </w:tr>
    </w:tbl>
    <w:p>
      <w:pPr>
        <w:spacing w:after="120"/>
        <w:jc w:val="both"/>
      </w:pPr>
      <w:r>
        <w:rPr>
          <w:rFonts w:ascii="Cambria" w:hAnsi="Cambria"/>
          <w:b/>
          <w:i w:val="0"/>
          <w:sz w:val="22"/>
        </w:rPr>
        <w:t>Summary Overview</w:t>
      </w:r>
    </w:p>
    <w:p>
      <w:pPr>
        <w:pStyle w:val="ListBullet"/>
        <w:ind w:left="357"/>
        <w:jc w:val="both"/>
      </w:pPr>
      <w:r>
        <w:rPr>
          <w:rFonts w:ascii="Cambria" w:hAnsi="Cambria"/>
          <w:b/>
          <w:sz w:val="22"/>
        </w:rPr>
        <w:t xml:space="preserve">Core Targets (4.1 – 4.7): </w:t>
      </w:r>
      <w:r>
        <w:rPr>
          <w:rFonts w:ascii="Cambria" w:hAnsi="Cambria"/>
          <w:sz w:val="22"/>
        </w:rPr>
        <w:t>Focus on ensuring access, equity, quality, and relevance across all stages of education — from early childhood to adult learning — while integrating sustainability, equality, and global citizenship.</w:t>
      </w:r>
    </w:p>
    <w:p>
      <w:pPr>
        <w:pStyle w:val="ListBullet"/>
        <w:ind w:left="357"/>
        <w:jc w:val="both"/>
      </w:pPr>
      <w:r>
        <w:rPr>
          <w:rFonts w:ascii="Cambria" w:hAnsi="Cambria"/>
          <w:b/>
          <w:sz w:val="22"/>
        </w:rPr>
        <w:t xml:space="preserve">Means of Implementation (4.A – 4.C): </w:t>
      </w:r>
      <w:r>
        <w:rPr>
          <w:rFonts w:ascii="Cambria" w:hAnsi="Cambria"/>
          <w:sz w:val="22"/>
        </w:rPr>
        <w:t xml:space="preserve">Emphasize infrastructure, international scholarships, and teacher development as enabling conditions for achieving SDG-4's overarching goal of </w:t>
      </w:r>
      <w:r>
        <w:rPr>
          <w:rFonts w:ascii="Cambria" w:hAnsi="Cambria"/>
          <w:i/>
          <w:sz w:val="22"/>
        </w:rPr>
        <w:t>inclusive and equitable quality education for all</w:t>
      </w:r>
      <w:r>
        <w:rPr>
          <w:rFonts w:ascii="Cambria" w:hAnsi="Cambria"/>
          <w:sz w:val="22"/>
        </w:rPr>
        <w:t>.</w:t>
      </w:r>
    </w:p>
    <w:p>
      <w:r>
        <w:br w:type="page"/>
      </w:r>
    </w:p>
    <w:p>
      <w:pPr>
        <w:spacing w:before="280" w:after="160"/>
        <w:jc w:val="left"/>
      </w:pPr>
      <w:r>
        <w:rPr>
          <w:rFonts w:ascii="Cambria" w:hAnsi="Cambria"/>
          <w:b/>
          <w:color w:val="1F3A5F"/>
          <w:sz w:val="32"/>
        </w:rPr>
        <w:t>3. India's Progress Against SDG-4 Targets in Alignment with NEP-2020</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814"/>
            <w:shd w:val="clear" w:color="auto" w:fill="1F3A5F"/>
            <w:tcW w:w="1814" w:type="dxa"/>
          </w:tcPr>
          <w:p>
            <w:pPr>
              <w:jc w:val="left"/>
            </w:pPr>
            <w:r/>
            <w:r>
              <w:rPr>
                <w:rFonts w:ascii="Cambria" w:hAnsi="Cambria"/>
                <w:b/>
                <w:i w:val="0"/>
                <w:color w:val="FFFFFF"/>
                <w:sz w:val="22"/>
              </w:rPr>
              <w:t>SDG-4 Target</w:t>
            </w:r>
          </w:p>
        </w:tc>
        <w:tc>
          <w:tcPr>
            <w:tcW w:type="dxa" w:w="1814"/>
            <w:shd w:val="clear" w:color="auto" w:fill="1F3A5F"/>
            <w:tcW w:w="1814" w:type="dxa"/>
          </w:tcPr>
          <w:p>
            <w:pPr>
              <w:jc w:val="left"/>
            </w:pPr>
            <w:r/>
            <w:r>
              <w:rPr>
                <w:rFonts w:ascii="Cambria" w:hAnsi="Cambria"/>
                <w:b/>
                <w:i w:val="0"/>
                <w:color w:val="FFFFFF"/>
                <w:sz w:val="22"/>
              </w:rPr>
              <w:t>Programme / Policy Initiative</w:t>
            </w:r>
          </w:p>
        </w:tc>
        <w:tc>
          <w:tcPr>
            <w:tcW w:type="dxa" w:w="3742"/>
            <w:shd w:val="clear" w:color="auto" w:fill="1F3A5F"/>
            <w:tcW w:w="3742" w:type="dxa"/>
          </w:tcPr>
          <w:p>
            <w:pPr>
              <w:jc w:val="left"/>
            </w:pPr>
            <w:r/>
            <w:r>
              <w:rPr>
                <w:rFonts w:ascii="Cambria" w:hAnsi="Cambria"/>
                <w:b/>
                <w:i w:val="0"/>
                <w:color w:val="FFFFFF"/>
                <w:sz w:val="22"/>
              </w:rPr>
              <w:t>Description and NEP-2020 Alignment</w:t>
            </w:r>
          </w:p>
        </w:tc>
        <w:tc>
          <w:tcPr>
            <w:tcW w:type="dxa" w:w="2041"/>
            <w:shd w:val="clear" w:color="auto" w:fill="1F3A5F"/>
            <w:tcW w:w="2041" w:type="dxa"/>
          </w:tcPr>
          <w:p>
            <w:pPr>
              <w:jc w:val="left"/>
            </w:pPr>
            <w:r/>
            <w:r>
              <w:rPr>
                <w:rFonts w:ascii="Cambria" w:hAnsi="Cambria"/>
                <w:b/>
                <w:i w:val="0"/>
                <w:color w:val="FFFFFF"/>
                <w:sz w:val="22"/>
              </w:rPr>
              <w:t>Expected Impact / Outcome</w:t>
            </w:r>
          </w:p>
        </w:tc>
      </w:tr>
      <w:tr>
        <w:tc>
          <w:tcPr>
            <w:tcW w:type="dxa" w:w="1814"/>
            <w:tcW w:w="1814" w:type="dxa"/>
          </w:tcPr>
          <w:p>
            <w:pPr>
              <w:jc w:val="left"/>
            </w:pPr>
            <w:r/>
            <w:r>
              <w:rPr>
                <w:rFonts w:ascii="Cambria" w:hAnsi="Cambria"/>
                <w:b w:val="0"/>
                <w:i w:val="0"/>
                <w:sz w:val="22"/>
              </w:rPr>
              <w:t>4.2 – Equal Access to Quality Pre-Primary Education</w:t>
            </w:r>
          </w:p>
        </w:tc>
        <w:tc>
          <w:tcPr>
            <w:tcW w:type="dxa" w:w="1814"/>
            <w:tcW w:w="1814" w:type="dxa"/>
          </w:tcPr>
          <w:p>
            <w:pPr>
              <w:jc w:val="left"/>
            </w:pPr>
            <w:r/>
            <w:r>
              <w:rPr>
                <w:rFonts w:ascii="Cambria" w:hAnsi="Cambria"/>
                <w:b w:val="0"/>
                <w:i w:val="0"/>
                <w:sz w:val="22"/>
              </w:rPr>
              <w:t>Early Childhood Care and Education (ECCE) Reform &amp; Anganwadi Strengthening</w:t>
            </w:r>
          </w:p>
        </w:tc>
        <w:tc>
          <w:tcPr>
            <w:tcW w:type="dxa" w:w="3742"/>
            <w:tcW w:w="3742" w:type="dxa"/>
          </w:tcPr>
          <w:p>
            <w:pPr>
              <w:jc w:val="left"/>
            </w:pPr>
            <w:r/>
            <w:r>
              <w:rPr>
                <w:rFonts w:ascii="Cambria" w:hAnsi="Cambria"/>
                <w:b w:val="0"/>
                <w:i w:val="0"/>
                <w:sz w:val="22"/>
              </w:rPr>
              <w:t>NEP-2020 places strong emphasis on ages 3–6, integrating pre-primary learning with Anganwadis and preschools. It introduces a Gender Inclusion Fund (GIF) and disability-support mechanisms for equitable access.</w:t>
            </w:r>
          </w:p>
        </w:tc>
        <w:tc>
          <w:tcPr>
            <w:tcW w:type="dxa" w:w="2041"/>
            <w:tcW w:w="2041" w:type="dxa"/>
          </w:tcPr>
          <w:p>
            <w:pPr>
              <w:jc w:val="left"/>
            </w:pPr>
            <w:r/>
            <w:r>
              <w:rPr>
                <w:rFonts w:ascii="Cambria" w:hAnsi="Cambria"/>
                <w:b w:val="0"/>
                <w:i w:val="0"/>
                <w:sz w:val="22"/>
              </w:rPr>
              <w:t>Strengthens foundational literacy and numeracy, increases enrolment in preschool education, ensures inclusion of girls and differently-abled children.</w:t>
            </w:r>
          </w:p>
        </w:tc>
      </w:tr>
      <w:tr>
        <w:tc>
          <w:tcPr>
            <w:tcW w:type="dxa" w:w="1814"/>
            <w:tcW w:w="1814" w:type="dxa"/>
            <w:shd w:val="clear" w:color="auto" w:fill="DCE6F1"/>
          </w:tcPr>
          <w:p>
            <w:pPr>
              <w:jc w:val="left"/>
            </w:pPr>
            <w:r/>
            <w:r>
              <w:rPr>
                <w:rFonts w:ascii="Cambria" w:hAnsi="Cambria"/>
                <w:b w:val="0"/>
                <w:i w:val="0"/>
                <w:sz w:val="22"/>
              </w:rPr>
              <w:t>4.3 – Equal Access to Affordable Technical and Vocational Education</w:t>
            </w:r>
          </w:p>
        </w:tc>
        <w:tc>
          <w:tcPr>
            <w:tcW w:type="dxa" w:w="1814"/>
            <w:tcW w:w="1814" w:type="dxa"/>
            <w:shd w:val="clear" w:color="auto" w:fill="DCE6F1"/>
          </w:tcPr>
          <w:p>
            <w:pPr>
              <w:jc w:val="left"/>
            </w:pPr>
            <w:r/>
            <w:r>
              <w:rPr>
                <w:rFonts w:ascii="Cambria" w:hAnsi="Cambria"/>
                <w:b w:val="0"/>
                <w:i w:val="0"/>
                <w:sz w:val="22"/>
              </w:rPr>
              <w:t>Vocational Education from Grade 6 &amp; National Education Technology Forum (NETF)</w:t>
            </w:r>
          </w:p>
        </w:tc>
        <w:tc>
          <w:tcPr>
            <w:tcW w:type="dxa" w:w="3742"/>
            <w:tcW w:w="3742" w:type="dxa"/>
            <w:shd w:val="clear" w:color="auto" w:fill="DCE6F1"/>
          </w:tcPr>
          <w:p>
            <w:pPr>
              <w:jc w:val="left"/>
            </w:pPr>
            <w:r/>
            <w:r>
              <w:rPr>
                <w:rFonts w:ascii="Cambria" w:hAnsi="Cambria"/>
                <w:b w:val="0"/>
                <w:i w:val="0"/>
                <w:sz w:val="22"/>
              </w:rPr>
              <w:t>NEP-2020 recommends coding, design, and vocational skills starting from Grade 6. The NETF is being established to guide digital pedagogy and foster collaboration between government, industry, and academia.</w:t>
            </w:r>
          </w:p>
        </w:tc>
        <w:tc>
          <w:tcPr>
            <w:tcW w:type="dxa" w:w="2041"/>
            <w:tcW w:w="2041" w:type="dxa"/>
            <w:shd w:val="clear" w:color="auto" w:fill="DCE6F1"/>
          </w:tcPr>
          <w:p>
            <w:pPr>
              <w:jc w:val="left"/>
            </w:pPr>
            <w:r/>
            <w:r>
              <w:rPr>
                <w:rFonts w:ascii="Cambria" w:hAnsi="Cambria"/>
                <w:b w:val="0"/>
                <w:i w:val="0"/>
                <w:sz w:val="22"/>
              </w:rPr>
              <w:t>Builds a future-ready workforce with digital fluency and early exposure to technical education; bridges industry–education gaps.</w:t>
            </w:r>
          </w:p>
        </w:tc>
      </w:tr>
      <w:tr>
        <w:tc>
          <w:tcPr>
            <w:tcW w:type="dxa" w:w="1814"/>
            <w:tcW w:w="1814" w:type="dxa"/>
          </w:tcPr>
          <w:p>
            <w:pPr>
              <w:jc w:val="left"/>
            </w:pPr>
            <w:r/>
            <w:r>
              <w:rPr>
                <w:rFonts w:ascii="Cambria" w:hAnsi="Cambria"/>
                <w:b w:val="0"/>
                <w:i w:val="0"/>
                <w:sz w:val="22"/>
              </w:rPr>
              <w:t>4.4 – Relevant Skills for Employment and Entrepreneurship</w:t>
            </w:r>
          </w:p>
        </w:tc>
        <w:tc>
          <w:tcPr>
            <w:tcW w:type="dxa" w:w="1814"/>
            <w:tcW w:w="1814" w:type="dxa"/>
          </w:tcPr>
          <w:p>
            <w:pPr>
              <w:jc w:val="left"/>
            </w:pPr>
            <w:r/>
            <w:r>
              <w:rPr>
                <w:rFonts w:ascii="Cambria" w:hAnsi="Cambria"/>
                <w:b w:val="0"/>
                <w:i w:val="0"/>
                <w:sz w:val="22"/>
              </w:rPr>
              <w:t>5 + 3 + 3 + 4 Structural Reform &amp; Academic Bank of Credits (ABC)</w:t>
            </w:r>
          </w:p>
        </w:tc>
        <w:tc>
          <w:tcPr>
            <w:tcW w:type="dxa" w:w="3742"/>
            <w:tcW w:w="3742" w:type="dxa"/>
          </w:tcPr>
          <w:p>
            <w:pPr>
              <w:jc w:val="left"/>
            </w:pPr>
            <w:r/>
            <w:r>
              <w:rPr>
                <w:rFonts w:ascii="Cambria" w:hAnsi="Cambria"/>
                <w:b w:val="0"/>
                <w:i w:val="0"/>
                <w:sz w:val="22"/>
              </w:rPr>
              <w:t>The 10 + 2 structure is replaced with 5 + 3 + 3 + 4, offering multiple entry–exit points and credit portability via the ABC. Enables flexibility in pursuing higher education and professional skills.</w:t>
            </w:r>
          </w:p>
        </w:tc>
        <w:tc>
          <w:tcPr>
            <w:tcW w:type="dxa" w:w="2041"/>
            <w:tcW w:w="2041" w:type="dxa"/>
          </w:tcPr>
          <w:p>
            <w:pPr>
              <w:jc w:val="left"/>
            </w:pPr>
            <w:r/>
            <w:r>
              <w:rPr>
                <w:rFonts w:ascii="Cambria" w:hAnsi="Cambria"/>
                <w:b w:val="0"/>
                <w:i w:val="0"/>
                <w:sz w:val="22"/>
              </w:rPr>
              <w:t>Enhances lifelong learning, improves career mobility, aligns Indian higher education with global credit systems; fosters entrepreneurship and employability.</w:t>
            </w:r>
          </w:p>
        </w:tc>
      </w:tr>
      <w:tr>
        <w:tc>
          <w:tcPr>
            <w:tcW w:type="dxa" w:w="1814"/>
            <w:tcW w:w="1814" w:type="dxa"/>
            <w:shd w:val="clear" w:color="auto" w:fill="DCE6F1"/>
          </w:tcPr>
          <w:p>
            <w:pPr>
              <w:jc w:val="left"/>
            </w:pPr>
            <w:r/>
            <w:r>
              <w:rPr>
                <w:rFonts w:ascii="Cambria" w:hAnsi="Cambria"/>
                <w:b w:val="0"/>
                <w:i w:val="0"/>
                <w:sz w:val="22"/>
              </w:rPr>
              <w:t>4.5 – Eliminate Discrimination in Education</w:t>
            </w:r>
          </w:p>
        </w:tc>
        <w:tc>
          <w:tcPr>
            <w:tcW w:type="dxa" w:w="1814"/>
            <w:tcW w:w="1814" w:type="dxa"/>
            <w:shd w:val="clear" w:color="auto" w:fill="DCE6F1"/>
          </w:tcPr>
          <w:p>
            <w:pPr>
              <w:jc w:val="left"/>
            </w:pPr>
            <w:r/>
            <w:r>
              <w:rPr>
                <w:rFonts w:ascii="Cambria" w:hAnsi="Cambria"/>
                <w:b w:val="0"/>
                <w:i w:val="0"/>
                <w:sz w:val="22"/>
              </w:rPr>
              <w:t>Digital Inclusion and Equity Initiatives (MoE &amp; UGC)</w:t>
            </w:r>
          </w:p>
        </w:tc>
        <w:tc>
          <w:tcPr>
            <w:tcW w:type="dxa" w:w="3742"/>
            <w:tcW w:w="3742" w:type="dxa"/>
            <w:shd w:val="clear" w:color="auto" w:fill="DCE6F1"/>
          </w:tcPr>
          <w:p>
            <w:pPr>
              <w:jc w:val="left"/>
            </w:pPr>
            <w:r/>
            <w:r>
              <w:rPr>
                <w:rFonts w:ascii="Cambria" w:hAnsi="Cambria"/>
                <w:b w:val="0"/>
                <w:i w:val="0"/>
                <w:sz w:val="22"/>
              </w:rPr>
              <w:t>NEP-2020 introduces measures to bridge the digital divide—a new unit focuses on e-learning infrastructure, digital capacity building, and equitable access to electricity and internet.</w:t>
            </w:r>
          </w:p>
        </w:tc>
        <w:tc>
          <w:tcPr>
            <w:tcW w:type="dxa" w:w="2041"/>
            <w:tcW w:w="2041" w:type="dxa"/>
            <w:shd w:val="clear" w:color="auto" w:fill="DCE6F1"/>
          </w:tcPr>
          <w:p>
            <w:pPr>
              <w:jc w:val="left"/>
            </w:pPr>
            <w:r/>
            <w:r>
              <w:rPr>
                <w:rFonts w:ascii="Cambria" w:hAnsi="Cambria"/>
                <w:b w:val="0"/>
                <w:i w:val="0"/>
                <w:sz w:val="22"/>
              </w:rPr>
              <w:t>Promotes inclusive digital education; reduces learning inequity across rural–urban and gender divides; strengthens social justice.</w:t>
            </w:r>
          </w:p>
        </w:tc>
      </w:tr>
      <w:tr>
        <w:tc>
          <w:tcPr>
            <w:tcW w:type="dxa" w:w="1814"/>
            <w:tcW w:w="1814" w:type="dxa"/>
          </w:tcPr>
          <w:p>
            <w:pPr>
              <w:jc w:val="left"/>
            </w:pPr>
            <w:r/>
            <w:r>
              <w:rPr>
                <w:rFonts w:ascii="Cambria" w:hAnsi="Cambria"/>
                <w:b w:val="0"/>
                <w:i w:val="0"/>
                <w:sz w:val="22"/>
              </w:rPr>
              <w:t>4.6 – Universal Literacy and Numeracy</w:t>
            </w:r>
          </w:p>
        </w:tc>
        <w:tc>
          <w:tcPr>
            <w:tcW w:type="dxa" w:w="1814"/>
            <w:tcW w:w="1814" w:type="dxa"/>
          </w:tcPr>
          <w:p>
            <w:pPr>
              <w:jc w:val="left"/>
            </w:pPr>
            <w:r/>
            <w:r>
              <w:rPr>
                <w:rFonts w:ascii="Cambria" w:hAnsi="Cambria"/>
                <w:b w:val="0"/>
                <w:i w:val="0"/>
                <w:sz w:val="22"/>
              </w:rPr>
              <w:t>New India Literacy Programme (2022–27) &amp; NIPUN Bharat Mission (2021)</w:t>
            </w:r>
          </w:p>
        </w:tc>
        <w:tc>
          <w:tcPr>
            <w:tcW w:type="dxa" w:w="3742"/>
            <w:tcW w:w="3742" w:type="dxa"/>
          </w:tcPr>
          <w:p>
            <w:pPr>
              <w:jc w:val="left"/>
            </w:pPr>
            <w:r/>
            <w:r>
              <w:rPr>
                <w:rFonts w:ascii="Cambria" w:hAnsi="Cambria"/>
                <w:b w:val="0"/>
                <w:i w:val="0"/>
                <w:sz w:val="22"/>
              </w:rPr>
              <w:t>The New India Literacy Programme covers adult literacy aligned with NEP-2020's “Education for All.” NIPUN Bharat aims to ensure all children achieve foundational reading and numeracy by 2026–27.</w:t>
            </w:r>
          </w:p>
        </w:tc>
        <w:tc>
          <w:tcPr>
            <w:tcW w:type="dxa" w:w="2041"/>
            <w:tcW w:w="2041" w:type="dxa"/>
          </w:tcPr>
          <w:p>
            <w:pPr>
              <w:jc w:val="left"/>
            </w:pPr>
            <w:r/>
            <w:r>
              <w:rPr>
                <w:rFonts w:ascii="Cambria" w:hAnsi="Cambria"/>
                <w:b w:val="0"/>
                <w:i w:val="0"/>
                <w:sz w:val="22"/>
              </w:rPr>
              <w:t>Accelerates literacy among youth and adults; institutionalizes Foundational Literacy and Numeracy (FLN) as a national priority.</w:t>
            </w:r>
          </w:p>
        </w:tc>
      </w:tr>
      <w:tr>
        <w:tc>
          <w:tcPr>
            <w:tcW w:type="dxa" w:w="1814"/>
            <w:tcW w:w="1814" w:type="dxa"/>
            <w:shd w:val="clear" w:color="auto" w:fill="DCE6F1"/>
          </w:tcPr>
          <w:p>
            <w:pPr>
              <w:jc w:val="left"/>
            </w:pPr>
            <w:r/>
            <w:r>
              <w:rPr>
                <w:rFonts w:ascii="Cambria" w:hAnsi="Cambria"/>
                <w:b w:val="0"/>
                <w:i w:val="0"/>
                <w:sz w:val="22"/>
              </w:rPr>
            </w:r>
          </w:p>
        </w:tc>
        <w:tc>
          <w:tcPr>
            <w:tcW w:type="dxa" w:w="1814"/>
            <w:tcW w:w="1814" w:type="dxa"/>
            <w:shd w:val="clear" w:color="auto" w:fill="DCE6F1"/>
          </w:tcPr>
          <w:p>
            <w:pPr>
              <w:jc w:val="left"/>
            </w:pPr>
            <w:r/>
            <w:r>
              <w:rPr>
                <w:rFonts w:ascii="Cambria" w:hAnsi="Cambria"/>
                <w:b w:val="0"/>
                <w:i w:val="0"/>
                <w:sz w:val="22"/>
              </w:rPr>
              <w:t>Foundational Learning Study (FLS 2022)</w:t>
            </w:r>
          </w:p>
        </w:tc>
        <w:tc>
          <w:tcPr>
            <w:tcW w:type="dxa" w:w="3742"/>
            <w:tcW w:w="3742" w:type="dxa"/>
            <w:shd w:val="clear" w:color="auto" w:fill="DCE6F1"/>
          </w:tcPr>
          <w:p>
            <w:pPr>
              <w:jc w:val="left"/>
            </w:pPr>
            <w:r/>
            <w:r>
              <w:rPr>
                <w:rFonts w:ascii="Cambria" w:hAnsi="Cambria"/>
                <w:b w:val="0"/>
                <w:i w:val="0"/>
                <w:sz w:val="22"/>
              </w:rPr>
              <w:t>Conducted jointly by MoE and NCERT to benchmark FLN outcomes and guide pedagogy improvements.</w:t>
            </w:r>
          </w:p>
        </w:tc>
        <w:tc>
          <w:tcPr>
            <w:tcW w:type="dxa" w:w="2041"/>
            <w:tcW w:w="2041" w:type="dxa"/>
            <w:shd w:val="clear" w:color="auto" w:fill="DCE6F1"/>
          </w:tcPr>
          <w:p>
            <w:pPr>
              <w:jc w:val="left"/>
            </w:pPr>
            <w:r/>
            <w:r>
              <w:rPr>
                <w:rFonts w:ascii="Cambria" w:hAnsi="Cambria"/>
                <w:b w:val="0"/>
                <w:i w:val="0"/>
                <w:sz w:val="22"/>
              </w:rPr>
              <w:t>Provides national-level data for curriculum and pedagogy reform; measures FLN progress scientifically.</w:t>
            </w:r>
          </w:p>
        </w:tc>
      </w:tr>
      <w:tr>
        <w:tc>
          <w:tcPr>
            <w:tcW w:type="dxa" w:w="1814"/>
            <w:tcW w:w="1814" w:type="dxa"/>
          </w:tcPr>
          <w:p>
            <w:pPr>
              <w:jc w:val="left"/>
            </w:pPr>
            <w:r/>
            <w:r>
              <w:rPr>
                <w:rFonts w:ascii="Cambria" w:hAnsi="Cambria"/>
                <w:b w:val="0"/>
                <w:i w:val="0"/>
                <w:sz w:val="22"/>
              </w:rPr>
            </w:r>
          </w:p>
        </w:tc>
        <w:tc>
          <w:tcPr>
            <w:tcW w:type="dxa" w:w="1814"/>
            <w:tcW w:w="1814" w:type="dxa"/>
          </w:tcPr>
          <w:p>
            <w:pPr>
              <w:jc w:val="left"/>
            </w:pPr>
            <w:r/>
            <w:r>
              <w:rPr>
                <w:rFonts w:ascii="Cambria" w:hAnsi="Cambria"/>
                <w:b w:val="0"/>
                <w:i w:val="0"/>
                <w:sz w:val="22"/>
              </w:rPr>
              <w:t>Swachh Vidyalaya Initiative (2015)</w:t>
            </w:r>
          </w:p>
        </w:tc>
        <w:tc>
          <w:tcPr>
            <w:tcW w:type="dxa" w:w="3742"/>
            <w:tcW w:w="3742" w:type="dxa"/>
          </w:tcPr>
          <w:p>
            <w:pPr>
              <w:jc w:val="left"/>
            </w:pPr>
            <w:r/>
            <w:r>
              <w:rPr>
                <w:rFonts w:ascii="Cambria" w:hAnsi="Cambria"/>
                <w:b w:val="0"/>
                <w:i w:val="0"/>
                <w:sz w:val="22"/>
              </w:rPr>
              <w:t>Built 417,796 toilet blocks across 2.6 lakh schools nationwide under the Swachh Bharat Mission.</w:t>
            </w:r>
          </w:p>
        </w:tc>
        <w:tc>
          <w:tcPr>
            <w:tcW w:type="dxa" w:w="2041"/>
            <w:tcW w:w="2041" w:type="dxa"/>
          </w:tcPr>
          <w:p>
            <w:pPr>
              <w:jc w:val="left"/>
            </w:pPr>
            <w:r/>
            <w:r>
              <w:rPr>
                <w:rFonts w:ascii="Cambria" w:hAnsi="Cambria"/>
                <w:b w:val="0"/>
                <w:i w:val="0"/>
                <w:sz w:val="22"/>
              </w:rPr>
              <w:t>Improves hygiene, gender-sensitive infrastructure, and school retention—especially for girls.</w:t>
            </w:r>
          </w:p>
        </w:tc>
      </w:tr>
    </w:tbl>
    <w:p>
      <w:pPr>
        <w:spacing w:after="120"/>
        <w:jc w:val="both"/>
      </w:pPr>
      <w:r>
        <w:rPr>
          <w:rFonts w:ascii="Cambria" w:hAnsi="Cambria"/>
          <w:b/>
          <w:i w:val="0"/>
          <w:sz w:val="22"/>
        </w:rPr>
        <w:t>Analytical Summary: India's Alignment with SDG-4 through NEP-2020</w:t>
      </w:r>
    </w:p>
    <w:p>
      <w:pPr>
        <w:pStyle w:val="ListBullet"/>
        <w:ind w:left="357"/>
        <w:jc w:val="both"/>
      </w:pPr>
      <w:r>
        <w:rPr>
          <w:rFonts w:ascii="Cambria" w:hAnsi="Cambria"/>
          <w:b/>
          <w:sz w:val="22"/>
        </w:rPr>
        <w:t xml:space="preserve">Holistic Vision: </w:t>
      </w:r>
      <w:r>
        <w:rPr>
          <w:rFonts w:ascii="Cambria" w:hAnsi="Cambria"/>
          <w:sz w:val="22"/>
        </w:rPr>
        <w:t xml:space="preserve">NEP-2020 translates SDG-4's call for </w:t>
      </w:r>
      <w:r>
        <w:rPr>
          <w:rFonts w:ascii="Cambria" w:hAnsi="Cambria"/>
          <w:i/>
          <w:sz w:val="22"/>
        </w:rPr>
        <w:t>inclusive and equitable quality education</w:t>
      </w:r>
      <w:r>
        <w:rPr>
          <w:rFonts w:ascii="Cambria" w:hAnsi="Cambria"/>
          <w:sz w:val="22"/>
        </w:rPr>
        <w:t xml:space="preserve"> into a comprehensive national roadmap, covering early childhood to adult learning.</w:t>
      </w:r>
    </w:p>
    <w:p>
      <w:pPr>
        <w:pStyle w:val="ListBullet"/>
        <w:ind w:left="357"/>
        <w:jc w:val="both"/>
      </w:pPr>
      <w:r>
        <w:rPr>
          <w:rFonts w:ascii="Cambria" w:hAnsi="Cambria"/>
          <w:b/>
          <w:sz w:val="22"/>
        </w:rPr>
        <w:t xml:space="preserve">Foundational Reforms: </w:t>
      </w:r>
      <w:r>
        <w:rPr>
          <w:rFonts w:ascii="Cambria" w:hAnsi="Cambria"/>
          <w:sz w:val="22"/>
        </w:rPr>
        <w:t>Introduction of the 5 + 3 + 3 + 4 framework, multilingual education, and foundational literacy initiatives ensures cognitive and social development from the earliest stages.</w:t>
      </w:r>
    </w:p>
    <w:p>
      <w:pPr>
        <w:pStyle w:val="ListBullet"/>
        <w:ind w:left="357"/>
        <w:jc w:val="both"/>
      </w:pPr>
      <w:r>
        <w:rPr>
          <w:rFonts w:ascii="Cambria" w:hAnsi="Cambria"/>
          <w:b/>
          <w:sz w:val="22"/>
        </w:rPr>
        <w:t xml:space="preserve">Skill and Employability Focus: </w:t>
      </w:r>
      <w:r>
        <w:rPr>
          <w:rFonts w:ascii="Cambria" w:hAnsi="Cambria"/>
          <w:sz w:val="22"/>
        </w:rPr>
        <w:t>Integration of vocational education, coding, and digital literacy from middle school onward aligns education with future labour-market demands (SDG-4.3 &amp; 4.4).</w:t>
      </w:r>
    </w:p>
    <w:p>
      <w:pPr>
        <w:pStyle w:val="ListBullet"/>
        <w:ind w:left="357"/>
        <w:jc w:val="both"/>
      </w:pPr>
      <w:r>
        <w:rPr>
          <w:rFonts w:ascii="Cambria" w:hAnsi="Cambria"/>
          <w:b/>
          <w:sz w:val="22"/>
        </w:rPr>
        <w:t xml:space="preserve">Equity and Inclusion: </w:t>
      </w:r>
      <w:r>
        <w:rPr>
          <w:rFonts w:ascii="Cambria" w:hAnsi="Cambria"/>
          <w:sz w:val="22"/>
        </w:rPr>
        <w:t>Launch of the Gender Inclusion Fund, targeted digital infrastructure, and inclusion of special-needs learners exemplify SDG-4.5's vision of “education for all.”</w:t>
      </w:r>
    </w:p>
    <w:p>
      <w:pPr>
        <w:pStyle w:val="ListBullet"/>
        <w:ind w:left="357"/>
        <w:jc w:val="both"/>
      </w:pPr>
      <w:r>
        <w:rPr>
          <w:rFonts w:ascii="Cambria" w:hAnsi="Cambria"/>
          <w:b/>
          <w:sz w:val="22"/>
        </w:rPr>
        <w:t xml:space="preserve">Digital Transformation: </w:t>
      </w:r>
      <w:r>
        <w:rPr>
          <w:rFonts w:ascii="Cambria" w:hAnsi="Cambria"/>
          <w:sz w:val="22"/>
        </w:rPr>
        <w:t>Establishment of NETF, Academic Bank of Credits, and digital platforms like SWAYAM positions India as a global model for technology-enabled learning.</w:t>
      </w:r>
    </w:p>
    <w:p>
      <w:pPr>
        <w:pStyle w:val="ListBullet"/>
        <w:ind w:left="357"/>
        <w:jc w:val="both"/>
      </w:pPr>
      <w:r>
        <w:rPr>
          <w:rFonts w:ascii="Cambria" w:hAnsi="Cambria"/>
          <w:b/>
          <w:sz w:val="22"/>
        </w:rPr>
        <w:t xml:space="preserve">Infrastructure and Hygiene: </w:t>
      </w:r>
      <w:r>
        <w:rPr>
          <w:rFonts w:ascii="Cambria" w:hAnsi="Cambria"/>
          <w:sz w:val="22"/>
        </w:rPr>
        <w:t>Swachh Vidyalaya demonstrates SDG-4.A implementation—safe, inclusive, and gender-sensitive school environments.</w:t>
      </w:r>
    </w:p>
    <w:p>
      <w:pPr>
        <w:pStyle w:val="ListBullet"/>
        <w:ind w:left="357"/>
        <w:jc w:val="both"/>
      </w:pPr>
      <w:r>
        <w:rPr>
          <w:rFonts w:ascii="Cambria" w:hAnsi="Cambria"/>
          <w:b/>
          <w:sz w:val="22"/>
        </w:rPr>
        <w:t xml:space="preserve">Outcome Orientation: </w:t>
      </w:r>
      <w:r>
        <w:rPr>
          <w:rFonts w:ascii="Cambria" w:hAnsi="Cambria"/>
          <w:sz w:val="22"/>
        </w:rPr>
        <w:t>National programmes like NIPUN Bharat and FLS provide measurable indicators for literacy, numeracy, and foundational skills in line with UN SDG-4 metrics.</w:t>
      </w:r>
    </w:p>
    <w:p>
      <w:pPr>
        <w:spacing w:after="120"/>
        <w:jc w:val="both"/>
      </w:pPr>
      <w:r>
        <w:rPr>
          <w:rFonts w:ascii="Cambria" w:hAnsi="Cambria"/>
          <w:b/>
          <w:i w:val="0"/>
          <w:sz w:val="22"/>
        </w:rPr>
        <w:t>Overall Impact</w:t>
      </w:r>
    </w:p>
    <w:p>
      <w:pPr>
        <w:pStyle w:val="ListBullet"/>
        <w:ind w:left="357"/>
        <w:jc w:val="both"/>
      </w:pPr>
      <w:r>
        <w:rPr>
          <w:rFonts w:ascii="Cambria" w:hAnsi="Cambria"/>
          <w:sz w:val="22"/>
        </w:rPr>
        <w:t>India's NEP-2020 directly operationalizes seven core SDG-4 targets (4.1–4.7) and three means of implementation (4.A–4.C) through integrated policy mechanisms.</w:t>
      </w:r>
    </w:p>
    <w:p>
      <w:pPr>
        <w:pStyle w:val="ListBullet"/>
        <w:ind w:left="357"/>
        <w:jc w:val="both"/>
      </w:pPr>
      <w:r>
        <w:rPr>
          <w:rFonts w:ascii="Cambria" w:hAnsi="Cambria"/>
          <w:sz w:val="22"/>
        </w:rPr>
        <w:t xml:space="preserve">The reform's emphasis on multilingualism, flexibility, technology, and inclusivity represents a paradigm shift from access-driven to </w:t>
      </w:r>
      <w:r>
        <w:rPr>
          <w:rFonts w:ascii="Cambria" w:hAnsi="Cambria"/>
          <w:i/>
          <w:sz w:val="22"/>
        </w:rPr>
        <w:t>quality- and outcome-driven education</w:t>
      </w:r>
      <w:r>
        <w:rPr>
          <w:rFonts w:ascii="Cambria" w:hAnsi="Cambria"/>
          <w:sz w:val="22"/>
        </w:rPr>
        <w:t>.</w:t>
      </w:r>
    </w:p>
    <w:p>
      <w:pPr>
        <w:pStyle w:val="ListBullet"/>
        <w:ind w:left="357"/>
        <w:jc w:val="both"/>
      </w:pPr>
      <w:r>
        <w:rPr>
          <w:rFonts w:ascii="Cambria" w:hAnsi="Cambria"/>
          <w:sz w:val="22"/>
        </w:rPr>
        <w:t>Together, these initiatives are steering India toward achieving SDG-4 by 2030, positioning the nation as a global leader in educational transformation aligned with sustainable development principles.</w:t>
      </w:r>
    </w:p>
    <w:p>
      <w:r>
        <w:br w:type="page"/>
      </w:r>
    </w:p>
    <w:p>
      <w:pPr>
        <w:spacing w:before="280" w:after="160"/>
        <w:jc w:val="left"/>
      </w:pPr>
      <w:r>
        <w:rPr>
          <w:rFonts w:ascii="Cambria" w:hAnsi="Cambria"/>
          <w:b/>
          <w:color w:val="1F3A5F"/>
          <w:sz w:val="32"/>
        </w:rPr>
        <w:t>4. Short term (1–3 years): quick starts &amp; foundations (NEP-2020 → SDG-4)</w:t>
      </w:r>
    </w:p>
    <w:p>
      <w:pPr>
        <w:spacing w:after="120"/>
        <w:jc w:val="both"/>
      </w:pPr>
      <w:r>
        <w:rPr>
          <w:rFonts w:ascii="Cambria" w:hAnsi="Cambria"/>
          <w:b/>
          <w:i w:val="0"/>
          <w:sz w:val="22"/>
        </w:rPr>
        <w:t>4.1 Quality school education</w:t>
      </w:r>
    </w:p>
    <w:p>
      <w:pPr>
        <w:pStyle w:val="ListBullet2"/>
        <w:ind w:left="720"/>
        <w:jc w:val="both"/>
      </w:pPr>
      <w:r>
        <w:rPr>
          <w:rFonts w:ascii="Cambria" w:hAnsi="Cambria"/>
          <w:sz w:val="22"/>
        </w:rPr>
        <w:t>Launch state-level audits of RTE compliance; fix last-mile access gaps.</w:t>
      </w:r>
    </w:p>
    <w:p>
      <w:pPr>
        <w:pStyle w:val="ListBullet2"/>
        <w:ind w:left="720"/>
        <w:jc w:val="both"/>
      </w:pPr>
      <w:r>
        <w:rPr>
          <w:rFonts w:ascii="Cambria" w:hAnsi="Cambria"/>
          <w:sz w:val="22"/>
        </w:rPr>
        <w:t>Roll out competency-based, formative assessments in Grades 1–8.</w:t>
      </w:r>
    </w:p>
    <w:p>
      <w:pPr>
        <w:pStyle w:val="ListBullet2"/>
        <w:ind w:left="720"/>
        <w:jc w:val="both"/>
      </w:pPr>
      <w:r>
        <w:rPr>
          <w:rFonts w:ascii="Cambria" w:hAnsi="Cambria"/>
          <w:sz w:val="22"/>
        </w:rPr>
        <w:t>Activate School Management Committees with parent–youth representation.</w:t>
      </w:r>
    </w:p>
    <w:p>
      <w:pPr>
        <w:spacing w:after="120"/>
        <w:jc w:val="both"/>
      </w:pPr>
      <w:r>
        <w:rPr>
          <w:rFonts w:ascii="Cambria" w:hAnsi="Cambria"/>
          <w:b/>
          <w:i w:val="0"/>
          <w:sz w:val="22"/>
        </w:rPr>
        <w:t>4.2 Early childhood (ECCE)</w:t>
      </w:r>
    </w:p>
    <w:p>
      <w:pPr>
        <w:pStyle w:val="ListBullet2"/>
        <w:ind w:left="720"/>
        <w:jc w:val="both"/>
      </w:pPr>
      <w:r>
        <w:rPr>
          <w:rFonts w:ascii="Cambria" w:hAnsi="Cambria"/>
          <w:sz w:val="22"/>
        </w:rPr>
        <w:t>Co-locate Anganwadi–pre-primary with nearest schools; upgrade 3–6 yrs infrastructure.</w:t>
      </w:r>
    </w:p>
    <w:p>
      <w:pPr>
        <w:pStyle w:val="ListBullet2"/>
        <w:ind w:left="720"/>
        <w:jc w:val="both"/>
      </w:pPr>
      <w:r>
        <w:rPr>
          <w:rFonts w:ascii="Cambria" w:hAnsi="Cambria"/>
          <w:sz w:val="22"/>
        </w:rPr>
        <w:t>Train Anganwadi/ECCE workers on play-based pedagogy; stipend/top-ups.</w:t>
      </w:r>
    </w:p>
    <w:p>
      <w:pPr>
        <w:pStyle w:val="ListBullet2"/>
        <w:ind w:left="720"/>
        <w:jc w:val="both"/>
      </w:pPr>
      <w:r>
        <w:rPr>
          <w:rFonts w:ascii="Cambria" w:hAnsi="Cambria"/>
          <w:sz w:val="22"/>
        </w:rPr>
        <w:t>Run village campaigns (mother-tongue first, enrolment drives, disability screening).</w:t>
      </w:r>
    </w:p>
    <w:p>
      <w:pPr>
        <w:spacing w:after="120"/>
        <w:jc w:val="both"/>
      </w:pPr>
      <w:r>
        <w:rPr>
          <w:rFonts w:ascii="Cambria" w:hAnsi="Cambria"/>
          <w:b/>
          <w:i w:val="0"/>
          <w:sz w:val="22"/>
        </w:rPr>
        <w:t>4.3 Affordable technical &amp; vocational</w:t>
      </w:r>
    </w:p>
    <w:p>
      <w:pPr>
        <w:pStyle w:val="ListBullet2"/>
        <w:ind w:left="720"/>
        <w:jc w:val="both"/>
      </w:pPr>
      <w:r>
        <w:rPr>
          <w:rFonts w:ascii="Cambria" w:hAnsi="Cambria"/>
          <w:sz w:val="22"/>
        </w:rPr>
        <w:t>Start vocational tasters from Grade 6; align with NSQF levels.</w:t>
      </w:r>
    </w:p>
    <w:p>
      <w:pPr>
        <w:pStyle w:val="ListBullet2"/>
        <w:ind w:left="720"/>
        <w:jc w:val="both"/>
      </w:pPr>
      <w:r>
        <w:rPr>
          <w:rFonts w:ascii="Cambria" w:hAnsi="Cambria"/>
          <w:sz w:val="22"/>
        </w:rPr>
        <w:t>Stand up Digital University pilots; expand SWAYAM/NPTEL creditability.</w:t>
      </w:r>
    </w:p>
    <w:p>
      <w:pPr>
        <w:pStyle w:val="ListBullet2"/>
        <w:ind w:left="720"/>
        <w:jc w:val="both"/>
      </w:pPr>
      <w:r>
        <w:rPr>
          <w:rFonts w:ascii="Cambria" w:hAnsi="Cambria"/>
          <w:sz w:val="22"/>
        </w:rPr>
        <w:t>Evening/weekend TVET batches using existing ITIs/polytechnics/HEIs.</w:t>
      </w:r>
    </w:p>
    <w:p>
      <w:pPr>
        <w:spacing w:after="120"/>
        <w:jc w:val="both"/>
      </w:pPr>
      <w:r>
        <w:rPr>
          <w:rFonts w:ascii="Cambria" w:hAnsi="Cambria"/>
          <w:b/>
          <w:i w:val="0"/>
          <w:sz w:val="22"/>
        </w:rPr>
        <w:t>4.4 Skills &amp; entrepreneurship</w:t>
      </w:r>
    </w:p>
    <w:p>
      <w:pPr>
        <w:pStyle w:val="ListBullet2"/>
        <w:ind w:left="720"/>
        <w:jc w:val="both"/>
      </w:pPr>
      <w:r>
        <w:rPr>
          <w:rFonts w:ascii="Cambria" w:hAnsi="Cambria"/>
          <w:sz w:val="22"/>
        </w:rPr>
        <w:t>Issue national skill benchmarks; integrate with UDISE+/AISHE dashboards.</w:t>
      </w:r>
    </w:p>
    <w:p>
      <w:pPr>
        <w:pStyle w:val="ListBullet2"/>
        <w:ind w:left="720"/>
        <w:jc w:val="both"/>
      </w:pPr>
      <w:r>
        <w:rPr>
          <w:rFonts w:ascii="Cambria" w:hAnsi="Cambria"/>
          <w:sz w:val="22"/>
        </w:rPr>
        <w:t>Make entrepreneurship modules mandatory across HEIs; launch campus pre-incubation.</w:t>
      </w:r>
    </w:p>
    <w:p>
      <w:pPr>
        <w:pStyle w:val="ListBullet2"/>
        <w:ind w:left="720"/>
        <w:jc w:val="both"/>
      </w:pPr>
      <w:r>
        <w:rPr>
          <w:rFonts w:ascii="Cambria" w:hAnsi="Cambria"/>
          <w:sz w:val="22"/>
        </w:rPr>
        <w:t>Sign district-level MoUs for internships/apprenticeships with MSMEs.</w:t>
      </w:r>
    </w:p>
    <w:p>
      <w:pPr>
        <w:spacing w:after="120"/>
        <w:jc w:val="both"/>
      </w:pPr>
      <w:r>
        <w:rPr>
          <w:rFonts w:ascii="Cambria" w:hAnsi="Cambria"/>
          <w:b/>
          <w:i w:val="0"/>
          <w:sz w:val="22"/>
        </w:rPr>
        <w:t>4.5 Inclusion &amp; nondiscrimination</w:t>
      </w:r>
    </w:p>
    <w:p>
      <w:pPr>
        <w:pStyle w:val="ListBullet2"/>
        <w:ind w:left="720"/>
        <w:jc w:val="both"/>
      </w:pPr>
      <w:r>
        <w:rPr>
          <w:rFonts w:ascii="Cambria" w:hAnsi="Cambria"/>
          <w:sz w:val="22"/>
        </w:rPr>
        <w:t>Notify Gender Inclusion Fund guidelines; fast-track device/data support for low-income students.</w:t>
      </w:r>
    </w:p>
    <w:p>
      <w:pPr>
        <w:pStyle w:val="ListBullet2"/>
        <w:ind w:left="720"/>
        <w:jc w:val="both"/>
      </w:pPr>
      <w:r>
        <w:rPr>
          <w:rFonts w:ascii="Cambria" w:hAnsi="Cambria"/>
          <w:sz w:val="22"/>
        </w:rPr>
        <w:t>Reserve inclusive admissions/scholarships; enable disability accommodations (writers, alt-exams).</w:t>
      </w:r>
    </w:p>
    <w:p>
      <w:pPr>
        <w:pStyle w:val="ListBullet2"/>
        <w:ind w:left="720"/>
        <w:jc w:val="both"/>
      </w:pPr>
      <w:r>
        <w:rPr>
          <w:rFonts w:ascii="Cambria" w:hAnsi="Cambria"/>
          <w:sz w:val="22"/>
        </w:rPr>
        <w:t>Run nationwide gender-sensitization media kits for schools/HEIs.</w:t>
      </w:r>
    </w:p>
    <w:p>
      <w:pPr>
        <w:spacing w:after="120"/>
        <w:jc w:val="both"/>
      </w:pPr>
      <w:r>
        <w:rPr>
          <w:rFonts w:ascii="Cambria" w:hAnsi="Cambria"/>
          <w:b/>
          <w:i w:val="0"/>
          <w:sz w:val="22"/>
        </w:rPr>
        <w:t>4.6 Literacy &amp; numeracy</w:t>
      </w:r>
    </w:p>
    <w:p>
      <w:pPr>
        <w:pStyle w:val="ListBullet2"/>
        <w:ind w:left="720"/>
        <w:jc w:val="both"/>
      </w:pPr>
      <w:r>
        <w:rPr>
          <w:rFonts w:ascii="Cambria" w:hAnsi="Cambria"/>
          <w:sz w:val="22"/>
        </w:rPr>
        <w:t>Scale NIPUN Bharat classroom toolkits; monthly FLN monitoring.</w:t>
      </w:r>
    </w:p>
    <w:p>
      <w:pPr>
        <w:pStyle w:val="ListBullet2"/>
        <w:ind w:left="720"/>
        <w:jc w:val="both"/>
      </w:pPr>
      <w:r>
        <w:rPr>
          <w:rFonts w:ascii="Cambria" w:hAnsi="Cambria"/>
          <w:sz w:val="22"/>
        </w:rPr>
        <w:t>Begin HEI-hosted evening literacy classes (government grants + NSS volunteers).</w:t>
      </w:r>
    </w:p>
    <w:p>
      <w:pPr>
        <w:pStyle w:val="ListBullet2"/>
        <w:ind w:left="720"/>
        <w:jc w:val="both"/>
      </w:pPr>
      <w:r>
        <w:rPr>
          <w:rFonts w:ascii="Cambria" w:hAnsi="Cambria"/>
          <w:sz w:val="22"/>
        </w:rPr>
        <w:t>Release regional-language digital literacy micro-courses (UPI, services, safety).</w:t>
      </w:r>
    </w:p>
    <w:p>
      <w:pPr>
        <w:spacing w:after="120"/>
        <w:jc w:val="both"/>
      </w:pPr>
      <w:r>
        <w:rPr>
          <w:rFonts w:ascii="Cambria" w:hAnsi="Cambria"/>
          <w:b/>
          <w:i w:val="0"/>
          <w:sz w:val="22"/>
        </w:rPr>
        <w:t>4.7 Education for sustainable development</w:t>
      </w:r>
    </w:p>
    <w:p>
      <w:pPr>
        <w:pStyle w:val="ListBullet2"/>
        <w:ind w:left="720"/>
        <w:jc w:val="both"/>
      </w:pPr>
      <w:r>
        <w:rPr>
          <w:rFonts w:ascii="Cambria" w:hAnsi="Cambria"/>
          <w:sz w:val="22"/>
        </w:rPr>
        <w:t>Embed ESD, human rights, diversity micro-modules in all boards/universities.</w:t>
      </w:r>
    </w:p>
    <w:p>
      <w:pPr>
        <w:pStyle w:val="ListBullet2"/>
        <w:ind w:left="720"/>
        <w:jc w:val="both"/>
      </w:pPr>
      <w:r>
        <w:rPr>
          <w:rFonts w:ascii="Cambria" w:hAnsi="Cambria"/>
          <w:sz w:val="22"/>
        </w:rPr>
        <w:t>Launch annual awards/grants for inclusion &amp; green campus initiatives.</w:t>
      </w:r>
    </w:p>
    <w:p>
      <w:pPr>
        <w:spacing w:after="120"/>
        <w:jc w:val="both"/>
      </w:pPr>
      <w:r>
        <w:rPr>
          <w:rFonts w:ascii="Cambria" w:hAnsi="Cambria"/>
          <w:b/>
          <w:i w:val="0"/>
          <w:sz w:val="22"/>
        </w:rPr>
        <w:t>4.A Safe, inclusive facilities</w:t>
      </w:r>
    </w:p>
    <w:p>
      <w:pPr>
        <w:pStyle w:val="ListBullet2"/>
        <w:ind w:left="720"/>
        <w:jc w:val="both"/>
      </w:pPr>
      <w:r>
        <w:rPr>
          <w:rFonts w:ascii="Cambria" w:hAnsi="Cambria"/>
          <w:sz w:val="22"/>
        </w:rPr>
        <w:t>Publish national minimum infrastructure code (universal design, safety, EdTech readiness).</w:t>
      </w:r>
    </w:p>
    <w:p>
      <w:pPr>
        <w:pStyle w:val="ListBullet2"/>
        <w:ind w:left="720"/>
        <w:jc w:val="both"/>
      </w:pPr>
      <w:r>
        <w:rPr>
          <w:rFonts w:ascii="Cambria" w:hAnsi="Cambria"/>
          <w:sz w:val="22"/>
        </w:rPr>
        <w:t>Constitute ICCs, anti-ragging cells; conduct baseline gender &amp; safety audits.</w:t>
      </w:r>
    </w:p>
    <w:p>
      <w:pPr>
        <w:spacing w:after="120"/>
        <w:jc w:val="both"/>
      </w:pPr>
      <w:r>
        <w:rPr>
          <w:rFonts w:ascii="Cambria" w:hAnsi="Cambria"/>
          <w:b/>
          <w:i w:val="0"/>
          <w:sz w:val="22"/>
        </w:rPr>
        <w:t>4.B Scholarships &amp; mobility</w:t>
      </w:r>
    </w:p>
    <w:p>
      <w:pPr>
        <w:pStyle w:val="ListBullet2"/>
        <w:ind w:left="720"/>
        <w:jc w:val="both"/>
      </w:pPr>
      <w:r>
        <w:rPr>
          <w:rFonts w:ascii="Cambria" w:hAnsi="Cambria"/>
          <w:sz w:val="22"/>
        </w:rPr>
        <w:t>Expand ICCR/Study in India seats; sign fast-track joint/dual-degree MoUs.</w:t>
      </w:r>
    </w:p>
    <w:p>
      <w:pPr>
        <w:pStyle w:val="ListBullet2"/>
        <w:ind w:left="720"/>
        <w:jc w:val="both"/>
      </w:pPr>
      <w:r>
        <w:rPr>
          <w:rFonts w:ascii="Cambria" w:hAnsi="Cambria"/>
          <w:sz w:val="22"/>
        </w:rPr>
        <w:t>Create a single scholarship portal for Global South exchanges.</w:t>
      </w:r>
    </w:p>
    <w:p>
      <w:pPr>
        <w:spacing w:after="120"/>
        <w:jc w:val="both"/>
      </w:pPr>
      <w:r>
        <w:rPr>
          <w:rFonts w:ascii="Cambria" w:hAnsi="Cambria"/>
          <w:b/>
          <w:i w:val="0"/>
          <w:sz w:val="22"/>
        </w:rPr>
        <w:t>4.C Teacher development</w:t>
      </w:r>
    </w:p>
    <w:p>
      <w:pPr>
        <w:pStyle w:val="ListBullet2"/>
        <w:ind w:left="720"/>
        <w:jc w:val="both"/>
      </w:pPr>
      <w:r>
        <w:rPr>
          <w:rFonts w:ascii="Cambria" w:hAnsi="Cambria"/>
          <w:sz w:val="22"/>
        </w:rPr>
        <w:t>Establish a central CPD agency; mandate annual FDP hours (pedagogy + digital).</w:t>
      </w:r>
    </w:p>
    <w:p>
      <w:pPr>
        <w:pStyle w:val="ListBullet2"/>
        <w:ind w:left="720"/>
        <w:jc w:val="both"/>
      </w:pPr>
      <w:r>
        <w:rPr>
          <w:rFonts w:ascii="Cambria" w:hAnsi="Cambria"/>
          <w:sz w:val="22"/>
        </w:rPr>
        <w:t>Kick off inter-state/overseas short attachments for teachers (SDG practice schools).</w:t>
      </w:r>
    </w:p>
    <w:p>
      <w:r>
        <w:br w:type="page"/>
      </w:r>
    </w:p>
    <w:p>
      <w:pPr>
        <w:spacing w:before="280" w:after="160"/>
        <w:jc w:val="left"/>
      </w:pPr>
      <w:r>
        <w:rPr>
          <w:rFonts w:ascii="Cambria" w:hAnsi="Cambria"/>
          <w:b/>
          <w:color w:val="1F3A5F"/>
          <w:sz w:val="32"/>
        </w:rPr>
        <w:t>5. Medium term (4–7 years): scale &amp; system integration</w:t>
      </w:r>
    </w:p>
    <w:p>
      <w:pPr>
        <w:spacing w:after="120"/>
        <w:jc w:val="both"/>
      </w:pPr>
      <w:r>
        <w:rPr>
          <w:rFonts w:ascii="Cambria" w:hAnsi="Cambria"/>
          <w:b/>
          <w:i w:val="0"/>
          <w:sz w:val="22"/>
        </w:rPr>
        <w:t>4.1</w:t>
      </w:r>
    </w:p>
    <w:p>
      <w:pPr>
        <w:pStyle w:val="ListBullet2"/>
        <w:ind w:left="720"/>
        <w:jc w:val="both"/>
      </w:pPr>
      <w:r>
        <w:rPr>
          <w:rFonts w:ascii="Cambria" w:hAnsi="Cambria"/>
          <w:sz w:val="22"/>
        </w:rPr>
        <w:t>Full rollout of competency-based curricula; publish district learning reports.</w:t>
      </w:r>
    </w:p>
    <w:p>
      <w:pPr>
        <w:pStyle w:val="ListBullet2"/>
        <w:ind w:left="720"/>
        <w:jc w:val="both"/>
      </w:pPr>
      <w:r>
        <w:rPr>
          <w:rFonts w:ascii="Cambria" w:hAnsi="Cambria"/>
          <w:sz w:val="22"/>
        </w:rPr>
        <w:t>Targeted retention packages for high-risk blocks (transport, bridge courses).</w:t>
      </w:r>
    </w:p>
    <w:p>
      <w:pPr>
        <w:spacing w:after="120"/>
        <w:jc w:val="both"/>
      </w:pPr>
      <w:r>
        <w:rPr>
          <w:rFonts w:ascii="Cambria" w:hAnsi="Cambria"/>
          <w:b/>
          <w:i w:val="0"/>
          <w:sz w:val="22"/>
        </w:rPr>
        <w:t>4.2</w:t>
      </w:r>
    </w:p>
    <w:p>
      <w:pPr>
        <w:pStyle w:val="ListBullet2"/>
        <w:ind w:left="720"/>
        <w:jc w:val="both"/>
      </w:pPr>
      <w:r>
        <w:rPr>
          <w:rFonts w:ascii="Cambria" w:hAnsi="Cambria"/>
          <w:sz w:val="22"/>
        </w:rPr>
        <w:t>District ECCE resource centres in TEIs; certificate/diploma pathways for ECCE cadres.</w:t>
      </w:r>
    </w:p>
    <w:p>
      <w:pPr>
        <w:pStyle w:val="ListBullet2"/>
        <w:ind w:left="720"/>
        <w:jc w:val="both"/>
      </w:pPr>
      <w:r>
        <w:rPr>
          <w:rFonts w:ascii="Cambria" w:hAnsi="Cambria"/>
          <w:sz w:val="22"/>
        </w:rPr>
        <w:t>Integrate health–nutrition–education MIS for early intervention.</w:t>
      </w:r>
    </w:p>
    <w:p>
      <w:pPr>
        <w:spacing w:after="120"/>
        <w:jc w:val="both"/>
      </w:pPr>
      <w:r>
        <w:rPr>
          <w:rFonts w:ascii="Cambria" w:hAnsi="Cambria"/>
          <w:b/>
          <w:i w:val="0"/>
          <w:sz w:val="22"/>
        </w:rPr>
        <w:t>4.3</w:t>
      </w:r>
    </w:p>
    <w:p>
      <w:pPr>
        <w:pStyle w:val="ListBullet2"/>
        <w:ind w:left="720"/>
        <w:jc w:val="both"/>
      </w:pPr>
      <w:r>
        <w:rPr>
          <w:rFonts w:ascii="Cambria" w:hAnsi="Cambria"/>
          <w:sz w:val="22"/>
        </w:rPr>
        <w:t>Operationalize Academic Bank of Credits across HEIs/TVET; seamless credit mobility.</w:t>
      </w:r>
    </w:p>
    <w:p>
      <w:pPr>
        <w:pStyle w:val="ListBullet2"/>
        <w:ind w:left="720"/>
        <w:jc w:val="both"/>
      </w:pPr>
      <w:r>
        <w:rPr>
          <w:rFonts w:ascii="Cambria" w:hAnsi="Cambria"/>
          <w:sz w:val="22"/>
        </w:rPr>
        <w:t>Dual-degree/Multiple Entry–Exit at scale; recognition of prior learning (RPL) pipelines.</w:t>
      </w:r>
    </w:p>
    <w:p>
      <w:pPr>
        <w:pStyle w:val="ListBullet2"/>
        <w:ind w:left="720"/>
        <w:jc w:val="both"/>
      </w:pPr>
      <w:r>
        <w:rPr>
          <w:rFonts w:ascii="Cambria" w:hAnsi="Cambria"/>
          <w:sz w:val="22"/>
        </w:rPr>
        <w:t>Regional lifelong-learning hubs (evening, online, blended) anchored by HEIs.</w:t>
      </w:r>
    </w:p>
    <w:p>
      <w:pPr>
        <w:spacing w:after="120"/>
        <w:jc w:val="both"/>
      </w:pPr>
      <w:r>
        <w:rPr>
          <w:rFonts w:ascii="Cambria" w:hAnsi="Cambria"/>
          <w:b/>
          <w:i w:val="0"/>
          <w:sz w:val="22"/>
        </w:rPr>
        <w:t>4.4</w:t>
      </w:r>
    </w:p>
    <w:p>
      <w:pPr>
        <w:pStyle w:val="ListBullet2"/>
        <w:ind w:left="720"/>
        <w:jc w:val="both"/>
      </w:pPr>
      <w:r>
        <w:rPr>
          <w:rFonts w:ascii="Cambria" w:hAnsi="Cambria"/>
          <w:sz w:val="22"/>
        </w:rPr>
        <w:t>University innovation parks; seed funds + mentor networks (alumni/industry).</w:t>
      </w:r>
    </w:p>
    <w:p>
      <w:pPr>
        <w:pStyle w:val="ListBullet2"/>
        <w:ind w:left="720"/>
        <w:jc w:val="both"/>
      </w:pPr>
      <w:r>
        <w:rPr>
          <w:rFonts w:ascii="Cambria" w:hAnsi="Cambria"/>
          <w:sz w:val="22"/>
        </w:rPr>
        <w:t>National apprenticeship expansion with SSCs; outcome-based funding tied to placement.</w:t>
      </w:r>
    </w:p>
    <w:p>
      <w:pPr>
        <w:spacing w:after="120"/>
        <w:jc w:val="both"/>
      </w:pPr>
      <w:r>
        <w:rPr>
          <w:rFonts w:ascii="Cambria" w:hAnsi="Cambria"/>
          <w:b/>
          <w:i w:val="0"/>
          <w:sz w:val="22"/>
        </w:rPr>
        <w:t>4.5</w:t>
      </w:r>
    </w:p>
    <w:p>
      <w:pPr>
        <w:pStyle w:val="ListBullet2"/>
        <w:ind w:left="720"/>
        <w:jc w:val="both"/>
      </w:pPr>
      <w:r>
        <w:rPr>
          <w:rFonts w:ascii="Cambria" w:hAnsi="Cambria"/>
          <w:sz w:val="22"/>
        </w:rPr>
        <w:t>Universal campus accessibility retrofits; Disability Resource Centres in all HEIs.</w:t>
      </w:r>
    </w:p>
    <w:p>
      <w:pPr>
        <w:pStyle w:val="ListBullet2"/>
        <w:ind w:left="720"/>
        <w:jc w:val="both"/>
      </w:pPr>
      <w:r>
        <w:rPr>
          <w:rFonts w:ascii="Cambria" w:hAnsi="Cambria"/>
          <w:sz w:val="22"/>
        </w:rPr>
        <w:t>Equity indicator scorecards in NAAC/NBA/NIRF; funding linked to improvement.</w:t>
      </w:r>
    </w:p>
    <w:p>
      <w:pPr>
        <w:spacing w:after="120"/>
        <w:jc w:val="both"/>
      </w:pPr>
      <w:r>
        <w:rPr>
          <w:rFonts w:ascii="Cambria" w:hAnsi="Cambria"/>
          <w:b/>
          <w:i w:val="0"/>
          <w:sz w:val="22"/>
        </w:rPr>
        <w:t>4.6</w:t>
      </w:r>
    </w:p>
    <w:p>
      <w:pPr>
        <w:pStyle w:val="ListBullet2"/>
        <w:ind w:left="720"/>
        <w:jc w:val="both"/>
      </w:pPr>
      <w:r>
        <w:rPr>
          <w:rFonts w:ascii="Cambria" w:hAnsi="Cambria"/>
          <w:sz w:val="22"/>
        </w:rPr>
        <w:t>Province-wide adult literacy completion cohorts; micro-credentials for digital/financial literacy.</w:t>
      </w:r>
    </w:p>
    <w:p>
      <w:pPr>
        <w:pStyle w:val="ListBullet2"/>
        <w:ind w:left="720"/>
        <w:jc w:val="both"/>
      </w:pPr>
      <w:r>
        <w:rPr>
          <w:rFonts w:ascii="Cambria" w:hAnsi="Cambria"/>
          <w:sz w:val="22"/>
        </w:rPr>
        <w:t>Community learning centres with device libraries &amp; offline content servers.</w:t>
      </w:r>
    </w:p>
    <w:p>
      <w:pPr>
        <w:spacing w:after="120"/>
        <w:jc w:val="both"/>
      </w:pPr>
      <w:r>
        <w:rPr>
          <w:rFonts w:ascii="Cambria" w:hAnsi="Cambria"/>
          <w:b/>
          <w:i w:val="0"/>
          <w:sz w:val="22"/>
        </w:rPr>
        <w:t>4.7</w:t>
      </w:r>
    </w:p>
    <w:p>
      <w:pPr>
        <w:pStyle w:val="ListBullet2"/>
        <w:ind w:left="720"/>
        <w:jc w:val="both"/>
      </w:pPr>
      <w:r>
        <w:rPr>
          <w:rFonts w:ascii="Cambria" w:hAnsi="Cambria"/>
          <w:sz w:val="22"/>
        </w:rPr>
        <w:t>Interdisciplinary SDG minors/trackers in universities; service-learning credits.</w:t>
      </w:r>
    </w:p>
    <w:p>
      <w:pPr>
        <w:pStyle w:val="ListBullet2"/>
        <w:ind w:left="720"/>
        <w:jc w:val="both"/>
      </w:pPr>
      <w:r>
        <w:rPr>
          <w:rFonts w:ascii="Cambria" w:hAnsi="Cambria"/>
          <w:sz w:val="22"/>
        </w:rPr>
        <w:t>Teacher preparation programs retooled for ESD, peace &amp; global citizenship.</w:t>
      </w:r>
    </w:p>
    <w:p>
      <w:pPr>
        <w:spacing w:after="120"/>
        <w:jc w:val="both"/>
      </w:pPr>
      <w:r>
        <w:rPr>
          <w:rFonts w:ascii="Cambria" w:hAnsi="Cambria"/>
          <w:b/>
          <w:i w:val="0"/>
          <w:sz w:val="22"/>
        </w:rPr>
        <w:t>4.A</w:t>
      </w:r>
    </w:p>
    <w:p>
      <w:pPr>
        <w:pStyle w:val="ListBullet2"/>
        <w:ind w:left="720"/>
        <w:jc w:val="both"/>
      </w:pPr>
      <w:r>
        <w:rPr>
          <w:rFonts w:ascii="Cambria" w:hAnsi="Cambria"/>
          <w:sz w:val="22"/>
        </w:rPr>
        <w:t>Third-party annual safety &amp; accessibility audits; Safe Campus Index publication.</w:t>
      </w:r>
    </w:p>
    <w:p>
      <w:pPr>
        <w:pStyle w:val="ListBullet2"/>
        <w:ind w:left="720"/>
        <w:jc w:val="both"/>
      </w:pPr>
      <w:r>
        <w:rPr>
          <w:rFonts w:ascii="Cambria" w:hAnsi="Cambria"/>
          <w:sz w:val="22"/>
        </w:rPr>
        <w:t>Green campus standards (energy, water, waste) embedded in grants.</w:t>
      </w:r>
    </w:p>
    <w:p>
      <w:pPr>
        <w:spacing w:after="120"/>
        <w:jc w:val="both"/>
      </w:pPr>
      <w:r>
        <w:rPr>
          <w:rFonts w:ascii="Cambria" w:hAnsi="Cambria"/>
          <w:b/>
          <w:i w:val="0"/>
          <w:sz w:val="22"/>
        </w:rPr>
        <w:t>4.B</w:t>
      </w:r>
    </w:p>
    <w:p>
      <w:pPr>
        <w:pStyle w:val="ListBullet2"/>
        <w:ind w:left="720"/>
        <w:jc w:val="both"/>
      </w:pPr>
      <w:r>
        <w:rPr>
          <w:rFonts w:ascii="Cambria" w:hAnsi="Cambria"/>
          <w:sz w:val="22"/>
        </w:rPr>
        <w:t>South–South university consortia (joint labs, field schools); 2-way mobility targets.</w:t>
      </w:r>
    </w:p>
    <w:p>
      <w:pPr>
        <w:pStyle w:val="ListBullet2"/>
        <w:ind w:left="720"/>
        <w:jc w:val="both"/>
      </w:pPr>
      <w:r>
        <w:rPr>
          <w:rFonts w:ascii="Cambria" w:hAnsi="Cambria"/>
          <w:sz w:val="22"/>
        </w:rPr>
        <w:t>Scholarship endowments for LDC/SIDS students in priority STEM/ESD fields.</w:t>
      </w:r>
    </w:p>
    <w:p>
      <w:pPr>
        <w:spacing w:after="120"/>
        <w:jc w:val="both"/>
      </w:pPr>
      <w:r>
        <w:rPr>
          <w:rFonts w:ascii="Cambria" w:hAnsi="Cambria"/>
          <w:b/>
          <w:i w:val="0"/>
          <w:sz w:val="22"/>
        </w:rPr>
        <w:t>4.C</w:t>
      </w:r>
    </w:p>
    <w:p>
      <w:pPr>
        <w:pStyle w:val="ListBullet2"/>
        <w:ind w:left="720"/>
        <w:jc w:val="both"/>
      </w:pPr>
      <w:r>
        <w:rPr>
          <w:rFonts w:ascii="Cambria" w:hAnsi="Cambria"/>
          <w:sz w:val="22"/>
        </w:rPr>
        <w:t>Career-linked CPD ladders (lead teacher, master trainer); digital pedagogy certifications.</w:t>
      </w:r>
    </w:p>
    <w:p>
      <w:pPr>
        <w:pStyle w:val="ListBullet2"/>
        <w:ind w:left="720"/>
        <w:jc w:val="both"/>
      </w:pPr>
      <w:r>
        <w:rPr>
          <w:rFonts w:ascii="Cambria" w:hAnsi="Cambria"/>
          <w:sz w:val="22"/>
        </w:rPr>
        <w:t>National teacher exchange marketplace; 6–12 month secondments with outcome studies.</w:t>
      </w:r>
    </w:p>
    <w:p>
      <w:r>
        <w:br w:type="page"/>
      </w:r>
    </w:p>
    <w:p>
      <w:pPr>
        <w:spacing w:before="280" w:after="160"/>
        <w:jc w:val="left"/>
      </w:pPr>
      <w:r>
        <w:rPr>
          <w:rFonts w:ascii="Cambria" w:hAnsi="Cambria"/>
          <w:b/>
          <w:color w:val="1F3A5F"/>
          <w:sz w:val="32"/>
        </w:rPr>
        <w:t>6. Long term (8–15 years): institutionalization &amp; global leadership</w:t>
      </w:r>
    </w:p>
    <w:p>
      <w:pPr>
        <w:spacing w:after="120"/>
        <w:jc w:val="both"/>
      </w:pPr>
      <w:r>
        <w:rPr>
          <w:rFonts w:ascii="Cambria" w:hAnsi="Cambria"/>
          <w:b/>
          <w:i w:val="0"/>
          <w:sz w:val="22"/>
        </w:rPr>
        <w:t>4.1</w:t>
      </w:r>
    </w:p>
    <w:p>
      <w:pPr>
        <w:pStyle w:val="ListBullet2"/>
        <w:ind w:left="720"/>
        <w:jc w:val="both"/>
      </w:pPr>
      <w:r>
        <w:rPr>
          <w:rFonts w:ascii="Cambria" w:hAnsi="Cambria"/>
          <w:sz w:val="22"/>
        </w:rPr>
        <w:t>Near-universal completion with mastery reporting; AI-assisted personalized support at scale.</w:t>
      </w:r>
    </w:p>
    <w:p>
      <w:pPr>
        <w:pStyle w:val="ListBullet2"/>
        <w:ind w:left="720"/>
        <w:jc w:val="both"/>
      </w:pPr>
      <w:r>
        <w:rPr>
          <w:rFonts w:ascii="Cambria" w:hAnsi="Cambria"/>
          <w:sz w:val="22"/>
        </w:rPr>
        <w:t>Community co-governance normalized; real-time transparency dashboards.</w:t>
      </w:r>
    </w:p>
    <w:p>
      <w:pPr>
        <w:spacing w:after="120"/>
        <w:jc w:val="both"/>
      </w:pPr>
      <w:r>
        <w:rPr>
          <w:rFonts w:ascii="Cambria" w:hAnsi="Cambria"/>
          <w:b/>
          <w:i w:val="0"/>
          <w:sz w:val="22"/>
        </w:rPr>
        <w:t>4.2</w:t>
      </w:r>
    </w:p>
    <w:p>
      <w:pPr>
        <w:pStyle w:val="ListBullet2"/>
        <w:ind w:left="720"/>
        <w:jc w:val="both"/>
      </w:pPr>
      <w:r>
        <w:rPr>
          <w:rFonts w:ascii="Cambria" w:hAnsi="Cambria"/>
          <w:sz w:val="22"/>
        </w:rPr>
        <w:t>Universal ECCE access in every habitation; professionalized ECCE cadre with career progression.</w:t>
      </w:r>
    </w:p>
    <w:p>
      <w:pPr>
        <w:pStyle w:val="ListBullet2"/>
        <w:ind w:left="720"/>
        <w:jc w:val="both"/>
      </w:pPr>
      <w:r>
        <w:rPr>
          <w:rFonts w:ascii="Cambria" w:hAnsi="Cambria"/>
          <w:sz w:val="22"/>
        </w:rPr>
        <w:t>Longitudinal child development data guiding policy &amp; resource targeting.</w:t>
      </w:r>
    </w:p>
    <w:p>
      <w:pPr>
        <w:spacing w:after="120"/>
        <w:jc w:val="both"/>
      </w:pPr>
      <w:r>
        <w:rPr>
          <w:rFonts w:ascii="Cambria" w:hAnsi="Cambria"/>
          <w:b/>
          <w:i w:val="0"/>
          <w:sz w:val="22"/>
        </w:rPr>
        <w:t>4.3</w:t>
      </w:r>
    </w:p>
    <w:p>
      <w:pPr>
        <w:pStyle w:val="ListBullet2"/>
        <w:ind w:left="720"/>
        <w:jc w:val="both"/>
      </w:pPr>
      <w:r>
        <w:rPr>
          <w:rFonts w:ascii="Cambria" w:hAnsi="Cambria"/>
          <w:sz w:val="22"/>
        </w:rPr>
        <w:t>Digital University as national backbone; stackable credentials across work–learn cycles.</w:t>
      </w:r>
    </w:p>
    <w:p>
      <w:pPr>
        <w:pStyle w:val="ListBullet2"/>
        <w:ind w:left="720"/>
        <w:jc w:val="both"/>
      </w:pPr>
      <w:r>
        <w:rPr>
          <w:rFonts w:ascii="Cambria" w:hAnsi="Cambria"/>
          <w:sz w:val="22"/>
        </w:rPr>
        <w:t>TVET–HE convergence with strong RPL; international recognition of Indian credits.</w:t>
      </w:r>
    </w:p>
    <w:p>
      <w:pPr>
        <w:spacing w:after="120"/>
        <w:jc w:val="both"/>
      </w:pPr>
      <w:r>
        <w:rPr>
          <w:rFonts w:ascii="Cambria" w:hAnsi="Cambria"/>
          <w:b/>
          <w:i w:val="0"/>
          <w:sz w:val="22"/>
        </w:rPr>
        <w:t>4.4</w:t>
      </w:r>
    </w:p>
    <w:p>
      <w:pPr>
        <w:pStyle w:val="ListBullet2"/>
        <w:ind w:left="720"/>
        <w:jc w:val="both"/>
      </w:pPr>
      <w:r>
        <w:rPr>
          <w:rFonts w:ascii="Cambria" w:hAnsi="Cambria"/>
          <w:sz w:val="22"/>
        </w:rPr>
        <w:t>HEIs as regional job-creation engines; student-founded firms integrated into local value chains.</w:t>
      </w:r>
    </w:p>
    <w:p>
      <w:pPr>
        <w:pStyle w:val="ListBullet2"/>
        <w:ind w:left="720"/>
        <w:jc w:val="both"/>
      </w:pPr>
      <w:r>
        <w:rPr>
          <w:rFonts w:ascii="Cambria" w:hAnsi="Cambria"/>
          <w:sz w:val="22"/>
        </w:rPr>
        <w:t>National skill capital index rising; strong participation in green/tech sectors.</w:t>
      </w:r>
    </w:p>
    <w:p>
      <w:pPr>
        <w:spacing w:after="120"/>
        <w:jc w:val="both"/>
      </w:pPr>
      <w:r>
        <w:rPr>
          <w:rFonts w:ascii="Cambria" w:hAnsi="Cambria"/>
          <w:b/>
          <w:i w:val="0"/>
          <w:sz w:val="22"/>
        </w:rPr>
        <w:t>4.5</w:t>
      </w:r>
    </w:p>
    <w:p>
      <w:pPr>
        <w:pStyle w:val="ListBullet2"/>
        <w:ind w:left="720"/>
        <w:jc w:val="both"/>
      </w:pPr>
      <w:r>
        <w:rPr>
          <w:rFonts w:ascii="Cambria" w:hAnsi="Cambria"/>
          <w:sz w:val="22"/>
        </w:rPr>
        <w:t>Equity gaps closed across gender, disability, region &amp; income; inclusive culture embedded.</w:t>
      </w:r>
    </w:p>
    <w:p>
      <w:pPr>
        <w:pStyle w:val="ListBullet2"/>
        <w:ind w:left="720"/>
        <w:jc w:val="both"/>
      </w:pPr>
      <w:r>
        <w:rPr>
          <w:rFonts w:ascii="Cambria" w:hAnsi="Cambria"/>
          <w:sz w:val="22"/>
        </w:rPr>
        <w:t>Adaptive funding models sustaining supports (assistive tech, counselling, bridge-scholarships).</w:t>
      </w:r>
    </w:p>
    <w:p>
      <w:pPr>
        <w:spacing w:after="120"/>
        <w:jc w:val="both"/>
      </w:pPr>
      <w:r>
        <w:rPr>
          <w:rFonts w:ascii="Cambria" w:hAnsi="Cambria"/>
          <w:b/>
          <w:i w:val="0"/>
          <w:sz w:val="22"/>
        </w:rPr>
        <w:t>4.6</w:t>
      </w:r>
    </w:p>
    <w:p>
      <w:pPr>
        <w:pStyle w:val="ListBullet2"/>
        <w:ind w:left="720"/>
        <w:jc w:val="both"/>
      </w:pPr>
      <w:r>
        <w:rPr>
          <w:rFonts w:ascii="Cambria" w:hAnsi="Cambria"/>
          <w:sz w:val="22"/>
        </w:rPr>
        <w:t>Universal adult functional literacy &amp; numeracy; lifelong learning participation as a norm.</w:t>
      </w:r>
    </w:p>
    <w:p>
      <w:pPr>
        <w:pStyle w:val="ListBullet2"/>
        <w:ind w:left="720"/>
        <w:jc w:val="both"/>
      </w:pPr>
      <w:r>
        <w:rPr>
          <w:rFonts w:ascii="Cambria" w:hAnsi="Cambria"/>
          <w:sz w:val="22"/>
        </w:rPr>
        <w:t>AI tutors + community facilitators sustaining re-skilling in every district.</w:t>
      </w:r>
    </w:p>
    <w:p>
      <w:pPr>
        <w:spacing w:after="120"/>
        <w:jc w:val="both"/>
      </w:pPr>
      <w:r>
        <w:rPr>
          <w:rFonts w:ascii="Cambria" w:hAnsi="Cambria"/>
          <w:b/>
          <w:i w:val="0"/>
          <w:sz w:val="22"/>
        </w:rPr>
        <w:t>4.7</w:t>
      </w:r>
    </w:p>
    <w:p>
      <w:pPr>
        <w:pStyle w:val="ListBullet2"/>
        <w:ind w:left="720"/>
        <w:jc w:val="both"/>
      </w:pPr>
      <w:r>
        <w:rPr>
          <w:rFonts w:ascii="Cambria" w:hAnsi="Cambria"/>
          <w:sz w:val="22"/>
        </w:rPr>
        <w:t>Mandatory ESD competencies across all degrees; India recognized for SDG-ready graduates.</w:t>
      </w:r>
    </w:p>
    <w:p>
      <w:pPr>
        <w:pStyle w:val="ListBullet2"/>
        <w:ind w:left="720"/>
        <w:jc w:val="both"/>
      </w:pPr>
      <w:r>
        <w:rPr>
          <w:rFonts w:ascii="Cambria" w:hAnsi="Cambria"/>
          <w:sz w:val="22"/>
        </w:rPr>
        <w:t>International networks of SDG campuses co-producing policy &amp; community solutions.</w:t>
      </w:r>
    </w:p>
    <w:p>
      <w:pPr>
        <w:spacing w:after="120"/>
        <w:jc w:val="both"/>
      </w:pPr>
      <w:r>
        <w:rPr>
          <w:rFonts w:ascii="Cambria" w:hAnsi="Cambria"/>
          <w:b/>
          <w:i w:val="0"/>
          <w:sz w:val="22"/>
        </w:rPr>
        <w:t>4.A</w:t>
      </w:r>
    </w:p>
    <w:p>
      <w:pPr>
        <w:pStyle w:val="ListBullet2"/>
        <w:ind w:left="720"/>
        <w:jc w:val="both"/>
      </w:pPr>
      <w:r>
        <w:rPr>
          <w:rFonts w:ascii="Cambria" w:hAnsi="Cambria"/>
          <w:sz w:val="22"/>
        </w:rPr>
        <w:t>All institutions certified barrier-free, safe, green; continuous improvement via accreditation cycles.</w:t>
      </w:r>
    </w:p>
    <w:p>
      <w:pPr>
        <w:pStyle w:val="ListBullet2"/>
        <w:ind w:left="720"/>
        <w:jc w:val="both"/>
      </w:pPr>
      <w:r>
        <w:rPr>
          <w:rFonts w:ascii="Cambria" w:hAnsi="Cambria"/>
          <w:sz w:val="22"/>
        </w:rPr>
        <w:t>Crisis-resilient hybrid learning infrastructure nationwide.</w:t>
      </w:r>
    </w:p>
    <w:p>
      <w:pPr>
        <w:spacing w:after="120"/>
        <w:jc w:val="both"/>
      </w:pPr>
      <w:r>
        <w:rPr>
          <w:rFonts w:ascii="Cambria" w:hAnsi="Cambria"/>
          <w:b/>
          <w:i w:val="0"/>
          <w:sz w:val="22"/>
        </w:rPr>
        <w:t>4.B</w:t>
      </w:r>
    </w:p>
    <w:p>
      <w:pPr>
        <w:pStyle w:val="ListBullet2"/>
        <w:ind w:left="720"/>
        <w:jc w:val="both"/>
      </w:pPr>
      <w:r>
        <w:rPr>
          <w:rFonts w:ascii="Cambria" w:hAnsi="Cambria"/>
          <w:sz w:val="22"/>
        </w:rPr>
        <w:t>Enduring scholarship ecosystems; India as a Global South education hub with reciprocal campuses.</w:t>
      </w:r>
    </w:p>
    <w:p>
      <w:pPr>
        <w:pStyle w:val="ListBullet2"/>
        <w:ind w:left="720"/>
        <w:jc w:val="both"/>
      </w:pPr>
      <w:r>
        <w:rPr>
          <w:rFonts w:ascii="Cambria" w:hAnsi="Cambria"/>
          <w:sz w:val="22"/>
        </w:rPr>
        <w:t>Large-scale joint degrees/research translating to societal impact.</w:t>
      </w:r>
    </w:p>
    <w:p>
      <w:pPr>
        <w:spacing w:after="120"/>
        <w:jc w:val="both"/>
      </w:pPr>
      <w:r>
        <w:rPr>
          <w:rFonts w:ascii="Cambria" w:hAnsi="Cambria"/>
          <w:b/>
          <w:i w:val="0"/>
          <w:sz w:val="22"/>
        </w:rPr>
        <w:t>4.C</w:t>
      </w:r>
    </w:p>
    <w:p>
      <w:pPr>
        <w:pStyle w:val="ListBullet2"/>
        <w:ind w:left="720"/>
        <w:jc w:val="both"/>
      </w:pPr>
      <w:r>
        <w:rPr>
          <w:rFonts w:ascii="Cambria" w:hAnsi="Cambria"/>
          <w:sz w:val="22"/>
        </w:rPr>
        <w:t>World-class teacher workforce with global mobility; research-informed practice mainstreamed.</w:t>
      </w:r>
    </w:p>
    <w:p>
      <w:pPr>
        <w:pStyle w:val="ListBullet2"/>
        <w:ind w:left="720"/>
        <w:jc w:val="both"/>
      </w:pPr>
      <w:r>
        <w:rPr>
          <w:rFonts w:ascii="Cambria" w:hAnsi="Cambria"/>
          <w:sz w:val="22"/>
        </w:rPr>
        <w:t>CPD embedded in appraisal &amp; incentives; pedagogy innovation funds permanent.</w:t>
      </w:r>
    </w:p>
    <w:p>
      <w:pPr>
        <w:spacing w:after="120"/>
        <w:jc w:val="both"/>
      </w:pPr>
      <w:r>
        <w:rPr>
          <w:rFonts w:ascii="Cambria" w:hAnsi="Cambria"/>
          <w:b/>
          <w:i w:val="0"/>
          <w:sz w:val="22"/>
        </w:rPr>
        <w:t>Cross-cutting enablers (all phases)</w:t>
      </w:r>
    </w:p>
    <w:p>
      <w:pPr>
        <w:pStyle w:val="ListBullet"/>
        <w:ind w:left="357"/>
        <w:jc w:val="both"/>
      </w:pPr>
      <w:r>
        <w:rPr>
          <w:rFonts w:ascii="Cambria" w:hAnsi="Cambria"/>
          <w:b/>
          <w:sz w:val="22"/>
        </w:rPr>
        <w:t xml:space="preserve">Financing: </w:t>
      </w:r>
      <w:r>
        <w:rPr>
          <w:rFonts w:ascii="Cambria" w:hAnsi="Cambria"/>
          <w:sz w:val="22"/>
        </w:rPr>
        <w:t>SDG-tagged budgets; outcome-based grants; CSR/philanthropy leverage.</w:t>
      </w:r>
    </w:p>
    <w:p>
      <w:pPr>
        <w:pStyle w:val="ListBullet"/>
        <w:ind w:left="357"/>
        <w:jc w:val="both"/>
      </w:pPr>
      <w:r>
        <w:rPr>
          <w:rFonts w:ascii="Cambria" w:hAnsi="Cambria"/>
          <w:b/>
          <w:sz w:val="22"/>
        </w:rPr>
        <w:t xml:space="preserve">Data &amp; tech: </w:t>
      </w:r>
      <w:r>
        <w:rPr>
          <w:rFonts w:ascii="Cambria" w:hAnsi="Cambria"/>
          <w:sz w:val="22"/>
        </w:rPr>
        <w:t>UDISE+/AISHE/ABC interoperability; learning analytics with privacy safeguards.</w:t>
      </w:r>
    </w:p>
    <w:p>
      <w:pPr>
        <w:pStyle w:val="ListBullet"/>
        <w:ind w:left="357"/>
        <w:jc w:val="both"/>
      </w:pPr>
      <w:r>
        <w:rPr>
          <w:rFonts w:ascii="Cambria" w:hAnsi="Cambria"/>
          <w:b/>
          <w:sz w:val="22"/>
        </w:rPr>
        <w:t xml:space="preserve">Quality assurance: </w:t>
      </w:r>
      <w:r>
        <w:rPr>
          <w:rFonts w:ascii="Cambria" w:hAnsi="Cambria"/>
          <w:sz w:val="22"/>
        </w:rPr>
        <w:t>SDG-4 KPIs in NAAC/NBA/NIRF; public dashboards for accountability.</w:t>
      </w:r>
    </w:p>
    <w:p>
      <w:pPr>
        <w:pStyle w:val="ListBullet"/>
        <w:ind w:left="357"/>
        <w:jc w:val="both"/>
      </w:pPr>
      <w:r>
        <w:rPr>
          <w:rFonts w:ascii="Cambria" w:hAnsi="Cambria"/>
          <w:b/>
          <w:sz w:val="22"/>
        </w:rPr>
        <w:t xml:space="preserve">Partnerships: </w:t>
      </w:r>
      <w:r>
        <w:rPr>
          <w:rFonts w:ascii="Cambria" w:hAnsi="Cambria"/>
          <w:sz w:val="22"/>
        </w:rPr>
        <w:t>Government–HEI–industry–civil society compacts; South–South collaboration.</w:t>
      </w:r>
    </w:p>
    <w:p>
      <w:pPr>
        <w:pStyle w:val="ListBullet"/>
        <w:ind w:left="357"/>
        <w:jc w:val="both"/>
      </w:pPr>
      <w:r>
        <w:rPr>
          <w:rFonts w:ascii="Cambria" w:hAnsi="Cambria"/>
          <w:b/>
          <w:sz w:val="22"/>
        </w:rPr>
        <w:t xml:space="preserve">Communications: </w:t>
      </w:r>
      <w:r>
        <w:rPr>
          <w:rFonts w:ascii="Cambria" w:hAnsi="Cambria"/>
          <w:sz w:val="22"/>
        </w:rPr>
        <w:t>Continuous campaigns on mother-tongue learning, girls' education, inclusion, ESD.</w:t>
      </w:r>
    </w:p>
    <w:p>
      <w:r>
        <w:br w:type="page"/>
      </w:r>
    </w:p>
    <w:p>
      <w:pPr>
        <w:spacing w:before="280" w:after="160"/>
        <w:jc w:val="left"/>
      </w:pPr>
      <w:r>
        <w:rPr>
          <w:rFonts w:ascii="Cambria" w:hAnsi="Cambria"/>
          <w:b/>
          <w:color w:val="1F3A5F"/>
          <w:sz w:val="32"/>
        </w:rPr>
        <w:t>7. National Policy Mapping, Roadmaps, and Implementation Frameworks for SDG-4 (Quality Education)</w:t>
      </w:r>
    </w:p>
    <w:p>
      <w:pPr>
        <w:spacing w:before="200" w:after="80"/>
        <w:jc w:val="left"/>
      </w:pPr>
      <w:r>
        <w:rPr>
          <w:rFonts w:ascii="Cambria" w:hAnsi="Cambria"/>
          <w:b/>
          <w:color w:val="1F3A5F"/>
          <w:sz w:val="25"/>
        </w:rPr>
        <w:t>1. Policy Mapping: Alignment Between NEP-2020 and SDG-4 Targets</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2041"/>
            <w:shd w:val="clear" w:color="auto" w:fill="1F3A5F"/>
            <w:tcW w:w="2041" w:type="dxa"/>
          </w:tcPr>
          <w:p>
            <w:pPr>
              <w:jc w:val="left"/>
            </w:pPr>
            <w:r/>
            <w:r>
              <w:rPr>
                <w:rFonts w:ascii="Cambria" w:hAnsi="Cambria"/>
                <w:b/>
                <w:i w:val="0"/>
                <w:color w:val="FFFFFF"/>
                <w:sz w:val="22"/>
              </w:rPr>
              <w:t>SDG-4 Target</w:t>
            </w:r>
          </w:p>
        </w:tc>
        <w:tc>
          <w:tcPr>
            <w:tcW w:type="dxa" w:w="3685"/>
            <w:shd w:val="clear" w:color="auto" w:fill="1F3A5F"/>
            <w:tcW w:w="3685" w:type="dxa"/>
          </w:tcPr>
          <w:p>
            <w:pPr>
              <w:jc w:val="left"/>
            </w:pPr>
            <w:r/>
            <w:r>
              <w:rPr>
                <w:rFonts w:ascii="Cambria" w:hAnsi="Cambria"/>
                <w:b/>
                <w:i w:val="0"/>
                <w:color w:val="FFFFFF"/>
                <w:sz w:val="22"/>
              </w:rPr>
              <w:t>NEP-2020 Priority Area / Policy Reform</w:t>
            </w:r>
          </w:p>
        </w:tc>
        <w:tc>
          <w:tcPr>
            <w:tcW w:type="dxa" w:w="1701"/>
            <w:shd w:val="clear" w:color="auto" w:fill="1F3A5F"/>
            <w:tcW w:w="1701" w:type="dxa"/>
          </w:tcPr>
          <w:p>
            <w:pPr>
              <w:jc w:val="left"/>
            </w:pPr>
            <w:r/>
            <w:r>
              <w:rPr>
                <w:rFonts w:ascii="Cambria" w:hAnsi="Cambria"/>
                <w:b/>
                <w:i w:val="0"/>
                <w:color w:val="FFFFFF"/>
                <w:sz w:val="22"/>
              </w:rPr>
              <w:t>Responsible Agencies</w:t>
            </w:r>
          </w:p>
        </w:tc>
        <w:tc>
          <w:tcPr>
            <w:tcW w:type="dxa" w:w="1984"/>
            <w:shd w:val="clear" w:color="auto" w:fill="1F3A5F"/>
            <w:tcW w:w="1984" w:type="dxa"/>
          </w:tcPr>
          <w:p>
            <w:pPr>
              <w:jc w:val="left"/>
            </w:pPr>
            <w:r/>
            <w:r>
              <w:rPr>
                <w:rFonts w:ascii="Cambria" w:hAnsi="Cambria"/>
                <w:b/>
                <w:i w:val="0"/>
                <w:color w:val="FFFFFF"/>
                <w:sz w:val="22"/>
              </w:rPr>
              <w:t>Outcome Alignment</w:t>
            </w:r>
          </w:p>
        </w:tc>
      </w:tr>
      <w:tr>
        <w:tc>
          <w:tcPr>
            <w:tcW w:type="dxa" w:w="2041"/>
            <w:tcW w:w="2041" w:type="dxa"/>
          </w:tcPr>
          <w:p>
            <w:pPr>
              <w:jc w:val="left"/>
            </w:pPr>
            <w:r/>
            <w:r>
              <w:rPr>
                <w:rFonts w:ascii="Cambria" w:hAnsi="Cambria"/>
                <w:b w:val="0"/>
                <w:i w:val="0"/>
                <w:sz w:val="22"/>
              </w:rPr>
              <w:t>4.1 – Free, equitable, quality school education</w:t>
            </w:r>
          </w:p>
        </w:tc>
        <w:tc>
          <w:tcPr>
            <w:tcW w:type="dxa" w:w="3685"/>
            <w:tcW w:w="3685" w:type="dxa"/>
          </w:tcPr>
          <w:p>
            <w:pPr>
              <w:jc w:val="left"/>
            </w:pPr>
            <w:r/>
            <w:r>
              <w:rPr>
                <w:rFonts w:ascii="Cambria" w:hAnsi="Cambria"/>
                <w:b w:val="0"/>
                <w:i w:val="0"/>
                <w:sz w:val="22"/>
              </w:rPr>
              <w:t>Universalization of education up to Grade 12; competency-based curriculum; RTE extension to secondary</w:t>
            </w:r>
          </w:p>
        </w:tc>
        <w:tc>
          <w:tcPr>
            <w:tcW w:type="dxa" w:w="1701"/>
            <w:tcW w:w="1701" w:type="dxa"/>
          </w:tcPr>
          <w:p>
            <w:pPr>
              <w:jc w:val="left"/>
            </w:pPr>
            <w:r/>
            <w:r>
              <w:rPr>
                <w:rFonts w:ascii="Cambria" w:hAnsi="Cambria"/>
                <w:b w:val="0"/>
                <w:i w:val="0"/>
                <w:sz w:val="22"/>
              </w:rPr>
              <w:t>MoE, NCERT, CBSE, State Education Depts.</w:t>
            </w:r>
          </w:p>
        </w:tc>
        <w:tc>
          <w:tcPr>
            <w:tcW w:type="dxa" w:w="1984"/>
            <w:tcW w:w="1984" w:type="dxa"/>
          </w:tcPr>
          <w:p>
            <w:pPr>
              <w:jc w:val="left"/>
            </w:pPr>
            <w:r/>
            <w:r>
              <w:rPr>
                <w:rFonts w:ascii="Cambria" w:hAnsi="Cambria"/>
                <w:b w:val="0"/>
                <w:i w:val="0"/>
                <w:sz w:val="22"/>
              </w:rPr>
              <w:t>Improves access, quality, and learning outcomes.</w:t>
            </w:r>
          </w:p>
        </w:tc>
      </w:tr>
      <w:tr>
        <w:tc>
          <w:tcPr>
            <w:tcW w:type="dxa" w:w="2041"/>
            <w:tcW w:w="2041" w:type="dxa"/>
            <w:shd w:val="clear" w:color="auto" w:fill="DCE6F1"/>
          </w:tcPr>
          <w:p>
            <w:pPr>
              <w:jc w:val="left"/>
            </w:pPr>
            <w:r/>
            <w:r>
              <w:rPr>
                <w:rFonts w:ascii="Cambria" w:hAnsi="Cambria"/>
                <w:b w:val="0"/>
                <w:i w:val="0"/>
                <w:sz w:val="22"/>
              </w:rPr>
              <w:t>4.2 – Early childhood care and pre-primary education</w:t>
            </w:r>
          </w:p>
        </w:tc>
        <w:tc>
          <w:tcPr>
            <w:tcW w:type="dxa" w:w="3685"/>
            <w:tcW w:w="3685" w:type="dxa"/>
            <w:shd w:val="clear" w:color="auto" w:fill="DCE6F1"/>
          </w:tcPr>
          <w:p>
            <w:pPr>
              <w:jc w:val="left"/>
            </w:pPr>
            <w:r/>
            <w:r>
              <w:rPr>
                <w:rFonts w:ascii="Cambria" w:hAnsi="Cambria"/>
                <w:b w:val="0"/>
                <w:i w:val="0"/>
                <w:sz w:val="22"/>
              </w:rPr>
              <w:t>Foundational Learning (ECCE) framework 3-6 yrs; integration of Anganwadi &amp; Pre-Schools</w:t>
            </w:r>
          </w:p>
        </w:tc>
        <w:tc>
          <w:tcPr>
            <w:tcW w:type="dxa" w:w="1701"/>
            <w:tcW w:w="1701" w:type="dxa"/>
            <w:shd w:val="clear" w:color="auto" w:fill="DCE6F1"/>
          </w:tcPr>
          <w:p>
            <w:pPr>
              <w:jc w:val="left"/>
            </w:pPr>
            <w:r/>
            <w:r>
              <w:rPr>
                <w:rFonts w:ascii="Cambria" w:hAnsi="Cambria"/>
                <w:b w:val="0"/>
                <w:i w:val="0"/>
                <w:sz w:val="22"/>
              </w:rPr>
              <w:t>MoWCD, MoE, NCERT</w:t>
            </w:r>
          </w:p>
        </w:tc>
        <w:tc>
          <w:tcPr>
            <w:tcW w:type="dxa" w:w="1984"/>
            <w:tcW w:w="1984" w:type="dxa"/>
            <w:shd w:val="clear" w:color="auto" w:fill="DCE6F1"/>
          </w:tcPr>
          <w:p>
            <w:pPr>
              <w:jc w:val="left"/>
            </w:pPr>
            <w:r/>
            <w:r>
              <w:rPr>
                <w:rFonts w:ascii="Cambria" w:hAnsi="Cambria"/>
                <w:b w:val="0"/>
                <w:i w:val="0"/>
                <w:sz w:val="22"/>
              </w:rPr>
              <w:t>Strengthens readiness for primary education.</w:t>
            </w:r>
          </w:p>
        </w:tc>
      </w:tr>
      <w:tr>
        <w:tc>
          <w:tcPr>
            <w:tcW w:type="dxa" w:w="2041"/>
            <w:tcW w:w="2041" w:type="dxa"/>
          </w:tcPr>
          <w:p>
            <w:pPr>
              <w:jc w:val="left"/>
            </w:pPr>
            <w:r/>
            <w:r>
              <w:rPr>
                <w:rFonts w:ascii="Cambria" w:hAnsi="Cambria"/>
                <w:b w:val="0"/>
                <w:i w:val="0"/>
                <w:sz w:val="22"/>
              </w:rPr>
              <w:t>4.3 – Technical &amp; vocational tertiary education</w:t>
            </w:r>
          </w:p>
        </w:tc>
        <w:tc>
          <w:tcPr>
            <w:tcW w:type="dxa" w:w="3685"/>
            <w:tcW w:w="3685" w:type="dxa"/>
          </w:tcPr>
          <w:p>
            <w:pPr>
              <w:jc w:val="left"/>
            </w:pPr>
            <w:r/>
            <w:r>
              <w:rPr>
                <w:rFonts w:ascii="Cambria" w:hAnsi="Cambria"/>
                <w:b w:val="0"/>
                <w:i w:val="0"/>
                <w:sz w:val="22"/>
              </w:rPr>
              <w:t>Vocationalization from Grade 6; Digital University; Academic Bank of Credits (ABC)</w:t>
            </w:r>
          </w:p>
        </w:tc>
        <w:tc>
          <w:tcPr>
            <w:tcW w:type="dxa" w:w="1701"/>
            <w:tcW w:w="1701" w:type="dxa"/>
          </w:tcPr>
          <w:p>
            <w:pPr>
              <w:jc w:val="left"/>
            </w:pPr>
            <w:r/>
            <w:r>
              <w:rPr>
                <w:rFonts w:ascii="Cambria" w:hAnsi="Cambria"/>
                <w:b w:val="0"/>
                <w:i w:val="0"/>
                <w:sz w:val="22"/>
              </w:rPr>
              <w:t>MoE, AICTE, UGC, NSDC</w:t>
            </w:r>
          </w:p>
        </w:tc>
        <w:tc>
          <w:tcPr>
            <w:tcW w:type="dxa" w:w="1984"/>
            <w:tcW w:w="1984" w:type="dxa"/>
          </w:tcPr>
          <w:p>
            <w:pPr>
              <w:jc w:val="left"/>
            </w:pPr>
            <w:r/>
            <w:r>
              <w:rPr>
                <w:rFonts w:ascii="Cambria" w:hAnsi="Cambria"/>
                <w:b w:val="0"/>
                <w:i w:val="0"/>
                <w:sz w:val="22"/>
              </w:rPr>
              <w:t>Expands affordable tertiary pathways and lifelong learning.</w:t>
            </w:r>
          </w:p>
        </w:tc>
      </w:tr>
      <w:tr>
        <w:tc>
          <w:tcPr>
            <w:tcW w:type="dxa" w:w="2041"/>
            <w:tcW w:w="2041" w:type="dxa"/>
            <w:shd w:val="clear" w:color="auto" w:fill="DCE6F1"/>
          </w:tcPr>
          <w:p>
            <w:pPr>
              <w:jc w:val="left"/>
            </w:pPr>
            <w:r/>
            <w:r>
              <w:rPr>
                <w:rFonts w:ascii="Cambria" w:hAnsi="Cambria"/>
                <w:b w:val="0"/>
                <w:i w:val="0"/>
                <w:sz w:val="22"/>
              </w:rPr>
              <w:t>4.4 – Skills for employment and entrepreneurship</w:t>
            </w:r>
          </w:p>
        </w:tc>
        <w:tc>
          <w:tcPr>
            <w:tcW w:type="dxa" w:w="3685"/>
            <w:tcW w:w="3685" w:type="dxa"/>
            <w:shd w:val="clear" w:color="auto" w:fill="DCE6F1"/>
          </w:tcPr>
          <w:p>
            <w:pPr>
              <w:jc w:val="left"/>
            </w:pPr>
            <w:r/>
            <w:r>
              <w:rPr>
                <w:rFonts w:ascii="Cambria" w:hAnsi="Cambria"/>
                <w:b w:val="0"/>
                <w:i w:val="0"/>
                <w:sz w:val="22"/>
              </w:rPr>
              <w:t>Skill India Mission; National Skill Qualification Framework (NSQF); start-up incubation in HEIs</w:t>
            </w:r>
          </w:p>
        </w:tc>
        <w:tc>
          <w:tcPr>
            <w:tcW w:type="dxa" w:w="1701"/>
            <w:tcW w:w="1701" w:type="dxa"/>
            <w:shd w:val="clear" w:color="auto" w:fill="DCE6F1"/>
          </w:tcPr>
          <w:p>
            <w:pPr>
              <w:jc w:val="left"/>
            </w:pPr>
            <w:r/>
            <w:r>
              <w:rPr>
                <w:rFonts w:ascii="Cambria" w:hAnsi="Cambria"/>
                <w:b w:val="0"/>
                <w:i w:val="0"/>
                <w:sz w:val="22"/>
              </w:rPr>
              <w:t>MoE, MSDE, AICTE, MSME Ministry</w:t>
            </w:r>
          </w:p>
        </w:tc>
        <w:tc>
          <w:tcPr>
            <w:tcW w:type="dxa" w:w="1984"/>
            <w:tcW w:w="1984" w:type="dxa"/>
            <w:shd w:val="clear" w:color="auto" w:fill="DCE6F1"/>
          </w:tcPr>
          <w:p>
            <w:pPr>
              <w:jc w:val="left"/>
            </w:pPr>
            <w:r/>
            <w:r>
              <w:rPr>
                <w:rFonts w:ascii="Cambria" w:hAnsi="Cambria"/>
                <w:b w:val="0"/>
                <w:i w:val="0"/>
                <w:sz w:val="22"/>
              </w:rPr>
              <w:t>Builds employability and entrepreneurial capability.</w:t>
            </w:r>
          </w:p>
        </w:tc>
      </w:tr>
      <w:tr>
        <w:tc>
          <w:tcPr>
            <w:tcW w:type="dxa" w:w="2041"/>
            <w:tcW w:w="2041" w:type="dxa"/>
          </w:tcPr>
          <w:p>
            <w:pPr>
              <w:jc w:val="left"/>
            </w:pPr>
            <w:r/>
            <w:r>
              <w:rPr>
                <w:rFonts w:ascii="Cambria" w:hAnsi="Cambria"/>
                <w:b w:val="0"/>
                <w:i w:val="0"/>
                <w:sz w:val="22"/>
              </w:rPr>
              <w:t>4.5 – Equity and inclusion</w:t>
            </w:r>
          </w:p>
        </w:tc>
        <w:tc>
          <w:tcPr>
            <w:tcW w:type="dxa" w:w="3685"/>
            <w:tcW w:w="3685" w:type="dxa"/>
          </w:tcPr>
          <w:p>
            <w:pPr>
              <w:jc w:val="left"/>
            </w:pPr>
            <w:r/>
            <w:r>
              <w:rPr>
                <w:rFonts w:ascii="Cambria" w:hAnsi="Cambria"/>
                <w:b w:val="0"/>
                <w:i w:val="0"/>
                <w:sz w:val="22"/>
              </w:rPr>
              <w:t>Gender Inclusion Fund, Disability Inclusion Unit, digital equity initiatives</w:t>
            </w:r>
          </w:p>
        </w:tc>
        <w:tc>
          <w:tcPr>
            <w:tcW w:type="dxa" w:w="1701"/>
            <w:tcW w:w="1701" w:type="dxa"/>
          </w:tcPr>
          <w:p>
            <w:pPr>
              <w:jc w:val="left"/>
            </w:pPr>
            <w:r/>
            <w:r>
              <w:rPr>
                <w:rFonts w:ascii="Cambria" w:hAnsi="Cambria"/>
                <w:b w:val="0"/>
                <w:i w:val="0"/>
                <w:sz w:val="22"/>
              </w:rPr>
              <w:t>MoE, UGC, NCERT, States</w:t>
            </w:r>
          </w:p>
        </w:tc>
        <w:tc>
          <w:tcPr>
            <w:tcW w:type="dxa" w:w="1984"/>
            <w:tcW w:w="1984" w:type="dxa"/>
          </w:tcPr>
          <w:p>
            <w:pPr>
              <w:jc w:val="left"/>
            </w:pPr>
            <w:r/>
            <w:r>
              <w:rPr>
                <w:rFonts w:ascii="Cambria" w:hAnsi="Cambria"/>
                <w:b w:val="0"/>
                <w:i w:val="0"/>
                <w:sz w:val="22"/>
              </w:rPr>
              <w:t>Eliminates discrimination; bridges digital &amp; gender divide.</w:t>
            </w:r>
          </w:p>
        </w:tc>
      </w:tr>
      <w:tr>
        <w:tc>
          <w:tcPr>
            <w:tcW w:type="dxa" w:w="2041"/>
            <w:tcW w:w="2041" w:type="dxa"/>
            <w:shd w:val="clear" w:color="auto" w:fill="DCE6F1"/>
          </w:tcPr>
          <w:p>
            <w:pPr>
              <w:jc w:val="left"/>
            </w:pPr>
            <w:r/>
            <w:r>
              <w:rPr>
                <w:rFonts w:ascii="Cambria" w:hAnsi="Cambria"/>
                <w:b w:val="0"/>
                <w:i w:val="0"/>
                <w:sz w:val="22"/>
              </w:rPr>
              <w:t>4.6 – Literacy &amp; numeracy</w:t>
            </w:r>
          </w:p>
        </w:tc>
        <w:tc>
          <w:tcPr>
            <w:tcW w:type="dxa" w:w="3685"/>
            <w:tcW w:w="3685" w:type="dxa"/>
            <w:shd w:val="clear" w:color="auto" w:fill="DCE6F1"/>
          </w:tcPr>
          <w:p>
            <w:pPr>
              <w:jc w:val="left"/>
            </w:pPr>
            <w:r/>
            <w:r>
              <w:rPr>
                <w:rFonts w:ascii="Cambria" w:hAnsi="Cambria"/>
                <w:b w:val="0"/>
                <w:i w:val="0"/>
                <w:sz w:val="22"/>
              </w:rPr>
              <w:t>NIPUN Bharat Mission; New India Literacy Programme</w:t>
            </w:r>
          </w:p>
        </w:tc>
        <w:tc>
          <w:tcPr>
            <w:tcW w:type="dxa" w:w="1701"/>
            <w:tcW w:w="1701" w:type="dxa"/>
            <w:shd w:val="clear" w:color="auto" w:fill="DCE6F1"/>
          </w:tcPr>
          <w:p>
            <w:pPr>
              <w:jc w:val="left"/>
            </w:pPr>
            <w:r/>
            <w:r>
              <w:rPr>
                <w:rFonts w:ascii="Cambria" w:hAnsi="Cambria"/>
                <w:b w:val="0"/>
                <w:i w:val="0"/>
                <w:sz w:val="22"/>
              </w:rPr>
              <w:t>MoE, NCERT, SCERTs</w:t>
            </w:r>
          </w:p>
        </w:tc>
        <w:tc>
          <w:tcPr>
            <w:tcW w:type="dxa" w:w="1984"/>
            <w:tcW w:w="1984" w:type="dxa"/>
            <w:shd w:val="clear" w:color="auto" w:fill="DCE6F1"/>
          </w:tcPr>
          <w:p>
            <w:pPr>
              <w:jc w:val="left"/>
            </w:pPr>
            <w:r/>
            <w:r>
              <w:rPr>
                <w:rFonts w:ascii="Cambria" w:hAnsi="Cambria"/>
                <w:b w:val="0"/>
                <w:i w:val="0"/>
                <w:sz w:val="22"/>
              </w:rPr>
              <w:t>Achieves foundational &amp; adult literacy by 2027.</w:t>
            </w:r>
          </w:p>
        </w:tc>
      </w:tr>
      <w:tr>
        <w:tc>
          <w:tcPr>
            <w:tcW w:type="dxa" w:w="2041"/>
            <w:tcW w:w="2041" w:type="dxa"/>
          </w:tcPr>
          <w:p>
            <w:pPr>
              <w:jc w:val="left"/>
            </w:pPr>
            <w:r/>
            <w:r>
              <w:rPr>
                <w:rFonts w:ascii="Cambria" w:hAnsi="Cambria"/>
                <w:b w:val="0"/>
                <w:i w:val="0"/>
                <w:sz w:val="22"/>
              </w:rPr>
              <w:t>4.7 – Education for sustainable development &amp; global citizenship</w:t>
            </w:r>
          </w:p>
        </w:tc>
        <w:tc>
          <w:tcPr>
            <w:tcW w:type="dxa" w:w="3685"/>
            <w:tcW w:w="3685" w:type="dxa"/>
          </w:tcPr>
          <w:p>
            <w:pPr>
              <w:jc w:val="left"/>
            </w:pPr>
            <w:r/>
            <w:r>
              <w:rPr>
                <w:rFonts w:ascii="Cambria" w:hAnsi="Cambria"/>
                <w:b w:val="0"/>
                <w:i w:val="0"/>
                <w:sz w:val="22"/>
              </w:rPr>
              <w:t>Value-based education, ESD integration, multilingualism, civic responsibility modules</w:t>
            </w:r>
          </w:p>
        </w:tc>
        <w:tc>
          <w:tcPr>
            <w:tcW w:type="dxa" w:w="1701"/>
            <w:tcW w:w="1701" w:type="dxa"/>
          </w:tcPr>
          <w:p>
            <w:pPr>
              <w:jc w:val="left"/>
            </w:pPr>
            <w:r/>
            <w:r>
              <w:rPr>
                <w:rFonts w:ascii="Cambria" w:hAnsi="Cambria"/>
                <w:b w:val="0"/>
                <w:i w:val="0"/>
                <w:sz w:val="22"/>
              </w:rPr>
              <w:t>MoE, UGC, NCERT, HEIs</w:t>
            </w:r>
          </w:p>
        </w:tc>
        <w:tc>
          <w:tcPr>
            <w:tcW w:type="dxa" w:w="1984"/>
            <w:tcW w:w="1984" w:type="dxa"/>
          </w:tcPr>
          <w:p>
            <w:pPr>
              <w:jc w:val="left"/>
            </w:pPr>
            <w:r/>
            <w:r>
              <w:rPr>
                <w:rFonts w:ascii="Cambria" w:hAnsi="Cambria"/>
                <w:b w:val="0"/>
                <w:i w:val="0"/>
                <w:sz w:val="22"/>
              </w:rPr>
              <w:t>Builds sustainability, peace &amp; global citizenship competencies.</w:t>
            </w:r>
          </w:p>
        </w:tc>
      </w:tr>
      <w:tr>
        <w:tc>
          <w:tcPr>
            <w:tcW w:type="dxa" w:w="2041"/>
            <w:tcW w:w="2041" w:type="dxa"/>
            <w:shd w:val="clear" w:color="auto" w:fill="DCE6F1"/>
          </w:tcPr>
          <w:p>
            <w:pPr>
              <w:jc w:val="left"/>
            </w:pPr>
            <w:r/>
            <w:r>
              <w:rPr>
                <w:rFonts w:ascii="Cambria" w:hAnsi="Cambria"/>
                <w:b w:val="0"/>
                <w:i w:val="0"/>
                <w:sz w:val="22"/>
              </w:rPr>
              <w:t>4.A – Safe &amp; inclusive learning environments</w:t>
            </w:r>
          </w:p>
        </w:tc>
        <w:tc>
          <w:tcPr>
            <w:tcW w:type="dxa" w:w="3685"/>
            <w:tcW w:w="3685" w:type="dxa"/>
            <w:shd w:val="clear" w:color="auto" w:fill="DCE6F1"/>
          </w:tcPr>
          <w:p>
            <w:pPr>
              <w:jc w:val="left"/>
            </w:pPr>
            <w:r/>
            <w:r>
              <w:rPr>
                <w:rFonts w:ascii="Cambria" w:hAnsi="Cambria"/>
                <w:b w:val="0"/>
                <w:i w:val="0"/>
                <w:sz w:val="22"/>
              </w:rPr>
              <w:t>Safe Campus Policy, gender audit, RPwD Act compliance, Green Campus Initiatives</w:t>
            </w:r>
          </w:p>
        </w:tc>
        <w:tc>
          <w:tcPr>
            <w:tcW w:type="dxa" w:w="1701"/>
            <w:tcW w:w="1701" w:type="dxa"/>
            <w:shd w:val="clear" w:color="auto" w:fill="DCE6F1"/>
          </w:tcPr>
          <w:p>
            <w:pPr>
              <w:jc w:val="left"/>
            </w:pPr>
            <w:r/>
            <w:r>
              <w:rPr>
                <w:rFonts w:ascii="Cambria" w:hAnsi="Cambria"/>
                <w:b w:val="0"/>
                <w:i w:val="0"/>
                <w:sz w:val="22"/>
              </w:rPr>
              <w:t>MoE, UGC, NAAC, States</w:t>
            </w:r>
          </w:p>
        </w:tc>
        <w:tc>
          <w:tcPr>
            <w:tcW w:type="dxa" w:w="1984"/>
            <w:tcW w:w="1984" w:type="dxa"/>
            <w:shd w:val="clear" w:color="auto" w:fill="DCE6F1"/>
          </w:tcPr>
          <w:p>
            <w:pPr>
              <w:jc w:val="left"/>
            </w:pPr>
            <w:r/>
            <w:r>
              <w:rPr>
                <w:rFonts w:ascii="Cambria" w:hAnsi="Cambria"/>
                <w:b w:val="0"/>
                <w:i w:val="0"/>
                <w:sz w:val="22"/>
              </w:rPr>
              <w:t>Child-, disability- &amp; gender-sensitive infrastructure.</w:t>
            </w:r>
          </w:p>
        </w:tc>
      </w:tr>
      <w:tr>
        <w:tc>
          <w:tcPr>
            <w:tcW w:type="dxa" w:w="2041"/>
            <w:tcW w:w="2041" w:type="dxa"/>
          </w:tcPr>
          <w:p>
            <w:pPr>
              <w:jc w:val="left"/>
            </w:pPr>
            <w:r/>
            <w:r>
              <w:rPr>
                <w:rFonts w:ascii="Cambria" w:hAnsi="Cambria"/>
                <w:b w:val="0"/>
                <w:i w:val="0"/>
                <w:sz w:val="22"/>
              </w:rPr>
              <w:t>4.B – Scholarships &amp; international cooperation</w:t>
            </w:r>
          </w:p>
        </w:tc>
        <w:tc>
          <w:tcPr>
            <w:tcW w:type="dxa" w:w="3685"/>
            <w:tcW w:w="3685" w:type="dxa"/>
          </w:tcPr>
          <w:p>
            <w:pPr>
              <w:jc w:val="left"/>
            </w:pPr>
            <w:r/>
            <w:r>
              <w:rPr>
                <w:rFonts w:ascii="Cambria" w:hAnsi="Cambria"/>
                <w:b w:val="0"/>
                <w:i w:val="0"/>
                <w:sz w:val="22"/>
              </w:rPr>
              <w:t>Study in India, ICCR Scholarships, Joint/Dual Degrees Regulations (2022)</w:t>
            </w:r>
          </w:p>
        </w:tc>
        <w:tc>
          <w:tcPr>
            <w:tcW w:type="dxa" w:w="1701"/>
            <w:tcW w:w="1701" w:type="dxa"/>
          </w:tcPr>
          <w:p>
            <w:pPr>
              <w:jc w:val="left"/>
            </w:pPr>
            <w:r/>
            <w:r>
              <w:rPr>
                <w:rFonts w:ascii="Cambria" w:hAnsi="Cambria"/>
                <w:b w:val="0"/>
                <w:i w:val="0"/>
                <w:sz w:val="22"/>
              </w:rPr>
              <w:t>MoE, ICCR, UGC</w:t>
            </w:r>
          </w:p>
        </w:tc>
        <w:tc>
          <w:tcPr>
            <w:tcW w:type="dxa" w:w="1984"/>
            <w:tcW w:w="1984" w:type="dxa"/>
          </w:tcPr>
          <w:p>
            <w:pPr>
              <w:jc w:val="left"/>
            </w:pPr>
            <w:r/>
            <w:r>
              <w:rPr>
                <w:rFonts w:ascii="Cambria" w:hAnsi="Cambria"/>
                <w:b w:val="0"/>
                <w:i w:val="0"/>
                <w:sz w:val="22"/>
              </w:rPr>
              <w:t>Expands international academic mobility.</w:t>
            </w:r>
          </w:p>
        </w:tc>
      </w:tr>
      <w:tr>
        <w:tc>
          <w:tcPr>
            <w:tcW w:type="dxa" w:w="2041"/>
            <w:tcW w:w="2041" w:type="dxa"/>
            <w:shd w:val="clear" w:color="auto" w:fill="DCE6F1"/>
          </w:tcPr>
          <w:p>
            <w:pPr>
              <w:jc w:val="left"/>
            </w:pPr>
            <w:r/>
            <w:r>
              <w:rPr>
                <w:rFonts w:ascii="Cambria" w:hAnsi="Cambria"/>
                <w:b w:val="0"/>
                <w:i w:val="0"/>
                <w:sz w:val="22"/>
              </w:rPr>
              <w:t>4.C – Qualified teachers &amp; capacity building</w:t>
            </w:r>
          </w:p>
        </w:tc>
        <w:tc>
          <w:tcPr>
            <w:tcW w:type="dxa" w:w="3685"/>
            <w:tcW w:w="3685" w:type="dxa"/>
            <w:shd w:val="clear" w:color="auto" w:fill="DCE6F1"/>
          </w:tcPr>
          <w:p>
            <w:pPr>
              <w:jc w:val="left"/>
            </w:pPr>
            <w:r/>
            <w:r>
              <w:rPr>
                <w:rFonts w:ascii="Cambria" w:hAnsi="Cambria"/>
                <w:b w:val="0"/>
                <w:i w:val="0"/>
                <w:sz w:val="22"/>
              </w:rPr>
              <w:t>National Mission for Mentoring Teachers (NMMT), PMMMNMTT, CPD Framework</w:t>
            </w:r>
          </w:p>
        </w:tc>
        <w:tc>
          <w:tcPr>
            <w:tcW w:type="dxa" w:w="1701"/>
            <w:tcW w:w="1701" w:type="dxa"/>
            <w:shd w:val="clear" w:color="auto" w:fill="DCE6F1"/>
          </w:tcPr>
          <w:p>
            <w:pPr>
              <w:jc w:val="left"/>
            </w:pPr>
            <w:r/>
            <w:r>
              <w:rPr>
                <w:rFonts w:ascii="Cambria" w:hAnsi="Cambria"/>
                <w:b w:val="0"/>
                <w:i w:val="0"/>
                <w:sz w:val="22"/>
              </w:rPr>
              <w:t>MoE, NCTE, SCERTs</w:t>
            </w:r>
          </w:p>
        </w:tc>
        <w:tc>
          <w:tcPr>
            <w:tcW w:type="dxa" w:w="1984"/>
            <w:tcW w:w="1984" w:type="dxa"/>
            <w:shd w:val="clear" w:color="auto" w:fill="DCE6F1"/>
          </w:tcPr>
          <w:p>
            <w:pPr>
              <w:jc w:val="left"/>
            </w:pPr>
            <w:r/>
            <w:r>
              <w:rPr>
                <w:rFonts w:ascii="Cambria" w:hAnsi="Cambria"/>
                <w:b w:val="0"/>
                <w:i w:val="0"/>
                <w:sz w:val="22"/>
              </w:rPr>
              <w:t>Strengthens teacher quality and global collaboration.</w:t>
            </w:r>
          </w:p>
        </w:tc>
      </w:tr>
    </w:tbl>
    <w:p>
      <w:pPr>
        <w:spacing w:before="200" w:after="80"/>
        <w:jc w:val="left"/>
      </w:pPr>
      <w:r>
        <w:rPr>
          <w:rFonts w:ascii="Cambria" w:hAnsi="Cambria"/>
          <w:b/>
          <w:color w:val="1F3A5F"/>
          <w:sz w:val="25"/>
        </w:rPr>
        <w:t>2. Roadmap Overview (Integrated with NEP-2020 Phases)</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587"/>
            <w:shd w:val="clear" w:color="auto" w:fill="1F3A5F"/>
            <w:tcW w:w="1587" w:type="dxa"/>
          </w:tcPr>
          <w:p>
            <w:pPr>
              <w:jc w:val="left"/>
            </w:pPr>
            <w:r/>
            <w:r>
              <w:rPr>
                <w:rFonts w:ascii="Cambria" w:hAnsi="Cambria"/>
                <w:b/>
                <w:i w:val="0"/>
                <w:color w:val="FFFFFF"/>
                <w:sz w:val="22"/>
              </w:rPr>
              <w:t>Timeframe</w:t>
            </w:r>
          </w:p>
        </w:tc>
        <w:tc>
          <w:tcPr>
            <w:tcW w:type="dxa" w:w="2154"/>
            <w:shd w:val="clear" w:color="auto" w:fill="1F3A5F"/>
            <w:tcW w:w="2154" w:type="dxa"/>
          </w:tcPr>
          <w:p>
            <w:pPr>
              <w:jc w:val="left"/>
            </w:pPr>
            <w:r/>
            <w:r>
              <w:rPr>
                <w:rFonts w:ascii="Cambria" w:hAnsi="Cambria"/>
                <w:b/>
                <w:i w:val="0"/>
                <w:color w:val="FFFFFF"/>
                <w:sz w:val="22"/>
              </w:rPr>
              <w:t>Strategic Focus Areas</w:t>
            </w:r>
          </w:p>
        </w:tc>
        <w:tc>
          <w:tcPr>
            <w:tcW w:type="dxa" w:w="3118"/>
            <w:shd w:val="clear" w:color="auto" w:fill="1F3A5F"/>
            <w:tcW w:w="3118" w:type="dxa"/>
          </w:tcPr>
          <w:p>
            <w:pPr>
              <w:jc w:val="left"/>
            </w:pPr>
            <w:r/>
            <w:r>
              <w:rPr>
                <w:rFonts w:ascii="Cambria" w:hAnsi="Cambria"/>
                <w:b/>
                <w:i w:val="0"/>
                <w:color w:val="FFFFFF"/>
                <w:sz w:val="22"/>
              </w:rPr>
              <w:t>Key Deliverables</w:t>
            </w:r>
          </w:p>
        </w:tc>
        <w:tc>
          <w:tcPr>
            <w:tcW w:type="dxa" w:w="2551"/>
            <w:shd w:val="clear" w:color="auto" w:fill="1F3A5F"/>
            <w:tcW w:w="2551" w:type="dxa"/>
          </w:tcPr>
          <w:p>
            <w:pPr>
              <w:jc w:val="left"/>
            </w:pPr>
            <w:r/>
            <w:r>
              <w:rPr>
                <w:rFonts w:ascii="Cambria" w:hAnsi="Cambria"/>
                <w:b/>
                <w:i w:val="0"/>
                <w:color w:val="FFFFFF"/>
                <w:sz w:val="22"/>
              </w:rPr>
              <w:t>Indicators of Progress</w:t>
            </w:r>
          </w:p>
        </w:tc>
      </w:tr>
      <w:tr>
        <w:tc>
          <w:tcPr>
            <w:tcW w:type="dxa" w:w="1587"/>
            <w:tcW w:w="1587" w:type="dxa"/>
          </w:tcPr>
          <w:p>
            <w:pPr>
              <w:jc w:val="left"/>
            </w:pPr>
            <w:r/>
            <w:r>
              <w:rPr>
                <w:rFonts w:ascii="Cambria" w:hAnsi="Cambria"/>
                <w:b w:val="0"/>
                <w:i w:val="0"/>
                <w:sz w:val="22"/>
              </w:rPr>
              <w:t>Short-Term (2024 – 2026)</w:t>
            </w:r>
          </w:p>
        </w:tc>
        <w:tc>
          <w:tcPr>
            <w:tcW w:type="dxa" w:w="2154"/>
            <w:tcW w:w="2154" w:type="dxa"/>
          </w:tcPr>
          <w:p>
            <w:pPr>
              <w:jc w:val="left"/>
            </w:pPr>
            <w:r/>
            <w:r>
              <w:rPr>
                <w:rFonts w:ascii="Cambria" w:hAnsi="Cambria"/>
                <w:b w:val="0"/>
                <w:i w:val="0"/>
                <w:sz w:val="22"/>
              </w:rPr>
              <w:t>Foundational readiness &amp; digital transition</w:t>
            </w:r>
          </w:p>
        </w:tc>
        <w:tc>
          <w:tcPr>
            <w:tcW w:type="dxa" w:w="3118"/>
            <w:tcW w:w="3118" w:type="dxa"/>
          </w:tcPr>
          <w:p>
            <w:pPr>
              <w:jc w:val="left"/>
            </w:pPr>
            <w:r/>
            <w:r>
              <w:rPr>
                <w:rFonts w:ascii="Cambria" w:hAnsi="Cambria"/>
                <w:b w:val="0"/>
                <w:i w:val="0"/>
                <w:sz w:val="22"/>
              </w:rPr>
              <w:t>ECCE &amp; NIPUN Bharat scaling; Digital University pilot; SDG-4 dashboard activation</w:t>
            </w:r>
          </w:p>
        </w:tc>
        <w:tc>
          <w:tcPr>
            <w:tcW w:type="dxa" w:w="2551"/>
            <w:tcW w:w="2551" w:type="dxa"/>
          </w:tcPr>
          <w:p>
            <w:pPr>
              <w:jc w:val="left"/>
            </w:pPr>
            <w:r/>
            <w:r>
              <w:rPr>
                <w:rFonts w:ascii="Cambria" w:hAnsi="Cambria"/>
                <w:b w:val="0"/>
                <w:i w:val="0"/>
                <w:sz w:val="22"/>
              </w:rPr>
              <w:t>Enrolment &gt; 98%; FLN baseline; &gt; 50% schools ICT-enabled</w:t>
            </w:r>
          </w:p>
        </w:tc>
      </w:tr>
      <w:tr>
        <w:tc>
          <w:tcPr>
            <w:tcW w:type="dxa" w:w="1587"/>
            <w:tcW w:w="1587" w:type="dxa"/>
            <w:shd w:val="clear" w:color="auto" w:fill="DCE6F1"/>
          </w:tcPr>
          <w:p>
            <w:pPr>
              <w:jc w:val="left"/>
            </w:pPr>
            <w:r/>
            <w:r>
              <w:rPr>
                <w:rFonts w:ascii="Cambria" w:hAnsi="Cambria"/>
                <w:b w:val="0"/>
                <w:i w:val="0"/>
                <w:sz w:val="22"/>
              </w:rPr>
              <w:t>Medium-Term (2027 – 2030)</w:t>
            </w:r>
          </w:p>
        </w:tc>
        <w:tc>
          <w:tcPr>
            <w:tcW w:type="dxa" w:w="2154"/>
            <w:tcW w:w="2154" w:type="dxa"/>
            <w:shd w:val="clear" w:color="auto" w:fill="DCE6F1"/>
          </w:tcPr>
          <w:p>
            <w:pPr>
              <w:jc w:val="left"/>
            </w:pPr>
            <w:r/>
            <w:r>
              <w:rPr>
                <w:rFonts w:ascii="Cambria" w:hAnsi="Cambria"/>
                <w:b w:val="0"/>
                <w:i w:val="0"/>
                <w:sz w:val="22"/>
              </w:rPr>
              <w:t>System integration &amp; quality assurance</w:t>
            </w:r>
          </w:p>
        </w:tc>
        <w:tc>
          <w:tcPr>
            <w:tcW w:type="dxa" w:w="3118"/>
            <w:tcW w:w="3118" w:type="dxa"/>
            <w:shd w:val="clear" w:color="auto" w:fill="DCE6F1"/>
          </w:tcPr>
          <w:p>
            <w:pPr>
              <w:jc w:val="left"/>
            </w:pPr>
            <w:r/>
            <w:r>
              <w:rPr>
                <w:rFonts w:ascii="Cambria" w:hAnsi="Cambria"/>
                <w:b w:val="0"/>
                <w:i w:val="0"/>
                <w:sz w:val="22"/>
              </w:rPr>
              <w:t>Universal secondary completion; ABC &amp; Multiple Entry-Exit rollout; Safe Campus Index implementation</w:t>
            </w:r>
          </w:p>
        </w:tc>
        <w:tc>
          <w:tcPr>
            <w:tcW w:type="dxa" w:w="2551"/>
            <w:tcW w:w="2551" w:type="dxa"/>
            <w:shd w:val="clear" w:color="auto" w:fill="DCE6F1"/>
          </w:tcPr>
          <w:p>
            <w:pPr>
              <w:jc w:val="left"/>
            </w:pPr>
            <w:r/>
            <w:r>
              <w:rPr>
                <w:rFonts w:ascii="Cambria" w:hAnsi="Cambria"/>
                <w:b w:val="0"/>
                <w:i w:val="0"/>
                <w:sz w:val="22"/>
              </w:rPr>
              <w:t>Dropout &lt; 5%; TVET enrolment ↑ 40%; All HEIs SDG-certified</w:t>
            </w:r>
          </w:p>
        </w:tc>
      </w:tr>
      <w:tr>
        <w:tc>
          <w:tcPr>
            <w:tcW w:type="dxa" w:w="1587"/>
            <w:tcW w:w="1587" w:type="dxa"/>
          </w:tcPr>
          <w:p>
            <w:pPr>
              <w:jc w:val="left"/>
            </w:pPr>
            <w:r/>
            <w:r>
              <w:rPr>
                <w:rFonts w:ascii="Cambria" w:hAnsi="Cambria"/>
                <w:b w:val="0"/>
                <w:i w:val="0"/>
                <w:sz w:val="22"/>
              </w:rPr>
              <w:t>Long-Term (2031 – 2040)</w:t>
            </w:r>
          </w:p>
        </w:tc>
        <w:tc>
          <w:tcPr>
            <w:tcW w:type="dxa" w:w="2154"/>
            <w:tcW w:w="2154" w:type="dxa"/>
          </w:tcPr>
          <w:p>
            <w:pPr>
              <w:jc w:val="left"/>
            </w:pPr>
            <w:r/>
            <w:r>
              <w:rPr>
                <w:rFonts w:ascii="Cambria" w:hAnsi="Cambria"/>
                <w:b w:val="0"/>
                <w:i w:val="0"/>
                <w:sz w:val="22"/>
              </w:rPr>
              <w:t>Institutionalization &amp; global leadership</w:t>
            </w:r>
          </w:p>
        </w:tc>
        <w:tc>
          <w:tcPr>
            <w:tcW w:type="dxa" w:w="3118"/>
            <w:tcW w:w="3118" w:type="dxa"/>
          </w:tcPr>
          <w:p>
            <w:pPr>
              <w:jc w:val="left"/>
            </w:pPr>
            <w:r/>
            <w:r>
              <w:rPr>
                <w:rFonts w:ascii="Cambria" w:hAnsi="Cambria"/>
                <w:b w:val="0"/>
                <w:i w:val="0"/>
                <w:sz w:val="22"/>
              </w:rPr>
              <w:t>India as Global South Education Hub; 100% functional adult literacy; Teacher mobility framework operational</w:t>
            </w:r>
          </w:p>
        </w:tc>
        <w:tc>
          <w:tcPr>
            <w:tcW w:type="dxa" w:w="2551"/>
            <w:tcW w:w="2551" w:type="dxa"/>
          </w:tcPr>
          <w:p>
            <w:pPr>
              <w:jc w:val="left"/>
            </w:pPr>
            <w:r/>
            <w:r>
              <w:rPr>
                <w:rFonts w:ascii="Cambria" w:hAnsi="Cambria"/>
                <w:b w:val="0"/>
                <w:i w:val="0"/>
                <w:sz w:val="22"/>
              </w:rPr>
              <w:t>UNESCO SDG-4 benchmark achieved; India top-50 education exporter</w:t>
            </w:r>
          </w:p>
        </w:tc>
      </w:tr>
    </w:tbl>
    <w:p>
      <w:pPr>
        <w:spacing w:before="200" w:after="80"/>
        <w:jc w:val="left"/>
      </w:pPr>
      <w:r>
        <w:rPr>
          <w:rFonts w:ascii="Cambria" w:hAnsi="Cambria"/>
          <w:b/>
          <w:color w:val="1F3A5F"/>
          <w:sz w:val="25"/>
        </w:rPr>
        <w:t>3. Implementation Framework (Institutional Roles and Mechanisms)</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814"/>
            <w:shd w:val="clear" w:color="auto" w:fill="1F3A5F"/>
            <w:tcW w:w="1814" w:type="dxa"/>
          </w:tcPr>
          <w:p>
            <w:pPr>
              <w:jc w:val="left"/>
            </w:pPr>
            <w:r/>
            <w:r>
              <w:rPr>
                <w:rFonts w:ascii="Cambria" w:hAnsi="Cambria"/>
                <w:b/>
                <w:i w:val="0"/>
                <w:color w:val="FFFFFF"/>
                <w:sz w:val="22"/>
              </w:rPr>
              <w:t>Level</w:t>
            </w:r>
          </w:p>
        </w:tc>
        <w:tc>
          <w:tcPr>
            <w:tcW w:type="dxa" w:w="2438"/>
            <w:shd w:val="clear" w:color="auto" w:fill="1F3A5F"/>
            <w:tcW w:w="2438" w:type="dxa"/>
          </w:tcPr>
          <w:p>
            <w:pPr>
              <w:jc w:val="left"/>
            </w:pPr>
            <w:r/>
            <w:r>
              <w:rPr>
                <w:rFonts w:ascii="Cambria" w:hAnsi="Cambria"/>
                <w:b/>
                <w:i w:val="0"/>
                <w:color w:val="FFFFFF"/>
                <w:sz w:val="22"/>
              </w:rPr>
              <w:t>Key Actors</w:t>
            </w:r>
          </w:p>
        </w:tc>
        <w:tc>
          <w:tcPr>
            <w:tcW w:type="dxa" w:w="2665"/>
            <w:shd w:val="clear" w:color="auto" w:fill="1F3A5F"/>
            <w:tcW w:w="2664" w:type="dxa"/>
          </w:tcPr>
          <w:p>
            <w:pPr>
              <w:jc w:val="left"/>
            </w:pPr>
            <w:r/>
            <w:r>
              <w:rPr>
                <w:rFonts w:ascii="Cambria" w:hAnsi="Cambria"/>
                <w:b/>
                <w:i w:val="0"/>
                <w:color w:val="FFFFFF"/>
                <w:sz w:val="22"/>
              </w:rPr>
              <w:t>Core Responsibilities</w:t>
            </w:r>
          </w:p>
        </w:tc>
        <w:tc>
          <w:tcPr>
            <w:tcW w:type="dxa" w:w="2494"/>
            <w:shd w:val="clear" w:color="auto" w:fill="1F3A5F"/>
            <w:tcW w:w="2494" w:type="dxa"/>
          </w:tcPr>
          <w:p>
            <w:pPr>
              <w:jc w:val="left"/>
            </w:pPr>
            <w:r/>
            <w:r>
              <w:rPr>
                <w:rFonts w:ascii="Cambria" w:hAnsi="Cambria"/>
                <w:b/>
                <w:i w:val="0"/>
                <w:color w:val="FFFFFF"/>
                <w:sz w:val="22"/>
              </w:rPr>
              <w:t>Coordination Mechanism</w:t>
            </w:r>
          </w:p>
        </w:tc>
      </w:tr>
      <w:tr>
        <w:tc>
          <w:tcPr>
            <w:tcW w:type="dxa" w:w="1814"/>
            <w:tcW w:w="1814" w:type="dxa"/>
          </w:tcPr>
          <w:p>
            <w:pPr>
              <w:jc w:val="left"/>
            </w:pPr>
            <w:r/>
            <w:r>
              <w:rPr>
                <w:rFonts w:ascii="Cambria" w:hAnsi="Cambria"/>
                <w:b w:val="0"/>
                <w:i w:val="0"/>
                <w:sz w:val="22"/>
              </w:rPr>
              <w:t>National / Central</w:t>
            </w:r>
          </w:p>
        </w:tc>
        <w:tc>
          <w:tcPr>
            <w:tcW w:type="dxa" w:w="2438"/>
            <w:tcW w:w="2438" w:type="dxa"/>
          </w:tcPr>
          <w:p>
            <w:pPr>
              <w:jc w:val="left"/>
            </w:pPr>
            <w:r/>
            <w:r>
              <w:rPr>
                <w:rFonts w:ascii="Cambria" w:hAnsi="Cambria"/>
                <w:b w:val="0"/>
                <w:i w:val="0"/>
                <w:sz w:val="22"/>
              </w:rPr>
              <w:t>MoE, NITI Aayog, UGC, AICTE, NCERT, NAAC, NBA</w:t>
            </w:r>
          </w:p>
        </w:tc>
        <w:tc>
          <w:tcPr>
            <w:tcW w:type="dxa" w:w="2665"/>
            <w:tcW w:w="2664" w:type="dxa"/>
          </w:tcPr>
          <w:p>
            <w:pPr>
              <w:jc w:val="left"/>
            </w:pPr>
            <w:r/>
            <w:r>
              <w:rPr>
                <w:rFonts w:ascii="Cambria" w:hAnsi="Cambria"/>
                <w:b w:val="0"/>
                <w:i w:val="0"/>
                <w:sz w:val="22"/>
              </w:rPr>
              <w:t>Formulate policy; set standards; fund schemes; monitor SDG indicators</w:t>
            </w:r>
          </w:p>
        </w:tc>
        <w:tc>
          <w:tcPr>
            <w:tcW w:type="dxa" w:w="2494"/>
            <w:tcW w:w="2494" w:type="dxa"/>
          </w:tcPr>
          <w:p>
            <w:pPr>
              <w:jc w:val="left"/>
            </w:pPr>
            <w:r/>
            <w:r>
              <w:rPr>
                <w:rFonts w:ascii="Cambria" w:hAnsi="Cambria"/>
                <w:b w:val="0"/>
                <w:i w:val="0"/>
                <w:sz w:val="22"/>
              </w:rPr>
              <w:t>National SDG-4 Steering Committee; MoE-NITI Aayog Joint Review Dashboard</w:t>
            </w:r>
          </w:p>
        </w:tc>
      </w:tr>
      <w:tr>
        <w:tc>
          <w:tcPr>
            <w:tcW w:type="dxa" w:w="1814"/>
            <w:tcW w:w="1814" w:type="dxa"/>
            <w:shd w:val="clear" w:color="auto" w:fill="DCE6F1"/>
          </w:tcPr>
          <w:p>
            <w:pPr>
              <w:jc w:val="left"/>
            </w:pPr>
            <w:r/>
            <w:r>
              <w:rPr>
                <w:rFonts w:ascii="Cambria" w:hAnsi="Cambria"/>
                <w:b w:val="0"/>
                <w:i w:val="0"/>
                <w:sz w:val="22"/>
              </w:rPr>
              <w:t>State / Regional</w:t>
            </w:r>
          </w:p>
        </w:tc>
        <w:tc>
          <w:tcPr>
            <w:tcW w:type="dxa" w:w="2438"/>
            <w:tcW w:w="2438" w:type="dxa"/>
            <w:shd w:val="clear" w:color="auto" w:fill="DCE6F1"/>
          </w:tcPr>
          <w:p>
            <w:pPr>
              <w:jc w:val="left"/>
            </w:pPr>
            <w:r/>
            <w:r>
              <w:rPr>
                <w:rFonts w:ascii="Cambria" w:hAnsi="Cambria"/>
                <w:b w:val="0"/>
                <w:i w:val="0"/>
                <w:sz w:val="22"/>
              </w:rPr>
              <w:t>State Education Departments, SCERTs, Universities</w:t>
            </w:r>
          </w:p>
        </w:tc>
        <w:tc>
          <w:tcPr>
            <w:tcW w:type="dxa" w:w="2665"/>
            <w:tcW w:w="2664" w:type="dxa"/>
            <w:shd w:val="clear" w:color="auto" w:fill="DCE6F1"/>
          </w:tcPr>
          <w:p>
            <w:pPr>
              <w:jc w:val="left"/>
            </w:pPr>
            <w:r/>
            <w:r>
              <w:rPr>
                <w:rFonts w:ascii="Cambria" w:hAnsi="Cambria"/>
                <w:b w:val="0"/>
                <w:i w:val="0"/>
                <w:sz w:val="22"/>
              </w:rPr>
              <w:t>Local implementation; teacher training; infrastructure development</w:t>
            </w:r>
          </w:p>
        </w:tc>
        <w:tc>
          <w:tcPr>
            <w:tcW w:type="dxa" w:w="2494"/>
            <w:tcW w:w="2494" w:type="dxa"/>
            <w:shd w:val="clear" w:color="auto" w:fill="DCE6F1"/>
          </w:tcPr>
          <w:p>
            <w:pPr>
              <w:jc w:val="left"/>
            </w:pPr>
            <w:r/>
            <w:r>
              <w:rPr>
                <w:rFonts w:ascii="Cambria" w:hAnsi="Cambria"/>
                <w:b w:val="0"/>
                <w:i w:val="0"/>
                <w:sz w:val="22"/>
              </w:rPr>
              <w:t>State SDG Cells integrated with Education Secretariats</w:t>
            </w:r>
          </w:p>
        </w:tc>
      </w:tr>
      <w:tr>
        <w:tc>
          <w:tcPr>
            <w:tcW w:type="dxa" w:w="1814"/>
            <w:tcW w:w="1814" w:type="dxa"/>
          </w:tcPr>
          <w:p>
            <w:pPr>
              <w:jc w:val="left"/>
            </w:pPr>
            <w:r/>
            <w:r>
              <w:rPr>
                <w:rFonts w:ascii="Cambria" w:hAnsi="Cambria"/>
                <w:b w:val="0"/>
                <w:i w:val="0"/>
                <w:sz w:val="22"/>
              </w:rPr>
              <w:t>Institutional (HEIs / Schools)</w:t>
            </w:r>
          </w:p>
        </w:tc>
        <w:tc>
          <w:tcPr>
            <w:tcW w:type="dxa" w:w="2438"/>
            <w:tcW w:w="2438" w:type="dxa"/>
          </w:tcPr>
          <w:p>
            <w:pPr>
              <w:jc w:val="left"/>
            </w:pPr>
            <w:r/>
            <w:r>
              <w:rPr>
                <w:rFonts w:ascii="Cambria" w:hAnsi="Cambria"/>
                <w:b w:val="0"/>
                <w:i w:val="0"/>
                <w:sz w:val="22"/>
              </w:rPr>
              <w:t>IQACs, School Management Committees</w:t>
            </w:r>
          </w:p>
        </w:tc>
        <w:tc>
          <w:tcPr>
            <w:tcW w:type="dxa" w:w="2665"/>
            <w:tcW w:w="2664" w:type="dxa"/>
          </w:tcPr>
          <w:p>
            <w:pPr>
              <w:jc w:val="left"/>
            </w:pPr>
            <w:r/>
            <w:r>
              <w:rPr>
                <w:rFonts w:ascii="Cambria" w:hAnsi="Cambria"/>
                <w:b w:val="0"/>
                <w:i w:val="0"/>
                <w:sz w:val="22"/>
              </w:rPr>
              <w:t>Curriculum execution; data submission; community partnerships</w:t>
            </w:r>
          </w:p>
        </w:tc>
        <w:tc>
          <w:tcPr>
            <w:tcW w:type="dxa" w:w="2494"/>
            <w:tcW w:w="2494" w:type="dxa"/>
          </w:tcPr>
          <w:p>
            <w:pPr>
              <w:jc w:val="left"/>
            </w:pPr>
            <w:r/>
            <w:r>
              <w:rPr>
                <w:rFonts w:ascii="Cambria" w:hAnsi="Cambria"/>
                <w:b w:val="0"/>
                <w:i w:val="0"/>
                <w:sz w:val="22"/>
              </w:rPr>
              <w:t>Annual SDG-4 Institutional Report to NAAC/NIRF</w:t>
            </w:r>
          </w:p>
        </w:tc>
      </w:tr>
      <w:tr>
        <w:tc>
          <w:tcPr>
            <w:tcW w:type="dxa" w:w="1814"/>
            <w:tcW w:w="1814" w:type="dxa"/>
            <w:shd w:val="clear" w:color="auto" w:fill="DCE6F1"/>
          </w:tcPr>
          <w:p>
            <w:pPr>
              <w:jc w:val="left"/>
            </w:pPr>
            <w:r/>
            <w:r>
              <w:rPr>
                <w:rFonts w:ascii="Cambria" w:hAnsi="Cambria"/>
                <w:b w:val="0"/>
                <w:i w:val="0"/>
                <w:sz w:val="22"/>
              </w:rPr>
              <w:t>Community / Civil Society</w:t>
            </w:r>
          </w:p>
        </w:tc>
        <w:tc>
          <w:tcPr>
            <w:tcW w:type="dxa" w:w="2438"/>
            <w:tcW w:w="2438" w:type="dxa"/>
            <w:shd w:val="clear" w:color="auto" w:fill="DCE6F1"/>
          </w:tcPr>
          <w:p>
            <w:pPr>
              <w:jc w:val="left"/>
            </w:pPr>
            <w:r/>
            <w:r>
              <w:rPr>
                <w:rFonts w:ascii="Cambria" w:hAnsi="Cambria"/>
                <w:b w:val="0"/>
                <w:i w:val="0"/>
                <w:sz w:val="22"/>
              </w:rPr>
              <w:t>NGOs, Panchayats, Alumni Networks</w:t>
            </w:r>
          </w:p>
        </w:tc>
        <w:tc>
          <w:tcPr>
            <w:tcW w:type="dxa" w:w="2665"/>
            <w:tcW w:w="2664" w:type="dxa"/>
            <w:shd w:val="clear" w:color="auto" w:fill="DCE6F1"/>
          </w:tcPr>
          <w:p>
            <w:pPr>
              <w:jc w:val="left"/>
            </w:pPr>
            <w:r/>
            <w:r>
              <w:rPr>
                <w:rFonts w:ascii="Cambria" w:hAnsi="Cambria"/>
                <w:b w:val="0"/>
                <w:i w:val="0"/>
                <w:sz w:val="22"/>
              </w:rPr>
              <w:t>Awareness campaigns; volunteer literacy and skill support</w:t>
            </w:r>
          </w:p>
        </w:tc>
        <w:tc>
          <w:tcPr>
            <w:tcW w:type="dxa" w:w="2494"/>
            <w:tcW w:w="2494" w:type="dxa"/>
            <w:shd w:val="clear" w:color="auto" w:fill="DCE6F1"/>
          </w:tcPr>
          <w:p>
            <w:pPr>
              <w:jc w:val="left"/>
            </w:pPr>
            <w:r/>
            <w:r>
              <w:rPr>
                <w:rFonts w:ascii="Cambria" w:hAnsi="Cambria"/>
                <w:b w:val="0"/>
                <w:i w:val="0"/>
                <w:sz w:val="22"/>
              </w:rPr>
              <w:t>Public-Private Partnership (PPP) MoUs under Samagra Shiksha</w:t>
            </w:r>
          </w:p>
        </w:tc>
      </w:tr>
      <w:tr>
        <w:tc>
          <w:tcPr>
            <w:tcW w:type="dxa" w:w="1814"/>
            <w:tcW w:w="1814" w:type="dxa"/>
          </w:tcPr>
          <w:p>
            <w:pPr>
              <w:jc w:val="left"/>
            </w:pPr>
            <w:r/>
            <w:r>
              <w:rPr>
                <w:rFonts w:ascii="Cambria" w:hAnsi="Cambria"/>
                <w:b w:val="0"/>
                <w:i w:val="0"/>
                <w:sz w:val="22"/>
              </w:rPr>
              <w:t>Industry / Private Sector</w:t>
            </w:r>
          </w:p>
        </w:tc>
        <w:tc>
          <w:tcPr>
            <w:tcW w:type="dxa" w:w="2438"/>
            <w:tcW w:w="2438" w:type="dxa"/>
          </w:tcPr>
          <w:p>
            <w:pPr>
              <w:jc w:val="left"/>
            </w:pPr>
            <w:r/>
            <w:r>
              <w:rPr>
                <w:rFonts w:ascii="Cambria" w:hAnsi="Cambria"/>
                <w:b w:val="0"/>
                <w:i w:val="0"/>
                <w:sz w:val="22"/>
              </w:rPr>
              <w:t>Skill Councils, CSR Foundations</w:t>
            </w:r>
          </w:p>
        </w:tc>
        <w:tc>
          <w:tcPr>
            <w:tcW w:type="dxa" w:w="2665"/>
            <w:tcW w:w="2664" w:type="dxa"/>
          </w:tcPr>
          <w:p>
            <w:pPr>
              <w:jc w:val="left"/>
            </w:pPr>
            <w:r/>
            <w:r>
              <w:rPr>
                <w:rFonts w:ascii="Cambria" w:hAnsi="Cambria"/>
                <w:b w:val="0"/>
                <w:i w:val="0"/>
                <w:sz w:val="22"/>
              </w:rPr>
              <w:t>Work-integrated learning, funding, internships</w:t>
            </w:r>
          </w:p>
        </w:tc>
        <w:tc>
          <w:tcPr>
            <w:tcW w:type="dxa" w:w="2494"/>
            <w:tcW w:w="2494" w:type="dxa"/>
          </w:tcPr>
          <w:p>
            <w:pPr>
              <w:jc w:val="left"/>
            </w:pPr>
            <w:r/>
            <w:r>
              <w:rPr>
                <w:rFonts w:ascii="Cambria" w:hAnsi="Cambria"/>
                <w:b w:val="0"/>
                <w:i w:val="0"/>
                <w:sz w:val="22"/>
              </w:rPr>
              <w:t>Industry-Academia Boards linked to NSDC &amp; AICTE</w:t>
            </w:r>
          </w:p>
        </w:tc>
      </w:tr>
    </w:tbl>
    <w:p>
      <w:pPr>
        <w:spacing w:after="120"/>
        <w:jc w:val="both"/>
      </w:pPr>
      <w:r>
        <w:rPr>
          <w:rFonts w:ascii="Cambria" w:hAnsi="Cambria"/>
          <w:b/>
          <w:i w:val="0"/>
          <w:sz w:val="22"/>
        </w:rPr>
        <w:t>4. Monitoring and Evaluation Mechanism</w:t>
      </w:r>
    </w:p>
    <w:p>
      <w:pPr>
        <w:pStyle w:val="ListBullet"/>
        <w:ind w:left="357"/>
        <w:jc w:val="both"/>
      </w:pPr>
      <w:r>
        <w:rPr>
          <w:rFonts w:ascii="Cambria" w:hAnsi="Cambria"/>
          <w:b/>
          <w:sz w:val="22"/>
        </w:rPr>
        <w:t xml:space="preserve">National SDG-4 Dashboard: </w:t>
      </w:r>
      <w:r>
        <w:rPr>
          <w:rFonts w:ascii="Cambria" w:hAnsi="Cambria"/>
          <w:sz w:val="22"/>
        </w:rPr>
        <w:t>real-time data from U-DISE+, AISHE, NIRF, and ABC integrated through NITI Aayog's SDG portal.</w:t>
      </w:r>
    </w:p>
    <w:p>
      <w:pPr>
        <w:pStyle w:val="ListBullet"/>
        <w:ind w:left="357"/>
        <w:jc w:val="both"/>
      </w:pPr>
      <w:r>
        <w:rPr>
          <w:rFonts w:ascii="Cambria" w:hAnsi="Cambria"/>
          <w:b/>
          <w:sz w:val="22"/>
        </w:rPr>
        <w:t xml:space="preserve">Annual Education Sustainability Report (AESR): </w:t>
      </w:r>
      <w:r>
        <w:rPr>
          <w:rFonts w:ascii="Cambria" w:hAnsi="Cambria"/>
          <w:sz w:val="22"/>
        </w:rPr>
        <w:t>consolidated by MoE outlining progress toward targets 4.1–4.C.</w:t>
      </w:r>
    </w:p>
    <w:p>
      <w:pPr>
        <w:pStyle w:val="ListBullet"/>
        <w:ind w:left="357"/>
        <w:jc w:val="both"/>
      </w:pPr>
      <w:r>
        <w:rPr>
          <w:rFonts w:ascii="Cambria" w:hAnsi="Cambria"/>
          <w:b/>
          <w:sz w:val="22"/>
        </w:rPr>
        <w:t xml:space="preserve">Performance-Linked Grants: </w:t>
      </w:r>
      <w:r>
        <w:rPr>
          <w:rFonts w:ascii="Cambria" w:hAnsi="Cambria"/>
          <w:sz w:val="22"/>
        </w:rPr>
        <w:t>funding tied to verified SDG-4 indicator improvements (access, equity, quality, learning outcomes).</w:t>
      </w:r>
    </w:p>
    <w:p>
      <w:pPr>
        <w:pStyle w:val="ListBullet"/>
        <w:ind w:left="357"/>
        <w:jc w:val="both"/>
      </w:pPr>
      <w:r>
        <w:rPr>
          <w:rFonts w:ascii="Cambria" w:hAnsi="Cambria"/>
          <w:b/>
          <w:sz w:val="22"/>
        </w:rPr>
        <w:t xml:space="preserve">Third-Party Evaluations: </w:t>
      </w:r>
      <w:r>
        <w:rPr>
          <w:rFonts w:ascii="Cambria" w:hAnsi="Cambria"/>
          <w:sz w:val="22"/>
        </w:rPr>
        <w:t>NAAC/NBA to include SDG-4 compliance criteria in accreditation cycles.</w:t>
      </w:r>
    </w:p>
    <w:p>
      <w:pPr>
        <w:pStyle w:val="ListBullet"/>
        <w:ind w:left="357"/>
        <w:jc w:val="both"/>
      </w:pPr>
      <w:r>
        <w:rPr>
          <w:rFonts w:ascii="Cambria" w:hAnsi="Cambria"/>
          <w:sz w:val="22"/>
        </w:rPr>
        <w:t>Independent Review (UNESCO–MoE): triennial progress audit and policy recalibration.</w:t>
      </w:r>
    </w:p>
    <w:p>
      <w:pPr>
        <w:spacing w:after="120"/>
        <w:jc w:val="both"/>
      </w:pPr>
      <w:r>
        <w:rPr>
          <w:rFonts w:ascii="Cambria" w:hAnsi="Cambria"/>
          <w:b/>
          <w:i w:val="0"/>
          <w:sz w:val="22"/>
        </w:rPr>
        <w:t>5. Key Enablers for Successful Implementation</w:t>
      </w:r>
    </w:p>
    <w:p>
      <w:pPr>
        <w:pStyle w:val="ListBullet"/>
        <w:ind w:left="357"/>
        <w:jc w:val="both"/>
      </w:pPr>
      <w:r>
        <w:rPr>
          <w:rFonts w:ascii="Cambria" w:hAnsi="Cambria"/>
          <w:b/>
          <w:sz w:val="22"/>
        </w:rPr>
        <w:t xml:space="preserve">Financial Mobilization: </w:t>
      </w:r>
      <w:r>
        <w:rPr>
          <w:rFonts w:ascii="Cambria" w:hAnsi="Cambria"/>
          <w:sz w:val="22"/>
        </w:rPr>
        <w:t>Maintain 6% of GDP for education; promote CSR &amp; PPP financing for SDG-linked projects.</w:t>
      </w:r>
    </w:p>
    <w:p>
      <w:pPr>
        <w:pStyle w:val="ListBullet"/>
        <w:ind w:left="357"/>
        <w:jc w:val="both"/>
      </w:pPr>
      <w:r>
        <w:rPr>
          <w:rFonts w:ascii="Cambria" w:hAnsi="Cambria"/>
          <w:b/>
          <w:sz w:val="22"/>
        </w:rPr>
        <w:t xml:space="preserve">Digital Infrastructure: </w:t>
      </w:r>
      <w:r>
        <w:rPr>
          <w:rFonts w:ascii="Cambria" w:hAnsi="Cambria"/>
          <w:sz w:val="22"/>
        </w:rPr>
        <w:t>Expand BharatNet &amp; PM eVIDYA; strengthen Learning Management Systems for HEIs.</w:t>
      </w:r>
    </w:p>
    <w:p>
      <w:pPr>
        <w:pStyle w:val="ListBullet"/>
        <w:ind w:left="357"/>
        <w:jc w:val="both"/>
      </w:pPr>
      <w:r>
        <w:rPr>
          <w:rFonts w:ascii="Cambria" w:hAnsi="Cambria"/>
          <w:b/>
          <w:sz w:val="22"/>
        </w:rPr>
        <w:t xml:space="preserve">Human Capital: </w:t>
      </w:r>
      <w:r>
        <w:rPr>
          <w:rFonts w:ascii="Cambria" w:hAnsi="Cambria"/>
          <w:sz w:val="22"/>
        </w:rPr>
        <w:t>Continuous teacher capacity building &amp; re-skilling under NEP-2020 and Target 4.C.</w:t>
      </w:r>
    </w:p>
    <w:p>
      <w:pPr>
        <w:pStyle w:val="ListBullet"/>
        <w:ind w:left="357"/>
        <w:jc w:val="both"/>
      </w:pPr>
      <w:r>
        <w:rPr>
          <w:rFonts w:ascii="Cambria" w:hAnsi="Cambria"/>
          <w:b/>
          <w:sz w:val="22"/>
        </w:rPr>
        <w:t xml:space="preserve">Research Integration: </w:t>
      </w:r>
      <w:r>
        <w:rPr>
          <w:rFonts w:ascii="Cambria" w:hAnsi="Cambria"/>
          <w:sz w:val="22"/>
        </w:rPr>
        <w:t>Encourage HEIs to conduct evidence-based policy studies and innovation pilots for SDG-4 delivery.</w:t>
      </w:r>
    </w:p>
    <w:p>
      <w:pPr>
        <w:pStyle w:val="ListBullet"/>
        <w:ind w:left="357"/>
        <w:jc w:val="both"/>
      </w:pPr>
      <w:r>
        <w:rPr>
          <w:rFonts w:ascii="Cambria" w:hAnsi="Cambria"/>
          <w:b/>
          <w:sz w:val="22"/>
        </w:rPr>
        <w:t xml:space="preserve">International Cooperation: </w:t>
      </w:r>
      <w:r>
        <w:rPr>
          <w:rFonts w:ascii="Cambria" w:hAnsi="Cambria"/>
          <w:sz w:val="22"/>
        </w:rPr>
        <w:t>Utilize G20, BRICS, and Commonwealth Education forums for global best-practice exchange.</w:t>
      </w:r>
    </w:p>
    <w:p>
      <w:pPr>
        <w:spacing w:after="120"/>
        <w:jc w:val="both"/>
      </w:pPr>
      <w:r>
        <w:rPr>
          <w:rFonts w:ascii="Cambria" w:hAnsi="Cambria"/>
          <w:b/>
          <w:i w:val="0"/>
          <w:sz w:val="22"/>
        </w:rPr>
        <w:t>6. Anticipated Outcomes by 2030</w:t>
      </w:r>
    </w:p>
    <w:p>
      <w:pPr>
        <w:pStyle w:val="ListBullet"/>
        <w:ind w:left="357"/>
        <w:jc w:val="both"/>
      </w:pPr>
      <w:r>
        <w:rPr>
          <w:rFonts w:ascii="Cambria" w:hAnsi="Cambria"/>
          <w:sz w:val="22"/>
        </w:rPr>
        <w:t>Universal access and retention from ECCE to secondary level.</w:t>
      </w:r>
    </w:p>
    <w:p>
      <w:pPr>
        <w:pStyle w:val="ListBullet"/>
        <w:ind w:left="357"/>
        <w:jc w:val="both"/>
      </w:pPr>
      <w:r>
        <w:rPr>
          <w:rFonts w:ascii="Cambria" w:hAnsi="Cambria"/>
          <w:sz w:val="22"/>
        </w:rPr>
        <w:t>Lifelong learning ecosystems operational through Digital Universities and ABC.</w:t>
      </w:r>
    </w:p>
    <w:p>
      <w:pPr>
        <w:pStyle w:val="ListBullet"/>
        <w:ind w:left="357"/>
        <w:jc w:val="both"/>
      </w:pPr>
      <w:r>
        <w:rPr>
          <w:rFonts w:ascii="Cambria" w:hAnsi="Cambria"/>
          <w:sz w:val="22"/>
        </w:rPr>
        <w:t>Zero-discrimination education system via Gender Inclusion Fund and accessibility compliance.</w:t>
      </w:r>
    </w:p>
    <w:p>
      <w:pPr>
        <w:pStyle w:val="ListBullet"/>
        <w:ind w:left="357"/>
        <w:jc w:val="both"/>
      </w:pPr>
      <w:r>
        <w:rPr>
          <w:rFonts w:ascii="Cambria" w:hAnsi="Cambria"/>
          <w:sz w:val="22"/>
        </w:rPr>
        <w:t>Globally competitive workforce trained in vocational and green skills.</w:t>
      </w:r>
    </w:p>
    <w:p>
      <w:pPr>
        <w:pStyle w:val="ListBullet"/>
        <w:ind w:left="357"/>
        <w:jc w:val="both"/>
      </w:pPr>
      <w:r>
        <w:rPr>
          <w:rFonts w:ascii="Cambria" w:hAnsi="Cambria"/>
          <w:sz w:val="22"/>
        </w:rPr>
        <w:t>India positioned as a regional education and teacher-training hub, contributing to South–South cooperation.</w:t>
      </w:r>
    </w:p>
    <w:p>
      <w:r>
        <w:br w:type="page"/>
      </w:r>
    </w:p>
    <w:p>
      <w:pPr>
        <w:spacing w:before="280" w:after="160"/>
        <w:jc w:val="left"/>
      </w:pPr>
      <w:r>
        <w:rPr>
          <w:rFonts w:ascii="Cambria" w:hAnsi="Cambria"/>
          <w:b/>
          <w:color w:val="1F3A5F"/>
          <w:sz w:val="32"/>
        </w:rPr>
        <w:t>8. Incorporating SDG-Related Courses and Programmes in HEIs</w:t>
      </w:r>
    </w:p>
    <w:p>
      <w:pPr>
        <w:spacing w:after="120"/>
        <w:jc w:val="both"/>
      </w:pPr>
      <w:r>
        <w:rPr>
          <w:rFonts w:ascii="Cambria" w:hAnsi="Cambria"/>
          <w:b/>
          <w:i w:val="0"/>
          <w:sz w:val="22"/>
        </w:rPr>
        <w:t>Curriculum Integration in HEIs</w:t>
      </w:r>
    </w:p>
    <w:p>
      <w:pPr>
        <w:pStyle w:val="ListBullet2"/>
        <w:ind w:left="720"/>
        <w:jc w:val="both"/>
      </w:pPr>
      <w:r>
        <w:rPr>
          <w:rFonts w:ascii="Cambria" w:hAnsi="Cambria"/>
          <w:sz w:val="22"/>
        </w:rPr>
        <w:t>Introduce SDG-focused courses, majors, minors, and electives across disciplines.</w:t>
      </w:r>
    </w:p>
    <w:p>
      <w:pPr>
        <w:pStyle w:val="ListBullet2"/>
        <w:ind w:left="720"/>
        <w:jc w:val="both"/>
      </w:pPr>
      <w:r>
        <w:rPr>
          <w:rFonts w:ascii="Cambria" w:hAnsi="Cambria"/>
          <w:sz w:val="22"/>
        </w:rPr>
        <w:t>Embed sustainability, ethics, digital literacy, and global citizenship into core curricula.</w:t>
      </w:r>
    </w:p>
    <w:p>
      <w:pPr>
        <w:pStyle w:val="ListBullet2"/>
        <w:ind w:left="720"/>
        <w:jc w:val="both"/>
      </w:pPr>
      <w:r>
        <w:rPr>
          <w:rFonts w:ascii="Cambria" w:hAnsi="Cambria"/>
          <w:sz w:val="22"/>
        </w:rPr>
        <w:t>Develop interdisciplinary programs linking education with environment, health, technology, and social sciences.</w:t>
      </w:r>
    </w:p>
    <w:p>
      <w:pPr>
        <w:spacing w:after="120"/>
        <w:jc w:val="both"/>
      </w:pPr>
      <w:r>
        <w:rPr>
          <w:rFonts w:ascii="Cambria" w:hAnsi="Cambria"/>
          <w:b/>
          <w:i w:val="0"/>
          <w:sz w:val="22"/>
        </w:rPr>
        <w:t>Awareness and Engagement Programs</w:t>
      </w:r>
    </w:p>
    <w:p>
      <w:pPr>
        <w:pStyle w:val="ListBullet2"/>
        <w:ind w:left="720"/>
        <w:jc w:val="both"/>
      </w:pPr>
      <w:r>
        <w:rPr>
          <w:rFonts w:ascii="Cambria" w:hAnsi="Cambria"/>
          <w:sz w:val="22"/>
        </w:rPr>
        <w:t>Organize workshops, seminars, and awareness campaigns on SDGs for students, faculty, and staff.</w:t>
      </w:r>
    </w:p>
    <w:p>
      <w:pPr>
        <w:pStyle w:val="ListBullet2"/>
        <w:ind w:left="720"/>
        <w:jc w:val="both"/>
      </w:pPr>
      <w:r>
        <w:rPr>
          <w:rFonts w:ascii="Cambria" w:hAnsi="Cambria"/>
          <w:sz w:val="22"/>
        </w:rPr>
        <w:t>Encourage student-led SDG clubs, community outreach initiatives, and social impact projects.</w:t>
      </w:r>
    </w:p>
    <w:p>
      <w:pPr>
        <w:pStyle w:val="ListBullet2"/>
        <w:ind w:left="720"/>
        <w:jc w:val="both"/>
      </w:pPr>
      <w:r>
        <w:rPr>
          <w:rFonts w:ascii="Cambria" w:hAnsi="Cambria"/>
          <w:sz w:val="22"/>
        </w:rPr>
        <w:t>Launch MOOCs and open educational resources (OER) aligned with SDG-4 themes.</w:t>
      </w:r>
    </w:p>
    <w:p>
      <w:pPr>
        <w:spacing w:after="120"/>
        <w:jc w:val="both"/>
      </w:pPr>
      <w:r>
        <w:rPr>
          <w:rFonts w:ascii="Cambria" w:hAnsi="Cambria"/>
          <w:b/>
          <w:i w:val="0"/>
          <w:sz w:val="22"/>
        </w:rPr>
        <w:t>Capacity Building and Teacher Training</w:t>
      </w:r>
    </w:p>
    <w:p>
      <w:pPr>
        <w:pStyle w:val="ListBullet2"/>
        <w:ind w:left="720"/>
        <w:jc w:val="both"/>
      </w:pPr>
      <w:r>
        <w:rPr>
          <w:rFonts w:ascii="Cambria" w:hAnsi="Cambria"/>
          <w:sz w:val="22"/>
        </w:rPr>
        <w:t>Provide specialized training for faculty on SDG pedagogy, experiential learning, and blended teaching methods.</w:t>
      </w:r>
    </w:p>
    <w:p>
      <w:pPr>
        <w:pStyle w:val="ListBullet2"/>
        <w:ind w:left="720"/>
        <w:jc w:val="both"/>
      </w:pPr>
      <w:r>
        <w:rPr>
          <w:rFonts w:ascii="Cambria" w:hAnsi="Cambria"/>
          <w:sz w:val="22"/>
        </w:rPr>
        <w:t>Establish teacher-exchange and collaboration programs at national and international levels.</w:t>
      </w:r>
    </w:p>
    <w:p>
      <w:pPr>
        <w:pStyle w:val="ListBullet2"/>
        <w:ind w:left="720"/>
        <w:jc w:val="both"/>
      </w:pPr>
      <w:r>
        <w:rPr>
          <w:rFonts w:ascii="Cambria" w:hAnsi="Cambria"/>
          <w:sz w:val="22"/>
        </w:rPr>
        <w:t>Incentivize continuous professional development linked to SDG-related education.</w:t>
      </w:r>
    </w:p>
    <w:p>
      <w:pPr>
        <w:spacing w:after="120"/>
        <w:jc w:val="both"/>
      </w:pPr>
      <w:r>
        <w:rPr>
          <w:rFonts w:ascii="Cambria" w:hAnsi="Cambria"/>
          <w:b/>
          <w:i w:val="0"/>
          <w:sz w:val="22"/>
        </w:rPr>
        <w:t>Inclusive and Equitable Access</w:t>
      </w:r>
    </w:p>
    <w:p>
      <w:pPr>
        <w:pStyle w:val="ListBullet2"/>
        <w:ind w:left="720"/>
        <w:jc w:val="both"/>
      </w:pPr>
      <w:r>
        <w:rPr>
          <w:rFonts w:ascii="Cambria" w:hAnsi="Cambria"/>
          <w:sz w:val="22"/>
        </w:rPr>
        <w:t>Expand scholarships and financial aid for underrepresented and marginalized students.</w:t>
      </w:r>
    </w:p>
    <w:p>
      <w:pPr>
        <w:pStyle w:val="ListBullet2"/>
        <w:ind w:left="720"/>
        <w:jc w:val="both"/>
      </w:pPr>
      <w:r>
        <w:rPr>
          <w:rFonts w:ascii="Cambria" w:hAnsi="Cambria"/>
          <w:sz w:val="22"/>
        </w:rPr>
        <w:t>Provide assistive technologies and inclusive infrastructure for students with disabilities.</w:t>
      </w:r>
    </w:p>
    <w:p>
      <w:pPr>
        <w:pStyle w:val="ListBullet2"/>
        <w:ind w:left="720"/>
        <w:jc w:val="both"/>
      </w:pPr>
      <w:r>
        <w:rPr>
          <w:rFonts w:ascii="Cambria" w:hAnsi="Cambria"/>
          <w:sz w:val="22"/>
        </w:rPr>
        <w:t>Encourage gender equality in enrolment, especially in STEM fields.</w:t>
      </w:r>
    </w:p>
    <w:p>
      <w:pPr>
        <w:spacing w:after="120"/>
        <w:jc w:val="both"/>
      </w:pPr>
      <w:r>
        <w:rPr>
          <w:rFonts w:ascii="Cambria" w:hAnsi="Cambria"/>
          <w:b/>
          <w:i w:val="0"/>
          <w:sz w:val="22"/>
        </w:rPr>
        <w:t>Digital Transformation and Lifelong Learning</w:t>
      </w:r>
    </w:p>
    <w:p>
      <w:pPr>
        <w:pStyle w:val="ListBullet2"/>
        <w:ind w:left="720"/>
        <w:jc w:val="both"/>
      </w:pPr>
      <w:r>
        <w:rPr>
          <w:rFonts w:ascii="Cambria" w:hAnsi="Cambria"/>
          <w:sz w:val="22"/>
        </w:rPr>
        <w:t>Strengthen ICT-enabled education through e-learning platforms, digital libraries, and AI-driven learning tools.</w:t>
      </w:r>
    </w:p>
    <w:p>
      <w:pPr>
        <w:pStyle w:val="ListBullet2"/>
        <w:ind w:left="720"/>
        <w:jc w:val="both"/>
      </w:pPr>
      <w:r>
        <w:rPr>
          <w:rFonts w:ascii="Cambria" w:hAnsi="Cambria"/>
          <w:sz w:val="22"/>
        </w:rPr>
        <w:t>Expand adult literacy programs with a focus on digital skills and reskilling.</w:t>
      </w:r>
    </w:p>
    <w:p>
      <w:pPr>
        <w:pStyle w:val="ListBullet2"/>
        <w:ind w:left="720"/>
        <w:jc w:val="both"/>
      </w:pPr>
      <w:r>
        <w:rPr>
          <w:rFonts w:ascii="Cambria" w:hAnsi="Cambria"/>
          <w:sz w:val="22"/>
        </w:rPr>
        <w:t>Promote lifelong learning opportunities through continuing education centers.</w:t>
      </w:r>
    </w:p>
    <w:p>
      <w:pPr>
        <w:spacing w:after="120"/>
        <w:jc w:val="both"/>
      </w:pPr>
      <w:r>
        <w:rPr>
          <w:rFonts w:ascii="Cambria" w:hAnsi="Cambria"/>
          <w:b/>
          <w:i w:val="0"/>
          <w:sz w:val="22"/>
        </w:rPr>
        <w:t>Research, Innovation, and Partnerships</w:t>
      </w:r>
    </w:p>
    <w:p>
      <w:pPr>
        <w:pStyle w:val="ListBullet2"/>
        <w:ind w:left="720"/>
        <w:jc w:val="both"/>
      </w:pPr>
      <w:r>
        <w:rPr>
          <w:rFonts w:ascii="Cambria" w:hAnsi="Cambria"/>
          <w:sz w:val="22"/>
        </w:rPr>
        <w:t>Encourage HEIs to conduct research on sustainable education models and pedagogy.</w:t>
      </w:r>
    </w:p>
    <w:p>
      <w:pPr>
        <w:pStyle w:val="ListBullet2"/>
        <w:ind w:left="720"/>
        <w:jc w:val="both"/>
      </w:pPr>
      <w:r>
        <w:rPr>
          <w:rFonts w:ascii="Cambria" w:hAnsi="Cambria"/>
          <w:sz w:val="22"/>
        </w:rPr>
        <w:t>Build collaborations with industries, NGOs, and governments to align skills with workforce needs.</w:t>
      </w:r>
    </w:p>
    <w:p>
      <w:pPr>
        <w:pStyle w:val="ListBullet2"/>
        <w:ind w:left="720"/>
        <w:jc w:val="both"/>
      </w:pPr>
      <w:r>
        <w:rPr>
          <w:rFonts w:ascii="Cambria" w:hAnsi="Cambria"/>
          <w:sz w:val="22"/>
        </w:rPr>
        <w:t>Develop global partnerships for student/faculty exchange, knowledge-sharing, and joint projects on SDGs.</w:t>
      </w:r>
    </w:p>
    <w:p>
      <w:pPr>
        <w:spacing w:after="120"/>
        <w:jc w:val="both"/>
      </w:pPr>
      <w:r>
        <w:rPr>
          <w:rFonts w:ascii="Cambria" w:hAnsi="Cambria"/>
          <w:b/>
          <w:i w:val="0"/>
          <w:sz w:val="22"/>
        </w:rPr>
        <w:t>Monitoring and Evaluation</w:t>
      </w:r>
    </w:p>
    <w:p>
      <w:pPr>
        <w:pStyle w:val="ListBullet2"/>
        <w:ind w:left="720"/>
        <w:jc w:val="both"/>
      </w:pPr>
      <w:r>
        <w:rPr>
          <w:rFonts w:ascii="Cambria" w:hAnsi="Cambria"/>
          <w:sz w:val="22"/>
        </w:rPr>
        <w:t>Establish SDG-4 monitoring cells within HEIs to track enrolment, inclusivity, literacy, and learning outcomes.</w:t>
      </w:r>
    </w:p>
    <w:p>
      <w:pPr>
        <w:pStyle w:val="ListBullet2"/>
        <w:ind w:left="720"/>
        <w:jc w:val="both"/>
      </w:pPr>
      <w:r>
        <w:rPr>
          <w:rFonts w:ascii="Cambria" w:hAnsi="Cambria"/>
          <w:sz w:val="22"/>
        </w:rPr>
        <w:t>Publish annual SDG education reports highlighting progress, innovations, and gaps.</w:t>
      </w:r>
    </w:p>
    <w:p>
      <w:pPr>
        <w:pStyle w:val="ListBullet2"/>
        <w:ind w:left="720"/>
        <w:jc w:val="both"/>
      </w:pPr>
      <w:r>
        <w:rPr>
          <w:rFonts w:ascii="Cambria" w:hAnsi="Cambria"/>
          <w:sz w:val="22"/>
        </w:rPr>
        <w:t>Link institutional rankings and accreditation (NAAC, NBA, NIRF, QS I-GAUGE) with SDG achievement indicators.</w:t>
      </w:r>
    </w:p>
    <w:p>
      <w:pPr>
        <w:spacing w:before="200" w:after="80"/>
        <w:jc w:val="left"/>
      </w:pPr>
      <w:r>
        <w:rPr>
          <w:rFonts w:ascii="Cambria" w:hAnsi="Cambria"/>
          <w:b/>
          <w:color w:val="1F3A5F"/>
          <w:sz w:val="25"/>
        </w:rPr>
        <w:t>Policy–Action–Outcome Table with KPIs for HEIs and SDG-4</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587"/>
            <w:shd w:val="clear" w:color="auto" w:fill="1F3A5F"/>
            <w:tcW w:w="1587" w:type="dxa"/>
          </w:tcPr>
          <w:p>
            <w:pPr>
              <w:jc w:val="left"/>
            </w:pPr>
            <w:r/>
            <w:r>
              <w:rPr>
                <w:rFonts w:ascii="Cambria" w:hAnsi="Cambria"/>
                <w:b/>
                <w:i w:val="0"/>
                <w:color w:val="FFFFFF"/>
                <w:sz w:val="22"/>
              </w:rPr>
              <w:t>Policy</w:t>
            </w:r>
          </w:p>
        </w:tc>
        <w:tc>
          <w:tcPr>
            <w:tcW w:type="dxa" w:w="2948"/>
            <w:shd w:val="clear" w:color="auto" w:fill="1F3A5F"/>
            <w:tcW w:w="2948" w:type="dxa"/>
          </w:tcPr>
          <w:p>
            <w:pPr>
              <w:jc w:val="left"/>
            </w:pPr>
            <w:r/>
            <w:r>
              <w:rPr>
                <w:rFonts w:ascii="Cambria" w:hAnsi="Cambria"/>
                <w:b/>
                <w:i w:val="0"/>
                <w:color w:val="FFFFFF"/>
                <w:sz w:val="22"/>
              </w:rPr>
              <w:t>Action Steps</w:t>
            </w:r>
          </w:p>
        </w:tc>
        <w:tc>
          <w:tcPr>
            <w:tcW w:type="dxa" w:w="2438"/>
            <w:shd w:val="clear" w:color="auto" w:fill="1F3A5F"/>
            <w:tcW w:w="2438" w:type="dxa"/>
          </w:tcPr>
          <w:p>
            <w:pPr>
              <w:jc w:val="left"/>
            </w:pPr>
            <w:r/>
            <w:r>
              <w:rPr>
                <w:rFonts w:ascii="Cambria" w:hAnsi="Cambria"/>
                <w:b/>
                <w:i w:val="0"/>
                <w:color w:val="FFFFFF"/>
                <w:sz w:val="22"/>
              </w:rPr>
              <w:t>Expected Outcomes</w:t>
            </w:r>
          </w:p>
        </w:tc>
        <w:tc>
          <w:tcPr>
            <w:tcW w:type="dxa" w:w="2438"/>
            <w:shd w:val="clear" w:color="auto" w:fill="1F3A5F"/>
            <w:tcW w:w="2438" w:type="dxa"/>
          </w:tcPr>
          <w:p>
            <w:pPr>
              <w:jc w:val="left"/>
            </w:pPr>
            <w:r/>
            <w:r>
              <w:rPr>
                <w:rFonts w:ascii="Cambria" w:hAnsi="Cambria"/>
                <w:b/>
                <w:i w:val="0"/>
                <w:color w:val="FFFFFF"/>
                <w:sz w:val="22"/>
              </w:rPr>
              <w:t>Key Performance Indicators (KPIs)</w:t>
            </w:r>
          </w:p>
        </w:tc>
      </w:tr>
      <w:tr>
        <w:tc>
          <w:tcPr>
            <w:tcW w:type="dxa" w:w="1587"/>
            <w:tcW w:w="1587" w:type="dxa"/>
          </w:tcPr>
          <w:p>
            <w:pPr>
              <w:jc w:val="left"/>
            </w:pPr>
            <w:r/>
            <w:r>
              <w:rPr>
                <w:rFonts w:ascii="Cambria" w:hAnsi="Cambria"/>
                <w:b w:val="0"/>
                <w:i w:val="0"/>
                <w:sz w:val="22"/>
              </w:rPr>
              <w:t>Curriculum Integration</w:t>
            </w:r>
          </w:p>
        </w:tc>
        <w:tc>
          <w:tcPr>
            <w:tcW w:type="dxa" w:w="2948"/>
            <w:tcW w:w="2948" w:type="dxa"/>
          </w:tcPr>
          <w:p>
            <w:pPr>
              <w:jc w:val="left"/>
            </w:pPr>
            <w:r/>
            <w:r>
              <w:rPr>
                <w:rFonts w:ascii="Cambria" w:hAnsi="Cambria"/>
                <w:b w:val="0"/>
                <w:i w:val="0"/>
                <w:sz w:val="22"/>
              </w:rPr>
              <w:t>Introduce SDG-based majors, minors, diplomas, electives; Embed sustainability, ethics, global citizenship into curricula; Promote interdisciplinary programs across environment, health, tech</w:t>
            </w:r>
          </w:p>
        </w:tc>
        <w:tc>
          <w:tcPr>
            <w:tcW w:type="dxa" w:w="2438"/>
            <w:tcW w:w="2438" w:type="dxa"/>
          </w:tcPr>
          <w:p>
            <w:pPr>
              <w:jc w:val="left"/>
            </w:pPr>
            <w:r/>
            <w:r>
              <w:rPr>
                <w:rFonts w:ascii="Cambria" w:hAnsi="Cambria"/>
                <w:b w:val="0"/>
                <w:i w:val="0"/>
                <w:sz w:val="22"/>
              </w:rPr>
              <w:t>Holistic student learning; Interdisciplinary &amp; future-ready graduates; Workforce aligned with SDG priorities</w:t>
            </w:r>
          </w:p>
        </w:tc>
        <w:tc>
          <w:tcPr>
            <w:tcW w:type="dxa" w:w="2438"/>
            <w:tcW w:w="2438" w:type="dxa"/>
          </w:tcPr>
          <w:p>
            <w:pPr>
              <w:jc w:val="left"/>
            </w:pPr>
            <w:r/>
            <w:r>
              <w:rPr>
                <w:rFonts w:ascii="Cambria" w:hAnsi="Cambria"/>
                <w:b w:val="0"/>
                <w:i w:val="0"/>
                <w:sz w:val="22"/>
              </w:rPr>
              <w:t>% of courses aligned with SDGs; Number of new SDG-based programs introduced; Student enrolment in SDG-related courses</w:t>
            </w:r>
          </w:p>
        </w:tc>
      </w:tr>
      <w:tr>
        <w:tc>
          <w:tcPr>
            <w:tcW w:type="dxa" w:w="1587"/>
            <w:tcW w:w="1587" w:type="dxa"/>
            <w:shd w:val="clear" w:color="auto" w:fill="DCE6F1"/>
          </w:tcPr>
          <w:p>
            <w:pPr>
              <w:jc w:val="left"/>
            </w:pPr>
            <w:r/>
            <w:r>
              <w:rPr>
                <w:rFonts w:ascii="Cambria" w:hAnsi="Cambria"/>
                <w:b w:val="0"/>
                <w:i w:val="0"/>
                <w:sz w:val="22"/>
              </w:rPr>
              <w:t>Awareness &amp; Engagement</w:t>
            </w:r>
          </w:p>
        </w:tc>
        <w:tc>
          <w:tcPr>
            <w:tcW w:type="dxa" w:w="2948"/>
            <w:tcW w:w="2948" w:type="dxa"/>
            <w:shd w:val="clear" w:color="auto" w:fill="DCE6F1"/>
          </w:tcPr>
          <w:p>
            <w:pPr>
              <w:jc w:val="left"/>
            </w:pPr>
            <w:r/>
            <w:r>
              <w:rPr>
                <w:rFonts w:ascii="Cambria" w:hAnsi="Cambria"/>
                <w:b w:val="0"/>
                <w:i w:val="0"/>
                <w:sz w:val="22"/>
              </w:rPr>
              <w:t>Organize SDG seminars, workshops, campaigns; Create student clubs &amp; community outreach projects; Launch MOOCs and OERs linked to SDGs</w:t>
            </w:r>
          </w:p>
        </w:tc>
        <w:tc>
          <w:tcPr>
            <w:tcW w:type="dxa" w:w="2438"/>
            <w:tcW w:w="2438" w:type="dxa"/>
            <w:shd w:val="clear" w:color="auto" w:fill="DCE6F1"/>
          </w:tcPr>
          <w:p>
            <w:pPr>
              <w:jc w:val="left"/>
            </w:pPr>
            <w:r/>
            <w:r>
              <w:rPr>
                <w:rFonts w:ascii="Cambria" w:hAnsi="Cambria"/>
                <w:b w:val="0"/>
                <w:i w:val="0"/>
                <w:sz w:val="22"/>
              </w:rPr>
              <w:t>Enhanced awareness in HEIs; Increased civic participation; Public engagement with SDG education</w:t>
            </w:r>
          </w:p>
        </w:tc>
        <w:tc>
          <w:tcPr>
            <w:tcW w:type="dxa" w:w="2438"/>
            <w:tcW w:w="2438" w:type="dxa"/>
            <w:shd w:val="clear" w:color="auto" w:fill="DCE6F1"/>
          </w:tcPr>
          <w:p>
            <w:pPr>
              <w:jc w:val="left"/>
            </w:pPr>
            <w:r/>
            <w:r>
              <w:rPr>
                <w:rFonts w:ascii="Cambria" w:hAnsi="Cambria"/>
                <w:b w:val="0"/>
                <w:i w:val="0"/>
                <w:sz w:val="22"/>
              </w:rPr>
              <w:t>Number of awareness events conducted per year; Student participation rate in SDG activities (%); Number of MOOCs/OERs developed</w:t>
            </w:r>
          </w:p>
        </w:tc>
      </w:tr>
      <w:tr>
        <w:tc>
          <w:tcPr>
            <w:tcW w:type="dxa" w:w="1587"/>
            <w:tcW w:w="1587" w:type="dxa"/>
          </w:tcPr>
          <w:p>
            <w:pPr>
              <w:jc w:val="left"/>
            </w:pPr>
            <w:r/>
            <w:r>
              <w:rPr>
                <w:rFonts w:ascii="Cambria" w:hAnsi="Cambria"/>
                <w:b w:val="0"/>
                <w:i w:val="0"/>
                <w:sz w:val="22"/>
              </w:rPr>
              <w:t>Capacity Building &amp; Teacher Training</w:t>
            </w:r>
          </w:p>
        </w:tc>
        <w:tc>
          <w:tcPr>
            <w:tcW w:type="dxa" w:w="2948"/>
            <w:tcW w:w="2948" w:type="dxa"/>
          </w:tcPr>
          <w:p>
            <w:pPr>
              <w:jc w:val="left"/>
            </w:pPr>
            <w:r/>
            <w:r>
              <w:rPr>
                <w:rFonts w:ascii="Cambria" w:hAnsi="Cambria"/>
                <w:b w:val="0"/>
                <w:i w:val="0"/>
                <w:sz w:val="22"/>
              </w:rPr>
              <w:t>Train faculty in SDG pedagogy &amp; experiential learning; Global teacher-exchange &amp; collaboration programs; Incentivize continuous faculty development</w:t>
            </w:r>
          </w:p>
        </w:tc>
        <w:tc>
          <w:tcPr>
            <w:tcW w:type="dxa" w:w="2438"/>
            <w:tcW w:w="2438" w:type="dxa"/>
          </w:tcPr>
          <w:p>
            <w:pPr>
              <w:jc w:val="left"/>
            </w:pPr>
            <w:r/>
            <w:r>
              <w:rPr>
                <w:rFonts w:ascii="Cambria" w:hAnsi="Cambria"/>
                <w:b w:val="0"/>
                <w:i w:val="0"/>
                <w:sz w:val="22"/>
              </w:rPr>
              <w:t>Better teaching quality; Global best practices adopted; Faculty skilled in sustainability education</w:t>
            </w:r>
          </w:p>
        </w:tc>
        <w:tc>
          <w:tcPr>
            <w:tcW w:type="dxa" w:w="2438"/>
            <w:tcW w:w="2438" w:type="dxa"/>
          </w:tcPr>
          <w:p>
            <w:pPr>
              <w:jc w:val="left"/>
            </w:pPr>
            <w:r/>
            <w:r>
              <w:rPr>
                <w:rFonts w:ascii="Cambria" w:hAnsi="Cambria"/>
                <w:b w:val="0"/>
                <w:i w:val="0"/>
                <w:sz w:val="22"/>
              </w:rPr>
              <w:t>% of faculty trained in SDG-related pedagogy; Number of international faculty exchanges; Annual hours of faculty professional development</w:t>
            </w:r>
          </w:p>
        </w:tc>
      </w:tr>
      <w:tr>
        <w:tc>
          <w:tcPr>
            <w:tcW w:type="dxa" w:w="1587"/>
            <w:tcW w:w="1587" w:type="dxa"/>
            <w:shd w:val="clear" w:color="auto" w:fill="DCE6F1"/>
          </w:tcPr>
          <w:p>
            <w:pPr>
              <w:jc w:val="left"/>
            </w:pPr>
            <w:r/>
            <w:r>
              <w:rPr>
                <w:rFonts w:ascii="Cambria" w:hAnsi="Cambria"/>
                <w:b w:val="0"/>
                <w:i w:val="0"/>
                <w:sz w:val="22"/>
              </w:rPr>
              <w:t>Inclusive &amp; Equitable Access</w:t>
            </w:r>
          </w:p>
        </w:tc>
        <w:tc>
          <w:tcPr>
            <w:tcW w:type="dxa" w:w="2948"/>
            <w:tcW w:w="2948" w:type="dxa"/>
            <w:shd w:val="clear" w:color="auto" w:fill="DCE6F1"/>
          </w:tcPr>
          <w:p>
            <w:pPr>
              <w:jc w:val="left"/>
            </w:pPr>
            <w:r/>
            <w:r>
              <w:rPr>
                <w:rFonts w:ascii="Cambria" w:hAnsi="Cambria"/>
                <w:b w:val="0"/>
                <w:i w:val="0"/>
                <w:sz w:val="22"/>
              </w:rPr>
              <w:t>Provide scholarships to marginalized groups; Introduce assistive technologies &amp; inclusive infrastructure; Encourage women's participation in STEM fields</w:t>
            </w:r>
          </w:p>
        </w:tc>
        <w:tc>
          <w:tcPr>
            <w:tcW w:type="dxa" w:w="2438"/>
            <w:tcW w:w="2438" w:type="dxa"/>
            <w:shd w:val="clear" w:color="auto" w:fill="DCE6F1"/>
          </w:tcPr>
          <w:p>
            <w:pPr>
              <w:jc w:val="left"/>
            </w:pPr>
            <w:r/>
            <w:r>
              <w:rPr>
                <w:rFonts w:ascii="Cambria" w:hAnsi="Cambria"/>
                <w:b w:val="0"/>
                <w:i w:val="0"/>
                <w:sz w:val="22"/>
              </w:rPr>
              <w:t>Reduced educational inequality; Improved enrolment of underrepresented groups; Gender equality in education</w:t>
            </w:r>
          </w:p>
        </w:tc>
        <w:tc>
          <w:tcPr>
            <w:tcW w:type="dxa" w:w="2438"/>
            <w:tcW w:w="2438" w:type="dxa"/>
            <w:shd w:val="clear" w:color="auto" w:fill="DCE6F1"/>
          </w:tcPr>
          <w:p>
            <w:pPr>
              <w:jc w:val="left"/>
            </w:pPr>
            <w:r/>
            <w:r>
              <w:rPr>
                <w:rFonts w:ascii="Cambria" w:hAnsi="Cambria"/>
                <w:b w:val="0"/>
                <w:i w:val="0"/>
                <w:sz w:val="22"/>
              </w:rPr>
              <w:t>Gross Enrolment Ratio (GER) of disadvantaged students (%); Gender Parity Index (GPI) in STEM; Number of disabled students supported through assistive tech</w:t>
            </w:r>
          </w:p>
        </w:tc>
      </w:tr>
      <w:tr>
        <w:tc>
          <w:tcPr>
            <w:tcW w:type="dxa" w:w="1587"/>
            <w:tcW w:w="1587" w:type="dxa"/>
          </w:tcPr>
          <w:p>
            <w:pPr>
              <w:jc w:val="left"/>
            </w:pPr>
            <w:r/>
            <w:r>
              <w:rPr>
                <w:rFonts w:ascii="Cambria" w:hAnsi="Cambria"/>
                <w:b w:val="0"/>
                <w:i w:val="0"/>
                <w:sz w:val="22"/>
              </w:rPr>
              <w:t>Digital Transformation &amp; Lifelong Learning</w:t>
            </w:r>
          </w:p>
        </w:tc>
        <w:tc>
          <w:tcPr>
            <w:tcW w:type="dxa" w:w="2948"/>
            <w:tcW w:w="2948" w:type="dxa"/>
          </w:tcPr>
          <w:p>
            <w:pPr>
              <w:jc w:val="left"/>
            </w:pPr>
            <w:r/>
            <w:r>
              <w:rPr>
                <w:rFonts w:ascii="Cambria" w:hAnsi="Cambria"/>
                <w:b w:val="0"/>
                <w:i w:val="0"/>
                <w:sz w:val="22"/>
              </w:rPr>
              <w:t>Expand e-learning platforms &amp; digital libraries; Develop adult literacy &amp; digital skills programs; Establish continuing education centers</w:t>
            </w:r>
          </w:p>
        </w:tc>
        <w:tc>
          <w:tcPr>
            <w:tcW w:type="dxa" w:w="2438"/>
            <w:tcW w:w="2438" w:type="dxa"/>
          </w:tcPr>
          <w:p>
            <w:pPr>
              <w:jc w:val="left"/>
            </w:pPr>
            <w:r/>
            <w:r>
              <w:rPr>
                <w:rFonts w:ascii="Cambria" w:hAnsi="Cambria"/>
                <w:b w:val="0"/>
                <w:i w:val="0"/>
                <w:sz w:val="22"/>
              </w:rPr>
              <w:t>Improved access to learning resources; Adult reskilling and literacy progress; Lifelong learning culture in HEIs</w:t>
            </w:r>
          </w:p>
        </w:tc>
        <w:tc>
          <w:tcPr>
            <w:tcW w:type="dxa" w:w="2438"/>
            <w:tcW w:w="2438" w:type="dxa"/>
          </w:tcPr>
          <w:p>
            <w:pPr>
              <w:jc w:val="left"/>
            </w:pPr>
            <w:r/>
            <w:r>
              <w:rPr>
                <w:rFonts w:ascii="Cambria" w:hAnsi="Cambria"/>
                <w:b w:val="0"/>
                <w:i w:val="0"/>
                <w:sz w:val="22"/>
              </w:rPr>
              <w:t>% of courses available online; Number of adult learners enrolled; ICT literacy rate among students &amp; adult learners (%)</w:t>
            </w:r>
          </w:p>
        </w:tc>
      </w:tr>
      <w:tr>
        <w:tc>
          <w:tcPr>
            <w:tcW w:type="dxa" w:w="1587"/>
            <w:tcW w:w="1587" w:type="dxa"/>
            <w:shd w:val="clear" w:color="auto" w:fill="DCE6F1"/>
          </w:tcPr>
          <w:p>
            <w:pPr>
              <w:jc w:val="left"/>
            </w:pPr>
            <w:r/>
            <w:r>
              <w:rPr>
                <w:rFonts w:ascii="Cambria" w:hAnsi="Cambria"/>
                <w:b w:val="0"/>
                <w:i w:val="0"/>
                <w:sz w:val="22"/>
              </w:rPr>
              <w:t>Research, Innovation &amp; Partnerships</w:t>
            </w:r>
          </w:p>
        </w:tc>
        <w:tc>
          <w:tcPr>
            <w:tcW w:type="dxa" w:w="2948"/>
            <w:tcW w:w="2948" w:type="dxa"/>
            <w:shd w:val="clear" w:color="auto" w:fill="DCE6F1"/>
          </w:tcPr>
          <w:p>
            <w:pPr>
              <w:jc w:val="left"/>
            </w:pPr>
            <w:r/>
            <w:r>
              <w:rPr>
                <w:rFonts w:ascii="Cambria" w:hAnsi="Cambria"/>
                <w:b w:val="0"/>
                <w:i w:val="0"/>
                <w:sz w:val="22"/>
              </w:rPr>
              <w:t>Conduct research on education innovation; Industry and NGO collaboration for skill programs; Global academic exchange partnerships</w:t>
            </w:r>
          </w:p>
        </w:tc>
        <w:tc>
          <w:tcPr>
            <w:tcW w:type="dxa" w:w="2438"/>
            <w:tcW w:w="2438" w:type="dxa"/>
            <w:shd w:val="clear" w:color="auto" w:fill="DCE6F1"/>
          </w:tcPr>
          <w:p>
            <w:pPr>
              <w:jc w:val="left"/>
            </w:pPr>
            <w:r/>
            <w:r>
              <w:rPr>
                <w:rFonts w:ascii="Cambria" w:hAnsi="Cambria"/>
                <w:b w:val="0"/>
                <w:i w:val="0"/>
                <w:sz w:val="22"/>
              </w:rPr>
              <w:t>Evidence-driven educational reforms; Stronger industry–academia partnerships; Internationalized higher education</w:t>
            </w:r>
          </w:p>
        </w:tc>
        <w:tc>
          <w:tcPr>
            <w:tcW w:type="dxa" w:w="2438"/>
            <w:tcW w:w="2438" w:type="dxa"/>
            <w:shd w:val="clear" w:color="auto" w:fill="DCE6F1"/>
          </w:tcPr>
          <w:p>
            <w:pPr>
              <w:jc w:val="left"/>
            </w:pPr>
            <w:r/>
            <w:r>
              <w:rPr>
                <w:rFonts w:ascii="Cambria" w:hAnsi="Cambria"/>
                <w:b w:val="0"/>
                <w:i w:val="0"/>
                <w:sz w:val="22"/>
              </w:rPr>
              <w:t>Number of SDG-related research publications; Amount of funding for SDG projects; Number of active MoUs/partnerships with global institutions</w:t>
            </w:r>
          </w:p>
        </w:tc>
      </w:tr>
      <w:tr>
        <w:tc>
          <w:tcPr>
            <w:tcW w:type="dxa" w:w="1587"/>
            <w:tcW w:w="1587" w:type="dxa"/>
          </w:tcPr>
          <w:p>
            <w:pPr>
              <w:jc w:val="left"/>
            </w:pPr>
            <w:r/>
            <w:r>
              <w:rPr>
                <w:rFonts w:ascii="Cambria" w:hAnsi="Cambria"/>
                <w:b w:val="0"/>
                <w:i w:val="0"/>
                <w:sz w:val="22"/>
              </w:rPr>
              <w:t>Monitoring &amp; Evaluation</w:t>
            </w:r>
          </w:p>
        </w:tc>
        <w:tc>
          <w:tcPr>
            <w:tcW w:type="dxa" w:w="2948"/>
            <w:tcW w:w="2948" w:type="dxa"/>
          </w:tcPr>
          <w:p>
            <w:pPr>
              <w:jc w:val="left"/>
            </w:pPr>
            <w:r/>
            <w:r>
              <w:rPr>
                <w:rFonts w:ascii="Cambria" w:hAnsi="Cambria"/>
                <w:b w:val="0"/>
                <w:i w:val="0"/>
                <w:sz w:val="22"/>
              </w:rPr>
              <w:t>Create SDG-4 monitoring cells; Publish annual sustainability reports; Link accreditation &amp; rankings with SDG indicators</w:t>
            </w:r>
          </w:p>
        </w:tc>
        <w:tc>
          <w:tcPr>
            <w:tcW w:type="dxa" w:w="2438"/>
            <w:tcW w:w="2438" w:type="dxa"/>
          </w:tcPr>
          <w:p>
            <w:pPr>
              <w:jc w:val="left"/>
            </w:pPr>
            <w:r/>
            <w:r>
              <w:rPr>
                <w:rFonts w:ascii="Cambria" w:hAnsi="Cambria"/>
                <w:b w:val="0"/>
                <w:i w:val="0"/>
                <w:sz w:val="22"/>
              </w:rPr>
              <w:t>Transparent progress reporting; Better institutional ranking &amp; visibility; Accountability in SDG implementation</w:t>
            </w:r>
          </w:p>
        </w:tc>
        <w:tc>
          <w:tcPr>
            <w:tcW w:type="dxa" w:w="2438"/>
            <w:tcW w:w="2438" w:type="dxa"/>
          </w:tcPr>
          <w:p>
            <w:pPr>
              <w:jc w:val="left"/>
            </w:pPr>
            <w:r/>
            <w:r>
              <w:rPr>
                <w:rFonts w:ascii="Cambria" w:hAnsi="Cambria"/>
                <w:b w:val="0"/>
                <w:i w:val="0"/>
                <w:sz w:val="22"/>
              </w:rPr>
              <w:t>Annual SDG-4 report published (Yes/No); % of accreditation metrics aligned with SDG-4; Improvement in NIRF/NAAC/QA rankings linked to SDGs</w:t>
            </w:r>
          </w:p>
        </w:tc>
      </w:tr>
    </w:tbl>
    <w:p>
      <w:pPr>
        <w:spacing w:before="200" w:after="80"/>
        <w:jc w:val="left"/>
      </w:pPr>
      <w:r>
        <w:rPr>
          <w:rFonts w:ascii="Cambria" w:hAnsi="Cambria"/>
          <w:b/>
          <w:color w:val="1F3A5F"/>
          <w:sz w:val="25"/>
        </w:rPr>
        <w:t>Recommendation–Monitoring–Compliance Matrix for SDG-4: Quality Education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701"/>
            <w:shd w:val="clear" w:color="auto" w:fill="1F3A5F"/>
            <w:tcW w:w="1701" w:type="dxa"/>
          </w:tcPr>
          <w:p>
            <w:pPr>
              <w:jc w:val="left"/>
            </w:pPr>
            <w:r/>
            <w:r>
              <w:rPr>
                <w:rFonts w:ascii="Cambria" w:hAnsi="Cambria"/>
                <w:b/>
                <w:i w:val="0"/>
                <w:color w:val="FFFFFF"/>
                <w:sz w:val="22"/>
              </w:rPr>
              <w:t>Policy Domain</w:t>
            </w:r>
          </w:p>
        </w:tc>
        <w:tc>
          <w:tcPr>
            <w:tcW w:type="dxa" w:w="2608"/>
            <w:shd w:val="clear" w:color="auto" w:fill="1F3A5F"/>
            <w:tcW w:w="2608" w:type="dxa"/>
          </w:tcPr>
          <w:p>
            <w:pPr>
              <w:jc w:val="left"/>
            </w:pPr>
            <w:r/>
            <w:r>
              <w:rPr>
                <w:rFonts w:ascii="Cambria" w:hAnsi="Cambria"/>
                <w:b/>
                <w:i w:val="0"/>
                <w:color w:val="FFFFFF"/>
                <w:sz w:val="22"/>
              </w:rPr>
              <w:t>Recommendation for HEIs</w:t>
            </w:r>
          </w:p>
        </w:tc>
        <w:tc>
          <w:tcPr>
            <w:tcW w:type="dxa" w:w="2551"/>
            <w:shd w:val="clear" w:color="auto" w:fill="1F3A5F"/>
            <w:tcW w:w="2551" w:type="dxa"/>
          </w:tcPr>
          <w:p>
            <w:pPr>
              <w:jc w:val="left"/>
            </w:pPr>
            <w:r/>
            <w:r>
              <w:rPr>
                <w:rFonts w:ascii="Cambria" w:hAnsi="Cambria"/>
                <w:b/>
                <w:i w:val="0"/>
                <w:color w:val="FFFFFF"/>
                <w:sz w:val="22"/>
              </w:rPr>
              <w:t>Monitoring Framework (KPIs)</w:t>
            </w:r>
          </w:p>
        </w:tc>
        <w:tc>
          <w:tcPr>
            <w:tcW w:type="dxa" w:w="2551"/>
            <w:shd w:val="clear" w:color="auto" w:fill="1F3A5F"/>
            <w:tcW w:w="2551" w:type="dxa"/>
          </w:tcPr>
          <w:p>
            <w:pPr>
              <w:jc w:val="left"/>
            </w:pPr>
            <w:r/>
            <w:r>
              <w:rPr>
                <w:rFonts w:ascii="Cambria" w:hAnsi="Cambria"/>
                <w:b/>
                <w:i w:val="0"/>
                <w:color w:val="FFFFFF"/>
                <w:sz w:val="22"/>
              </w:rPr>
              <w:t>Compliance Alignment (NAAC, NBA, NIRF, QS I-GAUGE)</w:t>
            </w:r>
          </w:p>
        </w:tc>
      </w:tr>
      <w:tr>
        <w:tc>
          <w:tcPr>
            <w:tcW w:type="dxa" w:w="1701"/>
            <w:tcW w:w="1701" w:type="dxa"/>
          </w:tcPr>
          <w:p>
            <w:pPr>
              <w:jc w:val="left"/>
            </w:pPr>
            <w:r/>
            <w:r>
              <w:rPr>
                <w:rFonts w:ascii="Cambria" w:hAnsi="Cambria"/>
                <w:b w:val="0"/>
                <w:i w:val="0"/>
                <w:sz w:val="22"/>
              </w:rPr>
              <w:t>Curriculum Integration</w:t>
            </w:r>
          </w:p>
        </w:tc>
        <w:tc>
          <w:tcPr>
            <w:tcW w:type="dxa" w:w="2608"/>
            <w:tcW w:w="2608" w:type="dxa"/>
          </w:tcPr>
          <w:p>
            <w:pPr>
              <w:jc w:val="left"/>
            </w:pPr>
            <w:r/>
            <w:r>
              <w:rPr>
                <w:rFonts w:ascii="Cambria" w:hAnsi="Cambria"/>
                <w:b w:val="0"/>
                <w:i w:val="0"/>
                <w:sz w:val="22"/>
              </w:rPr>
              <w:t>Introduce SDG-based majors, minors, diplomas, electives; embed sustainability &amp; global citizenship into all disciplines</w:t>
            </w:r>
          </w:p>
        </w:tc>
        <w:tc>
          <w:tcPr>
            <w:tcW w:type="dxa" w:w="2551"/>
            <w:tcW w:w="2551" w:type="dxa"/>
          </w:tcPr>
          <w:p>
            <w:pPr>
              <w:jc w:val="left"/>
            </w:pPr>
            <w:r/>
            <w:r>
              <w:rPr>
                <w:rFonts w:ascii="Cambria" w:hAnsi="Cambria"/>
                <w:b w:val="0"/>
                <w:i w:val="0"/>
                <w:sz w:val="22"/>
              </w:rPr>
              <w:t>% of courses aligned with SDGs; Number of SDG-based programs introduced; Student enrolment in SDG-related courses; Number of MOOCs/OERs developed</w:t>
            </w:r>
          </w:p>
        </w:tc>
        <w:tc>
          <w:tcPr>
            <w:tcW w:type="dxa" w:w="2551"/>
            <w:tcW w:w="2551" w:type="dxa"/>
          </w:tcPr>
          <w:p>
            <w:pPr>
              <w:jc w:val="left"/>
            </w:pPr>
            <w:r/>
            <w:r>
              <w:rPr>
                <w:rFonts w:ascii="Cambria" w:hAnsi="Cambria"/>
                <w:b w:val="0"/>
                <w:i w:val="0"/>
                <w:sz w:val="22"/>
              </w:rPr>
              <w:t>NAAC: Curricular Aspects (Criterion I); NBA: PO/PEO alignment with sustainability; NIRF: Teaching &amp; Learning Resources; QS I-GAUGE: Teaching &amp; Learning (TL)</w:t>
            </w:r>
          </w:p>
        </w:tc>
      </w:tr>
      <w:tr>
        <w:tc>
          <w:tcPr>
            <w:tcW w:type="dxa" w:w="1701"/>
            <w:tcW w:w="1701" w:type="dxa"/>
            <w:shd w:val="clear" w:color="auto" w:fill="DCE6F1"/>
          </w:tcPr>
          <w:p>
            <w:pPr>
              <w:jc w:val="left"/>
            </w:pPr>
            <w:r/>
            <w:r>
              <w:rPr>
                <w:rFonts w:ascii="Cambria" w:hAnsi="Cambria"/>
                <w:b w:val="0"/>
                <w:i w:val="0"/>
                <w:sz w:val="22"/>
              </w:rPr>
              <w:t>Awareness &amp; Engagement</w:t>
            </w:r>
          </w:p>
        </w:tc>
        <w:tc>
          <w:tcPr>
            <w:tcW w:type="dxa" w:w="2608"/>
            <w:tcW w:w="2608" w:type="dxa"/>
            <w:shd w:val="clear" w:color="auto" w:fill="DCE6F1"/>
          </w:tcPr>
          <w:p>
            <w:pPr>
              <w:jc w:val="left"/>
            </w:pPr>
            <w:r/>
            <w:r>
              <w:rPr>
                <w:rFonts w:ascii="Cambria" w:hAnsi="Cambria"/>
                <w:b w:val="0"/>
                <w:i w:val="0"/>
                <w:sz w:val="22"/>
              </w:rPr>
              <w:t>Conduct SDG seminars, workshops, and campaigns; establish student clubs &amp; MOOCs</w:t>
            </w:r>
          </w:p>
        </w:tc>
        <w:tc>
          <w:tcPr>
            <w:tcW w:type="dxa" w:w="2551"/>
            <w:tcW w:w="2551" w:type="dxa"/>
            <w:shd w:val="clear" w:color="auto" w:fill="DCE6F1"/>
          </w:tcPr>
          <w:p>
            <w:pPr>
              <w:jc w:val="left"/>
            </w:pPr>
            <w:r/>
            <w:r>
              <w:rPr>
                <w:rFonts w:ascii="Cambria" w:hAnsi="Cambria"/>
                <w:b w:val="0"/>
                <w:i w:val="0"/>
                <w:sz w:val="22"/>
              </w:rPr>
              <w:t>Number of awareness events/year; Student participation rate (%)</w:t>
            </w:r>
          </w:p>
        </w:tc>
        <w:tc>
          <w:tcPr>
            <w:tcW w:type="dxa" w:w="2551"/>
            <w:tcW w:w="2551" w:type="dxa"/>
            <w:shd w:val="clear" w:color="auto" w:fill="DCE6F1"/>
          </w:tcPr>
          <w:p>
            <w:pPr>
              <w:jc w:val="left"/>
            </w:pPr>
            <w:r/>
            <w:r>
              <w:rPr>
                <w:rFonts w:ascii="Cambria" w:hAnsi="Cambria"/>
                <w:b w:val="0"/>
                <w:i w:val="0"/>
                <w:sz w:val="22"/>
              </w:rPr>
              <w:t>NAAC: Student Support &amp; Progression (Criterion V); NBA: Co-curricular &amp; Extension Activities; NIRF: Outreach &amp; Inclusivity; QS I-GAUGE: Employability (EP), Faculty Competence (FC)</w:t>
            </w:r>
          </w:p>
        </w:tc>
      </w:tr>
      <w:tr>
        <w:tc>
          <w:tcPr>
            <w:tcW w:type="dxa" w:w="1701"/>
            <w:tcW w:w="1701" w:type="dxa"/>
          </w:tcPr>
          <w:p>
            <w:pPr>
              <w:jc w:val="left"/>
            </w:pPr>
            <w:r/>
            <w:r>
              <w:rPr>
                <w:rFonts w:ascii="Cambria" w:hAnsi="Cambria"/>
                <w:b w:val="0"/>
                <w:i w:val="0"/>
                <w:sz w:val="22"/>
              </w:rPr>
              <w:t>Faculty Development &amp; Teacher Training</w:t>
            </w:r>
          </w:p>
        </w:tc>
        <w:tc>
          <w:tcPr>
            <w:tcW w:type="dxa" w:w="2608"/>
            <w:tcW w:w="2608" w:type="dxa"/>
          </w:tcPr>
          <w:p>
            <w:pPr>
              <w:jc w:val="left"/>
            </w:pPr>
            <w:r/>
            <w:r>
              <w:rPr>
                <w:rFonts w:ascii="Cambria" w:hAnsi="Cambria"/>
                <w:b w:val="0"/>
                <w:i w:val="0"/>
                <w:sz w:val="22"/>
              </w:rPr>
              <w:t>Train teachers in SDG pedagogy; incentivize global exchange &amp; continuous development</w:t>
            </w:r>
          </w:p>
        </w:tc>
        <w:tc>
          <w:tcPr>
            <w:tcW w:type="dxa" w:w="2551"/>
            <w:tcW w:w="2551" w:type="dxa"/>
          </w:tcPr>
          <w:p>
            <w:pPr>
              <w:jc w:val="left"/>
            </w:pPr>
            <w:r/>
            <w:r>
              <w:rPr>
                <w:rFonts w:ascii="Cambria" w:hAnsi="Cambria"/>
                <w:b w:val="0"/>
                <w:i w:val="0"/>
                <w:sz w:val="22"/>
              </w:rPr>
              <w:t>% of faculty trained in SDG pedagogy; Number of teacher exchanges; Annual hours of faculty PD</w:t>
            </w:r>
          </w:p>
        </w:tc>
        <w:tc>
          <w:tcPr>
            <w:tcW w:type="dxa" w:w="2551"/>
            <w:tcW w:w="2551" w:type="dxa"/>
          </w:tcPr>
          <w:p>
            <w:pPr>
              <w:jc w:val="left"/>
            </w:pPr>
            <w:r/>
            <w:r>
              <w:rPr>
                <w:rFonts w:ascii="Cambria" w:hAnsi="Cambria"/>
                <w:b w:val="0"/>
                <w:i w:val="0"/>
                <w:sz w:val="22"/>
              </w:rPr>
              <w:t>NAAC: Teaching–Learning &amp; Evaluation (Criterion II); NBA: Faculty Contributions; NIRF: Faculty–Student Ratio &amp; Qualifications; QS I-GAUGE: Faculty Quality (FQ)</w:t>
            </w:r>
          </w:p>
        </w:tc>
      </w:tr>
      <w:tr>
        <w:tc>
          <w:tcPr>
            <w:tcW w:type="dxa" w:w="1701"/>
            <w:tcW w:w="1701" w:type="dxa"/>
            <w:shd w:val="clear" w:color="auto" w:fill="DCE6F1"/>
          </w:tcPr>
          <w:p>
            <w:pPr>
              <w:jc w:val="left"/>
            </w:pPr>
            <w:r/>
            <w:r>
              <w:rPr>
                <w:rFonts w:ascii="Cambria" w:hAnsi="Cambria"/>
                <w:b w:val="0"/>
                <w:i w:val="0"/>
                <w:sz w:val="22"/>
              </w:rPr>
              <w:t>Inclusive &amp; Equitable Access</w:t>
            </w:r>
          </w:p>
        </w:tc>
        <w:tc>
          <w:tcPr>
            <w:tcW w:type="dxa" w:w="2608"/>
            <w:tcW w:w="2608" w:type="dxa"/>
            <w:shd w:val="clear" w:color="auto" w:fill="DCE6F1"/>
          </w:tcPr>
          <w:p>
            <w:pPr>
              <w:jc w:val="left"/>
            </w:pPr>
            <w:r/>
            <w:r>
              <w:rPr>
                <w:rFonts w:ascii="Cambria" w:hAnsi="Cambria"/>
                <w:b w:val="0"/>
                <w:i w:val="0"/>
                <w:sz w:val="22"/>
              </w:rPr>
              <w:t>Scholarships for marginalized groups; assistive technologies for differently-abled students; gender equality in STEM</w:t>
            </w:r>
          </w:p>
        </w:tc>
        <w:tc>
          <w:tcPr>
            <w:tcW w:type="dxa" w:w="2551"/>
            <w:tcW w:w="2551" w:type="dxa"/>
            <w:shd w:val="clear" w:color="auto" w:fill="DCE6F1"/>
          </w:tcPr>
          <w:p>
            <w:pPr>
              <w:jc w:val="left"/>
            </w:pPr>
            <w:r/>
            <w:r>
              <w:rPr>
                <w:rFonts w:ascii="Cambria" w:hAnsi="Cambria"/>
                <w:b w:val="0"/>
                <w:i w:val="0"/>
                <w:sz w:val="22"/>
              </w:rPr>
              <w:t>GER of disadvantaged groups (%); Gender Parity Index in STEM; Disabled students supported</w:t>
            </w:r>
          </w:p>
        </w:tc>
        <w:tc>
          <w:tcPr>
            <w:tcW w:type="dxa" w:w="2551"/>
            <w:tcW w:w="2551" w:type="dxa"/>
            <w:shd w:val="clear" w:color="auto" w:fill="DCE6F1"/>
          </w:tcPr>
          <w:p>
            <w:pPr>
              <w:jc w:val="left"/>
            </w:pPr>
            <w:r/>
            <w:r>
              <w:rPr>
                <w:rFonts w:ascii="Cambria" w:hAnsi="Cambria"/>
                <w:b w:val="0"/>
                <w:i w:val="0"/>
                <w:sz w:val="22"/>
              </w:rPr>
              <w:t>NAAC: Inclusivity &amp; Equity (Criterion VII); NBA: Diversity in student admissions; NIRF: Outreach &amp; Inclusivity score; QS I-GAUGE: Diversity &amp; Accessibility (DA)</w:t>
            </w:r>
          </w:p>
        </w:tc>
      </w:tr>
      <w:tr>
        <w:tc>
          <w:tcPr>
            <w:tcW w:type="dxa" w:w="1701"/>
            <w:tcW w:w="1701" w:type="dxa"/>
          </w:tcPr>
          <w:p>
            <w:pPr>
              <w:jc w:val="left"/>
            </w:pPr>
            <w:r/>
            <w:r>
              <w:rPr>
                <w:rFonts w:ascii="Cambria" w:hAnsi="Cambria"/>
                <w:b w:val="0"/>
                <w:i w:val="0"/>
                <w:sz w:val="22"/>
              </w:rPr>
              <w:t>Digital Transformation &amp; Lifelong Learning</w:t>
            </w:r>
          </w:p>
        </w:tc>
        <w:tc>
          <w:tcPr>
            <w:tcW w:type="dxa" w:w="2608"/>
            <w:tcW w:w="2608" w:type="dxa"/>
          </w:tcPr>
          <w:p>
            <w:pPr>
              <w:jc w:val="left"/>
            </w:pPr>
            <w:r/>
            <w:r>
              <w:rPr>
                <w:rFonts w:ascii="Cambria" w:hAnsi="Cambria"/>
                <w:b w:val="0"/>
                <w:i w:val="0"/>
                <w:sz w:val="22"/>
              </w:rPr>
              <w:t>Strengthen ICT-enabled learning, digital libraries, adult literacy, and continuing education</w:t>
            </w:r>
          </w:p>
        </w:tc>
        <w:tc>
          <w:tcPr>
            <w:tcW w:type="dxa" w:w="2551"/>
            <w:tcW w:w="2551" w:type="dxa"/>
          </w:tcPr>
          <w:p>
            <w:pPr>
              <w:jc w:val="left"/>
            </w:pPr>
            <w:r/>
            <w:r>
              <w:rPr>
                <w:rFonts w:ascii="Cambria" w:hAnsi="Cambria"/>
                <w:b w:val="0"/>
                <w:i w:val="0"/>
                <w:sz w:val="22"/>
              </w:rPr>
              <w:t>% of courses offered online; Number of adult learners enrolled; ICT literacy rate (%)</w:t>
            </w:r>
          </w:p>
        </w:tc>
        <w:tc>
          <w:tcPr>
            <w:tcW w:type="dxa" w:w="2551"/>
            <w:tcW w:w="2551" w:type="dxa"/>
          </w:tcPr>
          <w:p>
            <w:pPr>
              <w:jc w:val="left"/>
            </w:pPr>
            <w:r/>
            <w:r>
              <w:rPr>
                <w:rFonts w:ascii="Cambria" w:hAnsi="Cambria"/>
                <w:b w:val="0"/>
                <w:i w:val="0"/>
                <w:sz w:val="22"/>
              </w:rPr>
              <w:t>NAAC: Infrastructure &amp; Learning Resources (Criterion IV); NBA: Use of ICT in teaching; NIRF: Research &amp; Professional Practices; QS I-GAUGE: Digital Education Readiness</w:t>
            </w:r>
          </w:p>
        </w:tc>
      </w:tr>
      <w:tr>
        <w:tc>
          <w:tcPr>
            <w:tcW w:type="dxa" w:w="1701"/>
            <w:tcW w:w="1701" w:type="dxa"/>
            <w:shd w:val="clear" w:color="auto" w:fill="DCE6F1"/>
          </w:tcPr>
          <w:p>
            <w:pPr>
              <w:jc w:val="left"/>
            </w:pPr>
            <w:r/>
            <w:r>
              <w:rPr>
                <w:rFonts w:ascii="Cambria" w:hAnsi="Cambria"/>
                <w:b w:val="0"/>
                <w:i w:val="0"/>
                <w:sz w:val="22"/>
              </w:rPr>
              <w:t>Research, Innovation &amp; Partnerships</w:t>
            </w:r>
          </w:p>
        </w:tc>
        <w:tc>
          <w:tcPr>
            <w:tcW w:type="dxa" w:w="2608"/>
            <w:tcW w:w="2608" w:type="dxa"/>
            <w:shd w:val="clear" w:color="auto" w:fill="DCE6F1"/>
          </w:tcPr>
          <w:p>
            <w:pPr>
              <w:jc w:val="left"/>
            </w:pPr>
            <w:r/>
            <w:r>
              <w:rPr>
                <w:rFonts w:ascii="Cambria" w:hAnsi="Cambria"/>
                <w:b w:val="0"/>
                <w:i w:val="0"/>
                <w:sz w:val="22"/>
              </w:rPr>
              <w:t>Conduct SDG-related research; build partnerships with industry, NGOs, and international universities</w:t>
            </w:r>
          </w:p>
        </w:tc>
        <w:tc>
          <w:tcPr>
            <w:tcW w:type="dxa" w:w="2551"/>
            <w:tcW w:w="2551" w:type="dxa"/>
            <w:shd w:val="clear" w:color="auto" w:fill="DCE6F1"/>
          </w:tcPr>
          <w:p>
            <w:pPr>
              <w:jc w:val="left"/>
            </w:pPr>
            <w:r/>
            <w:r>
              <w:rPr>
                <w:rFonts w:ascii="Cambria" w:hAnsi="Cambria"/>
                <w:b w:val="0"/>
                <w:i w:val="0"/>
                <w:sz w:val="22"/>
              </w:rPr>
              <w:t>Number of SDG-related research publications; Research funding for SDGs; Active MoUs with global partners</w:t>
            </w:r>
          </w:p>
        </w:tc>
        <w:tc>
          <w:tcPr>
            <w:tcW w:type="dxa" w:w="2551"/>
            <w:tcW w:w="2551" w:type="dxa"/>
            <w:shd w:val="clear" w:color="auto" w:fill="DCE6F1"/>
          </w:tcPr>
          <w:p>
            <w:pPr>
              <w:jc w:val="left"/>
            </w:pPr>
            <w:r/>
            <w:r>
              <w:rPr>
                <w:rFonts w:ascii="Cambria" w:hAnsi="Cambria"/>
                <w:b w:val="0"/>
                <w:i w:val="0"/>
                <w:sz w:val="22"/>
              </w:rPr>
              <w:t>NAAC: Research, Innovations &amp; Extension (Criterion III); NBA: R&amp;D, consultancy, and extension work; NIRF: Research &amp; Professional Practices; QS I-GAUGE: Employability (EP), Faculty Competence (FC)</w:t>
            </w:r>
          </w:p>
        </w:tc>
      </w:tr>
      <w:tr>
        <w:tc>
          <w:tcPr>
            <w:tcW w:type="dxa" w:w="1701"/>
            <w:tcW w:w="1701" w:type="dxa"/>
          </w:tcPr>
          <w:p>
            <w:pPr>
              <w:jc w:val="left"/>
            </w:pPr>
            <w:r/>
            <w:r>
              <w:rPr>
                <w:rFonts w:ascii="Cambria" w:hAnsi="Cambria"/>
                <w:b w:val="0"/>
                <w:i w:val="0"/>
                <w:sz w:val="22"/>
              </w:rPr>
              <w:t>Monitoring &amp; Evaluation</w:t>
            </w:r>
          </w:p>
        </w:tc>
        <w:tc>
          <w:tcPr>
            <w:tcW w:type="dxa" w:w="2608"/>
            <w:tcW w:w="2608" w:type="dxa"/>
          </w:tcPr>
          <w:p>
            <w:pPr>
              <w:jc w:val="left"/>
            </w:pPr>
            <w:r/>
            <w:r>
              <w:rPr>
                <w:rFonts w:ascii="Cambria" w:hAnsi="Cambria"/>
                <w:b w:val="0"/>
                <w:i w:val="0"/>
                <w:sz w:val="22"/>
              </w:rPr>
              <w:t>Establish SDG-4 monitoring cells; publish annual sustainability reports; integrate SDGs in accreditation</w:t>
            </w:r>
          </w:p>
        </w:tc>
        <w:tc>
          <w:tcPr>
            <w:tcW w:type="dxa" w:w="2551"/>
            <w:tcW w:w="2551" w:type="dxa"/>
          </w:tcPr>
          <w:p>
            <w:pPr>
              <w:jc w:val="left"/>
            </w:pPr>
            <w:r/>
            <w:r>
              <w:rPr>
                <w:rFonts w:ascii="Cambria" w:hAnsi="Cambria"/>
                <w:b w:val="0"/>
                <w:i w:val="0"/>
                <w:sz w:val="22"/>
              </w:rPr>
              <w:t>Annual SDG-4 report (Yes/No); % of accreditation metrics linked with SDGs; Improvement in rankings</w:t>
            </w:r>
          </w:p>
        </w:tc>
        <w:tc>
          <w:tcPr>
            <w:tcW w:type="dxa" w:w="2551"/>
            <w:tcW w:w="2551" w:type="dxa"/>
          </w:tcPr>
          <w:p>
            <w:pPr>
              <w:jc w:val="left"/>
            </w:pPr>
            <w:r/>
            <w:r>
              <w:rPr>
                <w:rFonts w:ascii="Cambria" w:hAnsi="Cambria"/>
                <w:b w:val="0"/>
                <w:i w:val="0"/>
                <w:sz w:val="22"/>
              </w:rPr>
              <w:t>NAAC: Institutional Values &amp; Best Practices (Criterion VII); NBA: Continuous Improvement (CI) metrics; NIRF: Governance, Leadership &amp; Strategy; QS I-GAUGE: Governance &amp; Institutional Values</w:t>
            </w:r>
          </w:p>
        </w:tc>
      </w:tr>
    </w:tbl>
    <w:p>
      <w:pPr>
        <w:spacing w:before="200" w:after="80"/>
        <w:jc w:val="left"/>
      </w:pPr>
      <w:r>
        <w:rPr>
          <w:rFonts w:ascii="Cambria" w:hAnsi="Cambria"/>
          <w:b/>
          <w:color w:val="1F3A5F"/>
          <w:sz w:val="25"/>
        </w:rPr>
        <w:t>Structured Recommendation Framework for SDG-4: Quality Education</w:t>
      </w:r>
    </w:p>
    <w:p>
      <w:pPr>
        <w:spacing w:after="120"/>
        <w:jc w:val="both"/>
      </w:pPr>
      <w:r>
        <w:rPr>
          <w:rFonts w:ascii="Cambria" w:hAnsi="Cambria"/>
          <w:b/>
          <w:i w:val="0"/>
          <w:sz w:val="22"/>
        </w:rPr>
        <w:t>1. Curriculum Integration</w:t>
      </w:r>
    </w:p>
    <w:p>
      <w:pPr>
        <w:spacing w:after="120"/>
        <w:jc w:val="both"/>
      </w:pPr>
      <w:r>
        <w:rPr>
          <w:rFonts w:ascii="Cambria" w:hAnsi="Cambria"/>
          <w:b/>
          <w:i w:val="0"/>
          <w:sz w:val="22"/>
        </w:rPr>
        <w:t>Recommendation:</w:t>
      </w:r>
    </w:p>
    <w:p>
      <w:pPr>
        <w:pStyle w:val="ListBullet2"/>
        <w:ind w:left="720"/>
        <w:jc w:val="both"/>
      </w:pPr>
      <w:r>
        <w:rPr>
          <w:rFonts w:ascii="Cambria" w:hAnsi="Cambria"/>
          <w:sz w:val="22"/>
        </w:rPr>
        <w:t>Introduce SDG-oriented majors, minors, diplomas, and electives.</w:t>
      </w:r>
    </w:p>
    <w:p>
      <w:pPr>
        <w:pStyle w:val="ListBullet2"/>
        <w:ind w:left="720"/>
        <w:jc w:val="both"/>
      </w:pPr>
      <w:r>
        <w:rPr>
          <w:rFonts w:ascii="Cambria" w:hAnsi="Cambria"/>
          <w:sz w:val="22"/>
        </w:rPr>
        <w:t>Embed sustainability, ethics, and global citizenship into all academic programs.</w:t>
      </w:r>
    </w:p>
    <w:p>
      <w:pPr>
        <w:pStyle w:val="ListBullet2"/>
        <w:ind w:left="720"/>
        <w:jc w:val="both"/>
      </w:pPr>
      <w:r>
        <w:rPr>
          <w:rFonts w:ascii="Cambria" w:hAnsi="Cambria"/>
          <w:sz w:val="22"/>
        </w:rPr>
        <w:t>Develop interdisciplinary courses linking education, environment, health, and technology.</w:t>
      </w:r>
    </w:p>
    <w:p>
      <w:pPr>
        <w:spacing w:after="120"/>
        <w:jc w:val="both"/>
      </w:pPr>
      <w:r>
        <w:rPr>
          <w:rFonts w:ascii="Cambria" w:hAnsi="Cambria"/>
          <w:b/>
          <w:i w:val="0"/>
          <w:sz w:val="22"/>
        </w:rPr>
        <w:t>Rationale:</w:t>
      </w:r>
    </w:p>
    <w:p>
      <w:pPr>
        <w:pStyle w:val="ListBullet2"/>
        <w:ind w:left="720"/>
        <w:jc w:val="both"/>
      </w:pPr>
      <w:r>
        <w:rPr>
          <w:rFonts w:ascii="Cambria" w:hAnsi="Cambria"/>
          <w:sz w:val="22"/>
        </w:rPr>
        <w:t>Ensures students are not only job-ready but also socially and environmentally responsible.</w:t>
      </w:r>
    </w:p>
    <w:p>
      <w:pPr>
        <w:spacing w:after="120"/>
        <w:jc w:val="both"/>
      </w:pPr>
      <w:r>
        <w:rPr>
          <w:rFonts w:ascii="Cambria" w:hAnsi="Cambria"/>
          <w:b/>
          <w:i w:val="0"/>
          <w:sz w:val="22"/>
        </w:rPr>
        <w:t>2. Awareness and Engagement</w:t>
      </w:r>
    </w:p>
    <w:p>
      <w:pPr>
        <w:spacing w:after="120"/>
        <w:jc w:val="both"/>
      </w:pPr>
      <w:r>
        <w:rPr>
          <w:rFonts w:ascii="Cambria" w:hAnsi="Cambria"/>
          <w:b/>
          <w:i w:val="0"/>
          <w:sz w:val="22"/>
        </w:rPr>
        <w:t>Recommendation:</w:t>
      </w:r>
    </w:p>
    <w:p>
      <w:pPr>
        <w:pStyle w:val="ListBullet2"/>
        <w:ind w:left="720"/>
        <w:jc w:val="both"/>
      </w:pPr>
      <w:r>
        <w:rPr>
          <w:rFonts w:ascii="Cambria" w:hAnsi="Cambria"/>
          <w:sz w:val="22"/>
        </w:rPr>
        <w:t>Organize regular seminars, workshops, and awareness drives on SDGs.</w:t>
      </w:r>
    </w:p>
    <w:p>
      <w:pPr>
        <w:pStyle w:val="ListBullet2"/>
        <w:ind w:left="720"/>
        <w:jc w:val="both"/>
      </w:pPr>
      <w:r>
        <w:rPr>
          <w:rFonts w:ascii="Cambria" w:hAnsi="Cambria"/>
          <w:sz w:val="22"/>
        </w:rPr>
        <w:t>Create SDG student clubs and community outreach projects.</w:t>
      </w:r>
    </w:p>
    <w:p>
      <w:pPr>
        <w:pStyle w:val="ListBullet2"/>
        <w:ind w:left="720"/>
        <w:jc w:val="both"/>
      </w:pPr>
      <w:r>
        <w:rPr>
          <w:rFonts w:ascii="Cambria" w:hAnsi="Cambria"/>
          <w:sz w:val="22"/>
        </w:rPr>
        <w:t>Launch MOOCs and Open Educational Resources (OERs) aligned with SDG-4.</w:t>
      </w:r>
    </w:p>
    <w:p>
      <w:pPr>
        <w:spacing w:after="120"/>
        <w:jc w:val="both"/>
      </w:pPr>
      <w:r>
        <w:rPr>
          <w:rFonts w:ascii="Cambria" w:hAnsi="Cambria"/>
          <w:b/>
          <w:i w:val="0"/>
          <w:sz w:val="22"/>
        </w:rPr>
        <w:t>Rationale:</w:t>
      </w:r>
    </w:p>
    <w:p>
      <w:pPr>
        <w:pStyle w:val="ListBullet2"/>
        <w:ind w:left="720"/>
        <w:jc w:val="both"/>
      </w:pPr>
      <w:r>
        <w:rPr>
          <w:rFonts w:ascii="Cambria" w:hAnsi="Cambria"/>
          <w:sz w:val="22"/>
        </w:rPr>
        <w:t>Encourages student participation, leadership, and community-based learning.</w:t>
      </w:r>
    </w:p>
    <w:p>
      <w:pPr>
        <w:spacing w:after="120"/>
        <w:jc w:val="both"/>
      </w:pPr>
      <w:r>
        <w:rPr>
          <w:rFonts w:ascii="Cambria" w:hAnsi="Cambria"/>
          <w:b/>
          <w:i w:val="0"/>
          <w:sz w:val="22"/>
        </w:rPr>
        <w:t>3. Faculty Development and Teacher Training</w:t>
      </w:r>
    </w:p>
    <w:p>
      <w:pPr>
        <w:spacing w:after="120"/>
        <w:jc w:val="both"/>
      </w:pPr>
      <w:r>
        <w:rPr>
          <w:rFonts w:ascii="Cambria" w:hAnsi="Cambria"/>
          <w:b/>
          <w:i w:val="0"/>
          <w:sz w:val="22"/>
        </w:rPr>
        <w:t>Recommendation:</w:t>
      </w:r>
    </w:p>
    <w:p>
      <w:pPr>
        <w:pStyle w:val="ListBullet2"/>
        <w:ind w:left="720"/>
        <w:jc w:val="both"/>
      </w:pPr>
      <w:r>
        <w:rPr>
          <w:rFonts w:ascii="Cambria" w:hAnsi="Cambria"/>
          <w:sz w:val="22"/>
        </w:rPr>
        <w:t>Train faculty in SDG pedagogy, experiential learning, and blended teaching methods.</w:t>
      </w:r>
    </w:p>
    <w:p>
      <w:pPr>
        <w:pStyle w:val="ListBullet2"/>
        <w:ind w:left="720"/>
        <w:jc w:val="both"/>
      </w:pPr>
      <w:r>
        <w:rPr>
          <w:rFonts w:ascii="Cambria" w:hAnsi="Cambria"/>
          <w:sz w:val="22"/>
        </w:rPr>
        <w:t>Establish teacher-exchange programs with national and international HEIs.</w:t>
      </w:r>
    </w:p>
    <w:p>
      <w:pPr>
        <w:pStyle w:val="ListBullet2"/>
        <w:ind w:left="720"/>
        <w:jc w:val="both"/>
      </w:pPr>
      <w:r>
        <w:rPr>
          <w:rFonts w:ascii="Cambria" w:hAnsi="Cambria"/>
          <w:sz w:val="22"/>
        </w:rPr>
        <w:t>Provide incentives for faculty pursuing continuous professional development.</w:t>
      </w:r>
    </w:p>
    <w:p>
      <w:pPr>
        <w:spacing w:after="120"/>
        <w:jc w:val="both"/>
      </w:pPr>
      <w:r>
        <w:rPr>
          <w:rFonts w:ascii="Cambria" w:hAnsi="Cambria"/>
          <w:b/>
          <w:i w:val="0"/>
          <w:sz w:val="22"/>
        </w:rPr>
        <w:t>Rationale:</w:t>
      </w:r>
    </w:p>
    <w:p>
      <w:pPr>
        <w:pStyle w:val="ListBullet2"/>
        <w:ind w:left="720"/>
        <w:jc w:val="both"/>
      </w:pPr>
      <w:r>
        <w:rPr>
          <w:rFonts w:ascii="Cambria" w:hAnsi="Cambria"/>
          <w:sz w:val="22"/>
        </w:rPr>
        <w:t>Enhances teaching quality and ensures global best practices are adopted.</w:t>
      </w:r>
    </w:p>
    <w:p>
      <w:pPr>
        <w:spacing w:after="120"/>
        <w:jc w:val="both"/>
      </w:pPr>
      <w:r>
        <w:rPr>
          <w:rFonts w:ascii="Cambria" w:hAnsi="Cambria"/>
          <w:b/>
          <w:i w:val="0"/>
          <w:sz w:val="22"/>
        </w:rPr>
        <w:t>4. Inclusive and Equitable Access</w:t>
      </w:r>
    </w:p>
    <w:p>
      <w:pPr>
        <w:spacing w:after="120"/>
        <w:jc w:val="both"/>
      </w:pPr>
      <w:r>
        <w:rPr>
          <w:rFonts w:ascii="Cambria" w:hAnsi="Cambria"/>
          <w:b/>
          <w:i w:val="0"/>
          <w:sz w:val="22"/>
        </w:rPr>
        <w:t>Recommendation:</w:t>
      </w:r>
    </w:p>
    <w:p>
      <w:pPr>
        <w:pStyle w:val="ListBullet2"/>
        <w:ind w:left="720"/>
        <w:jc w:val="both"/>
      </w:pPr>
      <w:r>
        <w:rPr>
          <w:rFonts w:ascii="Cambria" w:hAnsi="Cambria"/>
          <w:sz w:val="22"/>
        </w:rPr>
        <w:t>Expand scholarships and financial aid for marginalized groups.</w:t>
      </w:r>
    </w:p>
    <w:p>
      <w:pPr>
        <w:pStyle w:val="ListBullet2"/>
        <w:ind w:left="720"/>
        <w:jc w:val="both"/>
      </w:pPr>
      <w:r>
        <w:rPr>
          <w:rFonts w:ascii="Cambria" w:hAnsi="Cambria"/>
          <w:sz w:val="22"/>
        </w:rPr>
        <w:t>Provide assistive technologies and inclusive infrastructure for students with disabilities.</w:t>
      </w:r>
    </w:p>
    <w:p>
      <w:pPr>
        <w:pStyle w:val="ListBullet2"/>
        <w:ind w:left="720"/>
        <w:jc w:val="both"/>
      </w:pPr>
      <w:r>
        <w:rPr>
          <w:rFonts w:ascii="Cambria" w:hAnsi="Cambria"/>
          <w:sz w:val="22"/>
        </w:rPr>
        <w:t>Encourage gender equality in STEM fields through mentorship and funding.</w:t>
      </w:r>
    </w:p>
    <w:p>
      <w:pPr>
        <w:spacing w:after="120"/>
        <w:jc w:val="both"/>
      </w:pPr>
      <w:r>
        <w:rPr>
          <w:rFonts w:ascii="Cambria" w:hAnsi="Cambria"/>
          <w:b/>
          <w:i w:val="0"/>
          <w:sz w:val="22"/>
        </w:rPr>
        <w:t>Rationale:</w:t>
      </w:r>
    </w:p>
    <w:p>
      <w:pPr>
        <w:pStyle w:val="ListBullet2"/>
        <w:ind w:left="720"/>
        <w:jc w:val="both"/>
      </w:pPr>
      <w:r>
        <w:rPr>
          <w:rFonts w:ascii="Cambria" w:hAnsi="Cambria"/>
          <w:sz w:val="22"/>
        </w:rPr>
        <w:t>Promotes equity, diversity, and participation of underrepresented groups.</w:t>
      </w:r>
    </w:p>
    <w:p>
      <w:pPr>
        <w:spacing w:after="120"/>
        <w:jc w:val="both"/>
      </w:pPr>
      <w:r>
        <w:rPr>
          <w:rFonts w:ascii="Cambria" w:hAnsi="Cambria"/>
          <w:b/>
          <w:i w:val="0"/>
          <w:sz w:val="22"/>
        </w:rPr>
        <w:t>5. Digital Transformation and Lifelong Learning</w:t>
      </w:r>
    </w:p>
    <w:p>
      <w:pPr>
        <w:spacing w:after="120"/>
        <w:jc w:val="both"/>
      </w:pPr>
      <w:r>
        <w:rPr>
          <w:rFonts w:ascii="Cambria" w:hAnsi="Cambria"/>
          <w:b/>
          <w:i w:val="0"/>
          <w:sz w:val="22"/>
        </w:rPr>
        <w:t>Recommendation:</w:t>
      </w:r>
    </w:p>
    <w:p>
      <w:pPr>
        <w:pStyle w:val="ListBullet2"/>
        <w:ind w:left="720"/>
        <w:jc w:val="both"/>
      </w:pPr>
      <w:r>
        <w:rPr>
          <w:rFonts w:ascii="Cambria" w:hAnsi="Cambria"/>
          <w:sz w:val="22"/>
        </w:rPr>
        <w:t>Strengthen ICT-enabled education with digital libraries, smart classrooms, and e-learning platforms.</w:t>
      </w:r>
    </w:p>
    <w:p>
      <w:pPr>
        <w:pStyle w:val="ListBullet2"/>
        <w:ind w:left="720"/>
        <w:jc w:val="both"/>
      </w:pPr>
      <w:r>
        <w:rPr>
          <w:rFonts w:ascii="Cambria" w:hAnsi="Cambria"/>
          <w:sz w:val="22"/>
        </w:rPr>
        <w:t>Introduce adult literacy and reskilling programs.</w:t>
      </w:r>
    </w:p>
    <w:p>
      <w:pPr>
        <w:pStyle w:val="ListBullet2"/>
        <w:ind w:left="720"/>
        <w:jc w:val="both"/>
      </w:pPr>
      <w:r>
        <w:rPr>
          <w:rFonts w:ascii="Cambria" w:hAnsi="Cambria"/>
          <w:sz w:val="22"/>
        </w:rPr>
        <w:t>Create continuing education centers for lifelong learning.</w:t>
      </w:r>
    </w:p>
    <w:p>
      <w:pPr>
        <w:spacing w:after="120"/>
        <w:jc w:val="both"/>
      </w:pPr>
      <w:r>
        <w:rPr>
          <w:rFonts w:ascii="Cambria" w:hAnsi="Cambria"/>
          <w:b/>
          <w:i w:val="0"/>
          <w:sz w:val="22"/>
        </w:rPr>
        <w:t>Rationale:</w:t>
      </w:r>
    </w:p>
    <w:p>
      <w:pPr>
        <w:pStyle w:val="ListBullet2"/>
        <w:ind w:left="720"/>
        <w:jc w:val="both"/>
      </w:pPr>
      <w:r>
        <w:rPr>
          <w:rFonts w:ascii="Cambria" w:hAnsi="Cambria"/>
          <w:sz w:val="22"/>
        </w:rPr>
        <w:t>Prepares learners for the digital economy and supports lifelong upskilling.</w:t>
      </w:r>
    </w:p>
    <w:p>
      <w:pPr>
        <w:spacing w:after="120"/>
        <w:jc w:val="both"/>
      </w:pPr>
      <w:r>
        <w:rPr>
          <w:rFonts w:ascii="Cambria" w:hAnsi="Cambria"/>
          <w:b/>
          <w:i w:val="0"/>
          <w:sz w:val="22"/>
        </w:rPr>
        <w:t>6. Research, Innovation, and Partnerships</w:t>
      </w:r>
    </w:p>
    <w:p>
      <w:pPr>
        <w:spacing w:after="120"/>
        <w:jc w:val="both"/>
      </w:pPr>
      <w:r>
        <w:rPr>
          <w:rFonts w:ascii="Cambria" w:hAnsi="Cambria"/>
          <w:b/>
          <w:i w:val="0"/>
          <w:sz w:val="22"/>
        </w:rPr>
        <w:t>Recommendation:</w:t>
      </w:r>
    </w:p>
    <w:p>
      <w:pPr>
        <w:pStyle w:val="ListBullet2"/>
        <w:ind w:left="720"/>
        <w:jc w:val="both"/>
      </w:pPr>
      <w:r>
        <w:rPr>
          <w:rFonts w:ascii="Cambria" w:hAnsi="Cambria"/>
          <w:sz w:val="22"/>
        </w:rPr>
        <w:t>Encourage research on pedagogy, sustainability, and educational technology.</w:t>
      </w:r>
    </w:p>
    <w:p>
      <w:pPr>
        <w:pStyle w:val="ListBullet2"/>
        <w:ind w:left="720"/>
        <w:jc w:val="both"/>
      </w:pPr>
      <w:r>
        <w:rPr>
          <w:rFonts w:ascii="Cambria" w:hAnsi="Cambria"/>
          <w:sz w:val="22"/>
        </w:rPr>
        <w:t>Foster partnerships with industries, NGOs, and international universities.</w:t>
      </w:r>
    </w:p>
    <w:p>
      <w:pPr>
        <w:pStyle w:val="ListBullet2"/>
        <w:ind w:left="720"/>
        <w:jc w:val="both"/>
      </w:pPr>
      <w:r>
        <w:rPr>
          <w:rFonts w:ascii="Cambria" w:hAnsi="Cambria"/>
          <w:sz w:val="22"/>
        </w:rPr>
        <w:t>Promote cross-border academic exchanges and collaborative projects.</w:t>
      </w:r>
    </w:p>
    <w:p>
      <w:pPr>
        <w:spacing w:after="120"/>
        <w:jc w:val="both"/>
      </w:pPr>
      <w:r>
        <w:rPr>
          <w:rFonts w:ascii="Cambria" w:hAnsi="Cambria"/>
          <w:b/>
          <w:i w:val="0"/>
          <w:sz w:val="22"/>
        </w:rPr>
        <w:t>Rationale:</w:t>
      </w:r>
    </w:p>
    <w:p>
      <w:pPr>
        <w:pStyle w:val="ListBullet2"/>
        <w:ind w:left="720"/>
        <w:jc w:val="both"/>
      </w:pPr>
      <w:r>
        <w:rPr>
          <w:rFonts w:ascii="Cambria" w:hAnsi="Cambria"/>
          <w:sz w:val="22"/>
        </w:rPr>
        <w:t>Builds knowledge ecosystems and supports innovation in education.</w:t>
      </w:r>
    </w:p>
    <w:p>
      <w:pPr>
        <w:spacing w:after="120"/>
        <w:jc w:val="both"/>
      </w:pPr>
      <w:r>
        <w:rPr>
          <w:rFonts w:ascii="Cambria" w:hAnsi="Cambria"/>
          <w:b/>
          <w:i w:val="0"/>
          <w:sz w:val="22"/>
        </w:rPr>
        <w:t>7. Monitoring and Evaluation</w:t>
      </w:r>
    </w:p>
    <w:p>
      <w:pPr>
        <w:spacing w:after="120"/>
        <w:jc w:val="both"/>
      </w:pPr>
      <w:r>
        <w:rPr>
          <w:rFonts w:ascii="Cambria" w:hAnsi="Cambria"/>
          <w:b/>
          <w:i w:val="0"/>
          <w:sz w:val="22"/>
        </w:rPr>
        <w:t>Recommendation:</w:t>
      </w:r>
    </w:p>
    <w:p>
      <w:pPr>
        <w:pStyle w:val="ListBullet2"/>
        <w:ind w:left="720"/>
        <w:jc w:val="both"/>
      </w:pPr>
      <w:r>
        <w:rPr>
          <w:rFonts w:ascii="Cambria" w:hAnsi="Cambria"/>
          <w:sz w:val="22"/>
        </w:rPr>
        <w:t>Establish institutional SDG-4 monitoring cells.</w:t>
      </w:r>
    </w:p>
    <w:p>
      <w:pPr>
        <w:pStyle w:val="ListBullet2"/>
        <w:ind w:left="720"/>
        <w:jc w:val="both"/>
      </w:pPr>
      <w:r>
        <w:rPr>
          <w:rFonts w:ascii="Cambria" w:hAnsi="Cambria"/>
          <w:sz w:val="22"/>
        </w:rPr>
        <w:t>Publish annual sustainability and education progress reports.</w:t>
      </w:r>
    </w:p>
    <w:p>
      <w:pPr>
        <w:pStyle w:val="ListBullet2"/>
        <w:ind w:left="720"/>
        <w:jc w:val="both"/>
      </w:pPr>
      <w:r>
        <w:rPr>
          <w:rFonts w:ascii="Cambria" w:hAnsi="Cambria"/>
          <w:sz w:val="22"/>
        </w:rPr>
        <w:t>Link accreditation and rankings (NAAC, NBA, NIRF, QS I-GAUGE) with SDG-4 indicators.</w:t>
      </w:r>
    </w:p>
    <w:p>
      <w:pPr>
        <w:spacing w:after="120"/>
        <w:jc w:val="both"/>
      </w:pPr>
      <w:r>
        <w:rPr>
          <w:rFonts w:ascii="Cambria" w:hAnsi="Cambria"/>
          <w:b/>
          <w:i w:val="0"/>
          <w:sz w:val="22"/>
        </w:rPr>
        <w:t>Rationale:</w:t>
      </w:r>
    </w:p>
    <w:p>
      <w:pPr>
        <w:pStyle w:val="ListBullet2"/>
        <w:ind w:left="720"/>
        <w:jc w:val="both"/>
      </w:pPr>
      <w:r>
        <w:rPr>
          <w:rFonts w:ascii="Cambria" w:hAnsi="Cambria"/>
          <w:sz w:val="22"/>
        </w:rPr>
        <w:t>Ensures accountability, transparency, and continuous improvement.</w:t>
      </w:r>
    </w:p>
    <w:p>
      <w:pPr>
        <w:spacing w:after="120"/>
        <w:jc w:val="both"/>
      </w:pPr>
      <w:r>
        <w:rPr>
          <w:rFonts w:ascii="Cambria" w:hAnsi="Cambria"/>
          <w:b/>
          <w:i w:val="0"/>
          <w:sz w:val="22"/>
        </w:rPr>
        <w:t>HEIs Monitoring Framework for SDG-4: Quality Education</w:t>
      </w:r>
    </w:p>
    <w:p>
      <w:pPr>
        <w:spacing w:after="120"/>
        <w:jc w:val="both"/>
      </w:pPr>
      <w:r>
        <w:rPr>
          <w:rFonts w:ascii="Cambria" w:hAnsi="Cambria"/>
          <w:b/>
          <w:i w:val="0"/>
          <w:sz w:val="22"/>
        </w:rPr>
        <w:t>1. Curriculum Integration</w:t>
      </w:r>
    </w:p>
    <w:p>
      <w:pPr>
        <w:pStyle w:val="ListBullet"/>
        <w:ind w:left="357"/>
        <w:jc w:val="both"/>
      </w:pPr>
      <w:r>
        <w:rPr>
          <w:rFonts w:ascii="Cambria" w:hAnsi="Cambria"/>
          <w:b/>
          <w:sz w:val="22"/>
        </w:rPr>
        <w:t xml:space="preserve">Monitoring Focus: </w:t>
      </w:r>
      <w:r>
        <w:rPr>
          <w:rFonts w:ascii="Cambria" w:hAnsi="Cambria"/>
          <w:sz w:val="22"/>
        </w:rPr>
        <w:t>Assess whether SDGs are part of the formal curriculum.</w:t>
      </w:r>
    </w:p>
    <w:p>
      <w:pPr>
        <w:pStyle w:val="ListBullet"/>
        <w:ind w:left="357"/>
        <w:jc w:val="both"/>
      </w:pPr>
      <w:r>
        <w:rPr>
          <w:rFonts w:ascii="Cambria" w:hAnsi="Cambria"/>
          <w:b/>
          <w:sz w:val="22"/>
        </w:rPr>
        <w:t xml:space="preserve">KPIs: </w:t>
      </w:r>
      <w:r>
        <w:rPr>
          <w:rFonts w:ascii="Cambria" w:hAnsi="Cambria"/>
          <w:sz w:val="22"/>
        </w:rPr>
      </w:r>
    </w:p>
    <w:p>
      <w:pPr>
        <w:pStyle w:val="ListBullet2"/>
        <w:ind w:left="720"/>
        <w:jc w:val="both"/>
      </w:pPr>
      <w:r>
        <w:rPr>
          <w:rFonts w:ascii="Cambria" w:hAnsi="Cambria"/>
          <w:sz w:val="22"/>
        </w:rPr>
        <w:t>% of courses aligned with SDGs.</w:t>
      </w:r>
    </w:p>
    <w:p>
      <w:pPr>
        <w:pStyle w:val="ListBullet2"/>
        <w:ind w:left="720"/>
        <w:jc w:val="both"/>
      </w:pPr>
      <w:r>
        <w:rPr>
          <w:rFonts w:ascii="Cambria" w:hAnsi="Cambria"/>
          <w:sz w:val="22"/>
        </w:rPr>
        <w:t>Number of new SDG-focused majors, minors, diplomas introduced.</w:t>
      </w:r>
    </w:p>
    <w:p>
      <w:pPr>
        <w:pStyle w:val="ListBullet2"/>
        <w:ind w:left="720"/>
        <w:jc w:val="both"/>
      </w:pPr>
      <w:r>
        <w:rPr>
          <w:rFonts w:ascii="Cambria" w:hAnsi="Cambria"/>
          <w:sz w:val="22"/>
        </w:rPr>
        <w:t>Student enrolment rate in SDG-related courses.</w:t>
      </w:r>
    </w:p>
    <w:p>
      <w:pPr>
        <w:spacing w:after="120"/>
        <w:jc w:val="both"/>
      </w:pPr>
      <w:r>
        <w:rPr>
          <w:rFonts w:ascii="Cambria" w:hAnsi="Cambria"/>
          <w:b/>
          <w:i w:val="0"/>
          <w:sz w:val="22"/>
        </w:rPr>
        <w:t>2. Awareness and Engagement</w:t>
      </w:r>
    </w:p>
    <w:p>
      <w:pPr>
        <w:pStyle w:val="ListBullet"/>
        <w:ind w:left="357"/>
        <w:jc w:val="both"/>
      </w:pPr>
      <w:r>
        <w:rPr>
          <w:rFonts w:ascii="Cambria" w:hAnsi="Cambria"/>
          <w:b/>
          <w:sz w:val="22"/>
        </w:rPr>
        <w:t xml:space="preserve">Monitoring Focus: </w:t>
      </w:r>
      <w:r>
        <w:rPr>
          <w:rFonts w:ascii="Cambria" w:hAnsi="Cambria"/>
          <w:sz w:val="22"/>
        </w:rPr>
        <w:t>Track institutional and student-driven SDG activities.</w:t>
      </w:r>
    </w:p>
    <w:p>
      <w:pPr>
        <w:pStyle w:val="ListBullet"/>
        <w:ind w:left="357"/>
        <w:jc w:val="both"/>
      </w:pPr>
      <w:r>
        <w:rPr>
          <w:rFonts w:ascii="Cambria" w:hAnsi="Cambria"/>
          <w:b/>
          <w:sz w:val="22"/>
        </w:rPr>
        <w:t xml:space="preserve">KPIs: </w:t>
      </w:r>
      <w:r>
        <w:rPr>
          <w:rFonts w:ascii="Cambria" w:hAnsi="Cambria"/>
          <w:sz w:val="22"/>
        </w:rPr>
      </w:r>
    </w:p>
    <w:p>
      <w:pPr>
        <w:pStyle w:val="ListBullet2"/>
        <w:ind w:left="720"/>
        <w:jc w:val="both"/>
      </w:pPr>
      <w:r>
        <w:rPr>
          <w:rFonts w:ascii="Cambria" w:hAnsi="Cambria"/>
          <w:sz w:val="22"/>
        </w:rPr>
        <w:t>Number of seminars, workshops, and campaigns conducted annually.</w:t>
      </w:r>
    </w:p>
    <w:p>
      <w:pPr>
        <w:pStyle w:val="ListBullet2"/>
        <w:ind w:left="720"/>
        <w:jc w:val="both"/>
      </w:pPr>
      <w:r>
        <w:rPr>
          <w:rFonts w:ascii="Cambria" w:hAnsi="Cambria"/>
          <w:sz w:val="22"/>
        </w:rPr>
        <w:t>% of students participating in SDG clubs or outreach projects.</w:t>
      </w:r>
    </w:p>
    <w:p>
      <w:pPr>
        <w:pStyle w:val="ListBullet2"/>
        <w:ind w:left="720"/>
        <w:jc w:val="both"/>
      </w:pPr>
      <w:r>
        <w:rPr>
          <w:rFonts w:ascii="Cambria" w:hAnsi="Cambria"/>
          <w:sz w:val="22"/>
        </w:rPr>
        <w:t>Number of MOOCs and OERs developed around SDG themes.</w:t>
      </w:r>
    </w:p>
    <w:p>
      <w:pPr>
        <w:spacing w:after="120"/>
        <w:jc w:val="both"/>
      </w:pPr>
      <w:r>
        <w:rPr>
          <w:rFonts w:ascii="Cambria" w:hAnsi="Cambria"/>
          <w:b/>
          <w:i w:val="0"/>
          <w:sz w:val="22"/>
        </w:rPr>
        <w:t>3. Faculty Development and Teacher Training</w:t>
      </w:r>
    </w:p>
    <w:p>
      <w:pPr>
        <w:pStyle w:val="ListBullet"/>
        <w:ind w:left="357"/>
        <w:jc w:val="both"/>
      </w:pPr>
      <w:r>
        <w:rPr>
          <w:rFonts w:ascii="Cambria" w:hAnsi="Cambria"/>
          <w:b/>
          <w:sz w:val="22"/>
        </w:rPr>
        <w:t xml:space="preserve">Monitoring Focus: </w:t>
      </w:r>
      <w:r>
        <w:rPr>
          <w:rFonts w:ascii="Cambria" w:hAnsi="Cambria"/>
          <w:sz w:val="22"/>
        </w:rPr>
        <w:t>Evaluate teacher readiness to deliver SDG-oriented education.</w:t>
      </w:r>
    </w:p>
    <w:p>
      <w:pPr>
        <w:pStyle w:val="ListBullet"/>
        <w:ind w:left="357"/>
        <w:jc w:val="both"/>
      </w:pPr>
      <w:r>
        <w:rPr>
          <w:rFonts w:ascii="Cambria" w:hAnsi="Cambria"/>
          <w:b/>
          <w:sz w:val="22"/>
        </w:rPr>
        <w:t xml:space="preserve">KPIs: </w:t>
      </w:r>
      <w:r>
        <w:rPr>
          <w:rFonts w:ascii="Cambria" w:hAnsi="Cambria"/>
          <w:sz w:val="22"/>
        </w:rPr>
      </w:r>
    </w:p>
    <w:p>
      <w:pPr>
        <w:pStyle w:val="ListBullet2"/>
        <w:ind w:left="720"/>
        <w:jc w:val="both"/>
      </w:pPr>
      <w:r>
        <w:rPr>
          <w:rFonts w:ascii="Cambria" w:hAnsi="Cambria"/>
          <w:sz w:val="22"/>
        </w:rPr>
        <w:t>% of faculty trained in SDG pedagogy and ICT-based learning.</w:t>
      </w:r>
    </w:p>
    <w:p>
      <w:pPr>
        <w:pStyle w:val="ListBullet2"/>
        <w:ind w:left="720"/>
        <w:jc w:val="both"/>
      </w:pPr>
      <w:r>
        <w:rPr>
          <w:rFonts w:ascii="Cambria" w:hAnsi="Cambria"/>
          <w:sz w:val="22"/>
        </w:rPr>
        <w:t>Number of international/national teacher-exchange programs.</w:t>
      </w:r>
    </w:p>
    <w:p>
      <w:pPr>
        <w:pStyle w:val="ListBullet2"/>
        <w:ind w:left="720"/>
        <w:jc w:val="both"/>
      </w:pPr>
      <w:r>
        <w:rPr>
          <w:rFonts w:ascii="Cambria" w:hAnsi="Cambria"/>
          <w:sz w:val="22"/>
        </w:rPr>
        <w:t>Average annual hours of professional development per faculty member.</w:t>
      </w:r>
    </w:p>
    <w:p>
      <w:pPr>
        <w:spacing w:after="120"/>
        <w:jc w:val="both"/>
      </w:pPr>
      <w:r>
        <w:rPr>
          <w:rFonts w:ascii="Cambria" w:hAnsi="Cambria"/>
          <w:b/>
          <w:i w:val="0"/>
          <w:sz w:val="22"/>
        </w:rPr>
        <w:t>4. Inclusive and Equitable Access</w:t>
      </w:r>
    </w:p>
    <w:p>
      <w:pPr>
        <w:pStyle w:val="ListBullet"/>
        <w:ind w:left="357"/>
        <w:jc w:val="both"/>
      </w:pPr>
      <w:r>
        <w:rPr>
          <w:rFonts w:ascii="Cambria" w:hAnsi="Cambria"/>
          <w:b/>
          <w:sz w:val="22"/>
        </w:rPr>
        <w:t xml:space="preserve">Monitoring Focus: </w:t>
      </w:r>
      <w:r>
        <w:rPr>
          <w:rFonts w:ascii="Cambria" w:hAnsi="Cambria"/>
          <w:sz w:val="22"/>
        </w:rPr>
        <w:t>Ensure equal opportunities for marginalized groups.</w:t>
      </w:r>
    </w:p>
    <w:p>
      <w:pPr>
        <w:pStyle w:val="ListBullet"/>
        <w:ind w:left="357"/>
        <w:jc w:val="both"/>
      </w:pPr>
      <w:r>
        <w:rPr>
          <w:rFonts w:ascii="Cambria" w:hAnsi="Cambria"/>
          <w:b/>
          <w:sz w:val="22"/>
        </w:rPr>
        <w:t xml:space="preserve">KPIs: </w:t>
      </w:r>
      <w:r>
        <w:rPr>
          <w:rFonts w:ascii="Cambria" w:hAnsi="Cambria"/>
          <w:sz w:val="22"/>
        </w:rPr>
      </w:r>
    </w:p>
    <w:p>
      <w:pPr>
        <w:pStyle w:val="ListBullet2"/>
        <w:ind w:left="720"/>
        <w:jc w:val="both"/>
      </w:pPr>
      <w:r>
        <w:rPr>
          <w:rFonts w:ascii="Cambria" w:hAnsi="Cambria"/>
          <w:sz w:val="22"/>
        </w:rPr>
        <w:t>Gross Enrolment Ratio (GER) of disadvantaged groups (%).</w:t>
      </w:r>
    </w:p>
    <w:p>
      <w:pPr>
        <w:pStyle w:val="ListBullet2"/>
        <w:ind w:left="720"/>
        <w:jc w:val="both"/>
      </w:pPr>
      <w:r>
        <w:rPr>
          <w:rFonts w:ascii="Cambria" w:hAnsi="Cambria"/>
          <w:sz w:val="22"/>
        </w:rPr>
        <w:t>Gender Parity Index (GPI) in STEM and higher education.</w:t>
      </w:r>
    </w:p>
    <w:p>
      <w:pPr>
        <w:pStyle w:val="ListBullet2"/>
        <w:ind w:left="720"/>
        <w:jc w:val="both"/>
      </w:pPr>
      <w:r>
        <w:rPr>
          <w:rFonts w:ascii="Cambria" w:hAnsi="Cambria"/>
          <w:sz w:val="22"/>
        </w:rPr>
        <w:t>% of students with disabilities supported via assistive technologies.</w:t>
      </w:r>
    </w:p>
    <w:p>
      <w:pPr>
        <w:spacing w:after="120"/>
        <w:jc w:val="both"/>
      </w:pPr>
      <w:r>
        <w:rPr>
          <w:rFonts w:ascii="Cambria" w:hAnsi="Cambria"/>
          <w:b/>
          <w:i w:val="0"/>
          <w:sz w:val="22"/>
        </w:rPr>
        <w:t>5. Digital Transformation and Lifelong Learning</w:t>
      </w:r>
    </w:p>
    <w:p>
      <w:pPr>
        <w:pStyle w:val="ListBullet"/>
        <w:ind w:left="357"/>
        <w:jc w:val="both"/>
      </w:pPr>
      <w:r>
        <w:rPr>
          <w:rFonts w:ascii="Cambria" w:hAnsi="Cambria"/>
          <w:b/>
          <w:sz w:val="22"/>
        </w:rPr>
        <w:t xml:space="preserve">Monitoring Focus: </w:t>
      </w:r>
      <w:r>
        <w:rPr>
          <w:rFonts w:ascii="Cambria" w:hAnsi="Cambria"/>
          <w:sz w:val="22"/>
        </w:rPr>
        <w:t>Review digital readiness and adult learning initiatives.</w:t>
      </w:r>
    </w:p>
    <w:p>
      <w:pPr>
        <w:pStyle w:val="ListBullet"/>
        <w:ind w:left="357"/>
        <w:jc w:val="both"/>
      </w:pPr>
      <w:r>
        <w:rPr>
          <w:rFonts w:ascii="Cambria" w:hAnsi="Cambria"/>
          <w:b/>
          <w:sz w:val="22"/>
        </w:rPr>
        <w:t xml:space="preserve">KPIs: </w:t>
      </w:r>
      <w:r>
        <w:rPr>
          <w:rFonts w:ascii="Cambria" w:hAnsi="Cambria"/>
          <w:sz w:val="22"/>
        </w:rPr>
      </w:r>
    </w:p>
    <w:p>
      <w:pPr>
        <w:pStyle w:val="ListBullet2"/>
        <w:ind w:left="720"/>
        <w:jc w:val="both"/>
      </w:pPr>
      <w:r>
        <w:rPr>
          <w:rFonts w:ascii="Cambria" w:hAnsi="Cambria"/>
          <w:sz w:val="22"/>
        </w:rPr>
        <w:t>% of courses available online or hybrid.</w:t>
      </w:r>
    </w:p>
    <w:p>
      <w:pPr>
        <w:pStyle w:val="ListBullet2"/>
        <w:ind w:left="720"/>
        <w:jc w:val="both"/>
      </w:pPr>
      <w:r>
        <w:rPr>
          <w:rFonts w:ascii="Cambria" w:hAnsi="Cambria"/>
          <w:sz w:val="22"/>
        </w:rPr>
        <w:t>Number of adult learners enrolled in reskilling or literacy programs.</w:t>
      </w:r>
    </w:p>
    <w:p>
      <w:pPr>
        <w:pStyle w:val="ListBullet2"/>
        <w:ind w:left="720"/>
        <w:jc w:val="both"/>
      </w:pPr>
      <w:r>
        <w:rPr>
          <w:rFonts w:ascii="Cambria" w:hAnsi="Cambria"/>
          <w:sz w:val="22"/>
        </w:rPr>
        <w:t>ICT literacy rate (%) among students and adult learners.</w:t>
      </w:r>
    </w:p>
    <w:p>
      <w:pPr>
        <w:spacing w:after="120"/>
        <w:jc w:val="both"/>
      </w:pPr>
      <w:r>
        <w:rPr>
          <w:rFonts w:ascii="Cambria" w:hAnsi="Cambria"/>
          <w:b/>
          <w:i w:val="0"/>
          <w:sz w:val="22"/>
        </w:rPr>
        <w:t>6. Research, Innovation, and Partnerships</w:t>
      </w:r>
    </w:p>
    <w:p>
      <w:pPr>
        <w:pStyle w:val="ListBullet"/>
        <w:ind w:left="357"/>
        <w:jc w:val="both"/>
      </w:pPr>
      <w:r>
        <w:rPr>
          <w:rFonts w:ascii="Cambria" w:hAnsi="Cambria"/>
          <w:b/>
          <w:sz w:val="22"/>
        </w:rPr>
        <w:t xml:space="preserve">Monitoring Focus: </w:t>
      </w:r>
      <w:r>
        <w:rPr>
          <w:rFonts w:ascii="Cambria" w:hAnsi="Cambria"/>
          <w:sz w:val="22"/>
        </w:rPr>
        <w:t>Track research outputs and institutional linkages supporting SDGs.</w:t>
      </w:r>
    </w:p>
    <w:p>
      <w:pPr>
        <w:pStyle w:val="ListBullet"/>
        <w:ind w:left="357"/>
        <w:jc w:val="both"/>
      </w:pPr>
      <w:r>
        <w:rPr>
          <w:rFonts w:ascii="Cambria" w:hAnsi="Cambria"/>
          <w:b/>
          <w:sz w:val="22"/>
        </w:rPr>
        <w:t xml:space="preserve">KPIs: </w:t>
      </w:r>
      <w:r>
        <w:rPr>
          <w:rFonts w:ascii="Cambria" w:hAnsi="Cambria"/>
          <w:sz w:val="22"/>
        </w:rPr>
      </w:r>
    </w:p>
    <w:p>
      <w:pPr>
        <w:pStyle w:val="ListBullet2"/>
        <w:ind w:left="720"/>
        <w:jc w:val="both"/>
      </w:pPr>
      <w:r>
        <w:rPr>
          <w:rFonts w:ascii="Cambria" w:hAnsi="Cambria"/>
          <w:sz w:val="22"/>
        </w:rPr>
        <w:t>Number of SDG-related research publications and patents.</w:t>
      </w:r>
    </w:p>
    <w:p>
      <w:pPr>
        <w:pStyle w:val="ListBullet2"/>
        <w:ind w:left="720"/>
        <w:jc w:val="both"/>
      </w:pPr>
      <w:r>
        <w:rPr>
          <w:rFonts w:ascii="Cambria" w:hAnsi="Cambria"/>
          <w:sz w:val="22"/>
        </w:rPr>
        <w:t>Amount of external funding secured for SDG projects.</w:t>
      </w:r>
    </w:p>
    <w:p>
      <w:pPr>
        <w:pStyle w:val="ListBullet2"/>
        <w:ind w:left="720"/>
        <w:jc w:val="both"/>
      </w:pPr>
      <w:r>
        <w:rPr>
          <w:rFonts w:ascii="Cambria" w:hAnsi="Cambria"/>
          <w:sz w:val="22"/>
        </w:rPr>
        <w:t>Number of active MoUs/partnerships with industry, NGOs, and global HEIs.</w:t>
      </w:r>
    </w:p>
    <w:p>
      <w:pPr>
        <w:spacing w:after="120"/>
        <w:jc w:val="both"/>
      </w:pPr>
      <w:r>
        <w:rPr>
          <w:rFonts w:ascii="Cambria" w:hAnsi="Cambria"/>
          <w:b/>
          <w:i w:val="0"/>
          <w:sz w:val="22"/>
        </w:rPr>
        <w:t>7. Monitoring and Evaluation Mechanisms</w:t>
      </w:r>
    </w:p>
    <w:p>
      <w:pPr>
        <w:pStyle w:val="ListBullet"/>
        <w:ind w:left="357"/>
        <w:jc w:val="both"/>
      </w:pPr>
      <w:r>
        <w:rPr>
          <w:rFonts w:ascii="Cambria" w:hAnsi="Cambria"/>
          <w:b/>
          <w:sz w:val="22"/>
        </w:rPr>
        <w:t xml:space="preserve">Monitoring Focus: </w:t>
      </w:r>
      <w:r>
        <w:rPr>
          <w:rFonts w:ascii="Cambria" w:hAnsi="Cambria"/>
          <w:sz w:val="22"/>
        </w:rPr>
        <w:t>Establish governance and reporting systems for SDG-4.</w:t>
      </w:r>
    </w:p>
    <w:p>
      <w:pPr>
        <w:pStyle w:val="ListBullet"/>
        <w:ind w:left="357"/>
        <w:jc w:val="both"/>
      </w:pPr>
      <w:r>
        <w:rPr>
          <w:rFonts w:ascii="Cambria" w:hAnsi="Cambria"/>
          <w:b/>
          <w:sz w:val="22"/>
        </w:rPr>
        <w:t xml:space="preserve">KPIs: </w:t>
      </w:r>
      <w:r>
        <w:rPr>
          <w:rFonts w:ascii="Cambria" w:hAnsi="Cambria"/>
          <w:sz w:val="22"/>
        </w:rPr>
      </w:r>
    </w:p>
    <w:p>
      <w:pPr>
        <w:pStyle w:val="ListBullet2"/>
        <w:ind w:left="720"/>
        <w:jc w:val="both"/>
      </w:pPr>
      <w:r>
        <w:rPr>
          <w:rFonts w:ascii="Cambria" w:hAnsi="Cambria"/>
          <w:sz w:val="22"/>
        </w:rPr>
        <w:t>Existence of an SDG-4 monitoring cell (Yes/No).</w:t>
      </w:r>
    </w:p>
    <w:p>
      <w:pPr>
        <w:pStyle w:val="ListBullet2"/>
        <w:ind w:left="720"/>
        <w:jc w:val="both"/>
      </w:pPr>
      <w:r>
        <w:rPr>
          <w:rFonts w:ascii="Cambria" w:hAnsi="Cambria"/>
          <w:sz w:val="22"/>
        </w:rPr>
        <w:t>Annual publication of SDG Education Progress Report (Yes/No).</w:t>
      </w:r>
    </w:p>
    <w:p>
      <w:pPr>
        <w:pStyle w:val="ListBullet2"/>
        <w:ind w:left="720"/>
        <w:jc w:val="both"/>
      </w:pPr>
      <w:r>
        <w:rPr>
          <w:rFonts w:ascii="Cambria" w:hAnsi="Cambria"/>
          <w:sz w:val="22"/>
        </w:rPr>
        <w:t>% of accreditation and ranking metrics linked with SDG-4.</w:t>
      </w:r>
    </w:p>
    <w:p>
      <w:pPr>
        <w:pStyle w:val="ListBullet2"/>
        <w:ind w:left="720"/>
        <w:jc w:val="both"/>
      </w:pPr>
      <w:r>
        <w:rPr>
          <w:rFonts w:ascii="Cambria" w:hAnsi="Cambria"/>
          <w:sz w:val="22"/>
        </w:rPr>
        <w:t>Year-on-year improvement in NAAC, NBA, NIRF, and QS I-GAUGE scores.</w:t>
      </w:r>
    </w:p>
    <w:p>
      <w:pPr>
        <w:spacing w:before="200" w:after="80"/>
        <w:jc w:val="left"/>
      </w:pPr>
      <w:r>
        <w:rPr>
          <w:rFonts w:ascii="Cambria" w:hAnsi="Cambria"/>
          <w:b/>
          <w:color w:val="1F3A5F"/>
          <w:sz w:val="25"/>
        </w:rPr>
        <w:t>Compliance Tool for SDG-4: Quality Education</w:t>
      </w:r>
    </w:p>
    <w:p>
      <w:pPr>
        <w:spacing w:before="160" w:after="80"/>
      </w:pPr>
      <w:r>
        <w:rPr>
          <w:rFonts w:ascii="Cambria" w:hAnsi="Cambria"/>
          <w:b/>
          <w:color w:val="1F3A5F"/>
          <w:sz w:val="23"/>
        </w:rPr>
        <w:t>Curriculum Integration</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Recommendation for HEIs</w:t>
            </w:r>
          </w:p>
        </w:tc>
        <w:tc>
          <w:tcPr>
            <w:tcW w:type="dxa" w:w="6860"/>
            <w:tcW w:w="6860" w:type="dxa"/>
          </w:tcPr>
          <w:p>
            <w:pPr>
              <w:jc w:val="left"/>
            </w:pPr>
            <w:r/>
            <w:r>
              <w:rPr>
                <w:rFonts w:ascii="Cambria" w:hAnsi="Cambria"/>
                <w:b w:val="0"/>
                <w:i w:val="0"/>
                <w:sz w:val="22"/>
              </w:rPr>
              <w:t>Introduce SDG-based majors, minors, electives; embed sustainability &amp; global citizenship in curricula</w:t>
            </w:r>
          </w:p>
        </w:tc>
      </w:tr>
      <w:tr>
        <w:tc>
          <w:tcPr>
            <w:tcW w:type="dxa" w:w="2551"/>
            <w:tcW w:w="2551" w:type="dxa"/>
            <w:shd w:val="clear" w:color="auto" w:fill="DCE6F1"/>
          </w:tcPr>
          <w:p>
            <w:pPr>
              <w:jc w:val="left"/>
            </w:pPr>
            <w:r/>
            <w:r>
              <w:rPr>
                <w:rFonts w:ascii="Cambria" w:hAnsi="Cambria"/>
                <w:b/>
                <w:i w:val="0"/>
                <w:sz w:val="22"/>
              </w:rPr>
              <w:t>NAAC Alignment</w:t>
            </w:r>
          </w:p>
        </w:tc>
        <w:tc>
          <w:tcPr>
            <w:tcW w:type="dxa" w:w="6860"/>
            <w:tcW w:w="6860" w:type="dxa"/>
            <w:shd w:val="clear" w:color="auto" w:fill="DCE6F1"/>
          </w:tcPr>
          <w:p>
            <w:pPr>
              <w:jc w:val="left"/>
            </w:pPr>
            <w:r/>
            <w:r>
              <w:rPr>
                <w:rFonts w:ascii="Cambria" w:hAnsi="Cambria"/>
                <w:b w:val="0"/>
                <w:i w:val="0"/>
                <w:sz w:val="22"/>
              </w:rPr>
              <w:t>Criterion I: Curricular Aspects</w:t>
            </w:r>
          </w:p>
        </w:tc>
      </w:tr>
      <w:tr>
        <w:tc>
          <w:tcPr>
            <w:tcW w:type="dxa" w:w="2551"/>
            <w:tcW w:w="2551" w:type="dxa"/>
          </w:tcPr>
          <w:p>
            <w:pPr>
              <w:jc w:val="left"/>
            </w:pPr>
            <w:r/>
            <w:r>
              <w:rPr>
                <w:rFonts w:ascii="Cambria" w:hAnsi="Cambria"/>
                <w:b/>
                <w:i w:val="0"/>
                <w:sz w:val="22"/>
              </w:rPr>
              <w:t>NBA Alignment</w:t>
            </w:r>
          </w:p>
        </w:tc>
        <w:tc>
          <w:tcPr>
            <w:tcW w:type="dxa" w:w="6860"/>
            <w:tcW w:w="6860" w:type="dxa"/>
          </w:tcPr>
          <w:p>
            <w:pPr>
              <w:jc w:val="left"/>
            </w:pPr>
            <w:r/>
            <w:r>
              <w:rPr>
                <w:rFonts w:ascii="Cambria" w:hAnsi="Cambria"/>
                <w:b w:val="0"/>
                <w:i w:val="0"/>
                <w:sz w:val="22"/>
              </w:rPr>
              <w:t>PEO–PO–PSO Mapping, Curriculum Design</w:t>
            </w:r>
          </w:p>
        </w:tc>
      </w:tr>
      <w:tr>
        <w:tc>
          <w:tcPr>
            <w:tcW w:type="dxa" w:w="2551"/>
            <w:tcW w:w="2551" w:type="dxa"/>
            <w:shd w:val="clear" w:color="auto" w:fill="DCE6F1"/>
          </w:tcPr>
          <w:p>
            <w:pPr>
              <w:jc w:val="left"/>
            </w:pPr>
            <w:r/>
            <w:r>
              <w:rPr>
                <w:rFonts w:ascii="Cambria" w:hAnsi="Cambria"/>
                <w:b/>
                <w:i w:val="0"/>
                <w:sz w:val="22"/>
              </w:rPr>
              <w:t>NIRF Alignment</w:t>
            </w:r>
          </w:p>
        </w:tc>
        <w:tc>
          <w:tcPr>
            <w:tcW w:type="dxa" w:w="6860"/>
            <w:tcW w:w="6860" w:type="dxa"/>
            <w:shd w:val="clear" w:color="auto" w:fill="DCE6F1"/>
          </w:tcPr>
          <w:p>
            <w:pPr>
              <w:jc w:val="left"/>
            </w:pPr>
            <w:r/>
            <w:r>
              <w:rPr>
                <w:rFonts w:ascii="Cambria" w:hAnsi="Cambria"/>
                <w:b w:val="0"/>
                <w:i w:val="0"/>
                <w:sz w:val="22"/>
              </w:rPr>
              <w:t>Teaching, Learning &amp; Resources (TLR)</w:t>
            </w:r>
          </w:p>
        </w:tc>
      </w:tr>
      <w:tr>
        <w:tc>
          <w:tcPr>
            <w:tcW w:type="dxa" w:w="2551"/>
            <w:tcW w:w="2551" w:type="dxa"/>
          </w:tcPr>
          <w:p>
            <w:pPr>
              <w:jc w:val="left"/>
            </w:pPr>
            <w:r/>
            <w:r>
              <w:rPr>
                <w:rFonts w:ascii="Cambria" w:hAnsi="Cambria"/>
                <w:b/>
                <w:i w:val="0"/>
                <w:sz w:val="22"/>
              </w:rPr>
              <w:t>QS I-GAUGE Alignment</w:t>
            </w:r>
          </w:p>
        </w:tc>
        <w:tc>
          <w:tcPr>
            <w:tcW w:type="dxa" w:w="6860"/>
            <w:tcW w:w="6860" w:type="dxa"/>
          </w:tcPr>
          <w:p>
            <w:pPr>
              <w:jc w:val="left"/>
            </w:pPr>
            <w:r/>
            <w:r>
              <w:rPr>
                <w:rFonts w:ascii="Cambria" w:hAnsi="Cambria"/>
                <w:b w:val="0"/>
                <w:i w:val="0"/>
                <w:sz w:val="22"/>
              </w:rPr>
              <w:t>Teaching &amp; Learning (TL)</w:t>
            </w:r>
          </w:p>
        </w:tc>
      </w:tr>
    </w:tbl>
    <w:p/>
    <w:p>
      <w:pPr>
        <w:spacing w:before="160" w:after="80"/>
      </w:pPr>
      <w:r>
        <w:rPr>
          <w:rFonts w:ascii="Cambria" w:hAnsi="Cambria"/>
          <w:b/>
          <w:color w:val="1F3A5F"/>
          <w:sz w:val="23"/>
        </w:rPr>
        <w:t>Awareness &amp; Engagement</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Recommendation for HEIs</w:t>
            </w:r>
          </w:p>
        </w:tc>
        <w:tc>
          <w:tcPr>
            <w:tcW w:type="dxa" w:w="6860"/>
            <w:tcW w:w="6860" w:type="dxa"/>
          </w:tcPr>
          <w:p>
            <w:pPr>
              <w:jc w:val="left"/>
            </w:pPr>
            <w:r/>
            <w:r>
              <w:rPr>
                <w:rFonts w:ascii="Cambria" w:hAnsi="Cambria"/>
                <w:b w:val="0"/>
                <w:i w:val="0"/>
                <w:sz w:val="22"/>
              </w:rPr>
              <w:t>Conduct SDG workshops, student clubs, MOOCs, outreach projects</w:t>
            </w:r>
          </w:p>
        </w:tc>
      </w:tr>
      <w:tr>
        <w:tc>
          <w:tcPr>
            <w:tcW w:type="dxa" w:w="2551"/>
            <w:tcW w:w="2551" w:type="dxa"/>
            <w:shd w:val="clear" w:color="auto" w:fill="DCE6F1"/>
          </w:tcPr>
          <w:p>
            <w:pPr>
              <w:jc w:val="left"/>
            </w:pPr>
            <w:r/>
            <w:r>
              <w:rPr>
                <w:rFonts w:ascii="Cambria" w:hAnsi="Cambria"/>
                <w:b/>
                <w:i w:val="0"/>
                <w:sz w:val="22"/>
              </w:rPr>
              <w:t>NAAC Alignment</w:t>
            </w:r>
          </w:p>
        </w:tc>
        <w:tc>
          <w:tcPr>
            <w:tcW w:type="dxa" w:w="6860"/>
            <w:tcW w:w="6860" w:type="dxa"/>
            <w:shd w:val="clear" w:color="auto" w:fill="DCE6F1"/>
          </w:tcPr>
          <w:p>
            <w:pPr>
              <w:jc w:val="left"/>
            </w:pPr>
            <w:r/>
            <w:r>
              <w:rPr>
                <w:rFonts w:ascii="Cambria" w:hAnsi="Cambria"/>
                <w:b w:val="0"/>
                <w:i w:val="0"/>
                <w:sz w:val="22"/>
              </w:rPr>
              <w:t>Criterion V: Student Support &amp; Progression</w:t>
            </w:r>
          </w:p>
        </w:tc>
      </w:tr>
      <w:tr>
        <w:tc>
          <w:tcPr>
            <w:tcW w:type="dxa" w:w="2551"/>
            <w:tcW w:w="2551" w:type="dxa"/>
          </w:tcPr>
          <w:p>
            <w:pPr>
              <w:jc w:val="left"/>
            </w:pPr>
            <w:r/>
            <w:r>
              <w:rPr>
                <w:rFonts w:ascii="Cambria" w:hAnsi="Cambria"/>
                <w:b/>
                <w:i w:val="0"/>
                <w:sz w:val="22"/>
              </w:rPr>
              <w:t>NBA Alignment</w:t>
            </w:r>
          </w:p>
        </w:tc>
        <w:tc>
          <w:tcPr>
            <w:tcW w:type="dxa" w:w="6860"/>
            <w:tcW w:w="6860" w:type="dxa"/>
          </w:tcPr>
          <w:p>
            <w:pPr>
              <w:jc w:val="left"/>
            </w:pPr>
            <w:r/>
            <w:r>
              <w:rPr>
                <w:rFonts w:ascii="Cambria" w:hAnsi="Cambria"/>
                <w:b w:val="0"/>
                <w:i w:val="0"/>
                <w:sz w:val="22"/>
              </w:rPr>
              <w:t>Extension &amp; Co-Curricular Activities</w:t>
            </w:r>
          </w:p>
        </w:tc>
      </w:tr>
      <w:tr>
        <w:tc>
          <w:tcPr>
            <w:tcW w:type="dxa" w:w="2551"/>
            <w:tcW w:w="2551" w:type="dxa"/>
            <w:shd w:val="clear" w:color="auto" w:fill="DCE6F1"/>
          </w:tcPr>
          <w:p>
            <w:pPr>
              <w:jc w:val="left"/>
            </w:pPr>
            <w:r/>
            <w:r>
              <w:rPr>
                <w:rFonts w:ascii="Cambria" w:hAnsi="Cambria"/>
                <w:b/>
                <w:i w:val="0"/>
                <w:sz w:val="22"/>
              </w:rPr>
              <w:t>NIRF Alignment</w:t>
            </w:r>
          </w:p>
        </w:tc>
        <w:tc>
          <w:tcPr>
            <w:tcW w:type="dxa" w:w="6860"/>
            <w:tcW w:w="6860" w:type="dxa"/>
            <w:shd w:val="clear" w:color="auto" w:fill="DCE6F1"/>
          </w:tcPr>
          <w:p>
            <w:pPr>
              <w:jc w:val="left"/>
            </w:pPr>
            <w:r/>
            <w:r>
              <w:rPr>
                <w:rFonts w:ascii="Cambria" w:hAnsi="Cambria"/>
                <w:b w:val="0"/>
                <w:i w:val="0"/>
                <w:sz w:val="22"/>
              </w:rPr>
              <w:t>Outreach &amp; Inclusivity (OI)</w:t>
            </w:r>
          </w:p>
        </w:tc>
      </w:tr>
      <w:tr>
        <w:tc>
          <w:tcPr>
            <w:tcW w:type="dxa" w:w="2551"/>
            <w:tcW w:w="2551" w:type="dxa"/>
          </w:tcPr>
          <w:p>
            <w:pPr>
              <w:jc w:val="left"/>
            </w:pPr>
            <w:r/>
            <w:r>
              <w:rPr>
                <w:rFonts w:ascii="Cambria" w:hAnsi="Cambria"/>
                <w:b/>
                <w:i w:val="0"/>
                <w:sz w:val="22"/>
              </w:rPr>
              <w:t>QS I-GAUGE Alignment</w:t>
            </w:r>
          </w:p>
        </w:tc>
        <w:tc>
          <w:tcPr>
            <w:tcW w:type="dxa" w:w="6860"/>
            <w:tcW w:w="6860" w:type="dxa"/>
          </w:tcPr>
          <w:p>
            <w:pPr>
              <w:jc w:val="left"/>
            </w:pPr>
            <w:r/>
            <w:r>
              <w:rPr>
                <w:rFonts w:ascii="Cambria" w:hAnsi="Cambria"/>
                <w:b w:val="0"/>
                <w:i w:val="0"/>
                <w:sz w:val="22"/>
              </w:rPr>
              <w:t>Employability (EP), Faculty Competence (FC)</w:t>
            </w:r>
          </w:p>
        </w:tc>
      </w:tr>
    </w:tbl>
    <w:p/>
    <w:p>
      <w:pPr>
        <w:spacing w:before="160" w:after="80"/>
      </w:pPr>
      <w:r>
        <w:rPr>
          <w:rFonts w:ascii="Cambria" w:hAnsi="Cambria"/>
          <w:b/>
          <w:color w:val="1F3A5F"/>
          <w:sz w:val="23"/>
        </w:rPr>
        <w:t>Faculty Development &amp; Teacher Training</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Recommendation for HEIs</w:t>
            </w:r>
          </w:p>
        </w:tc>
        <w:tc>
          <w:tcPr>
            <w:tcW w:type="dxa" w:w="6860"/>
            <w:tcW w:w="6860" w:type="dxa"/>
          </w:tcPr>
          <w:p>
            <w:pPr>
              <w:jc w:val="left"/>
            </w:pPr>
            <w:r/>
            <w:r>
              <w:rPr>
                <w:rFonts w:ascii="Cambria" w:hAnsi="Cambria"/>
                <w:b w:val="0"/>
                <w:i w:val="0"/>
                <w:sz w:val="22"/>
              </w:rPr>
              <w:t>Train faculty in SDG pedagogy, incentivize global exchanges</w:t>
            </w:r>
          </w:p>
        </w:tc>
      </w:tr>
      <w:tr>
        <w:tc>
          <w:tcPr>
            <w:tcW w:type="dxa" w:w="2551"/>
            <w:tcW w:w="2551" w:type="dxa"/>
            <w:shd w:val="clear" w:color="auto" w:fill="DCE6F1"/>
          </w:tcPr>
          <w:p>
            <w:pPr>
              <w:jc w:val="left"/>
            </w:pPr>
            <w:r/>
            <w:r>
              <w:rPr>
                <w:rFonts w:ascii="Cambria" w:hAnsi="Cambria"/>
                <w:b/>
                <w:i w:val="0"/>
                <w:sz w:val="22"/>
              </w:rPr>
              <w:t>NAAC Alignment</w:t>
            </w:r>
          </w:p>
        </w:tc>
        <w:tc>
          <w:tcPr>
            <w:tcW w:type="dxa" w:w="6860"/>
            <w:tcW w:w="6860" w:type="dxa"/>
            <w:shd w:val="clear" w:color="auto" w:fill="DCE6F1"/>
          </w:tcPr>
          <w:p>
            <w:pPr>
              <w:jc w:val="left"/>
            </w:pPr>
            <w:r/>
            <w:r>
              <w:rPr>
                <w:rFonts w:ascii="Cambria" w:hAnsi="Cambria"/>
                <w:b w:val="0"/>
                <w:i w:val="0"/>
                <w:sz w:val="22"/>
              </w:rPr>
              <w:t>Criterion II: Teaching–Learning &amp; Evaluation</w:t>
            </w:r>
          </w:p>
        </w:tc>
      </w:tr>
      <w:tr>
        <w:tc>
          <w:tcPr>
            <w:tcW w:type="dxa" w:w="2551"/>
            <w:tcW w:w="2551" w:type="dxa"/>
          </w:tcPr>
          <w:p>
            <w:pPr>
              <w:jc w:val="left"/>
            </w:pPr>
            <w:r/>
            <w:r>
              <w:rPr>
                <w:rFonts w:ascii="Cambria" w:hAnsi="Cambria"/>
                <w:b/>
                <w:i w:val="0"/>
                <w:sz w:val="22"/>
              </w:rPr>
              <w:t>NBA Alignment</w:t>
            </w:r>
          </w:p>
        </w:tc>
        <w:tc>
          <w:tcPr>
            <w:tcW w:type="dxa" w:w="6860"/>
            <w:tcW w:w="6860" w:type="dxa"/>
          </w:tcPr>
          <w:p>
            <w:pPr>
              <w:jc w:val="left"/>
            </w:pPr>
            <w:r/>
            <w:r>
              <w:rPr>
                <w:rFonts w:ascii="Cambria" w:hAnsi="Cambria"/>
                <w:b w:val="0"/>
                <w:i w:val="0"/>
                <w:sz w:val="22"/>
              </w:rPr>
              <w:t>Faculty Contributions, Continuous Development</w:t>
            </w:r>
          </w:p>
        </w:tc>
      </w:tr>
      <w:tr>
        <w:tc>
          <w:tcPr>
            <w:tcW w:type="dxa" w:w="2551"/>
            <w:tcW w:w="2551" w:type="dxa"/>
            <w:shd w:val="clear" w:color="auto" w:fill="DCE6F1"/>
          </w:tcPr>
          <w:p>
            <w:pPr>
              <w:jc w:val="left"/>
            </w:pPr>
            <w:r/>
            <w:r>
              <w:rPr>
                <w:rFonts w:ascii="Cambria" w:hAnsi="Cambria"/>
                <w:b/>
                <w:i w:val="0"/>
                <w:sz w:val="22"/>
              </w:rPr>
              <w:t>NIRF Alignment</w:t>
            </w:r>
          </w:p>
        </w:tc>
        <w:tc>
          <w:tcPr>
            <w:tcW w:type="dxa" w:w="6860"/>
            <w:tcW w:w="6860" w:type="dxa"/>
            <w:shd w:val="clear" w:color="auto" w:fill="DCE6F1"/>
          </w:tcPr>
          <w:p>
            <w:pPr>
              <w:jc w:val="left"/>
            </w:pPr>
            <w:r/>
            <w:r>
              <w:rPr>
                <w:rFonts w:ascii="Cambria" w:hAnsi="Cambria"/>
                <w:b w:val="0"/>
                <w:i w:val="0"/>
                <w:sz w:val="22"/>
              </w:rPr>
              <w:t>Faculty–Student Ratio, Faculty Quality</w:t>
            </w:r>
          </w:p>
        </w:tc>
      </w:tr>
      <w:tr>
        <w:tc>
          <w:tcPr>
            <w:tcW w:type="dxa" w:w="2551"/>
            <w:tcW w:w="2551" w:type="dxa"/>
          </w:tcPr>
          <w:p>
            <w:pPr>
              <w:jc w:val="left"/>
            </w:pPr>
            <w:r/>
            <w:r>
              <w:rPr>
                <w:rFonts w:ascii="Cambria" w:hAnsi="Cambria"/>
                <w:b/>
                <w:i w:val="0"/>
                <w:sz w:val="22"/>
              </w:rPr>
              <w:t>QS I-GAUGE Alignment</w:t>
            </w:r>
          </w:p>
        </w:tc>
        <w:tc>
          <w:tcPr>
            <w:tcW w:type="dxa" w:w="6860"/>
            <w:tcW w:w="6860" w:type="dxa"/>
          </w:tcPr>
          <w:p>
            <w:pPr>
              <w:jc w:val="left"/>
            </w:pPr>
            <w:r/>
            <w:r>
              <w:rPr>
                <w:rFonts w:ascii="Cambria" w:hAnsi="Cambria"/>
                <w:b w:val="0"/>
                <w:i w:val="0"/>
                <w:sz w:val="22"/>
              </w:rPr>
              <w:t>Faculty Quality (FQ)</w:t>
            </w:r>
          </w:p>
        </w:tc>
      </w:tr>
    </w:tbl>
    <w:p/>
    <w:p>
      <w:pPr>
        <w:spacing w:before="160" w:after="80"/>
      </w:pPr>
      <w:r>
        <w:rPr>
          <w:rFonts w:ascii="Cambria" w:hAnsi="Cambria"/>
          <w:b/>
          <w:color w:val="1F3A5F"/>
          <w:sz w:val="23"/>
        </w:rPr>
        <w:t>Inclusive &amp; Equitable Access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Recommendation for HEIs</w:t>
            </w:r>
          </w:p>
        </w:tc>
        <w:tc>
          <w:tcPr>
            <w:tcW w:type="dxa" w:w="6860"/>
            <w:tcW w:w="6860" w:type="dxa"/>
          </w:tcPr>
          <w:p>
            <w:pPr>
              <w:jc w:val="left"/>
            </w:pPr>
            <w:r/>
            <w:r>
              <w:rPr>
                <w:rFonts w:ascii="Cambria" w:hAnsi="Cambria"/>
                <w:b w:val="0"/>
                <w:i w:val="0"/>
                <w:sz w:val="22"/>
              </w:rPr>
              <w:t>Scholarships for marginalized groups; assistive technologies; women in STEM</w:t>
            </w:r>
          </w:p>
        </w:tc>
      </w:tr>
      <w:tr>
        <w:tc>
          <w:tcPr>
            <w:tcW w:type="dxa" w:w="2551"/>
            <w:tcW w:w="2551" w:type="dxa"/>
            <w:shd w:val="clear" w:color="auto" w:fill="DCE6F1"/>
          </w:tcPr>
          <w:p>
            <w:pPr>
              <w:jc w:val="left"/>
            </w:pPr>
            <w:r/>
            <w:r>
              <w:rPr>
                <w:rFonts w:ascii="Cambria" w:hAnsi="Cambria"/>
                <w:b/>
                <w:i w:val="0"/>
                <w:sz w:val="22"/>
              </w:rPr>
              <w:t>NAAC Alignment</w:t>
            </w:r>
          </w:p>
        </w:tc>
        <w:tc>
          <w:tcPr>
            <w:tcW w:type="dxa" w:w="6860"/>
            <w:tcW w:w="6860" w:type="dxa"/>
            <w:shd w:val="clear" w:color="auto" w:fill="DCE6F1"/>
          </w:tcPr>
          <w:p>
            <w:pPr>
              <w:jc w:val="left"/>
            </w:pPr>
            <w:r/>
            <w:r>
              <w:rPr>
                <w:rFonts w:ascii="Cambria" w:hAnsi="Cambria"/>
                <w:b w:val="0"/>
                <w:i w:val="0"/>
                <w:sz w:val="22"/>
              </w:rPr>
              <w:t>Criterion VII: Institutional Values &amp; Best Practices</w:t>
            </w:r>
          </w:p>
        </w:tc>
      </w:tr>
      <w:tr>
        <w:tc>
          <w:tcPr>
            <w:tcW w:type="dxa" w:w="2551"/>
            <w:tcW w:w="2551" w:type="dxa"/>
          </w:tcPr>
          <w:p>
            <w:pPr>
              <w:jc w:val="left"/>
            </w:pPr>
            <w:r/>
            <w:r>
              <w:rPr>
                <w:rFonts w:ascii="Cambria" w:hAnsi="Cambria"/>
                <w:b/>
                <w:i w:val="0"/>
                <w:sz w:val="22"/>
              </w:rPr>
              <w:t>NBA Alignment</w:t>
            </w:r>
          </w:p>
        </w:tc>
        <w:tc>
          <w:tcPr>
            <w:tcW w:type="dxa" w:w="6860"/>
            <w:tcW w:w="6860" w:type="dxa"/>
          </w:tcPr>
          <w:p>
            <w:pPr>
              <w:jc w:val="left"/>
            </w:pPr>
            <w:r/>
            <w:r>
              <w:rPr>
                <w:rFonts w:ascii="Cambria" w:hAnsi="Cambria"/>
                <w:b w:val="0"/>
                <w:i w:val="0"/>
                <w:sz w:val="22"/>
              </w:rPr>
              <w:t>Diversity in Admissions</w:t>
            </w:r>
          </w:p>
        </w:tc>
      </w:tr>
      <w:tr>
        <w:tc>
          <w:tcPr>
            <w:tcW w:type="dxa" w:w="2551"/>
            <w:tcW w:w="2551" w:type="dxa"/>
            <w:shd w:val="clear" w:color="auto" w:fill="DCE6F1"/>
          </w:tcPr>
          <w:p>
            <w:pPr>
              <w:jc w:val="left"/>
            </w:pPr>
            <w:r/>
            <w:r>
              <w:rPr>
                <w:rFonts w:ascii="Cambria" w:hAnsi="Cambria"/>
                <w:b/>
                <w:i w:val="0"/>
                <w:sz w:val="22"/>
              </w:rPr>
              <w:t>NIRF Alignment</w:t>
            </w:r>
          </w:p>
        </w:tc>
        <w:tc>
          <w:tcPr>
            <w:tcW w:type="dxa" w:w="6860"/>
            <w:tcW w:w="6860" w:type="dxa"/>
            <w:shd w:val="clear" w:color="auto" w:fill="DCE6F1"/>
          </w:tcPr>
          <w:p>
            <w:pPr>
              <w:jc w:val="left"/>
            </w:pPr>
            <w:r/>
            <w:r>
              <w:rPr>
                <w:rFonts w:ascii="Cambria" w:hAnsi="Cambria"/>
                <w:b w:val="0"/>
                <w:i w:val="0"/>
                <w:sz w:val="22"/>
              </w:rPr>
              <w:t>Outreach &amp; Inclusivity (OI)</w:t>
            </w:r>
          </w:p>
        </w:tc>
      </w:tr>
      <w:tr>
        <w:tc>
          <w:tcPr>
            <w:tcW w:type="dxa" w:w="2551"/>
            <w:tcW w:w="2551" w:type="dxa"/>
          </w:tcPr>
          <w:p>
            <w:pPr>
              <w:jc w:val="left"/>
            </w:pPr>
            <w:r/>
            <w:r>
              <w:rPr>
                <w:rFonts w:ascii="Cambria" w:hAnsi="Cambria"/>
                <w:b/>
                <w:i w:val="0"/>
                <w:sz w:val="22"/>
              </w:rPr>
              <w:t>QS I-GAUGE Alignment</w:t>
            </w:r>
          </w:p>
        </w:tc>
        <w:tc>
          <w:tcPr>
            <w:tcW w:type="dxa" w:w="6860"/>
            <w:tcW w:w="6860" w:type="dxa"/>
          </w:tcPr>
          <w:p>
            <w:pPr>
              <w:jc w:val="left"/>
            </w:pPr>
            <w:r/>
            <w:r>
              <w:rPr>
                <w:rFonts w:ascii="Cambria" w:hAnsi="Cambria"/>
                <w:b w:val="0"/>
                <w:i w:val="0"/>
                <w:sz w:val="22"/>
              </w:rPr>
              <w:t>Diversity &amp; Accessibility (DA)</w:t>
            </w:r>
          </w:p>
        </w:tc>
      </w:tr>
    </w:tbl>
    <w:p/>
    <w:p>
      <w:pPr>
        <w:spacing w:before="160" w:after="80"/>
      </w:pPr>
      <w:r>
        <w:rPr>
          <w:rFonts w:ascii="Cambria" w:hAnsi="Cambria"/>
          <w:b/>
          <w:color w:val="1F3A5F"/>
          <w:sz w:val="23"/>
        </w:rPr>
        <w:t>Digital Transformation &amp; Lifelong Learning</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Recommendation for HEIs</w:t>
            </w:r>
          </w:p>
        </w:tc>
        <w:tc>
          <w:tcPr>
            <w:tcW w:type="dxa" w:w="6860"/>
            <w:tcW w:w="6860" w:type="dxa"/>
          </w:tcPr>
          <w:p>
            <w:pPr>
              <w:jc w:val="left"/>
            </w:pPr>
            <w:r/>
            <w:r>
              <w:rPr>
                <w:rFonts w:ascii="Cambria" w:hAnsi="Cambria"/>
                <w:b w:val="0"/>
                <w:i w:val="0"/>
                <w:sz w:val="22"/>
              </w:rPr>
              <w:t>ICT-enabled classrooms, digital libraries, adult reskilling, online education</w:t>
            </w:r>
          </w:p>
        </w:tc>
      </w:tr>
      <w:tr>
        <w:tc>
          <w:tcPr>
            <w:tcW w:type="dxa" w:w="2551"/>
            <w:tcW w:w="2551" w:type="dxa"/>
            <w:shd w:val="clear" w:color="auto" w:fill="DCE6F1"/>
          </w:tcPr>
          <w:p>
            <w:pPr>
              <w:jc w:val="left"/>
            </w:pPr>
            <w:r/>
            <w:r>
              <w:rPr>
                <w:rFonts w:ascii="Cambria" w:hAnsi="Cambria"/>
                <w:b/>
                <w:i w:val="0"/>
                <w:sz w:val="22"/>
              </w:rPr>
              <w:t>NAAC Alignment</w:t>
            </w:r>
          </w:p>
        </w:tc>
        <w:tc>
          <w:tcPr>
            <w:tcW w:type="dxa" w:w="6860"/>
            <w:tcW w:w="6860" w:type="dxa"/>
            <w:shd w:val="clear" w:color="auto" w:fill="DCE6F1"/>
          </w:tcPr>
          <w:p>
            <w:pPr>
              <w:jc w:val="left"/>
            </w:pPr>
            <w:r/>
            <w:r>
              <w:rPr>
                <w:rFonts w:ascii="Cambria" w:hAnsi="Cambria"/>
                <w:b w:val="0"/>
                <w:i w:val="0"/>
                <w:sz w:val="22"/>
              </w:rPr>
              <w:t>Criterion IV: Infrastructure &amp; Learning Resources</w:t>
            </w:r>
          </w:p>
        </w:tc>
      </w:tr>
      <w:tr>
        <w:tc>
          <w:tcPr>
            <w:tcW w:type="dxa" w:w="2551"/>
            <w:tcW w:w="2551" w:type="dxa"/>
          </w:tcPr>
          <w:p>
            <w:pPr>
              <w:jc w:val="left"/>
            </w:pPr>
            <w:r/>
            <w:r>
              <w:rPr>
                <w:rFonts w:ascii="Cambria" w:hAnsi="Cambria"/>
                <w:b/>
                <w:i w:val="0"/>
                <w:sz w:val="22"/>
              </w:rPr>
              <w:t>NBA Alignment</w:t>
            </w:r>
          </w:p>
        </w:tc>
        <w:tc>
          <w:tcPr>
            <w:tcW w:type="dxa" w:w="6860"/>
            <w:tcW w:w="6860" w:type="dxa"/>
          </w:tcPr>
          <w:p>
            <w:pPr>
              <w:jc w:val="left"/>
            </w:pPr>
            <w:r/>
            <w:r>
              <w:rPr>
                <w:rFonts w:ascii="Cambria" w:hAnsi="Cambria"/>
                <w:b w:val="0"/>
                <w:i w:val="0"/>
                <w:sz w:val="22"/>
              </w:rPr>
              <w:t>ICT Usage in Teaching–Learning</w:t>
            </w:r>
          </w:p>
        </w:tc>
      </w:tr>
      <w:tr>
        <w:tc>
          <w:tcPr>
            <w:tcW w:type="dxa" w:w="2551"/>
            <w:tcW w:w="2551" w:type="dxa"/>
            <w:shd w:val="clear" w:color="auto" w:fill="DCE6F1"/>
          </w:tcPr>
          <w:p>
            <w:pPr>
              <w:jc w:val="left"/>
            </w:pPr>
            <w:r/>
            <w:r>
              <w:rPr>
                <w:rFonts w:ascii="Cambria" w:hAnsi="Cambria"/>
                <w:b/>
                <w:i w:val="0"/>
                <w:sz w:val="22"/>
              </w:rPr>
              <w:t>NIRF Alignment</w:t>
            </w:r>
          </w:p>
        </w:tc>
        <w:tc>
          <w:tcPr>
            <w:tcW w:type="dxa" w:w="6860"/>
            <w:tcW w:w="6860" w:type="dxa"/>
            <w:shd w:val="clear" w:color="auto" w:fill="DCE6F1"/>
          </w:tcPr>
          <w:p>
            <w:pPr>
              <w:jc w:val="left"/>
            </w:pPr>
            <w:r/>
            <w:r>
              <w:rPr>
                <w:rFonts w:ascii="Cambria" w:hAnsi="Cambria"/>
                <w:b w:val="0"/>
                <w:i w:val="0"/>
                <w:sz w:val="22"/>
              </w:rPr>
              <w:t>Research &amp; Professional Practices (RP)</w:t>
            </w:r>
          </w:p>
        </w:tc>
      </w:tr>
      <w:tr>
        <w:tc>
          <w:tcPr>
            <w:tcW w:type="dxa" w:w="2551"/>
            <w:tcW w:w="2551" w:type="dxa"/>
          </w:tcPr>
          <w:p>
            <w:pPr>
              <w:jc w:val="left"/>
            </w:pPr>
            <w:r/>
            <w:r>
              <w:rPr>
                <w:rFonts w:ascii="Cambria" w:hAnsi="Cambria"/>
                <w:b/>
                <w:i w:val="0"/>
                <w:sz w:val="22"/>
              </w:rPr>
              <w:t>QS I-GAUGE Alignment</w:t>
            </w:r>
          </w:p>
        </w:tc>
        <w:tc>
          <w:tcPr>
            <w:tcW w:type="dxa" w:w="6860"/>
            <w:tcW w:w="6860" w:type="dxa"/>
          </w:tcPr>
          <w:p>
            <w:pPr>
              <w:jc w:val="left"/>
            </w:pPr>
            <w:r/>
            <w:r>
              <w:rPr>
                <w:rFonts w:ascii="Cambria" w:hAnsi="Cambria"/>
                <w:b w:val="0"/>
                <w:i w:val="0"/>
                <w:sz w:val="22"/>
              </w:rPr>
              <w:t>Digital Education Readiness</w:t>
            </w:r>
          </w:p>
        </w:tc>
      </w:tr>
    </w:tbl>
    <w:p/>
    <w:p>
      <w:pPr>
        <w:spacing w:before="160" w:after="80"/>
      </w:pPr>
      <w:r>
        <w:rPr>
          <w:rFonts w:ascii="Cambria" w:hAnsi="Cambria"/>
          <w:b/>
          <w:color w:val="1F3A5F"/>
          <w:sz w:val="23"/>
        </w:rPr>
        <w:t>Research, Innovation &amp; Partnerships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Recommendation for HEIs</w:t>
            </w:r>
          </w:p>
        </w:tc>
        <w:tc>
          <w:tcPr>
            <w:tcW w:type="dxa" w:w="6860"/>
            <w:tcW w:w="6860" w:type="dxa"/>
          </w:tcPr>
          <w:p>
            <w:pPr>
              <w:jc w:val="left"/>
            </w:pPr>
            <w:r/>
            <w:r>
              <w:rPr>
                <w:rFonts w:ascii="Cambria" w:hAnsi="Cambria"/>
                <w:b w:val="0"/>
                <w:i w:val="0"/>
                <w:sz w:val="22"/>
              </w:rPr>
              <w:t>SDG-related research, industry linkages, global collaborations</w:t>
            </w:r>
          </w:p>
        </w:tc>
      </w:tr>
      <w:tr>
        <w:tc>
          <w:tcPr>
            <w:tcW w:type="dxa" w:w="2551"/>
            <w:tcW w:w="2551" w:type="dxa"/>
            <w:shd w:val="clear" w:color="auto" w:fill="DCE6F1"/>
          </w:tcPr>
          <w:p>
            <w:pPr>
              <w:jc w:val="left"/>
            </w:pPr>
            <w:r/>
            <w:r>
              <w:rPr>
                <w:rFonts w:ascii="Cambria" w:hAnsi="Cambria"/>
                <w:b/>
                <w:i w:val="0"/>
                <w:sz w:val="22"/>
              </w:rPr>
              <w:t>NAAC Alignment</w:t>
            </w:r>
          </w:p>
        </w:tc>
        <w:tc>
          <w:tcPr>
            <w:tcW w:type="dxa" w:w="6860"/>
            <w:tcW w:w="6860" w:type="dxa"/>
            <w:shd w:val="clear" w:color="auto" w:fill="DCE6F1"/>
          </w:tcPr>
          <w:p>
            <w:pPr>
              <w:jc w:val="left"/>
            </w:pPr>
            <w:r/>
            <w:r>
              <w:rPr>
                <w:rFonts w:ascii="Cambria" w:hAnsi="Cambria"/>
                <w:b w:val="0"/>
                <w:i w:val="0"/>
                <w:sz w:val="22"/>
              </w:rPr>
              <w:t>Criterion III: Research, Innovations &amp; Extension</w:t>
            </w:r>
          </w:p>
        </w:tc>
      </w:tr>
      <w:tr>
        <w:tc>
          <w:tcPr>
            <w:tcW w:type="dxa" w:w="2551"/>
            <w:tcW w:w="2551" w:type="dxa"/>
          </w:tcPr>
          <w:p>
            <w:pPr>
              <w:jc w:val="left"/>
            </w:pPr>
            <w:r/>
            <w:r>
              <w:rPr>
                <w:rFonts w:ascii="Cambria" w:hAnsi="Cambria"/>
                <w:b/>
                <w:i w:val="0"/>
                <w:sz w:val="22"/>
              </w:rPr>
              <w:t>NBA Alignment</w:t>
            </w:r>
          </w:p>
        </w:tc>
        <w:tc>
          <w:tcPr>
            <w:tcW w:type="dxa" w:w="6860"/>
            <w:tcW w:w="6860" w:type="dxa"/>
          </w:tcPr>
          <w:p>
            <w:pPr>
              <w:jc w:val="left"/>
            </w:pPr>
            <w:r/>
            <w:r>
              <w:rPr>
                <w:rFonts w:ascii="Cambria" w:hAnsi="Cambria"/>
                <w:b w:val="0"/>
                <w:i w:val="0"/>
                <w:sz w:val="22"/>
              </w:rPr>
              <w:t>R&amp;D, Consultancy &amp; Extension Work</w:t>
            </w:r>
          </w:p>
        </w:tc>
      </w:tr>
      <w:tr>
        <w:tc>
          <w:tcPr>
            <w:tcW w:type="dxa" w:w="2551"/>
            <w:tcW w:w="2551" w:type="dxa"/>
            <w:shd w:val="clear" w:color="auto" w:fill="DCE6F1"/>
          </w:tcPr>
          <w:p>
            <w:pPr>
              <w:jc w:val="left"/>
            </w:pPr>
            <w:r/>
            <w:r>
              <w:rPr>
                <w:rFonts w:ascii="Cambria" w:hAnsi="Cambria"/>
                <w:b/>
                <w:i w:val="0"/>
                <w:sz w:val="22"/>
              </w:rPr>
              <w:t>NIRF Alignment</w:t>
            </w:r>
          </w:p>
        </w:tc>
        <w:tc>
          <w:tcPr>
            <w:tcW w:type="dxa" w:w="6860"/>
            <w:tcW w:w="6860" w:type="dxa"/>
            <w:shd w:val="clear" w:color="auto" w:fill="DCE6F1"/>
          </w:tcPr>
          <w:p>
            <w:pPr>
              <w:jc w:val="left"/>
            </w:pPr>
            <w:r/>
            <w:r>
              <w:rPr>
                <w:rFonts w:ascii="Cambria" w:hAnsi="Cambria"/>
                <w:b w:val="0"/>
                <w:i w:val="0"/>
                <w:sz w:val="22"/>
              </w:rPr>
              <w:t>Research &amp; Professional Practices (RP)</w:t>
            </w:r>
          </w:p>
        </w:tc>
      </w:tr>
      <w:tr>
        <w:tc>
          <w:tcPr>
            <w:tcW w:type="dxa" w:w="2551"/>
            <w:tcW w:w="2551" w:type="dxa"/>
          </w:tcPr>
          <w:p>
            <w:pPr>
              <w:jc w:val="left"/>
            </w:pPr>
            <w:r/>
            <w:r>
              <w:rPr>
                <w:rFonts w:ascii="Cambria" w:hAnsi="Cambria"/>
                <w:b/>
                <w:i w:val="0"/>
                <w:sz w:val="22"/>
              </w:rPr>
              <w:t>QS I-GAUGE Alignment</w:t>
            </w:r>
          </w:p>
        </w:tc>
        <w:tc>
          <w:tcPr>
            <w:tcW w:type="dxa" w:w="6860"/>
            <w:tcW w:w="6860" w:type="dxa"/>
          </w:tcPr>
          <w:p>
            <w:pPr>
              <w:jc w:val="left"/>
            </w:pPr>
            <w:r/>
            <w:r>
              <w:rPr>
                <w:rFonts w:ascii="Cambria" w:hAnsi="Cambria"/>
                <w:b w:val="0"/>
                <w:i w:val="0"/>
                <w:sz w:val="22"/>
              </w:rPr>
              <w:t>Employability (EP), Faculty Competence (FC)</w:t>
            </w:r>
          </w:p>
        </w:tc>
      </w:tr>
    </w:tbl>
    <w:p/>
    <w:p>
      <w:pPr>
        <w:spacing w:before="160" w:after="80"/>
      </w:pPr>
      <w:r>
        <w:rPr>
          <w:rFonts w:ascii="Cambria" w:hAnsi="Cambria"/>
          <w:b/>
          <w:color w:val="1F3A5F"/>
          <w:sz w:val="23"/>
        </w:rPr>
        <w:t>Monitoring &amp; Evaluation</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Recommendation for HEIs</w:t>
            </w:r>
          </w:p>
        </w:tc>
        <w:tc>
          <w:tcPr>
            <w:tcW w:type="dxa" w:w="6860"/>
            <w:tcW w:w="6860" w:type="dxa"/>
          </w:tcPr>
          <w:p>
            <w:pPr>
              <w:jc w:val="left"/>
            </w:pPr>
            <w:r/>
            <w:r>
              <w:rPr>
                <w:rFonts w:ascii="Cambria" w:hAnsi="Cambria"/>
                <w:b w:val="0"/>
                <w:i w:val="0"/>
                <w:sz w:val="22"/>
              </w:rPr>
              <w:t>SDG-4 monitoring cells; publish annual progress reports; link accreditation with SDG indicators</w:t>
            </w:r>
          </w:p>
        </w:tc>
      </w:tr>
      <w:tr>
        <w:tc>
          <w:tcPr>
            <w:tcW w:type="dxa" w:w="2551"/>
            <w:tcW w:w="2551" w:type="dxa"/>
            <w:shd w:val="clear" w:color="auto" w:fill="DCE6F1"/>
          </w:tcPr>
          <w:p>
            <w:pPr>
              <w:jc w:val="left"/>
            </w:pPr>
            <w:r/>
            <w:r>
              <w:rPr>
                <w:rFonts w:ascii="Cambria" w:hAnsi="Cambria"/>
                <w:b/>
                <w:i w:val="0"/>
                <w:sz w:val="22"/>
              </w:rPr>
              <w:t>NAAC Alignment</w:t>
            </w:r>
          </w:p>
        </w:tc>
        <w:tc>
          <w:tcPr>
            <w:tcW w:type="dxa" w:w="6860"/>
            <w:tcW w:w="6860" w:type="dxa"/>
            <w:shd w:val="clear" w:color="auto" w:fill="DCE6F1"/>
          </w:tcPr>
          <w:p>
            <w:pPr>
              <w:jc w:val="left"/>
            </w:pPr>
            <w:r/>
            <w:r>
              <w:rPr>
                <w:rFonts w:ascii="Cambria" w:hAnsi="Cambria"/>
                <w:b w:val="0"/>
                <w:i w:val="0"/>
                <w:sz w:val="22"/>
              </w:rPr>
              <w:t>Criterion VII: Best Practices &amp; Institutional Values</w:t>
            </w:r>
          </w:p>
        </w:tc>
      </w:tr>
      <w:tr>
        <w:tc>
          <w:tcPr>
            <w:tcW w:type="dxa" w:w="2551"/>
            <w:tcW w:w="2551" w:type="dxa"/>
          </w:tcPr>
          <w:p>
            <w:pPr>
              <w:jc w:val="left"/>
            </w:pPr>
            <w:r/>
            <w:r>
              <w:rPr>
                <w:rFonts w:ascii="Cambria" w:hAnsi="Cambria"/>
                <w:b/>
                <w:i w:val="0"/>
                <w:sz w:val="22"/>
              </w:rPr>
              <w:t>NBA Alignment</w:t>
            </w:r>
          </w:p>
        </w:tc>
        <w:tc>
          <w:tcPr>
            <w:tcW w:type="dxa" w:w="6860"/>
            <w:tcW w:w="6860" w:type="dxa"/>
          </w:tcPr>
          <w:p>
            <w:pPr>
              <w:jc w:val="left"/>
            </w:pPr>
            <w:r/>
            <w:r>
              <w:rPr>
                <w:rFonts w:ascii="Cambria" w:hAnsi="Cambria"/>
                <w:b w:val="0"/>
                <w:i w:val="0"/>
                <w:sz w:val="22"/>
              </w:rPr>
              <w:t>Continuous Improvement (CI) Metrics</w:t>
            </w:r>
          </w:p>
        </w:tc>
      </w:tr>
      <w:tr>
        <w:tc>
          <w:tcPr>
            <w:tcW w:type="dxa" w:w="2551"/>
            <w:tcW w:w="2551" w:type="dxa"/>
            <w:shd w:val="clear" w:color="auto" w:fill="DCE6F1"/>
          </w:tcPr>
          <w:p>
            <w:pPr>
              <w:jc w:val="left"/>
            </w:pPr>
            <w:r/>
            <w:r>
              <w:rPr>
                <w:rFonts w:ascii="Cambria" w:hAnsi="Cambria"/>
                <w:b/>
                <w:i w:val="0"/>
                <w:sz w:val="22"/>
              </w:rPr>
              <w:t>NIRF Alignment</w:t>
            </w:r>
          </w:p>
        </w:tc>
        <w:tc>
          <w:tcPr>
            <w:tcW w:type="dxa" w:w="6860"/>
            <w:tcW w:w="6860" w:type="dxa"/>
            <w:shd w:val="clear" w:color="auto" w:fill="DCE6F1"/>
          </w:tcPr>
          <w:p>
            <w:pPr>
              <w:jc w:val="left"/>
            </w:pPr>
            <w:r/>
            <w:r>
              <w:rPr>
                <w:rFonts w:ascii="Cambria" w:hAnsi="Cambria"/>
                <w:b w:val="0"/>
                <w:i w:val="0"/>
                <w:sz w:val="22"/>
              </w:rPr>
              <w:t>Governance, Leadership &amp; Strategy (GLS)</w:t>
            </w:r>
          </w:p>
        </w:tc>
      </w:tr>
      <w:tr>
        <w:tc>
          <w:tcPr>
            <w:tcW w:type="dxa" w:w="2551"/>
            <w:tcW w:w="2551" w:type="dxa"/>
          </w:tcPr>
          <w:p>
            <w:pPr>
              <w:jc w:val="left"/>
            </w:pPr>
            <w:r/>
            <w:r>
              <w:rPr>
                <w:rFonts w:ascii="Cambria" w:hAnsi="Cambria"/>
                <w:b/>
                <w:i w:val="0"/>
                <w:sz w:val="22"/>
              </w:rPr>
              <w:t>QS I-GAUGE Alignment</w:t>
            </w:r>
          </w:p>
        </w:tc>
        <w:tc>
          <w:tcPr>
            <w:tcW w:type="dxa" w:w="6860"/>
            <w:tcW w:w="6860" w:type="dxa"/>
          </w:tcPr>
          <w:p>
            <w:pPr>
              <w:jc w:val="left"/>
            </w:pPr>
            <w:r/>
            <w:r>
              <w:rPr>
                <w:rFonts w:ascii="Cambria" w:hAnsi="Cambria"/>
                <w:b w:val="0"/>
                <w:i w:val="0"/>
                <w:sz w:val="22"/>
              </w:rPr>
              <w:t>Governance &amp; Institutional Values</w:t>
            </w:r>
          </w:p>
        </w:tc>
      </w:tr>
    </w:tbl>
    <w:p>
      <w:pPr>
        <w:spacing w:before="200" w:after="80"/>
        <w:jc w:val="left"/>
      </w:pPr>
      <w:r>
        <w:rPr>
          <w:rFonts w:ascii="Cambria" w:hAnsi="Cambria"/>
          <w:b/>
          <w:color w:val="1F3A5F"/>
          <w:sz w:val="25"/>
        </w:rPr>
        <w:t>Expanded Recommendations with Best Practices &amp; Case Studies for SDG-4</w:t>
      </w:r>
    </w:p>
    <w:p>
      <w:pPr>
        <w:spacing w:after="120"/>
        <w:jc w:val="both"/>
      </w:pPr>
      <w:r>
        <w:rPr>
          <w:rFonts w:ascii="Cambria" w:hAnsi="Cambria"/>
          <w:b/>
          <w:i w:val="0"/>
          <w:sz w:val="22"/>
        </w:rPr>
        <w:t>1. Curriculum Integration</w:t>
      </w:r>
    </w:p>
    <w:p>
      <w:pPr>
        <w:pStyle w:val="ListBullet"/>
        <w:ind w:left="357"/>
        <w:jc w:val="both"/>
      </w:pPr>
      <w:r>
        <w:rPr>
          <w:rFonts w:ascii="Cambria" w:hAnsi="Cambria"/>
          <w:b/>
          <w:sz w:val="22"/>
        </w:rPr>
        <w:t xml:space="preserve">Recommendation: </w:t>
      </w:r>
      <w:r>
        <w:rPr>
          <w:rFonts w:ascii="Cambria" w:hAnsi="Cambria"/>
          <w:sz w:val="22"/>
        </w:rPr>
        <w:t>Introduce SDG-based majors, minors, diplomas, electives; embed sustainability and global citizenship into curricula.</w:t>
      </w:r>
    </w:p>
    <w:p>
      <w:pPr>
        <w:pStyle w:val="ListBullet"/>
        <w:ind w:left="357"/>
        <w:jc w:val="both"/>
      </w:pPr>
      <w:r>
        <w:rPr>
          <w:rFonts w:ascii="Cambria" w:hAnsi="Cambria"/>
          <w:b/>
          <w:sz w:val="22"/>
        </w:rPr>
        <w:t xml:space="preserve">Global Best Practices: </w:t>
      </w:r>
      <w:r>
        <w:rPr>
          <w:rFonts w:ascii="Cambria" w:hAnsi="Cambria"/>
          <w:sz w:val="22"/>
        </w:rPr>
      </w:r>
    </w:p>
    <w:p>
      <w:pPr>
        <w:pStyle w:val="ListBullet2"/>
        <w:ind w:left="720"/>
        <w:jc w:val="both"/>
      </w:pPr>
      <w:r>
        <w:rPr>
          <w:rFonts w:ascii="Cambria" w:hAnsi="Cambria"/>
          <w:b/>
          <w:sz w:val="22"/>
        </w:rPr>
        <w:t xml:space="preserve">UNESCO Education for Sustainable Development (ESD): </w:t>
      </w:r>
      <w:r>
        <w:rPr>
          <w:rFonts w:ascii="Cambria" w:hAnsi="Cambria"/>
          <w:sz w:val="22"/>
        </w:rPr>
        <w:t>Framework encouraging integration of sustainability across all levels of education.</w:t>
      </w:r>
    </w:p>
    <w:p>
      <w:pPr>
        <w:pStyle w:val="ListBullet2"/>
        <w:ind w:left="720"/>
        <w:jc w:val="both"/>
      </w:pPr>
      <w:r>
        <w:rPr>
          <w:rFonts w:ascii="Cambria" w:hAnsi="Cambria"/>
          <w:sz w:val="22"/>
        </w:rPr>
        <w:t>Erasmus+ (EU): Supports transnational curriculum development, joint degrees, and student mobility programs.</w:t>
      </w:r>
    </w:p>
    <w:p>
      <w:pPr>
        <w:pStyle w:val="ListBullet2"/>
        <w:ind w:left="720"/>
        <w:jc w:val="both"/>
      </w:pPr>
      <w:r>
        <w:rPr>
          <w:rFonts w:ascii="Cambria" w:hAnsi="Cambria"/>
          <w:b/>
          <w:sz w:val="22"/>
        </w:rPr>
        <w:t xml:space="preserve">NEP 2020 (India): </w:t>
      </w:r>
      <w:r>
        <w:rPr>
          <w:rFonts w:ascii="Cambria" w:hAnsi="Cambria"/>
          <w:sz w:val="22"/>
        </w:rPr>
        <w:t>Introduces multidisciplinary, flexible curricula with sustainability and ethics as core components.</w:t>
      </w:r>
    </w:p>
    <w:p>
      <w:pPr>
        <w:pStyle w:val="ListBullet"/>
        <w:ind w:left="357"/>
        <w:jc w:val="both"/>
      </w:pPr>
      <w:r>
        <w:rPr>
          <w:rFonts w:ascii="Cambria" w:hAnsi="Cambria"/>
          <w:b/>
          <w:sz w:val="22"/>
        </w:rPr>
        <w:t xml:space="preserve">Case Study: </w:t>
      </w:r>
      <w:r>
        <w:rPr>
          <w:rFonts w:ascii="Cambria" w:hAnsi="Cambria"/>
          <w:sz w:val="22"/>
        </w:rPr>
        <w:t>University of Gothenburg (Sweden) – integrated SDGs into undergraduate and postgraduate courses, earning recognition in QS Sustainability Rankings.</w:t>
      </w:r>
    </w:p>
    <w:p>
      <w:pPr>
        <w:spacing w:after="120"/>
        <w:jc w:val="both"/>
      </w:pPr>
      <w:r>
        <w:rPr>
          <w:rFonts w:ascii="Cambria" w:hAnsi="Cambria"/>
          <w:b/>
          <w:i w:val="0"/>
          <w:sz w:val="22"/>
        </w:rPr>
        <w:t>2. Awareness and Engagement</w:t>
      </w:r>
    </w:p>
    <w:p>
      <w:pPr>
        <w:pStyle w:val="ListBullet"/>
        <w:ind w:left="357"/>
        <w:jc w:val="both"/>
      </w:pPr>
      <w:r>
        <w:rPr>
          <w:rFonts w:ascii="Cambria" w:hAnsi="Cambria"/>
          <w:b/>
          <w:sz w:val="22"/>
        </w:rPr>
        <w:t xml:space="preserve">Recommendation: </w:t>
      </w:r>
      <w:r>
        <w:rPr>
          <w:rFonts w:ascii="Cambria" w:hAnsi="Cambria"/>
          <w:sz w:val="22"/>
        </w:rPr>
        <w:t>Organize seminars, workshops, campaigns, and create SDG clubs and MOOCs.</w:t>
      </w:r>
    </w:p>
    <w:p>
      <w:pPr>
        <w:pStyle w:val="ListBullet"/>
        <w:ind w:left="357"/>
        <w:jc w:val="both"/>
      </w:pPr>
      <w:r>
        <w:rPr>
          <w:rFonts w:ascii="Cambria" w:hAnsi="Cambria"/>
          <w:b/>
          <w:sz w:val="22"/>
        </w:rPr>
        <w:t xml:space="preserve">Global Best Practices: </w:t>
      </w:r>
      <w:r>
        <w:rPr>
          <w:rFonts w:ascii="Cambria" w:hAnsi="Cambria"/>
          <w:sz w:val="22"/>
        </w:rPr>
      </w:r>
    </w:p>
    <w:p>
      <w:pPr>
        <w:pStyle w:val="ListBullet2"/>
        <w:ind w:left="720"/>
        <w:jc w:val="both"/>
      </w:pPr>
      <w:r>
        <w:rPr>
          <w:rFonts w:ascii="Cambria" w:hAnsi="Cambria"/>
          <w:b/>
          <w:sz w:val="22"/>
        </w:rPr>
        <w:t xml:space="preserve">UNESCO SDG Schools Programme: </w:t>
      </w:r>
      <w:r>
        <w:rPr>
          <w:rFonts w:ascii="Cambria" w:hAnsi="Cambria"/>
          <w:sz w:val="22"/>
        </w:rPr>
        <w:t>Builds SDG awareness through local and global school–university networks.</w:t>
      </w:r>
    </w:p>
    <w:p>
      <w:pPr>
        <w:pStyle w:val="ListBullet2"/>
        <w:ind w:left="720"/>
        <w:jc w:val="both"/>
      </w:pPr>
      <w:r>
        <w:rPr>
          <w:rFonts w:ascii="Cambria" w:hAnsi="Cambria"/>
          <w:b/>
          <w:sz w:val="22"/>
        </w:rPr>
        <w:t xml:space="preserve">MOOCs by Coursera, edX, FutureLearn: </w:t>
      </w:r>
      <w:r>
        <w:rPr>
          <w:rFonts w:ascii="Cambria" w:hAnsi="Cambria"/>
          <w:sz w:val="22"/>
        </w:rPr>
        <w:t>Dedicated SDG courses available free for global learners.</w:t>
      </w:r>
    </w:p>
    <w:p>
      <w:pPr>
        <w:pStyle w:val="ListBullet2"/>
        <w:ind w:left="720"/>
        <w:jc w:val="both"/>
      </w:pPr>
      <w:r>
        <w:rPr>
          <w:rFonts w:ascii="Cambria" w:hAnsi="Cambria"/>
          <w:b/>
          <w:sz w:val="22"/>
        </w:rPr>
        <w:t xml:space="preserve">Youth SDG Clubs (Nigeria, Brazil): </w:t>
      </w:r>
      <w:r>
        <w:rPr>
          <w:rFonts w:ascii="Cambria" w:hAnsi="Cambria"/>
          <w:sz w:val="22"/>
        </w:rPr>
        <w:t>Student-driven initiatives that align local actions with global SDGs.</w:t>
      </w:r>
    </w:p>
    <w:p>
      <w:pPr>
        <w:pStyle w:val="ListBullet"/>
        <w:ind w:left="357"/>
        <w:jc w:val="both"/>
      </w:pPr>
      <w:r>
        <w:rPr>
          <w:rFonts w:ascii="Cambria" w:hAnsi="Cambria"/>
          <w:b/>
          <w:sz w:val="22"/>
        </w:rPr>
        <w:t xml:space="preserve">Case Study: </w:t>
      </w:r>
      <w:r>
        <w:rPr>
          <w:rFonts w:ascii="Cambria" w:hAnsi="Cambria"/>
          <w:sz w:val="22"/>
        </w:rPr>
        <w:t>University of Cape Town (South Africa) – “SDG Hub” initiative, hosting seminars and community projects to build awareness of sustainable practices.</w:t>
      </w:r>
    </w:p>
    <w:p>
      <w:pPr>
        <w:spacing w:after="120"/>
        <w:jc w:val="both"/>
      </w:pPr>
      <w:r>
        <w:rPr>
          <w:rFonts w:ascii="Cambria" w:hAnsi="Cambria"/>
          <w:b/>
          <w:i w:val="0"/>
          <w:sz w:val="22"/>
        </w:rPr>
        <w:t>3. Faculty Development and Teacher Training</w:t>
      </w:r>
    </w:p>
    <w:p>
      <w:pPr>
        <w:pStyle w:val="ListBullet"/>
        <w:ind w:left="357"/>
        <w:jc w:val="both"/>
      </w:pPr>
      <w:r>
        <w:rPr>
          <w:rFonts w:ascii="Cambria" w:hAnsi="Cambria"/>
          <w:b/>
          <w:sz w:val="22"/>
        </w:rPr>
        <w:t xml:space="preserve">Recommendation: </w:t>
      </w:r>
      <w:r>
        <w:rPr>
          <w:rFonts w:ascii="Cambria" w:hAnsi="Cambria"/>
          <w:sz w:val="22"/>
        </w:rPr>
        <w:t>Train faculty in SDG pedagogy, experiential learning, and blended teaching methods.</w:t>
      </w:r>
    </w:p>
    <w:p>
      <w:pPr>
        <w:pStyle w:val="ListBullet"/>
        <w:ind w:left="357"/>
        <w:jc w:val="both"/>
      </w:pPr>
      <w:r>
        <w:rPr>
          <w:rFonts w:ascii="Cambria" w:hAnsi="Cambria"/>
          <w:b/>
          <w:sz w:val="22"/>
        </w:rPr>
        <w:t xml:space="preserve">Global Best Practices: </w:t>
      </w:r>
      <w:r>
        <w:rPr>
          <w:rFonts w:ascii="Cambria" w:hAnsi="Cambria"/>
          <w:sz w:val="22"/>
        </w:rPr>
      </w:r>
    </w:p>
    <w:p>
      <w:pPr>
        <w:pStyle w:val="ListBullet2"/>
        <w:ind w:left="720"/>
        <w:jc w:val="both"/>
      </w:pPr>
      <w:r>
        <w:rPr>
          <w:rFonts w:ascii="Cambria" w:hAnsi="Cambria"/>
          <w:b/>
          <w:sz w:val="22"/>
        </w:rPr>
        <w:t xml:space="preserve">UNESCO Teacher Task Force: </w:t>
      </w:r>
      <w:r>
        <w:rPr>
          <w:rFonts w:ascii="Cambria" w:hAnsi="Cambria"/>
          <w:sz w:val="22"/>
        </w:rPr>
        <w:t>Strengthens teacher capacity in developing nations through continuous professional development.</w:t>
      </w:r>
    </w:p>
    <w:p>
      <w:pPr>
        <w:pStyle w:val="ListBullet2"/>
        <w:ind w:left="720"/>
        <w:jc w:val="both"/>
      </w:pPr>
      <w:r>
        <w:rPr>
          <w:rFonts w:ascii="Cambria" w:hAnsi="Cambria"/>
          <w:b/>
          <w:sz w:val="22"/>
        </w:rPr>
        <w:t xml:space="preserve">TeachSDGs Global Ambassadors: </w:t>
      </w:r>
      <w:r>
        <w:rPr>
          <w:rFonts w:ascii="Cambria" w:hAnsi="Cambria"/>
          <w:sz w:val="22"/>
        </w:rPr>
        <w:t>Educators from 100+ countries trained to integrate SDGs into classrooms.</w:t>
      </w:r>
    </w:p>
    <w:p>
      <w:pPr>
        <w:pStyle w:val="ListBullet2"/>
        <w:ind w:left="720"/>
        <w:jc w:val="both"/>
      </w:pPr>
      <w:r>
        <w:rPr>
          <w:rFonts w:ascii="Cambria" w:hAnsi="Cambria"/>
          <w:b/>
          <w:sz w:val="22"/>
        </w:rPr>
        <w:t xml:space="preserve">NEP 2020 India: </w:t>
      </w:r>
      <w:r>
        <w:rPr>
          <w:rFonts w:ascii="Cambria" w:hAnsi="Cambria"/>
          <w:sz w:val="22"/>
        </w:rPr>
        <w:t>Emphasizes continuous professional development for teachers (50 hours/year).</w:t>
      </w:r>
    </w:p>
    <w:p>
      <w:pPr>
        <w:pStyle w:val="ListBullet"/>
        <w:ind w:left="357"/>
        <w:jc w:val="both"/>
      </w:pPr>
      <w:r>
        <w:rPr>
          <w:rFonts w:ascii="Cambria" w:hAnsi="Cambria"/>
          <w:b/>
          <w:sz w:val="22"/>
        </w:rPr>
        <w:t xml:space="preserve">Case Study: </w:t>
      </w:r>
      <w:r>
        <w:rPr>
          <w:rFonts w:ascii="Cambria" w:hAnsi="Cambria"/>
          <w:sz w:val="22"/>
        </w:rPr>
        <w:t>University of Melbourne (Australia) – established a “Sustainability Teaching Fellowship” to train educators on embedding SDGs into teaching.</w:t>
      </w:r>
    </w:p>
    <w:p>
      <w:pPr>
        <w:spacing w:after="120"/>
        <w:jc w:val="both"/>
      </w:pPr>
      <w:r>
        <w:rPr>
          <w:rFonts w:ascii="Cambria" w:hAnsi="Cambria"/>
          <w:b/>
          <w:i w:val="0"/>
          <w:sz w:val="22"/>
        </w:rPr>
        <w:t>4. Inclusive and Equitable Access</w:t>
      </w:r>
    </w:p>
    <w:p>
      <w:pPr>
        <w:pStyle w:val="ListBullet"/>
        <w:ind w:left="357"/>
        <w:jc w:val="both"/>
      </w:pPr>
      <w:r>
        <w:rPr>
          <w:rFonts w:ascii="Cambria" w:hAnsi="Cambria"/>
          <w:b/>
          <w:sz w:val="22"/>
        </w:rPr>
        <w:t xml:space="preserve">Recommendation: </w:t>
      </w:r>
      <w:r>
        <w:rPr>
          <w:rFonts w:ascii="Cambria" w:hAnsi="Cambria"/>
          <w:sz w:val="22"/>
        </w:rPr>
        <w:t>Scholarships for marginalized groups, assistive technologies, and promoting gender equality in STEM.</w:t>
      </w:r>
    </w:p>
    <w:p>
      <w:pPr>
        <w:pStyle w:val="ListBullet"/>
        <w:ind w:left="357"/>
        <w:jc w:val="both"/>
      </w:pPr>
      <w:r>
        <w:rPr>
          <w:rFonts w:ascii="Cambria" w:hAnsi="Cambria"/>
          <w:b/>
          <w:sz w:val="22"/>
        </w:rPr>
        <w:t xml:space="preserve">Global Best Practices: </w:t>
      </w:r>
      <w:r>
        <w:rPr>
          <w:rFonts w:ascii="Cambria" w:hAnsi="Cambria"/>
          <w:sz w:val="22"/>
        </w:rPr>
      </w:r>
    </w:p>
    <w:p>
      <w:pPr>
        <w:pStyle w:val="ListBullet2"/>
        <w:ind w:left="720"/>
        <w:jc w:val="both"/>
      </w:pPr>
      <w:r>
        <w:rPr>
          <w:rFonts w:ascii="Cambria" w:hAnsi="Cambria"/>
          <w:b/>
          <w:sz w:val="22"/>
        </w:rPr>
        <w:t xml:space="preserve">UNICEF Inclusive Education Framework: </w:t>
      </w:r>
      <w:r>
        <w:rPr>
          <w:rFonts w:ascii="Cambria" w:hAnsi="Cambria"/>
          <w:sz w:val="22"/>
        </w:rPr>
        <w:t>Provides guidelines for integrating disabled and marginalized learners.</w:t>
      </w:r>
    </w:p>
    <w:p>
      <w:pPr>
        <w:pStyle w:val="ListBullet2"/>
        <w:ind w:left="720"/>
        <w:jc w:val="both"/>
      </w:pPr>
      <w:r>
        <w:rPr>
          <w:rFonts w:ascii="Cambria" w:hAnsi="Cambria"/>
          <w:sz w:val="22"/>
        </w:rPr>
        <w:t>Erasmus+ Inclusion Strategy: Ensures equal participation for disadvantaged students across Europe.</w:t>
      </w:r>
    </w:p>
    <w:p>
      <w:pPr>
        <w:pStyle w:val="ListBullet2"/>
        <w:ind w:left="720"/>
        <w:jc w:val="both"/>
      </w:pPr>
      <w:r>
        <w:rPr>
          <w:rFonts w:ascii="Cambria" w:hAnsi="Cambria"/>
          <w:b/>
          <w:sz w:val="22"/>
        </w:rPr>
        <w:t xml:space="preserve">Beti Bachao, Beti Padhao (India): </w:t>
      </w:r>
      <w:r>
        <w:rPr>
          <w:rFonts w:ascii="Cambria" w:hAnsi="Cambria"/>
          <w:sz w:val="22"/>
        </w:rPr>
        <w:t>National initiative encouraging girl child education and higher participation in STEM.</w:t>
      </w:r>
    </w:p>
    <w:p>
      <w:pPr>
        <w:pStyle w:val="ListBullet"/>
        <w:ind w:left="357"/>
        <w:jc w:val="both"/>
      </w:pPr>
      <w:r>
        <w:rPr>
          <w:rFonts w:ascii="Cambria" w:hAnsi="Cambria"/>
          <w:b/>
          <w:sz w:val="22"/>
        </w:rPr>
        <w:t xml:space="preserve">Case Study: </w:t>
      </w:r>
      <w:r>
        <w:rPr>
          <w:rFonts w:ascii="Cambria" w:hAnsi="Cambria"/>
          <w:sz w:val="22"/>
        </w:rPr>
        <w:t>MIT's Women in STEM program – mentorship, scholarships, and inclusive recruitment policies doubled female participation in engineering programs over a decade.</w:t>
      </w:r>
    </w:p>
    <w:p>
      <w:pPr>
        <w:spacing w:after="120"/>
        <w:jc w:val="both"/>
      </w:pPr>
      <w:r>
        <w:rPr>
          <w:rFonts w:ascii="Cambria" w:hAnsi="Cambria"/>
          <w:b/>
          <w:i w:val="0"/>
          <w:sz w:val="22"/>
        </w:rPr>
        <w:t>5. Digital Transformation and Lifelong Learning</w:t>
      </w:r>
    </w:p>
    <w:p>
      <w:pPr>
        <w:pStyle w:val="ListBullet"/>
        <w:ind w:left="357"/>
        <w:jc w:val="both"/>
      </w:pPr>
      <w:r>
        <w:rPr>
          <w:rFonts w:ascii="Cambria" w:hAnsi="Cambria"/>
          <w:b/>
          <w:sz w:val="22"/>
        </w:rPr>
        <w:t xml:space="preserve">Recommendation: </w:t>
      </w:r>
      <w:r>
        <w:rPr>
          <w:rFonts w:ascii="Cambria" w:hAnsi="Cambria"/>
          <w:sz w:val="22"/>
        </w:rPr>
        <w:t>Strengthen ICT-enabled learning, create digital libraries, promote adult literacy, and lifelong education.</w:t>
      </w:r>
    </w:p>
    <w:p>
      <w:pPr>
        <w:pStyle w:val="ListBullet"/>
        <w:ind w:left="357"/>
        <w:jc w:val="both"/>
      </w:pPr>
      <w:r>
        <w:rPr>
          <w:rFonts w:ascii="Cambria" w:hAnsi="Cambria"/>
          <w:b/>
          <w:sz w:val="22"/>
        </w:rPr>
        <w:t xml:space="preserve">Global Best Practices: </w:t>
      </w:r>
      <w:r>
        <w:rPr>
          <w:rFonts w:ascii="Cambria" w:hAnsi="Cambria"/>
          <w:sz w:val="22"/>
        </w:rPr>
      </w:r>
    </w:p>
    <w:p>
      <w:pPr>
        <w:pStyle w:val="ListBullet2"/>
        <w:ind w:left="720"/>
        <w:jc w:val="both"/>
      </w:pPr>
      <w:r>
        <w:rPr>
          <w:rFonts w:ascii="Cambria" w:hAnsi="Cambria"/>
          <w:b/>
          <w:sz w:val="22"/>
        </w:rPr>
        <w:t xml:space="preserve">UNESCO Global Education Coalition (COVID-19 Response): </w:t>
      </w:r>
      <w:r>
        <w:rPr>
          <w:rFonts w:ascii="Cambria" w:hAnsi="Cambria"/>
          <w:sz w:val="22"/>
        </w:rPr>
        <w:t>Promoted EdTech adoption for remote learning in 100+ countries.</w:t>
      </w:r>
    </w:p>
    <w:p>
      <w:pPr>
        <w:pStyle w:val="ListBullet2"/>
        <w:ind w:left="720"/>
        <w:jc w:val="both"/>
      </w:pPr>
      <w:r>
        <w:rPr>
          <w:rFonts w:ascii="Cambria" w:hAnsi="Cambria"/>
          <w:b/>
          <w:sz w:val="22"/>
        </w:rPr>
        <w:t xml:space="preserve">European Digital Education Action Plan: </w:t>
      </w:r>
      <w:r>
        <w:rPr>
          <w:rFonts w:ascii="Cambria" w:hAnsi="Cambria"/>
          <w:sz w:val="22"/>
        </w:rPr>
        <w:t>Roadmap for integrating digital learning tools across member states.</w:t>
      </w:r>
    </w:p>
    <w:p>
      <w:pPr>
        <w:pStyle w:val="ListBullet2"/>
        <w:ind w:left="720"/>
        <w:jc w:val="both"/>
      </w:pPr>
      <w:r>
        <w:rPr>
          <w:rFonts w:ascii="Cambria" w:hAnsi="Cambria"/>
          <w:b/>
          <w:sz w:val="22"/>
        </w:rPr>
        <w:t xml:space="preserve">SWAYAM Platform (India): </w:t>
      </w:r>
      <w:r>
        <w:rPr>
          <w:rFonts w:ascii="Cambria" w:hAnsi="Cambria"/>
          <w:sz w:val="22"/>
        </w:rPr>
        <w:t>Government-backed MOOCs offering free lifelong learning opportunities.</w:t>
      </w:r>
    </w:p>
    <w:p>
      <w:pPr>
        <w:pStyle w:val="ListBullet"/>
        <w:ind w:left="357"/>
        <w:jc w:val="both"/>
      </w:pPr>
      <w:r>
        <w:rPr>
          <w:rFonts w:ascii="Cambria" w:hAnsi="Cambria"/>
          <w:b/>
          <w:sz w:val="22"/>
        </w:rPr>
        <w:t xml:space="preserve">Case Study: </w:t>
      </w:r>
      <w:r>
        <w:rPr>
          <w:rFonts w:ascii="Cambria" w:hAnsi="Cambria"/>
          <w:sz w:val="22"/>
        </w:rPr>
        <w:t>University of Nairobi (Kenya) – adopted e-learning platforms and mobile-based literacy programs, significantly increasing access for rural learners.</w:t>
      </w:r>
    </w:p>
    <w:p>
      <w:pPr>
        <w:spacing w:after="120"/>
        <w:jc w:val="both"/>
      </w:pPr>
      <w:r>
        <w:rPr>
          <w:rFonts w:ascii="Cambria" w:hAnsi="Cambria"/>
          <w:b/>
          <w:i w:val="0"/>
          <w:sz w:val="22"/>
        </w:rPr>
        <w:t>6. Research, Innovation, and Partnerships</w:t>
      </w:r>
    </w:p>
    <w:p>
      <w:pPr>
        <w:pStyle w:val="ListBullet"/>
        <w:ind w:left="357"/>
        <w:jc w:val="both"/>
      </w:pPr>
      <w:r>
        <w:rPr>
          <w:rFonts w:ascii="Cambria" w:hAnsi="Cambria"/>
          <w:b/>
          <w:sz w:val="22"/>
        </w:rPr>
        <w:t xml:space="preserve">Recommendation: </w:t>
      </w:r>
      <w:r>
        <w:rPr>
          <w:rFonts w:ascii="Cambria" w:hAnsi="Cambria"/>
          <w:sz w:val="22"/>
        </w:rPr>
        <w:t>Encourage SDG-related research, partnerships with industry, NGOs, and international universities.</w:t>
      </w:r>
    </w:p>
    <w:p>
      <w:pPr>
        <w:pStyle w:val="ListBullet"/>
        <w:ind w:left="357"/>
        <w:jc w:val="both"/>
      </w:pPr>
      <w:r>
        <w:rPr>
          <w:rFonts w:ascii="Cambria" w:hAnsi="Cambria"/>
          <w:b/>
          <w:sz w:val="22"/>
        </w:rPr>
        <w:t xml:space="preserve">Global Best Practices: </w:t>
      </w:r>
      <w:r>
        <w:rPr>
          <w:rFonts w:ascii="Cambria" w:hAnsi="Cambria"/>
          <w:sz w:val="22"/>
        </w:rPr>
      </w:r>
    </w:p>
    <w:p>
      <w:pPr>
        <w:pStyle w:val="ListBullet2"/>
        <w:ind w:left="720"/>
        <w:jc w:val="both"/>
      </w:pPr>
      <w:r>
        <w:rPr>
          <w:rFonts w:ascii="Cambria" w:hAnsi="Cambria"/>
          <w:b/>
          <w:sz w:val="22"/>
        </w:rPr>
        <w:t xml:space="preserve">UNESCO Chairs Programme: </w:t>
      </w:r>
      <w:r>
        <w:rPr>
          <w:rFonts w:ascii="Cambria" w:hAnsi="Cambria"/>
          <w:sz w:val="22"/>
        </w:rPr>
        <w:t>Supports research networks focused on sustainability and global challenges.</w:t>
      </w:r>
    </w:p>
    <w:p>
      <w:pPr>
        <w:pStyle w:val="ListBullet2"/>
        <w:ind w:left="720"/>
        <w:jc w:val="both"/>
      </w:pPr>
      <w:r>
        <w:rPr>
          <w:rFonts w:ascii="Cambria" w:hAnsi="Cambria"/>
          <w:b/>
          <w:sz w:val="22"/>
        </w:rPr>
        <w:t xml:space="preserve">Horizon Europe (EU): </w:t>
      </w:r>
      <w:r>
        <w:rPr>
          <w:rFonts w:ascii="Cambria" w:hAnsi="Cambria"/>
          <w:sz w:val="22"/>
        </w:rPr>
        <w:t>Funding scheme linking academic research with SDGs.</w:t>
      </w:r>
    </w:p>
    <w:p>
      <w:pPr>
        <w:pStyle w:val="ListBullet2"/>
        <w:ind w:left="720"/>
        <w:jc w:val="both"/>
      </w:pPr>
      <w:r>
        <w:rPr>
          <w:rFonts w:ascii="Cambria" w:hAnsi="Cambria"/>
          <w:sz w:val="22"/>
        </w:rPr>
        <w:t>UGC India – STRIDE Scheme: Promotes interdisciplinary research linked to national and global development goals.</w:t>
      </w:r>
    </w:p>
    <w:p>
      <w:pPr>
        <w:pStyle w:val="ListBullet"/>
        <w:ind w:left="357"/>
        <w:jc w:val="both"/>
      </w:pPr>
      <w:r>
        <w:rPr>
          <w:rFonts w:ascii="Cambria" w:hAnsi="Cambria"/>
          <w:b/>
          <w:sz w:val="22"/>
        </w:rPr>
        <w:t xml:space="preserve">Case Study: </w:t>
      </w:r>
      <w:r>
        <w:rPr>
          <w:rFonts w:ascii="Cambria" w:hAnsi="Cambria"/>
          <w:sz w:val="22"/>
        </w:rPr>
        <w:t>University College London (UK) – created an “SDG Institute” to conduct interdisciplinary research aligned with global sustainability agendas.</w:t>
      </w:r>
    </w:p>
    <w:p>
      <w:pPr>
        <w:spacing w:after="120"/>
        <w:jc w:val="both"/>
      </w:pPr>
      <w:r>
        <w:rPr>
          <w:rFonts w:ascii="Cambria" w:hAnsi="Cambria"/>
          <w:b/>
          <w:i w:val="0"/>
          <w:sz w:val="22"/>
        </w:rPr>
        <w:t>7. Monitoring and Evaluation</w:t>
      </w:r>
    </w:p>
    <w:p>
      <w:pPr>
        <w:pStyle w:val="ListBullet"/>
        <w:ind w:left="357"/>
        <w:jc w:val="both"/>
      </w:pPr>
      <w:r>
        <w:rPr>
          <w:rFonts w:ascii="Cambria" w:hAnsi="Cambria"/>
          <w:b/>
          <w:sz w:val="22"/>
        </w:rPr>
        <w:t xml:space="preserve">Recommendation: </w:t>
      </w:r>
      <w:r>
        <w:rPr>
          <w:rFonts w:ascii="Cambria" w:hAnsi="Cambria"/>
          <w:sz w:val="22"/>
        </w:rPr>
        <w:t>Establish SDG-4 monitoring cells, publish annual sustainability reports, and integrate SDGs into accreditation.</w:t>
      </w:r>
    </w:p>
    <w:p>
      <w:pPr>
        <w:pStyle w:val="ListBullet"/>
        <w:ind w:left="357"/>
        <w:jc w:val="both"/>
      </w:pPr>
      <w:r>
        <w:rPr>
          <w:rFonts w:ascii="Cambria" w:hAnsi="Cambria"/>
          <w:b/>
          <w:sz w:val="22"/>
        </w:rPr>
        <w:t xml:space="preserve">Global Best Practices: </w:t>
      </w:r>
      <w:r>
        <w:rPr>
          <w:rFonts w:ascii="Cambria" w:hAnsi="Cambria"/>
          <w:sz w:val="22"/>
        </w:rPr>
      </w:r>
    </w:p>
    <w:p>
      <w:pPr>
        <w:pStyle w:val="ListBullet2"/>
        <w:ind w:left="720"/>
        <w:jc w:val="both"/>
      </w:pPr>
      <w:r>
        <w:rPr>
          <w:rFonts w:ascii="Cambria" w:hAnsi="Cambria"/>
          <w:b/>
          <w:sz w:val="22"/>
        </w:rPr>
        <w:t xml:space="preserve">THE Impact Rankings: </w:t>
      </w:r>
      <w:r>
        <w:rPr>
          <w:rFonts w:ascii="Cambria" w:hAnsi="Cambria"/>
          <w:sz w:val="22"/>
        </w:rPr>
        <w:t>Evaluates global universities based on their contribution to SDGs.</w:t>
      </w:r>
    </w:p>
    <w:p>
      <w:pPr>
        <w:pStyle w:val="ListBullet2"/>
        <w:ind w:left="720"/>
        <w:jc w:val="both"/>
      </w:pPr>
      <w:r>
        <w:rPr>
          <w:rFonts w:ascii="Cambria" w:hAnsi="Cambria"/>
          <w:b/>
          <w:sz w:val="22"/>
        </w:rPr>
        <w:t xml:space="preserve">QS Sustainability Rankings: </w:t>
      </w:r>
      <w:r>
        <w:rPr>
          <w:rFonts w:ascii="Cambria" w:hAnsi="Cambria"/>
          <w:sz w:val="22"/>
        </w:rPr>
        <w:t>Focuses on environmental and social impact of HEIs.</w:t>
      </w:r>
    </w:p>
    <w:p>
      <w:pPr>
        <w:pStyle w:val="ListBullet2"/>
        <w:ind w:left="720"/>
        <w:jc w:val="both"/>
      </w:pPr>
      <w:r>
        <w:rPr>
          <w:rFonts w:ascii="Cambria" w:hAnsi="Cambria"/>
          <w:b/>
          <w:sz w:val="22"/>
        </w:rPr>
        <w:t xml:space="preserve">NAAC/NBA/AICTE (India): </w:t>
      </w:r>
      <w:r>
        <w:rPr>
          <w:rFonts w:ascii="Cambria" w:hAnsi="Cambria"/>
          <w:sz w:val="22"/>
        </w:rPr>
        <w:t>Encourages institutions to align internal quality assurance systems with SDG targets.</w:t>
      </w:r>
    </w:p>
    <w:p>
      <w:pPr>
        <w:pStyle w:val="ListBullet"/>
        <w:ind w:left="357"/>
        <w:jc w:val="both"/>
      </w:pPr>
      <w:r>
        <w:rPr>
          <w:rFonts w:ascii="Cambria" w:hAnsi="Cambria"/>
          <w:b/>
          <w:sz w:val="22"/>
        </w:rPr>
        <w:t xml:space="preserve">Case Study: </w:t>
      </w:r>
      <w:r>
        <w:rPr>
          <w:rFonts w:ascii="Cambria" w:hAnsi="Cambria"/>
          <w:sz w:val="22"/>
        </w:rPr>
        <w:t>University of Toronto (Canada) – publishes annual “Sustainability Progress Report,” directly linking institutional goals with SDGs, boosting its global ranking.</w:t>
      </w:r>
    </w:p>
    <w:p>
      <w:pPr>
        <w:spacing w:before="200" w:after="80"/>
        <w:jc w:val="left"/>
      </w:pPr>
      <w:r>
        <w:rPr>
          <w:rFonts w:ascii="Cambria" w:hAnsi="Cambria"/>
          <w:b/>
          <w:color w:val="1F3A5F"/>
          <w:sz w:val="25"/>
        </w:rPr>
        <w:t>Recommendation Matrix with KPIs for SDG-4</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left"/>
            </w:pPr>
            <w:r/>
            <w:r>
              <w:rPr>
                <w:rFonts w:ascii="Cambria" w:hAnsi="Cambria"/>
                <w:b/>
                <w:i w:val="0"/>
                <w:color w:val="FFFFFF"/>
                <w:sz w:val="22"/>
              </w:rPr>
              <w:t>Recommendation Area</w:t>
            </w:r>
          </w:p>
        </w:tc>
        <w:tc>
          <w:tcPr>
            <w:tcW w:type="dxa" w:w="2154"/>
            <w:shd w:val="clear" w:color="auto" w:fill="1F3A5F"/>
            <w:tcW w:w="2154" w:type="dxa"/>
          </w:tcPr>
          <w:p>
            <w:pPr>
              <w:jc w:val="left"/>
            </w:pPr>
            <w:r/>
            <w:r>
              <w:rPr>
                <w:rFonts w:ascii="Cambria" w:hAnsi="Cambria"/>
                <w:b/>
                <w:i w:val="0"/>
                <w:color w:val="FFFFFF"/>
                <w:sz w:val="22"/>
              </w:rPr>
              <w:t>Proposed Actions for HEIs</w:t>
            </w:r>
          </w:p>
        </w:tc>
        <w:tc>
          <w:tcPr>
            <w:tcW w:type="dxa" w:w="1814"/>
            <w:shd w:val="clear" w:color="auto" w:fill="1F3A5F"/>
            <w:tcW w:w="1814" w:type="dxa"/>
          </w:tcPr>
          <w:p>
            <w:pPr>
              <w:jc w:val="left"/>
            </w:pPr>
            <w:r/>
            <w:r>
              <w:rPr>
                <w:rFonts w:ascii="Cambria" w:hAnsi="Cambria"/>
                <w:b/>
                <w:i w:val="0"/>
                <w:color w:val="FFFFFF"/>
                <w:sz w:val="22"/>
              </w:rPr>
              <w:t>Expected Results/Impact</w:t>
            </w:r>
          </w:p>
        </w:tc>
        <w:tc>
          <w:tcPr>
            <w:tcW w:type="dxa" w:w="1928"/>
            <w:shd w:val="clear" w:color="auto" w:fill="1F3A5F"/>
            <w:tcW w:w="1927" w:type="dxa"/>
          </w:tcPr>
          <w:p>
            <w:pPr>
              <w:jc w:val="left"/>
            </w:pPr>
            <w:r/>
            <w:r>
              <w:rPr>
                <w:rFonts w:ascii="Cambria" w:hAnsi="Cambria"/>
                <w:b/>
                <w:i w:val="0"/>
                <w:color w:val="FFFFFF"/>
                <w:sz w:val="22"/>
              </w:rPr>
              <w:t>Supporting Best Practices / Case Studies</w:t>
            </w:r>
          </w:p>
        </w:tc>
        <w:tc>
          <w:tcPr>
            <w:tcW w:type="dxa" w:w="2041"/>
            <w:shd w:val="clear" w:color="auto" w:fill="1F3A5F"/>
            <w:tcW w:w="2041" w:type="dxa"/>
          </w:tcPr>
          <w:p>
            <w:pPr>
              <w:jc w:val="left"/>
            </w:pPr>
            <w:r/>
            <w:r>
              <w:rPr>
                <w:rFonts w:ascii="Cambria" w:hAnsi="Cambria"/>
                <w:b/>
                <w:i w:val="0"/>
                <w:color w:val="FFFFFF"/>
                <w:sz w:val="22"/>
              </w:rPr>
              <w:t>Key Performance Indicators (KPIs)</w:t>
            </w:r>
          </w:p>
        </w:tc>
      </w:tr>
      <w:tr>
        <w:tc>
          <w:tcPr>
            <w:tcW w:type="dxa" w:w="1474"/>
            <w:tcW w:w="1474" w:type="dxa"/>
          </w:tcPr>
          <w:p>
            <w:pPr>
              <w:jc w:val="left"/>
            </w:pPr>
            <w:r/>
            <w:r>
              <w:rPr>
                <w:rFonts w:ascii="Cambria" w:hAnsi="Cambria"/>
                <w:b w:val="0"/>
                <w:i w:val="0"/>
                <w:sz w:val="22"/>
              </w:rPr>
              <w:t>Curriculum Integration</w:t>
            </w:r>
          </w:p>
        </w:tc>
        <w:tc>
          <w:tcPr>
            <w:tcW w:type="dxa" w:w="2154"/>
            <w:tcW w:w="2154" w:type="dxa"/>
          </w:tcPr>
          <w:p>
            <w:pPr>
              <w:jc w:val="left"/>
            </w:pPr>
            <w:r/>
            <w:r>
              <w:rPr>
                <w:rFonts w:ascii="Cambria" w:hAnsi="Cambria"/>
                <w:b w:val="0"/>
                <w:i w:val="0"/>
                <w:sz w:val="22"/>
              </w:rPr>
              <w:t>Introduce SDG-based majors, minors, diplomas, electives; Embed sustainability, ethics, and global citizenship into curricula; Promote interdisciplinary programs</w:t>
            </w:r>
          </w:p>
        </w:tc>
        <w:tc>
          <w:tcPr>
            <w:tcW w:type="dxa" w:w="1814"/>
            <w:tcW w:w="1814" w:type="dxa"/>
          </w:tcPr>
          <w:p>
            <w:pPr>
              <w:jc w:val="left"/>
            </w:pPr>
            <w:r/>
            <w:r>
              <w:rPr>
                <w:rFonts w:ascii="Cambria" w:hAnsi="Cambria"/>
                <w:b w:val="0"/>
                <w:i w:val="0"/>
                <w:sz w:val="22"/>
              </w:rPr>
              <w:t>Graduates equipped with SDG knowledge; Improved interdisciplinary skills; Enhanced employability</w:t>
            </w:r>
          </w:p>
        </w:tc>
        <w:tc>
          <w:tcPr>
            <w:tcW w:type="dxa" w:w="1928"/>
            <w:tcW w:w="1927" w:type="dxa"/>
          </w:tcPr>
          <w:p>
            <w:pPr>
              <w:jc w:val="left"/>
            </w:pPr>
            <w:r/>
            <w:r>
              <w:rPr>
                <w:rFonts w:ascii="Cambria" w:hAnsi="Cambria"/>
                <w:b w:val="0"/>
                <w:i w:val="0"/>
                <w:sz w:val="22"/>
              </w:rPr>
              <w:t>UNESCO ESD Framework; Erasmus+ (EU): Joint curricula; NEP 2020 (India): Multidisciplinary curriculum</w:t>
            </w:r>
          </w:p>
        </w:tc>
        <w:tc>
          <w:tcPr>
            <w:tcW w:type="dxa" w:w="2041"/>
            <w:tcW w:w="2041" w:type="dxa"/>
          </w:tcPr>
          <w:p>
            <w:pPr>
              <w:jc w:val="left"/>
            </w:pPr>
            <w:r/>
            <w:r>
              <w:rPr>
                <w:rFonts w:ascii="Cambria" w:hAnsi="Cambria"/>
                <w:b w:val="0"/>
                <w:i w:val="0"/>
                <w:sz w:val="22"/>
              </w:rPr>
              <w:t>% of courses aligned with SDGs; Number of new SDG-focused programs introduced; Student enrolment in SDG-related courses (%)</w:t>
            </w:r>
          </w:p>
        </w:tc>
      </w:tr>
      <w:tr>
        <w:tc>
          <w:tcPr>
            <w:tcW w:type="dxa" w:w="1474"/>
            <w:tcW w:w="1474" w:type="dxa"/>
            <w:shd w:val="clear" w:color="auto" w:fill="DCE6F1"/>
          </w:tcPr>
          <w:p>
            <w:pPr>
              <w:jc w:val="left"/>
            </w:pPr>
            <w:r/>
            <w:r>
              <w:rPr>
                <w:rFonts w:ascii="Cambria" w:hAnsi="Cambria"/>
                <w:b w:val="0"/>
                <w:i w:val="0"/>
                <w:sz w:val="22"/>
              </w:rPr>
              <w:t>Awareness &amp; Engagement</w:t>
            </w:r>
          </w:p>
        </w:tc>
        <w:tc>
          <w:tcPr>
            <w:tcW w:type="dxa" w:w="2154"/>
            <w:tcW w:w="2154" w:type="dxa"/>
            <w:shd w:val="clear" w:color="auto" w:fill="DCE6F1"/>
          </w:tcPr>
          <w:p>
            <w:pPr>
              <w:jc w:val="left"/>
            </w:pPr>
            <w:r/>
            <w:r>
              <w:rPr>
                <w:rFonts w:ascii="Cambria" w:hAnsi="Cambria"/>
                <w:b w:val="0"/>
                <w:i w:val="0"/>
                <w:sz w:val="22"/>
              </w:rPr>
              <w:t>Organize seminars, workshops, awareness drives; Establish SDG student clubs; Launch MOOCs and OERs</w:t>
            </w:r>
          </w:p>
        </w:tc>
        <w:tc>
          <w:tcPr>
            <w:tcW w:type="dxa" w:w="1814"/>
            <w:tcW w:w="1814" w:type="dxa"/>
            <w:shd w:val="clear" w:color="auto" w:fill="DCE6F1"/>
          </w:tcPr>
          <w:p>
            <w:pPr>
              <w:jc w:val="left"/>
            </w:pPr>
            <w:r/>
            <w:r>
              <w:rPr>
                <w:rFonts w:ascii="Cambria" w:hAnsi="Cambria"/>
                <w:b w:val="0"/>
                <w:i w:val="0"/>
                <w:sz w:val="22"/>
              </w:rPr>
              <w:t>Increased student participation in SDG projects; Enhanced community linkages; Institutional recognition in sustainability</w:t>
            </w:r>
          </w:p>
        </w:tc>
        <w:tc>
          <w:tcPr>
            <w:tcW w:type="dxa" w:w="1928"/>
            <w:tcW w:w="1927" w:type="dxa"/>
            <w:shd w:val="clear" w:color="auto" w:fill="DCE6F1"/>
          </w:tcPr>
          <w:p>
            <w:pPr>
              <w:jc w:val="left"/>
            </w:pPr>
            <w:r/>
            <w:r>
              <w:rPr>
                <w:rFonts w:ascii="Cambria" w:hAnsi="Cambria"/>
                <w:b w:val="0"/>
                <w:i w:val="0"/>
                <w:sz w:val="22"/>
              </w:rPr>
              <w:t>UNESCO SDG Schools Programme; Coursera/edX SDG MOOCs; UCT (South Africa): SDG Hub</w:t>
            </w:r>
          </w:p>
        </w:tc>
        <w:tc>
          <w:tcPr>
            <w:tcW w:type="dxa" w:w="2041"/>
            <w:tcW w:w="2041" w:type="dxa"/>
            <w:shd w:val="clear" w:color="auto" w:fill="DCE6F1"/>
          </w:tcPr>
          <w:p>
            <w:pPr>
              <w:jc w:val="left"/>
            </w:pPr>
            <w:r/>
            <w:r>
              <w:rPr>
                <w:rFonts w:ascii="Cambria" w:hAnsi="Cambria"/>
                <w:b w:val="0"/>
                <w:i w:val="0"/>
                <w:sz w:val="22"/>
              </w:rPr>
              <w:t>Number of SDG-related events annually; % of student participation in clubs/outreach; Number of MOOCs/OERs launched</w:t>
            </w:r>
          </w:p>
        </w:tc>
      </w:tr>
      <w:tr>
        <w:tc>
          <w:tcPr>
            <w:tcW w:type="dxa" w:w="1474"/>
            <w:tcW w:w="1474" w:type="dxa"/>
          </w:tcPr>
          <w:p>
            <w:pPr>
              <w:jc w:val="left"/>
            </w:pPr>
            <w:r/>
            <w:r>
              <w:rPr>
                <w:rFonts w:ascii="Cambria" w:hAnsi="Cambria"/>
                <w:b w:val="0"/>
                <w:i w:val="0"/>
                <w:sz w:val="22"/>
              </w:rPr>
              <w:t>Faculty Development &amp; Training</w:t>
            </w:r>
          </w:p>
        </w:tc>
        <w:tc>
          <w:tcPr>
            <w:tcW w:type="dxa" w:w="2154"/>
            <w:tcW w:w="2154" w:type="dxa"/>
          </w:tcPr>
          <w:p>
            <w:pPr>
              <w:jc w:val="left"/>
            </w:pPr>
            <w:r/>
            <w:r>
              <w:rPr>
                <w:rFonts w:ascii="Cambria" w:hAnsi="Cambria"/>
                <w:b w:val="0"/>
                <w:i w:val="0"/>
                <w:sz w:val="22"/>
              </w:rPr>
              <w:t>Train faculty in SDG pedagogy &amp; blended learning; Initiate teacher-exchange programs; Incentivize professional development</w:t>
            </w:r>
          </w:p>
        </w:tc>
        <w:tc>
          <w:tcPr>
            <w:tcW w:type="dxa" w:w="1814"/>
            <w:tcW w:w="1814" w:type="dxa"/>
          </w:tcPr>
          <w:p>
            <w:pPr>
              <w:jc w:val="left"/>
            </w:pPr>
            <w:r/>
            <w:r>
              <w:rPr>
                <w:rFonts w:ascii="Cambria" w:hAnsi="Cambria"/>
                <w:b w:val="0"/>
                <w:i w:val="0"/>
                <w:sz w:val="22"/>
              </w:rPr>
              <w:t>Skilled faculty in sustainability education; Better teaching outcomes; Adoption of global best practices</w:t>
            </w:r>
          </w:p>
        </w:tc>
        <w:tc>
          <w:tcPr>
            <w:tcW w:type="dxa" w:w="1928"/>
            <w:tcW w:w="1927" w:type="dxa"/>
          </w:tcPr>
          <w:p>
            <w:pPr>
              <w:jc w:val="left"/>
            </w:pPr>
            <w:r/>
            <w:r>
              <w:rPr>
                <w:rFonts w:ascii="Cambria" w:hAnsi="Cambria"/>
                <w:b w:val="0"/>
                <w:i w:val="0"/>
                <w:sz w:val="22"/>
              </w:rPr>
              <w:t>UNESCO Teacher Task Force; TeachSDGs Ambassadors; University of Melbourne Fellowship</w:t>
            </w:r>
          </w:p>
        </w:tc>
        <w:tc>
          <w:tcPr>
            <w:tcW w:type="dxa" w:w="2041"/>
            <w:tcW w:w="2041" w:type="dxa"/>
          </w:tcPr>
          <w:p>
            <w:pPr>
              <w:jc w:val="left"/>
            </w:pPr>
            <w:r/>
            <w:r>
              <w:rPr>
                <w:rFonts w:ascii="Cambria" w:hAnsi="Cambria"/>
                <w:b w:val="0"/>
                <w:i w:val="0"/>
                <w:sz w:val="22"/>
              </w:rPr>
              <w:t>% of faculty trained in SDG pedagogy; Number of faculty exchanges/year; Avg. annual training hours per faculty</w:t>
            </w:r>
          </w:p>
        </w:tc>
      </w:tr>
      <w:tr>
        <w:tc>
          <w:tcPr>
            <w:tcW w:type="dxa" w:w="1474"/>
            <w:tcW w:w="1474" w:type="dxa"/>
            <w:shd w:val="clear" w:color="auto" w:fill="DCE6F1"/>
          </w:tcPr>
          <w:p>
            <w:pPr>
              <w:jc w:val="left"/>
            </w:pPr>
            <w:r/>
            <w:r>
              <w:rPr>
                <w:rFonts w:ascii="Cambria" w:hAnsi="Cambria"/>
                <w:b w:val="0"/>
                <w:i w:val="0"/>
                <w:sz w:val="22"/>
              </w:rPr>
              <w:t>Inclusive &amp; Equitable Access</w:t>
            </w:r>
          </w:p>
        </w:tc>
        <w:tc>
          <w:tcPr>
            <w:tcW w:type="dxa" w:w="2154"/>
            <w:tcW w:w="2154" w:type="dxa"/>
            <w:shd w:val="clear" w:color="auto" w:fill="DCE6F1"/>
          </w:tcPr>
          <w:p>
            <w:pPr>
              <w:jc w:val="left"/>
            </w:pPr>
            <w:r/>
            <w:r>
              <w:rPr>
                <w:rFonts w:ascii="Cambria" w:hAnsi="Cambria"/>
                <w:b w:val="0"/>
                <w:i w:val="0"/>
                <w:sz w:val="22"/>
              </w:rPr>
              <w:t>Scholarships for marginalized groups; Assistive tech and infrastructure; Women in STEM mentoring and funding</w:t>
            </w:r>
          </w:p>
        </w:tc>
        <w:tc>
          <w:tcPr>
            <w:tcW w:type="dxa" w:w="1814"/>
            <w:tcW w:w="1814" w:type="dxa"/>
            <w:shd w:val="clear" w:color="auto" w:fill="DCE6F1"/>
          </w:tcPr>
          <w:p>
            <w:pPr>
              <w:jc w:val="left"/>
            </w:pPr>
            <w:r/>
            <w:r>
              <w:rPr>
                <w:rFonts w:ascii="Cambria" w:hAnsi="Cambria"/>
                <w:b w:val="0"/>
                <w:i w:val="0"/>
                <w:sz w:val="22"/>
              </w:rPr>
              <w:t>Higher enrolment of disadvantaged groups; Reduced gender gap; Inclusive campus environment</w:t>
            </w:r>
          </w:p>
        </w:tc>
        <w:tc>
          <w:tcPr>
            <w:tcW w:type="dxa" w:w="1928"/>
            <w:tcW w:w="1927" w:type="dxa"/>
            <w:shd w:val="clear" w:color="auto" w:fill="DCE6F1"/>
          </w:tcPr>
          <w:p>
            <w:pPr>
              <w:jc w:val="left"/>
            </w:pPr>
            <w:r/>
            <w:r>
              <w:rPr>
                <w:rFonts w:ascii="Cambria" w:hAnsi="Cambria"/>
                <w:b w:val="0"/>
                <w:i w:val="0"/>
                <w:sz w:val="22"/>
              </w:rPr>
              <w:t>UNICEF Inclusive Education; Erasmus+ Inclusion Strategy; MIT Women in STEM</w:t>
            </w:r>
          </w:p>
        </w:tc>
        <w:tc>
          <w:tcPr>
            <w:tcW w:type="dxa" w:w="2041"/>
            <w:tcW w:w="2041" w:type="dxa"/>
            <w:shd w:val="clear" w:color="auto" w:fill="DCE6F1"/>
          </w:tcPr>
          <w:p>
            <w:pPr>
              <w:jc w:val="left"/>
            </w:pPr>
            <w:r/>
            <w:r>
              <w:rPr>
                <w:rFonts w:ascii="Cambria" w:hAnsi="Cambria"/>
                <w:b w:val="0"/>
                <w:i w:val="0"/>
                <w:sz w:val="22"/>
              </w:rPr>
              <w:t>Gross Enrolment Ratio (GER) of disadvantaged groups (%); Gender Parity Index (GPI) in STEM; % of students with disabilities supported</w:t>
            </w:r>
          </w:p>
        </w:tc>
      </w:tr>
      <w:tr>
        <w:tc>
          <w:tcPr>
            <w:tcW w:type="dxa" w:w="1474"/>
            <w:tcW w:w="1474" w:type="dxa"/>
          </w:tcPr>
          <w:p>
            <w:pPr>
              <w:jc w:val="left"/>
            </w:pPr>
            <w:r/>
            <w:r>
              <w:rPr>
                <w:rFonts w:ascii="Cambria" w:hAnsi="Cambria"/>
                <w:b w:val="0"/>
                <w:i w:val="0"/>
                <w:sz w:val="22"/>
              </w:rPr>
              <w:t>Digital Transformation &amp; Lifelong Learning</w:t>
            </w:r>
          </w:p>
        </w:tc>
        <w:tc>
          <w:tcPr>
            <w:tcW w:type="dxa" w:w="2154"/>
            <w:tcW w:w="2154" w:type="dxa"/>
          </w:tcPr>
          <w:p>
            <w:pPr>
              <w:jc w:val="left"/>
            </w:pPr>
            <w:r/>
            <w:r>
              <w:rPr>
                <w:rFonts w:ascii="Cambria" w:hAnsi="Cambria"/>
                <w:b w:val="0"/>
                <w:i w:val="0"/>
                <w:sz w:val="22"/>
              </w:rPr>
              <w:t>Establish e-learning platforms &amp; digital libraries; Adult literacy &amp; reskilling programs; Continuing education centers</w:t>
            </w:r>
          </w:p>
        </w:tc>
        <w:tc>
          <w:tcPr>
            <w:tcW w:type="dxa" w:w="1814"/>
            <w:tcW w:w="1814" w:type="dxa"/>
          </w:tcPr>
          <w:p>
            <w:pPr>
              <w:jc w:val="left"/>
            </w:pPr>
            <w:r/>
            <w:r>
              <w:rPr>
                <w:rFonts w:ascii="Cambria" w:hAnsi="Cambria"/>
                <w:b w:val="0"/>
                <w:i w:val="0"/>
                <w:sz w:val="22"/>
              </w:rPr>
              <w:t>Increased ICT literacy; Wider access to flexible education; Lifelong learning embedded in HEIs</w:t>
            </w:r>
          </w:p>
        </w:tc>
        <w:tc>
          <w:tcPr>
            <w:tcW w:type="dxa" w:w="1928"/>
            <w:tcW w:w="1927" w:type="dxa"/>
          </w:tcPr>
          <w:p>
            <w:pPr>
              <w:jc w:val="left"/>
            </w:pPr>
            <w:r/>
            <w:r>
              <w:rPr>
                <w:rFonts w:ascii="Cambria" w:hAnsi="Cambria"/>
                <w:b w:val="0"/>
                <w:i w:val="0"/>
                <w:sz w:val="22"/>
              </w:rPr>
              <w:t>UNESCO Global Education Coalition; EU Digital Education Plan; SWAYAM (India)</w:t>
            </w:r>
          </w:p>
        </w:tc>
        <w:tc>
          <w:tcPr>
            <w:tcW w:type="dxa" w:w="2041"/>
            <w:tcW w:w="2041" w:type="dxa"/>
          </w:tcPr>
          <w:p>
            <w:pPr>
              <w:jc w:val="left"/>
            </w:pPr>
            <w:r/>
            <w:r>
              <w:rPr>
                <w:rFonts w:ascii="Cambria" w:hAnsi="Cambria"/>
                <w:b w:val="0"/>
                <w:i w:val="0"/>
                <w:sz w:val="22"/>
              </w:rPr>
              <w:t>% of courses delivered online; Number of adult learners enrolled; ICT literacy rate among students/adults (%)</w:t>
            </w:r>
          </w:p>
        </w:tc>
      </w:tr>
      <w:tr>
        <w:tc>
          <w:tcPr>
            <w:tcW w:type="dxa" w:w="1474"/>
            <w:tcW w:w="1474" w:type="dxa"/>
            <w:shd w:val="clear" w:color="auto" w:fill="DCE6F1"/>
          </w:tcPr>
          <w:p>
            <w:pPr>
              <w:jc w:val="left"/>
            </w:pPr>
            <w:r/>
            <w:r>
              <w:rPr>
                <w:rFonts w:ascii="Cambria" w:hAnsi="Cambria"/>
                <w:b w:val="0"/>
                <w:i w:val="0"/>
                <w:sz w:val="22"/>
              </w:rPr>
              <w:t>Research, Innovation &amp; Partnerships</w:t>
            </w:r>
          </w:p>
        </w:tc>
        <w:tc>
          <w:tcPr>
            <w:tcW w:type="dxa" w:w="2154"/>
            <w:tcW w:w="2154" w:type="dxa"/>
            <w:shd w:val="clear" w:color="auto" w:fill="DCE6F1"/>
          </w:tcPr>
          <w:p>
            <w:pPr>
              <w:jc w:val="left"/>
            </w:pPr>
            <w:r/>
            <w:r>
              <w:rPr>
                <w:rFonts w:ascii="Cambria" w:hAnsi="Cambria"/>
                <w:b w:val="0"/>
                <w:i w:val="0"/>
                <w:sz w:val="22"/>
              </w:rPr>
              <w:t>Support SDG-related research projects; Build industry/NGO/global HEI partnerships; Encourage interdisciplinary research</w:t>
            </w:r>
          </w:p>
        </w:tc>
        <w:tc>
          <w:tcPr>
            <w:tcW w:type="dxa" w:w="1814"/>
            <w:tcW w:w="1814" w:type="dxa"/>
            <w:shd w:val="clear" w:color="auto" w:fill="DCE6F1"/>
          </w:tcPr>
          <w:p>
            <w:pPr>
              <w:jc w:val="left"/>
            </w:pPr>
            <w:r/>
            <w:r>
              <w:rPr>
                <w:rFonts w:ascii="Cambria" w:hAnsi="Cambria"/>
                <w:b w:val="0"/>
                <w:i w:val="0"/>
                <w:sz w:val="22"/>
              </w:rPr>
              <w:t>Stronger industry-academia linkages; Evidence-based education reforms; Global collaboration in sustainability</w:t>
            </w:r>
          </w:p>
        </w:tc>
        <w:tc>
          <w:tcPr>
            <w:tcW w:type="dxa" w:w="1928"/>
            <w:tcW w:w="1927" w:type="dxa"/>
            <w:shd w:val="clear" w:color="auto" w:fill="DCE6F1"/>
          </w:tcPr>
          <w:p>
            <w:pPr>
              <w:jc w:val="left"/>
            </w:pPr>
            <w:r/>
            <w:r>
              <w:rPr>
                <w:rFonts w:ascii="Cambria" w:hAnsi="Cambria"/>
                <w:b w:val="0"/>
                <w:i w:val="0"/>
                <w:sz w:val="22"/>
              </w:rPr>
              <w:t>UNESCO Chairs Programme; Horizon Europe (EU); UCL SDG Institute (UK)</w:t>
            </w:r>
          </w:p>
        </w:tc>
        <w:tc>
          <w:tcPr>
            <w:tcW w:type="dxa" w:w="2041"/>
            <w:tcW w:w="2041" w:type="dxa"/>
            <w:shd w:val="clear" w:color="auto" w:fill="DCE6F1"/>
          </w:tcPr>
          <w:p>
            <w:pPr>
              <w:jc w:val="left"/>
            </w:pPr>
            <w:r/>
            <w:r>
              <w:rPr>
                <w:rFonts w:ascii="Cambria" w:hAnsi="Cambria"/>
                <w:b w:val="0"/>
                <w:i w:val="0"/>
                <w:sz w:val="22"/>
              </w:rPr>
              <w:t>Number of SDG-related research publications; Research funding secured (₹/$); Number of active MoUs with partners</w:t>
            </w:r>
          </w:p>
        </w:tc>
      </w:tr>
      <w:tr>
        <w:tc>
          <w:tcPr>
            <w:tcW w:type="dxa" w:w="1474"/>
            <w:tcW w:w="1474" w:type="dxa"/>
          </w:tcPr>
          <w:p>
            <w:pPr>
              <w:jc w:val="left"/>
            </w:pPr>
            <w:r/>
            <w:r>
              <w:rPr>
                <w:rFonts w:ascii="Cambria" w:hAnsi="Cambria"/>
                <w:b w:val="0"/>
                <w:i w:val="0"/>
                <w:sz w:val="22"/>
              </w:rPr>
              <w:t>Monitoring &amp; Evaluation</w:t>
            </w:r>
          </w:p>
        </w:tc>
        <w:tc>
          <w:tcPr>
            <w:tcW w:type="dxa" w:w="2154"/>
            <w:tcW w:w="2154" w:type="dxa"/>
          </w:tcPr>
          <w:p>
            <w:pPr>
              <w:jc w:val="left"/>
            </w:pPr>
            <w:r/>
            <w:r>
              <w:rPr>
                <w:rFonts w:ascii="Cambria" w:hAnsi="Cambria"/>
                <w:b w:val="0"/>
                <w:i w:val="0"/>
                <w:sz w:val="22"/>
              </w:rPr>
              <w:t>Establish SDG monitoring cells; Publish annual sustainability reports; Link accreditation metrics with SDG indicators</w:t>
            </w:r>
          </w:p>
        </w:tc>
        <w:tc>
          <w:tcPr>
            <w:tcW w:type="dxa" w:w="1814"/>
            <w:tcW w:w="1814" w:type="dxa"/>
          </w:tcPr>
          <w:p>
            <w:pPr>
              <w:jc w:val="left"/>
            </w:pPr>
            <w:r/>
            <w:r>
              <w:rPr>
                <w:rFonts w:ascii="Cambria" w:hAnsi="Cambria"/>
                <w:b w:val="0"/>
                <w:i w:val="0"/>
                <w:sz w:val="22"/>
              </w:rPr>
              <w:t>Transparent accountability; Improved rankings (NAAC, NBA, NIRF, QS); Continuous improvement cycle</w:t>
            </w:r>
          </w:p>
        </w:tc>
        <w:tc>
          <w:tcPr>
            <w:tcW w:type="dxa" w:w="1928"/>
            <w:tcW w:w="1927" w:type="dxa"/>
          </w:tcPr>
          <w:p>
            <w:pPr>
              <w:jc w:val="left"/>
            </w:pPr>
            <w:r/>
            <w:r>
              <w:rPr>
                <w:rFonts w:ascii="Cambria" w:hAnsi="Cambria"/>
                <w:b w:val="0"/>
                <w:i w:val="0"/>
                <w:sz w:val="22"/>
              </w:rPr>
              <w:t>THE Impact Rankings; QS Sustainability Rankings; University of Toronto SDG Report</w:t>
            </w:r>
          </w:p>
        </w:tc>
        <w:tc>
          <w:tcPr>
            <w:tcW w:type="dxa" w:w="2041"/>
            <w:tcW w:w="2041" w:type="dxa"/>
          </w:tcPr>
          <w:p>
            <w:pPr>
              <w:jc w:val="left"/>
            </w:pPr>
            <w:r/>
            <w:r>
              <w:rPr>
                <w:rFonts w:ascii="Cambria" w:hAnsi="Cambria"/>
                <w:b w:val="0"/>
                <w:i w:val="0"/>
                <w:sz w:val="22"/>
              </w:rPr>
              <w:t>Annual SDG-4 progress report (Yes/No); % of accreditation metrics aligned with SDG-4; Year-on-year improvement in NAAC/NIRF/QS scores</w:t>
            </w:r>
          </w:p>
        </w:tc>
      </w:tr>
    </w:tbl>
    <w:p>
      <w:pPr>
        <w:spacing w:before="200" w:after="80"/>
        <w:jc w:val="left"/>
      </w:pPr>
      <w:r>
        <w:rPr>
          <w:rFonts w:ascii="Cambria" w:hAnsi="Cambria"/>
          <w:b/>
          <w:color w:val="1F3A5F"/>
          <w:sz w:val="25"/>
        </w:rPr>
        <w:t>Compliance-Ready Checklist for SDG-4: Quality Education</w:t>
      </w:r>
    </w:p>
    <w:tbl>
      <w:tblPr>
        <w:tblW w:type="auto" w:w="0"/>
        <w:jc w:val="center"/>
        <w:tblLook w:firstColumn="1" w:firstRow="1" w:lastColumn="0" w:lastRow="0" w:noHBand="0" w:noVBand="1" w:val="04A0"/>
        <w:tblLayout w:type="fixed"/>
      </w:tblPr>
      <w:tblGrid>
        <w:gridCol w:w="3137"/>
        <w:gridCol w:w="3137"/>
        <w:gridCol w:w="3137"/>
      </w:tblGrid>
      <w:tr>
        <w:tc>
          <w:tcPr>
            <w:tcW w:type="dxa" w:w="1814"/>
            <w:shd w:val="clear" w:color="auto" w:fill="1F3A5F"/>
            <w:tcW w:w="1814" w:type="dxa"/>
          </w:tcPr>
          <w:p>
            <w:pPr>
              <w:jc w:val="left"/>
            </w:pPr>
            <w:r/>
            <w:r>
              <w:rPr>
                <w:rFonts w:ascii="Cambria" w:hAnsi="Cambria"/>
                <w:b/>
                <w:i w:val="0"/>
                <w:color w:val="FFFFFF"/>
                <w:sz w:val="22"/>
              </w:rPr>
              <w:t>Recommendation Area</w:t>
            </w:r>
          </w:p>
        </w:tc>
        <w:tc>
          <w:tcPr>
            <w:tcW w:type="dxa" w:w="3628"/>
            <w:shd w:val="clear" w:color="auto" w:fill="1F3A5F"/>
            <w:tcW w:w="3628" w:type="dxa"/>
          </w:tcPr>
          <w:p>
            <w:pPr>
              <w:jc w:val="left"/>
            </w:pPr>
            <w:r/>
            <w:r>
              <w:rPr>
                <w:rFonts w:ascii="Cambria" w:hAnsi="Cambria"/>
                <w:b/>
                <w:i w:val="0"/>
                <w:color w:val="FFFFFF"/>
                <w:sz w:val="22"/>
              </w:rPr>
              <w:t>Compliance Requirements for Accreditation</w:t>
            </w:r>
          </w:p>
        </w:tc>
        <w:tc>
          <w:tcPr>
            <w:tcW w:type="dxa" w:w="3969"/>
            <w:shd w:val="clear" w:color="auto" w:fill="1F3A5F"/>
            <w:tcW w:w="3969" w:type="dxa"/>
          </w:tcPr>
          <w:p>
            <w:pPr>
              <w:jc w:val="left"/>
            </w:pPr>
            <w:r/>
            <w:r>
              <w:rPr>
                <w:rFonts w:ascii="Cambria" w:hAnsi="Cambria"/>
                <w:b/>
                <w:i w:val="0"/>
                <w:color w:val="FFFFFF"/>
                <w:sz w:val="22"/>
              </w:rPr>
              <w:t>Checklist for HEIs</w:t>
            </w:r>
          </w:p>
        </w:tc>
      </w:tr>
      <w:tr>
        <w:tc>
          <w:tcPr>
            <w:tcW w:type="dxa" w:w="1814"/>
            <w:tcW w:w="1814" w:type="dxa"/>
          </w:tcPr>
          <w:p>
            <w:pPr>
              <w:jc w:val="left"/>
            </w:pPr>
            <w:r/>
            <w:r>
              <w:rPr>
                <w:rFonts w:ascii="Cambria" w:hAnsi="Cambria"/>
                <w:b w:val="0"/>
                <w:i w:val="0"/>
                <w:sz w:val="22"/>
              </w:rPr>
              <w:t>Curriculum Integration</w:t>
            </w:r>
          </w:p>
        </w:tc>
        <w:tc>
          <w:tcPr>
            <w:tcW w:type="dxa" w:w="3628"/>
            <w:tcW w:w="3628" w:type="dxa"/>
          </w:tcPr>
          <w:p>
            <w:pPr>
              <w:jc w:val="left"/>
            </w:pPr>
            <w:r/>
            <w:r>
              <w:rPr>
                <w:rFonts w:ascii="Cambria" w:hAnsi="Cambria"/>
                <w:b w:val="0"/>
                <w:i w:val="0"/>
                <w:sz w:val="22"/>
              </w:rPr>
              <w:t>NAAC: Criterion I (Curricular Aspects) – curriculum design, cross-cutting issues; NBA: PEO–PO–PSO mapping, sustainability in curriculum; NIRF: Teaching, Learning &amp; Resources (TLR) score; QS I-GAUGE: Teaching &amp; Learning (TL)</w:t>
            </w:r>
          </w:p>
        </w:tc>
        <w:tc>
          <w:tcPr>
            <w:tcW w:type="dxa" w:w="3969"/>
            <w:tcW w:w="3969" w:type="dxa"/>
          </w:tcPr>
          <w:p>
            <w:pPr>
              <w:jc w:val="left"/>
            </w:pPr>
            <w:r/>
            <w:r>
              <w:rPr>
                <w:rFonts w:ascii="Cambria" w:hAnsi="Cambria"/>
                <w:b w:val="0"/>
                <w:i w:val="0"/>
                <w:sz w:val="22"/>
              </w:rPr>
              <w:t>Have we introduced SDG-related courses, majors, or electives? Are sustainability and ethics embedded in all programs? Is there documented evidence of interdisciplinary curriculum design?</w:t>
            </w:r>
          </w:p>
        </w:tc>
      </w:tr>
      <w:tr>
        <w:tc>
          <w:tcPr>
            <w:tcW w:type="dxa" w:w="1814"/>
            <w:tcW w:w="1814" w:type="dxa"/>
            <w:shd w:val="clear" w:color="auto" w:fill="DCE6F1"/>
          </w:tcPr>
          <w:p>
            <w:pPr>
              <w:jc w:val="left"/>
            </w:pPr>
            <w:r/>
            <w:r>
              <w:rPr>
                <w:rFonts w:ascii="Cambria" w:hAnsi="Cambria"/>
                <w:b w:val="0"/>
                <w:i w:val="0"/>
                <w:sz w:val="22"/>
              </w:rPr>
              <w:t>Awareness &amp; Engagement</w:t>
            </w:r>
          </w:p>
        </w:tc>
        <w:tc>
          <w:tcPr>
            <w:tcW w:type="dxa" w:w="3628"/>
            <w:tcW w:w="3628" w:type="dxa"/>
            <w:shd w:val="clear" w:color="auto" w:fill="DCE6F1"/>
          </w:tcPr>
          <w:p>
            <w:pPr>
              <w:jc w:val="left"/>
            </w:pPr>
            <w:r/>
            <w:r>
              <w:rPr>
                <w:rFonts w:ascii="Cambria" w:hAnsi="Cambria"/>
                <w:b w:val="0"/>
                <w:i w:val="0"/>
                <w:sz w:val="22"/>
              </w:rPr>
              <w:t>NAAC: Criterion V (Student Support &amp; Progression) – student participation; NBA: Extension &amp; Co-curricular activities; NIRF: Outreach &amp; Inclusivity (OI) score; QS I-GAUGE: Employability (EP), Faculty Competence (FC)</w:t>
            </w:r>
          </w:p>
        </w:tc>
        <w:tc>
          <w:tcPr>
            <w:tcW w:type="dxa" w:w="3969"/>
            <w:tcW w:w="3969" w:type="dxa"/>
            <w:shd w:val="clear" w:color="auto" w:fill="DCE6F1"/>
          </w:tcPr>
          <w:p>
            <w:pPr>
              <w:jc w:val="left"/>
            </w:pPr>
            <w:r/>
            <w:r>
              <w:rPr>
                <w:rFonts w:ascii="Cambria" w:hAnsi="Cambria"/>
                <w:b w:val="0"/>
                <w:i w:val="0"/>
                <w:sz w:val="22"/>
              </w:rPr>
              <w:t>Have we conducted SDG workshops/seminars in the last academic year? Do student-led SDG clubs/projects exist and maintain records? Are MOOCs or OERs developed on SDG-related themes?</w:t>
            </w:r>
          </w:p>
        </w:tc>
      </w:tr>
      <w:tr>
        <w:tc>
          <w:tcPr>
            <w:tcW w:type="dxa" w:w="1814"/>
            <w:tcW w:w="1814" w:type="dxa"/>
          </w:tcPr>
          <w:p>
            <w:pPr>
              <w:jc w:val="left"/>
            </w:pPr>
            <w:r/>
            <w:r>
              <w:rPr>
                <w:rFonts w:ascii="Cambria" w:hAnsi="Cambria"/>
                <w:b w:val="0"/>
                <w:i w:val="0"/>
                <w:sz w:val="22"/>
              </w:rPr>
              <w:t>Faculty Development &amp; Training</w:t>
            </w:r>
          </w:p>
        </w:tc>
        <w:tc>
          <w:tcPr>
            <w:tcW w:type="dxa" w:w="3628"/>
            <w:tcW w:w="3628" w:type="dxa"/>
          </w:tcPr>
          <w:p>
            <w:pPr>
              <w:jc w:val="left"/>
            </w:pPr>
            <w:r/>
            <w:r>
              <w:rPr>
                <w:rFonts w:ascii="Cambria" w:hAnsi="Cambria"/>
                <w:b w:val="0"/>
                <w:i w:val="0"/>
                <w:sz w:val="22"/>
              </w:rPr>
              <w:t>NAAC: Criterion II (Teaching–Learning &amp; Evaluation) – faculty competence; NBA: Faculty Contributions &amp; Continuous Improvement; NIRF: Faculty–Student Ratio, Faculty Qualifications; QS I-GAUGE: Faculty Quality (FQ)</w:t>
            </w:r>
          </w:p>
        </w:tc>
        <w:tc>
          <w:tcPr>
            <w:tcW w:type="dxa" w:w="3969"/>
            <w:tcW w:w="3969" w:type="dxa"/>
          </w:tcPr>
          <w:p>
            <w:pPr>
              <w:jc w:val="left"/>
            </w:pPr>
            <w:r/>
            <w:r>
              <w:rPr>
                <w:rFonts w:ascii="Cambria" w:hAnsi="Cambria"/>
                <w:b w:val="0"/>
                <w:i w:val="0"/>
                <w:sz w:val="22"/>
              </w:rPr>
              <w:t>What % of faculty are trained in SDG pedagogy? Are faculty development programs documented (workshops, CPD hours)? Do we have faculty exchange or collaboration programs?</w:t>
            </w:r>
          </w:p>
        </w:tc>
      </w:tr>
      <w:tr>
        <w:tc>
          <w:tcPr>
            <w:tcW w:type="dxa" w:w="1814"/>
            <w:tcW w:w="1814" w:type="dxa"/>
            <w:shd w:val="clear" w:color="auto" w:fill="DCE6F1"/>
          </w:tcPr>
          <w:p>
            <w:pPr>
              <w:jc w:val="left"/>
            </w:pPr>
            <w:r/>
            <w:r>
              <w:rPr>
                <w:rFonts w:ascii="Cambria" w:hAnsi="Cambria"/>
                <w:b w:val="0"/>
                <w:i w:val="0"/>
                <w:sz w:val="22"/>
              </w:rPr>
              <w:t>Inclusive &amp; Equitable Access</w:t>
            </w:r>
          </w:p>
        </w:tc>
        <w:tc>
          <w:tcPr>
            <w:tcW w:type="dxa" w:w="3628"/>
            <w:tcW w:w="3628" w:type="dxa"/>
            <w:shd w:val="clear" w:color="auto" w:fill="DCE6F1"/>
          </w:tcPr>
          <w:p>
            <w:pPr>
              <w:jc w:val="left"/>
            </w:pPr>
            <w:r/>
            <w:r>
              <w:rPr>
                <w:rFonts w:ascii="Cambria" w:hAnsi="Cambria"/>
                <w:b w:val="0"/>
                <w:i w:val="0"/>
                <w:sz w:val="22"/>
              </w:rPr>
              <w:t>NAAC: Criterion VII (Institutional Values &amp; Best Practices) – inclusivity &amp; gender equity; NBA: Diversity in admissions; NIRF: Outreach &amp; Inclusivity (OI) score; QS I-GAUGE: Diversity &amp; Accessibility (DA)</w:t>
            </w:r>
          </w:p>
        </w:tc>
        <w:tc>
          <w:tcPr>
            <w:tcW w:type="dxa" w:w="3969"/>
            <w:tcW w:w="3969" w:type="dxa"/>
            <w:shd w:val="clear" w:color="auto" w:fill="DCE6F1"/>
          </w:tcPr>
          <w:p>
            <w:pPr>
              <w:jc w:val="left"/>
            </w:pPr>
            <w:r/>
            <w:r>
              <w:rPr>
                <w:rFonts w:ascii="Cambria" w:hAnsi="Cambria"/>
                <w:b w:val="0"/>
                <w:i w:val="0"/>
                <w:sz w:val="22"/>
              </w:rPr>
              <w:t>Do we provide scholarships/financial aid to marginalized groups? Is assistive technology available for disabled students? Are gender parity initiatives (e.g., women in STEM) documented?</w:t>
            </w:r>
          </w:p>
        </w:tc>
      </w:tr>
      <w:tr>
        <w:tc>
          <w:tcPr>
            <w:tcW w:type="dxa" w:w="1814"/>
            <w:tcW w:w="1814" w:type="dxa"/>
          </w:tcPr>
          <w:p>
            <w:pPr>
              <w:jc w:val="left"/>
            </w:pPr>
            <w:r/>
            <w:r>
              <w:rPr>
                <w:rFonts w:ascii="Cambria" w:hAnsi="Cambria"/>
                <w:b w:val="0"/>
                <w:i w:val="0"/>
                <w:sz w:val="22"/>
              </w:rPr>
              <w:t>Digital Transformation &amp; Lifelong Learning</w:t>
            </w:r>
          </w:p>
        </w:tc>
        <w:tc>
          <w:tcPr>
            <w:tcW w:type="dxa" w:w="3628"/>
            <w:tcW w:w="3628" w:type="dxa"/>
          </w:tcPr>
          <w:p>
            <w:pPr>
              <w:jc w:val="left"/>
            </w:pPr>
            <w:r/>
            <w:r>
              <w:rPr>
                <w:rFonts w:ascii="Cambria" w:hAnsi="Cambria"/>
                <w:b w:val="0"/>
                <w:i w:val="0"/>
                <w:sz w:val="22"/>
              </w:rPr>
              <w:t>NAAC: Criterion IV (Infrastructure &amp; Learning Resources) – ICT facilities; NBA: ICT-enabled teaching–learning methods; NIRF: Research &amp; Professional Practices (RP); QS I-GAUGE: Digital Education Readiness</w:t>
            </w:r>
          </w:p>
        </w:tc>
        <w:tc>
          <w:tcPr>
            <w:tcW w:type="dxa" w:w="3969"/>
            <w:tcW w:w="3969" w:type="dxa"/>
          </w:tcPr>
          <w:p>
            <w:pPr>
              <w:jc w:val="left"/>
            </w:pPr>
            <w:r/>
            <w:r>
              <w:rPr>
                <w:rFonts w:ascii="Cambria" w:hAnsi="Cambria"/>
                <w:b w:val="0"/>
                <w:i w:val="0"/>
                <w:sz w:val="22"/>
              </w:rPr>
              <w:t>Are classrooms ICT-enabled with digital library access? Do we offer online/continuing education courses? Are adult literacy/reskilling programs implemented?</w:t>
            </w:r>
          </w:p>
        </w:tc>
      </w:tr>
      <w:tr>
        <w:tc>
          <w:tcPr>
            <w:tcW w:type="dxa" w:w="1814"/>
            <w:tcW w:w="1814" w:type="dxa"/>
            <w:shd w:val="clear" w:color="auto" w:fill="DCE6F1"/>
          </w:tcPr>
          <w:p>
            <w:pPr>
              <w:jc w:val="left"/>
            </w:pPr>
            <w:r/>
            <w:r>
              <w:rPr>
                <w:rFonts w:ascii="Cambria" w:hAnsi="Cambria"/>
                <w:b w:val="0"/>
                <w:i w:val="0"/>
                <w:sz w:val="22"/>
              </w:rPr>
              <w:t>Research, Innovation &amp; Partnerships</w:t>
            </w:r>
          </w:p>
        </w:tc>
        <w:tc>
          <w:tcPr>
            <w:tcW w:type="dxa" w:w="3628"/>
            <w:tcW w:w="3628" w:type="dxa"/>
            <w:shd w:val="clear" w:color="auto" w:fill="DCE6F1"/>
          </w:tcPr>
          <w:p>
            <w:pPr>
              <w:jc w:val="left"/>
            </w:pPr>
            <w:r/>
            <w:r>
              <w:rPr>
                <w:rFonts w:ascii="Cambria" w:hAnsi="Cambria"/>
                <w:b w:val="0"/>
                <w:i w:val="0"/>
                <w:sz w:val="22"/>
              </w:rPr>
              <w:t>NAAC: Criterion III (Research, Innovations &amp; Extension); NBA: R&amp;D, consultancy, and extension activities; NIRF: Research &amp; Professional Practices (RP) score; QS I-GAUGE: Employability (EP), Faculty Competence (FC)</w:t>
            </w:r>
          </w:p>
        </w:tc>
        <w:tc>
          <w:tcPr>
            <w:tcW w:type="dxa" w:w="3969"/>
            <w:tcW w:w="3969" w:type="dxa"/>
            <w:shd w:val="clear" w:color="auto" w:fill="DCE6F1"/>
          </w:tcPr>
          <w:p>
            <w:pPr>
              <w:jc w:val="left"/>
            </w:pPr>
            <w:r/>
            <w:r>
              <w:rPr>
                <w:rFonts w:ascii="Cambria" w:hAnsi="Cambria"/>
                <w:b w:val="0"/>
                <w:i w:val="0"/>
                <w:sz w:val="22"/>
              </w:rPr>
              <w:t>Do we publish SDG-related research regularly? Have we secured external funding for SDG projects? Do we maintain MoUs/partnerships with industry, NGOs, and global HEIs?</w:t>
            </w:r>
          </w:p>
        </w:tc>
      </w:tr>
      <w:tr>
        <w:tc>
          <w:tcPr>
            <w:tcW w:type="dxa" w:w="1814"/>
            <w:tcW w:w="1814" w:type="dxa"/>
          </w:tcPr>
          <w:p>
            <w:pPr>
              <w:jc w:val="left"/>
            </w:pPr>
            <w:r/>
            <w:r>
              <w:rPr>
                <w:rFonts w:ascii="Cambria" w:hAnsi="Cambria"/>
                <w:b w:val="0"/>
                <w:i w:val="0"/>
                <w:sz w:val="22"/>
              </w:rPr>
              <w:t>Monitoring &amp; Evaluation</w:t>
            </w:r>
          </w:p>
        </w:tc>
        <w:tc>
          <w:tcPr>
            <w:tcW w:type="dxa" w:w="3628"/>
            <w:tcW w:w="3628" w:type="dxa"/>
          </w:tcPr>
          <w:p>
            <w:pPr>
              <w:jc w:val="left"/>
            </w:pPr>
            <w:r/>
            <w:r>
              <w:rPr>
                <w:rFonts w:ascii="Cambria" w:hAnsi="Cambria"/>
                <w:b w:val="0"/>
                <w:i w:val="0"/>
                <w:sz w:val="22"/>
              </w:rPr>
              <w:t>NAAC: Criterion VII (Best Practices &amp; Institutional Values) – governance, sustainability; NBA: Continuous Improvement (CI) metrics; NIRF: Governance, Leadership &amp; Strategy; QS I-GAUGE: Governance &amp; Institutional Values</w:t>
            </w:r>
          </w:p>
        </w:tc>
        <w:tc>
          <w:tcPr>
            <w:tcW w:type="dxa" w:w="3969"/>
            <w:tcW w:w="3969" w:type="dxa"/>
          </w:tcPr>
          <w:p>
            <w:pPr>
              <w:jc w:val="left"/>
            </w:pPr>
            <w:r/>
            <w:r>
              <w:rPr>
                <w:rFonts w:ascii="Cambria" w:hAnsi="Cambria"/>
                <w:b w:val="0"/>
                <w:i w:val="0"/>
                <w:sz w:val="22"/>
              </w:rPr>
              <w:t>Have we established an SDG-4 monitoring cell? Do we publish an annual SDG progress/sustainability report? Are SDG indicators integrated into accreditation and ranking evidence?</w:t>
            </w:r>
          </w:p>
        </w:tc>
      </w:tr>
    </w:tbl>
    <w:p>
      <w:pPr>
        <w:spacing w:before="200" w:after="80"/>
        <w:jc w:val="left"/>
      </w:pPr>
      <w:r>
        <w:rPr>
          <w:rFonts w:ascii="Cambria" w:hAnsi="Cambria"/>
          <w:b/>
          <w:color w:val="1F3A5F"/>
          <w:sz w:val="25"/>
        </w:rPr>
        <w:t>Scholarly Framework for SDG-4: Quality Education</w:t>
      </w:r>
    </w:p>
    <w:p>
      <w:pPr>
        <w:spacing w:after="120"/>
        <w:jc w:val="both"/>
      </w:pPr>
      <w:r>
        <w:rPr>
          <w:rFonts w:ascii="Cambria" w:hAnsi="Cambria"/>
          <w:b/>
          <w:i w:val="0"/>
          <w:sz w:val="22"/>
        </w:rPr>
        <w:t>1. Introduction</w:t>
      </w:r>
    </w:p>
    <w:p>
      <w:pPr>
        <w:pStyle w:val="ListBullet"/>
        <w:ind w:left="357"/>
        <w:jc w:val="both"/>
      </w:pPr>
      <w:r>
        <w:rPr>
          <w:rFonts w:ascii="Cambria" w:hAnsi="Cambria"/>
          <w:sz w:val="22"/>
        </w:rPr>
        <w:t>SDG-4, established under the United Nations 2030 Agenda, emphasizes ensuring inclusive and equitable quality education and lifelong learning opportunities for all.</w:t>
      </w:r>
    </w:p>
    <w:p>
      <w:pPr>
        <w:pStyle w:val="ListBullet"/>
        <w:ind w:left="357"/>
        <w:jc w:val="both"/>
      </w:pPr>
      <w:r>
        <w:rPr>
          <w:rFonts w:ascii="Cambria" w:hAnsi="Cambria"/>
          <w:sz w:val="22"/>
        </w:rPr>
        <w:t xml:space="preserve">Education is positioned as both a </w:t>
      </w:r>
      <w:r>
        <w:rPr>
          <w:rFonts w:ascii="Cambria" w:hAnsi="Cambria"/>
          <w:i/>
          <w:sz w:val="22"/>
        </w:rPr>
        <w:t>human right</w:t>
      </w:r>
      <w:r>
        <w:rPr>
          <w:rFonts w:ascii="Cambria" w:hAnsi="Cambria"/>
          <w:sz w:val="22"/>
        </w:rPr>
        <w:t xml:space="preserve"> and a </w:t>
      </w:r>
      <w:r>
        <w:rPr>
          <w:rFonts w:ascii="Cambria" w:hAnsi="Cambria"/>
          <w:i/>
          <w:sz w:val="22"/>
        </w:rPr>
        <w:t>transformative tool</w:t>
      </w:r>
      <w:r>
        <w:rPr>
          <w:rFonts w:ascii="Cambria" w:hAnsi="Cambria"/>
          <w:sz w:val="22"/>
        </w:rPr>
        <w:t xml:space="preserve"> for achieving all other SDGs.</w:t>
      </w:r>
    </w:p>
    <w:p>
      <w:pPr>
        <w:pStyle w:val="ListBullet"/>
        <w:ind w:left="357"/>
        <w:jc w:val="both"/>
      </w:pPr>
      <w:r>
        <w:rPr>
          <w:rFonts w:ascii="Cambria" w:hAnsi="Cambria"/>
          <w:sz w:val="22"/>
        </w:rPr>
        <w:t>Higher Education Institutions (HEIs) are critical stakeholders in translating this global mandate into local, national, and institutional frameworks.</w:t>
      </w:r>
    </w:p>
    <w:p>
      <w:pPr>
        <w:spacing w:after="120"/>
        <w:jc w:val="both"/>
      </w:pPr>
      <w:r>
        <w:rPr>
          <w:rFonts w:ascii="Cambria" w:hAnsi="Cambria"/>
          <w:b/>
          <w:i w:val="0"/>
          <w:sz w:val="22"/>
        </w:rPr>
        <w:t>2. Conceptual Basis of SDG-4</w:t>
      </w:r>
    </w:p>
    <w:p>
      <w:pPr>
        <w:pStyle w:val="ListBullet"/>
        <w:ind w:left="357"/>
        <w:jc w:val="both"/>
      </w:pPr>
      <w:r>
        <w:rPr>
          <w:rFonts w:ascii="Cambria" w:hAnsi="Cambria"/>
          <w:b/>
          <w:sz w:val="22"/>
        </w:rPr>
        <w:t xml:space="preserve">Core Principles: </w:t>
      </w:r>
      <w:r>
        <w:rPr>
          <w:rFonts w:ascii="Cambria" w:hAnsi="Cambria"/>
          <w:sz w:val="22"/>
        </w:rPr>
        <w:t>Inclusivity, equity, quality, and lifelong learning.</w:t>
      </w:r>
    </w:p>
    <w:p>
      <w:pPr>
        <w:pStyle w:val="ListBullet"/>
        <w:ind w:left="357"/>
        <w:jc w:val="both"/>
      </w:pPr>
      <w:r>
        <w:rPr>
          <w:rFonts w:ascii="Cambria" w:hAnsi="Cambria"/>
          <w:b/>
          <w:sz w:val="22"/>
        </w:rPr>
        <w:t xml:space="preserve">Global Alignment: </w:t>
      </w:r>
      <w:r>
        <w:rPr>
          <w:rFonts w:ascii="Cambria" w:hAnsi="Cambria"/>
          <w:sz w:val="22"/>
        </w:rPr>
        <w:t>UNESCO's Education for Sustainable Development (ESD) and OECD's emphasis on skills for the future workforce.</w:t>
      </w:r>
    </w:p>
    <w:p>
      <w:pPr>
        <w:pStyle w:val="ListBullet"/>
        <w:ind w:left="357"/>
        <w:jc w:val="both"/>
      </w:pPr>
      <w:r>
        <w:rPr>
          <w:rFonts w:ascii="Cambria" w:hAnsi="Cambria"/>
          <w:sz w:val="22"/>
        </w:rPr>
        <w:t>UN Targets (4.1–4.c): Cover universal schooling, early childhood education, vocational training, adult literacy, global citizenship, infrastructure, scholarships, and teacher training.</w:t>
      </w:r>
    </w:p>
    <w:p>
      <w:pPr>
        <w:spacing w:after="120"/>
        <w:jc w:val="both"/>
      </w:pPr>
      <w:r>
        <w:rPr>
          <w:rFonts w:ascii="Cambria" w:hAnsi="Cambria"/>
          <w:b/>
          <w:i w:val="0"/>
          <w:sz w:val="22"/>
        </w:rPr>
        <w:t>3. Role of Higher Education Institutions (HEIs)</w:t>
      </w:r>
    </w:p>
    <w:p>
      <w:pPr>
        <w:pStyle w:val="ListBullet"/>
        <w:ind w:left="357"/>
        <w:jc w:val="both"/>
      </w:pPr>
      <w:r>
        <w:rPr>
          <w:rFonts w:ascii="Cambria" w:hAnsi="Cambria"/>
          <w:b/>
          <w:sz w:val="22"/>
        </w:rPr>
        <w:t xml:space="preserve">Knowledge Creation: </w:t>
      </w:r>
      <w:r>
        <w:rPr>
          <w:rFonts w:ascii="Cambria" w:hAnsi="Cambria"/>
          <w:sz w:val="22"/>
        </w:rPr>
        <w:t>Through research and innovation aligned with sustainability.</w:t>
      </w:r>
    </w:p>
    <w:p>
      <w:pPr>
        <w:pStyle w:val="ListBullet"/>
        <w:ind w:left="357"/>
        <w:jc w:val="both"/>
      </w:pPr>
      <w:r>
        <w:rPr>
          <w:rFonts w:ascii="Cambria" w:hAnsi="Cambria"/>
          <w:b/>
          <w:sz w:val="22"/>
        </w:rPr>
        <w:t xml:space="preserve">Knowledge Dissemination: </w:t>
      </w:r>
      <w:r>
        <w:rPr>
          <w:rFonts w:ascii="Cambria" w:hAnsi="Cambria"/>
          <w:sz w:val="22"/>
        </w:rPr>
        <w:t>Curriculum reform, interdisciplinary programs, and community engagement.</w:t>
      </w:r>
    </w:p>
    <w:p>
      <w:pPr>
        <w:pStyle w:val="ListBullet"/>
        <w:ind w:left="357"/>
        <w:jc w:val="both"/>
      </w:pPr>
      <w:r>
        <w:rPr>
          <w:rFonts w:ascii="Cambria" w:hAnsi="Cambria"/>
          <w:b/>
          <w:sz w:val="22"/>
        </w:rPr>
        <w:t xml:space="preserve">Capacity Building: </w:t>
      </w:r>
      <w:r>
        <w:rPr>
          <w:rFonts w:ascii="Cambria" w:hAnsi="Cambria"/>
          <w:sz w:val="22"/>
        </w:rPr>
        <w:t>Training faculty, empowering students, and influencing policy.</w:t>
      </w:r>
    </w:p>
    <w:p>
      <w:pPr>
        <w:pStyle w:val="ListBullet"/>
        <w:ind w:left="357"/>
        <w:jc w:val="both"/>
      </w:pPr>
      <w:r>
        <w:rPr>
          <w:rFonts w:ascii="Cambria" w:hAnsi="Cambria"/>
          <w:b/>
          <w:sz w:val="22"/>
        </w:rPr>
        <w:t xml:space="preserve">Social Responsibility: </w:t>
      </w:r>
      <w:r>
        <w:rPr>
          <w:rFonts w:ascii="Cambria" w:hAnsi="Cambria"/>
          <w:sz w:val="22"/>
        </w:rPr>
        <w:t>Promoting equity, inclusivity, and community partnerships.</w:t>
      </w:r>
    </w:p>
    <w:p>
      <w:pPr>
        <w:spacing w:after="120"/>
        <w:jc w:val="both"/>
      </w:pPr>
      <w:r>
        <w:rPr>
          <w:rFonts w:ascii="Cambria" w:hAnsi="Cambria"/>
          <w:b/>
          <w:i w:val="0"/>
          <w:sz w:val="22"/>
        </w:rPr>
        <w:t>4. Policy Domains and Recommendations</w:t>
      </w:r>
    </w:p>
    <w:p>
      <w:pPr>
        <w:ind w:left="357" w:hanging="357"/>
        <w:jc w:val="both"/>
      </w:pPr>
      <w:r>
        <w:rPr>
          <w:rFonts w:ascii="Cambria" w:hAnsi="Cambria"/>
          <w:b/>
          <w:sz w:val="22"/>
        </w:rPr>
        <w:t xml:space="preserve">1. </w:t>
      </w:r>
      <w:r>
        <w:rPr>
          <w:rFonts w:ascii="Cambria" w:hAnsi="Cambria"/>
          <w:i w:val="0"/>
          <w:sz w:val="22"/>
        </w:rPr>
        <w:t>Curriculum Integration</w:t>
      </w:r>
    </w:p>
    <w:p>
      <w:pPr>
        <w:pStyle w:val="ListBullet2"/>
        <w:ind w:left="720"/>
        <w:jc w:val="both"/>
      </w:pPr>
      <w:r>
        <w:rPr>
          <w:rFonts w:ascii="Cambria" w:hAnsi="Cambria"/>
          <w:sz w:val="22"/>
        </w:rPr>
        <w:t>Embed sustainability, ethics, and SDG-related themes across all academic programs.</w:t>
      </w:r>
    </w:p>
    <w:p>
      <w:pPr>
        <w:pStyle w:val="ListBullet2"/>
        <w:ind w:left="720"/>
        <w:jc w:val="both"/>
      </w:pPr>
      <w:r>
        <w:rPr>
          <w:rFonts w:ascii="Cambria" w:hAnsi="Cambria"/>
          <w:sz w:val="22"/>
        </w:rPr>
        <w:t xml:space="preserve">Example: </w:t>
      </w:r>
      <w:r>
        <w:rPr>
          <w:rFonts w:ascii="Cambria" w:hAnsi="Cambria"/>
          <w:i/>
          <w:sz w:val="22"/>
        </w:rPr>
        <w:t>NEP 2020 India mandates multidisciplinary, flexible curricula integrating sustainability.</w:t>
      </w:r>
    </w:p>
    <w:p>
      <w:pPr>
        <w:ind w:left="357" w:hanging="357"/>
        <w:jc w:val="both"/>
      </w:pPr>
      <w:r>
        <w:rPr>
          <w:rFonts w:ascii="Cambria" w:hAnsi="Cambria"/>
          <w:b/>
          <w:sz w:val="22"/>
        </w:rPr>
        <w:t xml:space="preserve">2. </w:t>
      </w:r>
      <w:r>
        <w:rPr>
          <w:rFonts w:ascii="Cambria" w:hAnsi="Cambria"/>
          <w:i w:val="0"/>
          <w:sz w:val="22"/>
        </w:rPr>
        <w:t>Awareness and Engagement</w:t>
      </w:r>
    </w:p>
    <w:p>
      <w:pPr>
        <w:pStyle w:val="ListBullet2"/>
        <w:ind w:left="720"/>
        <w:jc w:val="both"/>
      </w:pPr>
      <w:r>
        <w:rPr>
          <w:rFonts w:ascii="Cambria" w:hAnsi="Cambria"/>
          <w:sz w:val="22"/>
        </w:rPr>
        <w:t>Encourage student clubs, community projects, and MOOCs on SDG themes.</w:t>
      </w:r>
    </w:p>
    <w:p>
      <w:pPr>
        <w:pStyle w:val="ListBullet2"/>
        <w:ind w:left="720"/>
        <w:jc w:val="both"/>
      </w:pPr>
      <w:r>
        <w:rPr>
          <w:rFonts w:ascii="Cambria" w:hAnsi="Cambria"/>
          <w:sz w:val="22"/>
        </w:rPr>
        <w:t xml:space="preserve">Example: </w:t>
      </w:r>
      <w:r>
        <w:rPr>
          <w:rFonts w:ascii="Cambria" w:hAnsi="Cambria"/>
          <w:i/>
          <w:sz w:val="22"/>
        </w:rPr>
        <w:t>University of Cape Town's SDG Hub promoting student-driven sustainability initiatives.</w:t>
      </w:r>
    </w:p>
    <w:p>
      <w:pPr>
        <w:ind w:left="357" w:hanging="357"/>
        <w:jc w:val="both"/>
      </w:pPr>
      <w:r>
        <w:rPr>
          <w:rFonts w:ascii="Cambria" w:hAnsi="Cambria"/>
          <w:b/>
          <w:sz w:val="22"/>
        </w:rPr>
        <w:t xml:space="preserve">3. </w:t>
      </w:r>
      <w:r>
        <w:rPr>
          <w:rFonts w:ascii="Cambria" w:hAnsi="Cambria"/>
          <w:i w:val="0"/>
          <w:sz w:val="22"/>
        </w:rPr>
        <w:t>Faculty Development and Training</w:t>
      </w:r>
    </w:p>
    <w:p>
      <w:pPr>
        <w:pStyle w:val="ListBullet2"/>
        <w:ind w:left="720"/>
        <w:jc w:val="both"/>
      </w:pPr>
      <w:r>
        <w:rPr>
          <w:rFonts w:ascii="Cambria" w:hAnsi="Cambria"/>
          <w:sz w:val="22"/>
        </w:rPr>
        <w:t>Continuous professional development in SDG pedagogy, experiential learning, and digital education.</w:t>
      </w:r>
    </w:p>
    <w:p>
      <w:pPr>
        <w:pStyle w:val="ListBullet2"/>
        <w:ind w:left="720"/>
        <w:jc w:val="both"/>
      </w:pPr>
      <w:r>
        <w:rPr>
          <w:rFonts w:ascii="Cambria" w:hAnsi="Cambria"/>
          <w:sz w:val="22"/>
        </w:rPr>
        <w:t xml:space="preserve">Example: </w:t>
      </w:r>
      <w:r>
        <w:rPr>
          <w:rFonts w:ascii="Cambria" w:hAnsi="Cambria"/>
          <w:i/>
          <w:sz w:val="22"/>
        </w:rPr>
        <w:t>UNESCO Teacher Task Force initiatives on capacity building.</w:t>
      </w:r>
    </w:p>
    <w:p>
      <w:pPr>
        <w:ind w:left="357" w:hanging="357"/>
        <w:jc w:val="both"/>
      </w:pPr>
      <w:r>
        <w:rPr>
          <w:rFonts w:ascii="Cambria" w:hAnsi="Cambria"/>
          <w:b/>
          <w:sz w:val="22"/>
        </w:rPr>
        <w:t xml:space="preserve">4. </w:t>
      </w:r>
      <w:r>
        <w:rPr>
          <w:rFonts w:ascii="Cambria" w:hAnsi="Cambria"/>
          <w:i w:val="0"/>
          <w:sz w:val="22"/>
        </w:rPr>
        <w:t>Inclusive and Equitable Access</w:t>
      </w:r>
    </w:p>
    <w:p>
      <w:pPr>
        <w:pStyle w:val="ListBullet2"/>
        <w:ind w:left="720"/>
        <w:jc w:val="both"/>
      </w:pPr>
      <w:r>
        <w:rPr>
          <w:rFonts w:ascii="Cambria" w:hAnsi="Cambria"/>
          <w:sz w:val="22"/>
        </w:rPr>
        <w:t>Scholarships, assistive technologies, and special policies for women in STEM and marginalized learners.</w:t>
      </w:r>
    </w:p>
    <w:p>
      <w:pPr>
        <w:pStyle w:val="ListBullet2"/>
        <w:ind w:left="720"/>
        <w:jc w:val="both"/>
      </w:pPr>
      <w:r>
        <w:rPr>
          <w:rFonts w:ascii="Cambria" w:hAnsi="Cambria"/>
          <w:sz w:val="22"/>
        </w:rPr>
        <w:t xml:space="preserve">Example: </w:t>
      </w:r>
      <w:r>
        <w:rPr>
          <w:rFonts w:ascii="Cambria" w:hAnsi="Cambria"/>
          <w:i/>
          <w:sz w:val="22"/>
        </w:rPr>
        <w:t>Erasmus+ Inclusion Strategy ensuring equal access for disadvantaged groups.</w:t>
      </w:r>
    </w:p>
    <w:p>
      <w:pPr>
        <w:ind w:left="357" w:hanging="357"/>
        <w:jc w:val="both"/>
      </w:pPr>
      <w:r>
        <w:rPr>
          <w:rFonts w:ascii="Cambria" w:hAnsi="Cambria"/>
          <w:b/>
          <w:sz w:val="22"/>
        </w:rPr>
        <w:t xml:space="preserve">5. </w:t>
      </w:r>
      <w:r>
        <w:rPr>
          <w:rFonts w:ascii="Cambria" w:hAnsi="Cambria"/>
          <w:i w:val="0"/>
          <w:sz w:val="22"/>
        </w:rPr>
        <w:t>Digital Transformation and Lifelong Learning</w:t>
      </w:r>
    </w:p>
    <w:p>
      <w:pPr>
        <w:pStyle w:val="ListBullet2"/>
        <w:ind w:left="720"/>
        <w:jc w:val="both"/>
      </w:pPr>
      <w:r>
        <w:rPr>
          <w:rFonts w:ascii="Cambria" w:hAnsi="Cambria"/>
          <w:sz w:val="22"/>
        </w:rPr>
        <w:t>ICT-enabled education, digital literacy programs, and continuing education centers.</w:t>
      </w:r>
    </w:p>
    <w:p>
      <w:pPr>
        <w:pStyle w:val="ListBullet2"/>
        <w:ind w:left="720"/>
        <w:jc w:val="both"/>
      </w:pPr>
      <w:r>
        <w:rPr>
          <w:rFonts w:ascii="Cambria" w:hAnsi="Cambria"/>
          <w:sz w:val="22"/>
        </w:rPr>
        <w:t xml:space="preserve">Example: </w:t>
      </w:r>
      <w:r>
        <w:rPr>
          <w:rFonts w:ascii="Cambria" w:hAnsi="Cambria"/>
          <w:i/>
          <w:sz w:val="22"/>
        </w:rPr>
        <w:t>SWAYAM Platform (India) offering MOOCs for lifelong learning.</w:t>
      </w:r>
    </w:p>
    <w:p>
      <w:pPr>
        <w:ind w:left="357" w:hanging="357"/>
        <w:jc w:val="both"/>
      </w:pPr>
      <w:r>
        <w:rPr>
          <w:rFonts w:ascii="Cambria" w:hAnsi="Cambria"/>
          <w:b/>
          <w:sz w:val="22"/>
        </w:rPr>
        <w:t xml:space="preserve">6. </w:t>
      </w:r>
      <w:r>
        <w:rPr>
          <w:rFonts w:ascii="Cambria" w:hAnsi="Cambria"/>
          <w:i w:val="0"/>
          <w:sz w:val="22"/>
        </w:rPr>
        <w:t>Research, Innovation, and Partnerships</w:t>
      </w:r>
    </w:p>
    <w:p>
      <w:pPr>
        <w:pStyle w:val="ListBullet2"/>
        <w:ind w:left="720"/>
        <w:jc w:val="both"/>
      </w:pPr>
      <w:r>
        <w:rPr>
          <w:rFonts w:ascii="Cambria" w:hAnsi="Cambria"/>
          <w:sz w:val="22"/>
        </w:rPr>
        <w:t>Promote interdisciplinary SDG research and global collaboration with HEIs, NGOs, and industry.</w:t>
      </w:r>
    </w:p>
    <w:p>
      <w:pPr>
        <w:pStyle w:val="ListBullet2"/>
        <w:ind w:left="720"/>
        <w:jc w:val="both"/>
      </w:pPr>
      <w:r>
        <w:rPr>
          <w:rFonts w:ascii="Cambria" w:hAnsi="Cambria"/>
          <w:sz w:val="22"/>
        </w:rPr>
        <w:t xml:space="preserve">Example: </w:t>
      </w:r>
      <w:r>
        <w:rPr>
          <w:rFonts w:ascii="Cambria" w:hAnsi="Cambria"/>
          <w:i/>
          <w:sz w:val="22"/>
        </w:rPr>
        <w:t>Horizon Europe funds large-scale SDG-related academic projects.</w:t>
      </w:r>
    </w:p>
    <w:p>
      <w:pPr>
        <w:ind w:left="357" w:hanging="357"/>
        <w:jc w:val="both"/>
      </w:pPr>
      <w:r>
        <w:rPr>
          <w:rFonts w:ascii="Cambria" w:hAnsi="Cambria"/>
          <w:b/>
          <w:sz w:val="22"/>
        </w:rPr>
        <w:t xml:space="preserve">7. </w:t>
      </w:r>
      <w:r>
        <w:rPr>
          <w:rFonts w:ascii="Cambria" w:hAnsi="Cambria"/>
          <w:i w:val="0"/>
          <w:sz w:val="22"/>
        </w:rPr>
        <w:t>Monitoring and Evaluation</w:t>
      </w:r>
    </w:p>
    <w:p>
      <w:pPr>
        <w:pStyle w:val="ListBullet2"/>
        <w:ind w:left="720"/>
        <w:jc w:val="both"/>
      </w:pPr>
      <w:r>
        <w:rPr>
          <w:rFonts w:ascii="Cambria" w:hAnsi="Cambria"/>
          <w:sz w:val="22"/>
        </w:rPr>
        <w:t>Establish SDG monitoring cells in HEIs and link accreditation (NAAC, NBA, NIRF, QS I-GAUGE) with SDG progress.</w:t>
      </w:r>
    </w:p>
    <w:p>
      <w:pPr>
        <w:pStyle w:val="ListBullet2"/>
        <w:ind w:left="720"/>
        <w:jc w:val="both"/>
      </w:pPr>
      <w:r>
        <w:rPr>
          <w:rFonts w:ascii="Cambria" w:hAnsi="Cambria"/>
          <w:sz w:val="22"/>
        </w:rPr>
        <w:t xml:space="preserve">Example: </w:t>
      </w:r>
      <w:r>
        <w:rPr>
          <w:rFonts w:ascii="Cambria" w:hAnsi="Cambria"/>
          <w:i/>
          <w:sz w:val="22"/>
        </w:rPr>
        <w:t>University of Toronto's Sustainability Progress Report.</w:t>
      </w:r>
    </w:p>
    <w:p>
      <w:pPr>
        <w:spacing w:after="120"/>
        <w:jc w:val="both"/>
      </w:pPr>
      <w:r>
        <w:rPr>
          <w:rFonts w:ascii="Cambria" w:hAnsi="Cambria"/>
          <w:b/>
          <w:i w:val="0"/>
          <w:sz w:val="22"/>
        </w:rPr>
        <w:t>5. Expected Outcomes</w:t>
      </w:r>
    </w:p>
    <w:p>
      <w:pPr>
        <w:pStyle w:val="ListBullet"/>
        <w:ind w:left="357"/>
        <w:jc w:val="both"/>
      </w:pPr>
      <w:r>
        <w:rPr>
          <w:rFonts w:ascii="Cambria" w:hAnsi="Cambria"/>
          <w:sz w:val="22"/>
        </w:rPr>
        <w:t>Enhanced employability and innovation capacity among graduates.</w:t>
      </w:r>
    </w:p>
    <w:p>
      <w:pPr>
        <w:pStyle w:val="ListBullet"/>
        <w:ind w:left="357"/>
        <w:jc w:val="both"/>
      </w:pPr>
      <w:r>
        <w:rPr>
          <w:rFonts w:ascii="Cambria" w:hAnsi="Cambria"/>
          <w:sz w:val="22"/>
        </w:rPr>
        <w:t>Reduction of gender and social disparities in education.</w:t>
      </w:r>
    </w:p>
    <w:p>
      <w:pPr>
        <w:pStyle w:val="ListBullet"/>
        <w:ind w:left="357"/>
        <w:jc w:val="both"/>
      </w:pPr>
      <w:r>
        <w:rPr>
          <w:rFonts w:ascii="Cambria" w:hAnsi="Cambria"/>
          <w:sz w:val="22"/>
        </w:rPr>
        <w:t>Increased institutional competitiveness in global rankings.</w:t>
      </w:r>
    </w:p>
    <w:p>
      <w:pPr>
        <w:pStyle w:val="ListBullet"/>
        <w:ind w:left="357"/>
        <w:jc w:val="both"/>
      </w:pPr>
      <w:r>
        <w:rPr>
          <w:rFonts w:ascii="Cambria" w:hAnsi="Cambria"/>
          <w:sz w:val="22"/>
        </w:rPr>
        <w:t>Strengthened partnerships between academia, industry, and society.</w:t>
      </w:r>
    </w:p>
    <w:p>
      <w:pPr>
        <w:pStyle w:val="ListBullet"/>
        <w:ind w:left="357"/>
        <w:jc w:val="both"/>
      </w:pPr>
      <w:r>
        <w:rPr>
          <w:rFonts w:ascii="Cambria" w:hAnsi="Cambria"/>
          <w:sz w:val="22"/>
        </w:rPr>
        <w:t>Contribution to national and global progress toward Agenda 2030.</w:t>
      </w:r>
    </w:p>
    <w:p>
      <w:pPr>
        <w:spacing w:after="120"/>
        <w:jc w:val="both"/>
      </w:pPr>
      <w:r>
        <w:rPr>
          <w:rFonts w:ascii="Cambria" w:hAnsi="Cambria"/>
          <w:b/>
          <w:i w:val="0"/>
          <w:sz w:val="22"/>
        </w:rPr>
        <w:t>6. Global Best Practices and Case Studies</w:t>
      </w:r>
    </w:p>
    <w:p>
      <w:pPr>
        <w:pStyle w:val="ListBullet"/>
        <w:ind w:left="357"/>
        <w:jc w:val="both"/>
      </w:pPr>
      <w:r>
        <w:rPr>
          <w:rFonts w:ascii="Cambria" w:hAnsi="Cambria"/>
          <w:b/>
          <w:sz w:val="22"/>
        </w:rPr>
        <w:t xml:space="preserve">UNESCO Education for Sustainable Development (ESD): </w:t>
      </w:r>
      <w:r>
        <w:rPr>
          <w:rFonts w:ascii="Cambria" w:hAnsi="Cambria"/>
          <w:sz w:val="22"/>
        </w:rPr>
        <w:t>Integrating sustainability into teaching worldwide.</w:t>
      </w:r>
    </w:p>
    <w:p>
      <w:pPr>
        <w:pStyle w:val="ListBullet"/>
        <w:ind w:left="357"/>
        <w:jc w:val="both"/>
      </w:pPr>
      <w:r>
        <w:rPr>
          <w:rFonts w:ascii="Cambria" w:hAnsi="Cambria"/>
          <w:sz w:val="22"/>
        </w:rPr>
        <w:t>Erasmus+ (European Union): International mobility, joint degrees, and inclusive participation.</w:t>
      </w:r>
    </w:p>
    <w:p>
      <w:pPr>
        <w:pStyle w:val="ListBullet"/>
        <w:ind w:left="357"/>
        <w:jc w:val="both"/>
      </w:pPr>
      <w:r>
        <w:rPr>
          <w:rFonts w:ascii="Cambria" w:hAnsi="Cambria"/>
          <w:b/>
          <w:sz w:val="22"/>
        </w:rPr>
        <w:t xml:space="preserve">University of Melbourne (Australia): </w:t>
      </w:r>
      <w:r>
        <w:rPr>
          <w:rFonts w:ascii="Cambria" w:hAnsi="Cambria"/>
          <w:sz w:val="22"/>
        </w:rPr>
        <w:t>Fellowship for sustainability teaching.</w:t>
      </w:r>
    </w:p>
    <w:p>
      <w:pPr>
        <w:pStyle w:val="ListBullet"/>
        <w:ind w:left="357"/>
        <w:jc w:val="both"/>
      </w:pPr>
      <w:r>
        <w:rPr>
          <w:rFonts w:ascii="Cambria" w:hAnsi="Cambria"/>
          <w:b/>
          <w:sz w:val="22"/>
        </w:rPr>
        <w:t xml:space="preserve">University College London (UK): </w:t>
      </w:r>
      <w:r>
        <w:rPr>
          <w:rFonts w:ascii="Cambria" w:hAnsi="Cambria"/>
          <w:sz w:val="22"/>
        </w:rPr>
        <w:t>Established an SDG Institute for interdisciplinary research.</w:t>
      </w:r>
    </w:p>
    <w:p>
      <w:pPr>
        <w:pStyle w:val="ListBullet"/>
        <w:ind w:left="357"/>
        <w:jc w:val="both"/>
      </w:pPr>
      <w:r>
        <w:rPr>
          <w:rFonts w:ascii="Cambria" w:hAnsi="Cambria"/>
          <w:b/>
          <w:sz w:val="22"/>
        </w:rPr>
        <w:t xml:space="preserve">MIT (USA): </w:t>
      </w:r>
      <w:r>
        <w:rPr>
          <w:rFonts w:ascii="Cambria" w:hAnsi="Cambria"/>
          <w:sz w:val="22"/>
        </w:rPr>
        <w:t>Gender equity programs doubling female STEM participation.</w:t>
      </w:r>
    </w:p>
    <w:p>
      <w:pPr>
        <w:spacing w:after="120"/>
        <w:jc w:val="both"/>
      </w:pPr>
      <w:r>
        <w:rPr>
          <w:rFonts w:ascii="Cambria" w:hAnsi="Cambria"/>
          <w:b/>
          <w:i w:val="0"/>
          <w:sz w:val="22"/>
        </w:rPr>
        <w:t>7. Academic and Accreditation Alignment</w:t>
      </w:r>
    </w:p>
    <w:p>
      <w:pPr>
        <w:pStyle w:val="ListBullet"/>
        <w:ind w:left="357"/>
        <w:jc w:val="both"/>
      </w:pPr>
      <w:r>
        <w:rPr>
          <w:rFonts w:ascii="Cambria" w:hAnsi="Cambria"/>
          <w:b/>
          <w:sz w:val="22"/>
        </w:rPr>
        <w:t xml:space="preserve">NAAC: </w:t>
      </w:r>
      <w:r>
        <w:rPr>
          <w:rFonts w:ascii="Cambria" w:hAnsi="Cambria"/>
          <w:sz w:val="22"/>
        </w:rPr>
        <w:t>Curriculum design, inclusivity, research, and governance (Criterion I–VII).</w:t>
      </w:r>
    </w:p>
    <w:p>
      <w:pPr>
        <w:pStyle w:val="ListBullet"/>
        <w:ind w:left="357"/>
        <w:jc w:val="both"/>
      </w:pPr>
      <w:r>
        <w:rPr>
          <w:rFonts w:ascii="Cambria" w:hAnsi="Cambria"/>
          <w:b/>
          <w:sz w:val="22"/>
        </w:rPr>
        <w:t xml:space="preserve">NBA: </w:t>
      </w:r>
      <w:r>
        <w:rPr>
          <w:rFonts w:ascii="Cambria" w:hAnsi="Cambria"/>
          <w:sz w:val="22"/>
        </w:rPr>
        <w:t>Program Outcomes (POs), Continuous Improvement, Extension activities.</w:t>
      </w:r>
    </w:p>
    <w:p>
      <w:pPr>
        <w:pStyle w:val="ListBullet"/>
        <w:ind w:left="357"/>
        <w:jc w:val="both"/>
      </w:pPr>
      <w:r>
        <w:rPr>
          <w:rFonts w:ascii="Cambria" w:hAnsi="Cambria"/>
          <w:b/>
          <w:sz w:val="22"/>
        </w:rPr>
        <w:t xml:space="preserve">NIRF: </w:t>
      </w:r>
      <w:r>
        <w:rPr>
          <w:rFonts w:ascii="Cambria" w:hAnsi="Cambria"/>
          <w:sz w:val="22"/>
        </w:rPr>
        <w:t>Teaching, Outreach, Inclusivity, Research, Governance.</w:t>
      </w:r>
    </w:p>
    <w:p>
      <w:pPr>
        <w:pStyle w:val="ListBullet"/>
        <w:ind w:left="357"/>
        <w:jc w:val="both"/>
      </w:pPr>
      <w:r>
        <w:rPr>
          <w:rFonts w:ascii="Cambria" w:hAnsi="Cambria"/>
          <w:b/>
          <w:sz w:val="22"/>
        </w:rPr>
        <w:t xml:space="preserve">QS I-GAUGE: </w:t>
      </w:r>
      <w:r>
        <w:rPr>
          <w:rFonts w:ascii="Cambria" w:hAnsi="Cambria"/>
          <w:sz w:val="22"/>
        </w:rPr>
        <w:t>Teaching &amp; Learning, Employability, Faculty Quality, Diversity, Digital Readiness.</w:t>
      </w:r>
    </w:p>
    <w:p>
      <w:pPr>
        <w:spacing w:after="120"/>
        <w:jc w:val="both"/>
      </w:pPr>
      <w:r>
        <w:rPr>
          <w:rFonts w:ascii="Cambria" w:hAnsi="Cambria"/>
          <w:b/>
          <w:i w:val="0"/>
          <w:sz w:val="22"/>
        </w:rPr>
        <w:t>8. Conclusion</w:t>
      </w:r>
    </w:p>
    <w:p>
      <w:pPr>
        <w:pStyle w:val="ListBullet"/>
        <w:ind w:left="357"/>
        <w:jc w:val="both"/>
      </w:pPr>
      <w:r>
        <w:rPr>
          <w:rFonts w:ascii="Cambria" w:hAnsi="Cambria"/>
          <w:sz w:val="22"/>
        </w:rPr>
        <w:t xml:space="preserve">HEIs serve as </w:t>
      </w:r>
      <w:r>
        <w:rPr>
          <w:rFonts w:ascii="Cambria" w:hAnsi="Cambria"/>
          <w:i/>
          <w:sz w:val="22"/>
        </w:rPr>
        <w:t>catalysts</w:t>
      </w:r>
      <w:r>
        <w:rPr>
          <w:rFonts w:ascii="Cambria" w:hAnsi="Cambria"/>
          <w:sz w:val="22"/>
        </w:rPr>
        <w:t xml:space="preserve"> for achieving SDG-4 by bridging global targets and local educational reforms.</w:t>
      </w:r>
    </w:p>
    <w:p>
      <w:pPr>
        <w:pStyle w:val="ListBullet"/>
        <w:ind w:left="357"/>
        <w:jc w:val="both"/>
      </w:pPr>
      <w:r>
        <w:rPr>
          <w:rFonts w:ascii="Cambria" w:hAnsi="Cambria"/>
          <w:sz w:val="22"/>
        </w:rPr>
        <w:t>A multi-dimensional framework—curriculum, awareness, inclusivity, digital transformation, research, and monitoring—is essential.</w:t>
      </w:r>
    </w:p>
    <w:p>
      <w:pPr>
        <w:pStyle w:val="ListBullet"/>
        <w:ind w:left="357"/>
        <w:jc w:val="both"/>
      </w:pPr>
      <w:r>
        <w:rPr>
          <w:rFonts w:ascii="Cambria" w:hAnsi="Cambria"/>
          <w:sz w:val="22"/>
        </w:rPr>
        <w:t>Aligning institutional practices with UN targets, national policies, and accreditation frameworks ensures that HEIs remain accountable, globally competitive, and socially responsible.</w:t>
      </w:r>
    </w:p>
    <w:p>
      <w:pPr>
        <w:spacing w:before="200" w:after="80"/>
        <w:jc w:val="left"/>
      </w:pPr>
      <w:r>
        <w:rPr>
          <w:rFonts w:ascii="Cambria" w:hAnsi="Cambria"/>
          <w:b/>
          <w:color w:val="1F3A5F"/>
          <w:sz w:val="25"/>
        </w:rPr>
        <w:t>Practical Recommendations for Achieving SDG-4: Quality Education</w:t>
      </w:r>
    </w:p>
    <w:p>
      <w:pPr>
        <w:spacing w:after="120"/>
        <w:jc w:val="both"/>
      </w:pPr>
      <w:r>
        <w:rPr>
          <w:rFonts w:ascii="Cambria" w:hAnsi="Cambria"/>
          <w:b/>
          <w:i w:val="0"/>
          <w:sz w:val="22"/>
        </w:rPr>
        <w:t>1. Curriculum Integration</w:t>
      </w:r>
    </w:p>
    <w:p>
      <w:pPr>
        <w:pStyle w:val="ListBullet"/>
        <w:ind w:left="357"/>
        <w:jc w:val="both"/>
      </w:pPr>
      <w:r>
        <w:rPr>
          <w:rFonts w:ascii="Cambria" w:hAnsi="Cambria"/>
          <w:b/>
          <w:sz w:val="22"/>
        </w:rPr>
        <w:t xml:space="preserve">Policy Recommendation: </w:t>
      </w:r>
      <w:r>
        <w:rPr>
          <w:rFonts w:ascii="Cambria" w:hAnsi="Cambria"/>
          <w:sz w:val="22"/>
        </w:rPr>
        <w:t>Redesign academic curricula to embed sustainability, ethics, and global citizenship education across all levels of HEIs.</w:t>
      </w:r>
    </w:p>
    <w:p>
      <w:pPr>
        <w:pStyle w:val="ListBullet"/>
        <w:ind w:left="357"/>
        <w:jc w:val="both"/>
      </w:pPr>
      <w:r>
        <w:rPr>
          <w:rFonts w:ascii="Cambria" w:hAnsi="Cambria"/>
          <w:b/>
          <w:sz w:val="22"/>
        </w:rPr>
        <w:t xml:space="preserve">Best Practices: </w:t>
      </w:r>
      <w:r>
        <w:rPr>
          <w:rFonts w:ascii="Cambria" w:hAnsi="Cambria"/>
          <w:sz w:val="22"/>
        </w:rPr>
      </w:r>
    </w:p>
    <w:p>
      <w:pPr>
        <w:pStyle w:val="ListBullet2"/>
        <w:ind w:left="720"/>
        <w:jc w:val="both"/>
      </w:pPr>
      <w:r>
        <w:rPr>
          <w:rFonts w:ascii="Cambria" w:hAnsi="Cambria"/>
          <w:sz w:val="22"/>
        </w:rPr>
        <w:t>UNESCO – Education for Sustainable Development (ESD): Encourages integrating environmental literacy and sustainability into subject areas.</w:t>
      </w:r>
    </w:p>
    <w:p>
      <w:pPr>
        <w:pStyle w:val="ListBullet2"/>
        <w:ind w:left="720"/>
        <w:jc w:val="both"/>
      </w:pPr>
      <w:r>
        <w:rPr>
          <w:rFonts w:ascii="Cambria" w:hAnsi="Cambria"/>
          <w:sz w:val="22"/>
        </w:rPr>
        <w:t>Erasmus+ (EU): Promotes transnational curriculum innovation and joint degrees.</w:t>
      </w:r>
    </w:p>
    <w:p>
      <w:pPr>
        <w:pStyle w:val="ListBullet2"/>
        <w:ind w:left="720"/>
        <w:jc w:val="both"/>
      </w:pPr>
      <w:r>
        <w:rPr>
          <w:rFonts w:ascii="Cambria" w:hAnsi="Cambria"/>
          <w:b/>
          <w:sz w:val="22"/>
        </w:rPr>
        <w:t xml:space="preserve">NEP 2020 (India): </w:t>
      </w:r>
      <w:r>
        <w:rPr>
          <w:rFonts w:ascii="Cambria" w:hAnsi="Cambria"/>
          <w:sz w:val="22"/>
        </w:rPr>
        <w:t>Introduces multidisciplinary, flexible curricula emphasizing ethics, sustainability, and SDG alignment.</w:t>
      </w:r>
    </w:p>
    <w:p>
      <w:pPr>
        <w:spacing w:after="120"/>
        <w:jc w:val="both"/>
      </w:pPr>
      <w:r>
        <w:rPr>
          <w:rFonts w:ascii="Cambria" w:hAnsi="Cambria"/>
          <w:b/>
          <w:i w:val="0"/>
          <w:sz w:val="22"/>
        </w:rPr>
        <w:t>2. Awareness and Student Engagement</w:t>
      </w:r>
    </w:p>
    <w:p>
      <w:pPr>
        <w:pStyle w:val="ListBullet"/>
        <w:ind w:left="357"/>
        <w:jc w:val="both"/>
      </w:pPr>
      <w:r>
        <w:rPr>
          <w:rFonts w:ascii="Cambria" w:hAnsi="Cambria"/>
          <w:b/>
          <w:sz w:val="22"/>
        </w:rPr>
        <w:t xml:space="preserve">Policy Recommendation: </w:t>
      </w:r>
      <w:r>
        <w:rPr>
          <w:rFonts w:ascii="Cambria" w:hAnsi="Cambria"/>
          <w:sz w:val="22"/>
        </w:rPr>
        <w:t>Strengthen institutional culture around SDGs through student-driven clubs, community outreach projects, and digital learning resources.</w:t>
      </w:r>
    </w:p>
    <w:p>
      <w:pPr>
        <w:pStyle w:val="ListBullet"/>
        <w:ind w:left="357"/>
        <w:jc w:val="both"/>
      </w:pPr>
      <w:r>
        <w:rPr>
          <w:rFonts w:ascii="Cambria" w:hAnsi="Cambria"/>
          <w:b/>
          <w:sz w:val="22"/>
        </w:rPr>
        <w:t xml:space="preserve">Best Practices: </w:t>
      </w:r>
      <w:r>
        <w:rPr>
          <w:rFonts w:ascii="Cambria" w:hAnsi="Cambria"/>
          <w:sz w:val="22"/>
        </w:rPr>
      </w:r>
    </w:p>
    <w:p>
      <w:pPr>
        <w:pStyle w:val="ListBullet2"/>
        <w:ind w:left="720"/>
        <w:jc w:val="both"/>
      </w:pPr>
      <w:r>
        <w:rPr>
          <w:rFonts w:ascii="Cambria" w:hAnsi="Cambria"/>
          <w:b/>
          <w:sz w:val="22"/>
        </w:rPr>
        <w:t xml:space="preserve">University of Cape Town (South Africa): </w:t>
      </w:r>
      <w:r>
        <w:rPr>
          <w:rFonts w:ascii="Cambria" w:hAnsi="Cambria"/>
          <w:sz w:val="22"/>
        </w:rPr>
        <w:t>SDG Hub facilitates student-led sustainability initiatives.</w:t>
      </w:r>
    </w:p>
    <w:p>
      <w:pPr>
        <w:pStyle w:val="ListBullet2"/>
        <w:ind w:left="720"/>
        <w:jc w:val="both"/>
      </w:pPr>
      <w:r>
        <w:rPr>
          <w:rFonts w:ascii="Cambria" w:hAnsi="Cambria"/>
          <w:b/>
          <w:sz w:val="22"/>
        </w:rPr>
        <w:t xml:space="preserve">Coursera/edX MOOCs: </w:t>
      </w:r>
      <w:r>
        <w:rPr>
          <w:rFonts w:ascii="Cambria" w:hAnsi="Cambria"/>
          <w:sz w:val="22"/>
        </w:rPr>
        <w:t>Freely available SDG-specific courses for global learners.</w:t>
      </w:r>
    </w:p>
    <w:p>
      <w:pPr>
        <w:pStyle w:val="ListBullet2"/>
        <w:ind w:left="720"/>
        <w:jc w:val="both"/>
      </w:pPr>
      <w:r>
        <w:rPr>
          <w:rFonts w:ascii="Cambria" w:hAnsi="Cambria"/>
          <w:b/>
          <w:sz w:val="22"/>
        </w:rPr>
        <w:t xml:space="preserve">UNESCO Associated Schools Network (ASPnet): </w:t>
      </w:r>
      <w:r>
        <w:rPr>
          <w:rFonts w:ascii="Cambria" w:hAnsi="Cambria"/>
          <w:sz w:val="22"/>
        </w:rPr>
        <w:t>Builds student awareness of sustainability and intercultural dialogue.</w:t>
      </w:r>
    </w:p>
    <w:p>
      <w:pPr>
        <w:spacing w:after="120"/>
        <w:jc w:val="both"/>
      </w:pPr>
      <w:r>
        <w:rPr>
          <w:rFonts w:ascii="Cambria" w:hAnsi="Cambria"/>
          <w:b/>
          <w:i w:val="0"/>
          <w:sz w:val="22"/>
        </w:rPr>
        <w:t>3. Faculty Development and Teacher Training</w:t>
      </w:r>
    </w:p>
    <w:p>
      <w:pPr>
        <w:pStyle w:val="ListBullet"/>
        <w:ind w:left="357"/>
        <w:jc w:val="both"/>
      </w:pPr>
      <w:r>
        <w:rPr>
          <w:rFonts w:ascii="Cambria" w:hAnsi="Cambria"/>
          <w:b/>
          <w:sz w:val="22"/>
        </w:rPr>
        <w:t xml:space="preserve">Policy Recommendation: </w:t>
      </w:r>
      <w:r>
        <w:rPr>
          <w:rFonts w:ascii="Cambria" w:hAnsi="Cambria"/>
          <w:sz w:val="22"/>
        </w:rPr>
        <w:t>Invest in continuous professional development to prepare faculty in SDG pedagogy, experiential learning, and ICT-enabled education.</w:t>
      </w:r>
    </w:p>
    <w:p>
      <w:pPr>
        <w:pStyle w:val="ListBullet"/>
        <w:ind w:left="357"/>
        <w:jc w:val="both"/>
      </w:pPr>
      <w:r>
        <w:rPr>
          <w:rFonts w:ascii="Cambria" w:hAnsi="Cambria"/>
          <w:b/>
          <w:sz w:val="22"/>
        </w:rPr>
        <w:t xml:space="preserve">Best Practices: </w:t>
      </w:r>
      <w:r>
        <w:rPr>
          <w:rFonts w:ascii="Cambria" w:hAnsi="Cambria"/>
          <w:sz w:val="22"/>
        </w:rPr>
      </w:r>
    </w:p>
    <w:p>
      <w:pPr>
        <w:pStyle w:val="ListBullet2"/>
        <w:ind w:left="720"/>
        <w:jc w:val="both"/>
      </w:pPr>
      <w:r>
        <w:rPr>
          <w:rFonts w:ascii="Cambria" w:hAnsi="Cambria"/>
          <w:b/>
          <w:sz w:val="22"/>
        </w:rPr>
        <w:t xml:space="preserve">UNESCO Teacher Task Force: </w:t>
      </w:r>
      <w:r>
        <w:rPr>
          <w:rFonts w:ascii="Cambria" w:hAnsi="Cambria"/>
          <w:sz w:val="22"/>
        </w:rPr>
        <w:t>Enhances teacher training capacity worldwide.</w:t>
      </w:r>
    </w:p>
    <w:p>
      <w:pPr>
        <w:pStyle w:val="ListBullet2"/>
        <w:ind w:left="720"/>
        <w:jc w:val="both"/>
      </w:pPr>
      <w:r>
        <w:rPr>
          <w:rFonts w:ascii="Cambria" w:hAnsi="Cambria"/>
          <w:b/>
          <w:sz w:val="22"/>
        </w:rPr>
        <w:t xml:space="preserve">TeachSDGs Ambassadors (Global Network): </w:t>
      </w:r>
      <w:r>
        <w:rPr>
          <w:rFonts w:ascii="Cambria" w:hAnsi="Cambria"/>
          <w:sz w:val="22"/>
        </w:rPr>
        <w:t>Educators trained to integrate SDGs into teaching.</w:t>
      </w:r>
    </w:p>
    <w:p>
      <w:pPr>
        <w:pStyle w:val="ListBullet2"/>
        <w:ind w:left="720"/>
        <w:jc w:val="both"/>
      </w:pPr>
      <w:r>
        <w:rPr>
          <w:rFonts w:ascii="Cambria" w:hAnsi="Cambria"/>
          <w:b/>
          <w:sz w:val="22"/>
        </w:rPr>
        <w:t xml:space="preserve">University of Melbourne (Australia): </w:t>
      </w:r>
      <w:r>
        <w:rPr>
          <w:rFonts w:ascii="Cambria" w:hAnsi="Cambria"/>
          <w:sz w:val="22"/>
        </w:rPr>
        <w:t>Sustainability Teaching Fellowship for faculty skill-building.</w:t>
      </w:r>
    </w:p>
    <w:p>
      <w:pPr>
        <w:spacing w:after="120"/>
        <w:jc w:val="both"/>
      </w:pPr>
      <w:r>
        <w:rPr>
          <w:rFonts w:ascii="Cambria" w:hAnsi="Cambria"/>
          <w:b/>
          <w:i w:val="0"/>
          <w:sz w:val="22"/>
        </w:rPr>
        <w:t>4. Inclusive and Equitable Access</w:t>
      </w:r>
    </w:p>
    <w:p>
      <w:pPr>
        <w:pStyle w:val="ListBullet"/>
        <w:ind w:left="357"/>
        <w:jc w:val="both"/>
      </w:pPr>
      <w:r>
        <w:rPr>
          <w:rFonts w:ascii="Cambria" w:hAnsi="Cambria"/>
          <w:b/>
          <w:sz w:val="22"/>
        </w:rPr>
        <w:t xml:space="preserve">Policy Recommendation: </w:t>
      </w:r>
      <w:r>
        <w:rPr>
          <w:rFonts w:ascii="Cambria" w:hAnsi="Cambria"/>
          <w:sz w:val="22"/>
        </w:rPr>
        <w:t>Ensure access for marginalized groups through scholarships, assistive technologies, and targeted policies for women in STEM.</w:t>
      </w:r>
    </w:p>
    <w:p>
      <w:pPr>
        <w:pStyle w:val="ListBullet"/>
        <w:ind w:left="357"/>
        <w:jc w:val="both"/>
      </w:pPr>
      <w:r>
        <w:rPr>
          <w:rFonts w:ascii="Cambria" w:hAnsi="Cambria"/>
          <w:b/>
          <w:sz w:val="22"/>
        </w:rPr>
        <w:t xml:space="preserve">Best Practices: </w:t>
      </w:r>
      <w:r>
        <w:rPr>
          <w:rFonts w:ascii="Cambria" w:hAnsi="Cambria"/>
          <w:sz w:val="22"/>
        </w:rPr>
      </w:r>
    </w:p>
    <w:p>
      <w:pPr>
        <w:pStyle w:val="ListBullet2"/>
        <w:ind w:left="720"/>
        <w:jc w:val="both"/>
      </w:pPr>
      <w:r>
        <w:rPr>
          <w:rFonts w:ascii="Cambria" w:hAnsi="Cambria"/>
          <w:b/>
          <w:sz w:val="22"/>
        </w:rPr>
        <w:t xml:space="preserve">UNICEF Inclusive Education Framework: </w:t>
      </w:r>
      <w:r>
        <w:rPr>
          <w:rFonts w:ascii="Cambria" w:hAnsi="Cambria"/>
          <w:sz w:val="22"/>
        </w:rPr>
        <w:t>Provides models for integrating disadvantaged learners.</w:t>
      </w:r>
    </w:p>
    <w:p>
      <w:pPr>
        <w:pStyle w:val="ListBullet2"/>
        <w:ind w:left="720"/>
        <w:jc w:val="both"/>
      </w:pPr>
      <w:r>
        <w:rPr>
          <w:rFonts w:ascii="Cambria" w:hAnsi="Cambria"/>
          <w:sz w:val="22"/>
        </w:rPr>
        <w:t>Erasmus+ Inclusion Strategy: Promotes equal participation for disadvantaged groups.</w:t>
      </w:r>
    </w:p>
    <w:p>
      <w:pPr>
        <w:pStyle w:val="ListBullet2"/>
        <w:ind w:left="720"/>
        <w:jc w:val="both"/>
      </w:pPr>
      <w:r>
        <w:rPr>
          <w:rFonts w:ascii="Cambria" w:hAnsi="Cambria"/>
          <w:b/>
          <w:sz w:val="22"/>
        </w:rPr>
        <w:t xml:space="preserve">MIT Women in STEM Program (USA): </w:t>
      </w:r>
      <w:r>
        <w:rPr>
          <w:rFonts w:ascii="Cambria" w:hAnsi="Cambria"/>
          <w:sz w:val="22"/>
        </w:rPr>
        <w:t>Mentorship and scholarships to increase female STEM enrolment.</w:t>
      </w:r>
    </w:p>
    <w:p>
      <w:pPr>
        <w:spacing w:after="120"/>
        <w:jc w:val="both"/>
      </w:pPr>
      <w:r>
        <w:rPr>
          <w:rFonts w:ascii="Cambria" w:hAnsi="Cambria"/>
          <w:b/>
          <w:i w:val="0"/>
          <w:sz w:val="22"/>
        </w:rPr>
        <w:t>5. Digital Transformation and Lifelong Learning</w:t>
      </w:r>
    </w:p>
    <w:p>
      <w:pPr>
        <w:pStyle w:val="ListBullet"/>
        <w:ind w:left="357"/>
        <w:jc w:val="both"/>
      </w:pPr>
      <w:r>
        <w:rPr>
          <w:rFonts w:ascii="Cambria" w:hAnsi="Cambria"/>
          <w:b/>
          <w:sz w:val="22"/>
        </w:rPr>
        <w:t xml:space="preserve">Policy Recommendation: </w:t>
      </w:r>
      <w:r>
        <w:rPr>
          <w:rFonts w:ascii="Cambria" w:hAnsi="Cambria"/>
          <w:sz w:val="22"/>
        </w:rPr>
        <w:t>Expand ICT-enabled classrooms, digital libraries, and lifelong learning opportunities for adults through continuing education centers.</w:t>
      </w:r>
    </w:p>
    <w:p>
      <w:pPr>
        <w:pStyle w:val="ListBullet"/>
        <w:ind w:left="357"/>
        <w:jc w:val="both"/>
      </w:pPr>
      <w:r>
        <w:rPr>
          <w:rFonts w:ascii="Cambria" w:hAnsi="Cambria"/>
          <w:b/>
          <w:sz w:val="22"/>
        </w:rPr>
        <w:t xml:space="preserve">Best Practices: </w:t>
      </w:r>
      <w:r>
        <w:rPr>
          <w:rFonts w:ascii="Cambria" w:hAnsi="Cambria"/>
          <w:sz w:val="22"/>
        </w:rPr>
      </w:r>
    </w:p>
    <w:p>
      <w:pPr>
        <w:pStyle w:val="ListBullet2"/>
        <w:ind w:left="720"/>
        <w:jc w:val="both"/>
      </w:pPr>
      <w:r>
        <w:rPr>
          <w:rFonts w:ascii="Cambria" w:hAnsi="Cambria"/>
          <w:b/>
          <w:sz w:val="22"/>
        </w:rPr>
        <w:t xml:space="preserve">UNESCO Global Education Coalition (COVID-19 Response): </w:t>
      </w:r>
      <w:r>
        <w:rPr>
          <w:rFonts w:ascii="Cambria" w:hAnsi="Cambria"/>
          <w:sz w:val="22"/>
        </w:rPr>
        <w:t>Coordinated remote learning solutions in 100+ countries.</w:t>
      </w:r>
    </w:p>
    <w:p>
      <w:pPr>
        <w:pStyle w:val="ListBullet2"/>
        <w:ind w:left="720"/>
        <w:jc w:val="both"/>
      </w:pPr>
      <w:r>
        <w:rPr>
          <w:rFonts w:ascii="Cambria" w:hAnsi="Cambria"/>
          <w:b/>
          <w:sz w:val="22"/>
        </w:rPr>
        <w:t xml:space="preserve">European Digital Education Action Plan: </w:t>
      </w:r>
      <w:r>
        <w:rPr>
          <w:rFonts w:ascii="Cambria" w:hAnsi="Cambria"/>
          <w:sz w:val="22"/>
        </w:rPr>
        <w:t>Promotes digital readiness in education systems.</w:t>
      </w:r>
    </w:p>
    <w:p>
      <w:pPr>
        <w:pStyle w:val="ListBullet2"/>
        <w:ind w:left="720"/>
        <w:jc w:val="both"/>
      </w:pPr>
      <w:r>
        <w:rPr>
          <w:rFonts w:ascii="Cambria" w:hAnsi="Cambria"/>
          <w:b/>
          <w:sz w:val="22"/>
        </w:rPr>
        <w:t xml:space="preserve">SWAYAM Platform (India): </w:t>
      </w:r>
      <w:r>
        <w:rPr>
          <w:rFonts w:ascii="Cambria" w:hAnsi="Cambria"/>
          <w:sz w:val="22"/>
        </w:rPr>
        <w:t>Free MOOCs accessible to lifelong learners and professionals.</w:t>
      </w:r>
    </w:p>
    <w:p>
      <w:pPr>
        <w:spacing w:after="120"/>
        <w:jc w:val="both"/>
      </w:pPr>
      <w:r>
        <w:rPr>
          <w:rFonts w:ascii="Cambria" w:hAnsi="Cambria"/>
          <w:b/>
          <w:i w:val="0"/>
          <w:sz w:val="22"/>
        </w:rPr>
        <w:t>6. Research, Innovation, and Partnerships</w:t>
      </w:r>
    </w:p>
    <w:p>
      <w:pPr>
        <w:pStyle w:val="ListBullet"/>
        <w:ind w:left="357"/>
        <w:jc w:val="both"/>
      </w:pPr>
      <w:r>
        <w:rPr>
          <w:rFonts w:ascii="Cambria" w:hAnsi="Cambria"/>
          <w:b/>
          <w:sz w:val="22"/>
        </w:rPr>
        <w:t xml:space="preserve">Policy Recommendation: </w:t>
      </w:r>
      <w:r>
        <w:rPr>
          <w:rFonts w:ascii="Cambria" w:hAnsi="Cambria"/>
          <w:sz w:val="22"/>
        </w:rPr>
        <w:t>Foster interdisciplinary research on sustainability, and build partnerships with industry, NGOs, and international HEIs.</w:t>
      </w:r>
    </w:p>
    <w:p>
      <w:pPr>
        <w:pStyle w:val="ListBullet"/>
        <w:ind w:left="357"/>
        <w:jc w:val="both"/>
      </w:pPr>
      <w:r>
        <w:rPr>
          <w:rFonts w:ascii="Cambria" w:hAnsi="Cambria"/>
          <w:b/>
          <w:sz w:val="22"/>
        </w:rPr>
        <w:t xml:space="preserve">Best Practices: </w:t>
      </w:r>
      <w:r>
        <w:rPr>
          <w:rFonts w:ascii="Cambria" w:hAnsi="Cambria"/>
          <w:sz w:val="22"/>
        </w:rPr>
      </w:r>
    </w:p>
    <w:p>
      <w:pPr>
        <w:pStyle w:val="ListBullet2"/>
        <w:ind w:left="720"/>
        <w:jc w:val="both"/>
      </w:pPr>
      <w:r>
        <w:rPr>
          <w:rFonts w:ascii="Cambria" w:hAnsi="Cambria"/>
          <w:b/>
          <w:sz w:val="22"/>
        </w:rPr>
        <w:t xml:space="preserve">UNESCO Chairs Programme: </w:t>
      </w:r>
      <w:r>
        <w:rPr>
          <w:rFonts w:ascii="Cambria" w:hAnsi="Cambria"/>
          <w:sz w:val="22"/>
        </w:rPr>
        <w:t>Establishes research networks focused on SDGs.</w:t>
      </w:r>
    </w:p>
    <w:p>
      <w:pPr>
        <w:pStyle w:val="ListBullet2"/>
        <w:ind w:left="720"/>
        <w:jc w:val="both"/>
      </w:pPr>
      <w:r>
        <w:rPr>
          <w:rFonts w:ascii="Cambria" w:hAnsi="Cambria"/>
          <w:b/>
          <w:sz w:val="22"/>
        </w:rPr>
        <w:t xml:space="preserve">Horizon Europe (EU): </w:t>
      </w:r>
      <w:r>
        <w:rPr>
          <w:rFonts w:ascii="Cambria" w:hAnsi="Cambria"/>
          <w:sz w:val="22"/>
        </w:rPr>
        <w:t>Funds cross-border SDG-focused academic projects.</w:t>
      </w:r>
    </w:p>
    <w:p>
      <w:pPr>
        <w:pStyle w:val="ListBullet2"/>
        <w:ind w:left="720"/>
        <w:jc w:val="both"/>
      </w:pPr>
      <w:r>
        <w:rPr>
          <w:rFonts w:ascii="Cambria" w:hAnsi="Cambria"/>
          <w:sz w:val="22"/>
        </w:rPr>
        <w:t>UCL (UK) – SDG Institute: Interdisciplinary hub linking research with SDG implementation.</w:t>
      </w:r>
    </w:p>
    <w:p>
      <w:pPr>
        <w:spacing w:after="120"/>
        <w:jc w:val="both"/>
      </w:pPr>
      <w:r>
        <w:rPr>
          <w:rFonts w:ascii="Cambria" w:hAnsi="Cambria"/>
          <w:b/>
          <w:i w:val="0"/>
          <w:sz w:val="22"/>
        </w:rPr>
        <w:t>7. Monitoring and Evaluation</w:t>
      </w:r>
    </w:p>
    <w:p>
      <w:pPr>
        <w:pStyle w:val="ListBullet"/>
        <w:ind w:left="357"/>
        <w:jc w:val="both"/>
      </w:pPr>
      <w:r>
        <w:rPr>
          <w:rFonts w:ascii="Cambria" w:hAnsi="Cambria"/>
          <w:b/>
          <w:sz w:val="22"/>
        </w:rPr>
        <w:t xml:space="preserve">Policy Recommendation: </w:t>
      </w:r>
      <w:r>
        <w:rPr>
          <w:rFonts w:ascii="Cambria" w:hAnsi="Cambria"/>
          <w:sz w:val="22"/>
        </w:rPr>
        <w:t>Establish institutional SDG monitoring cells, publish annual reports, and align accreditation with SDG indicators.</w:t>
      </w:r>
    </w:p>
    <w:p>
      <w:pPr>
        <w:pStyle w:val="ListBullet"/>
        <w:ind w:left="357"/>
        <w:jc w:val="both"/>
      </w:pPr>
      <w:r>
        <w:rPr>
          <w:rFonts w:ascii="Cambria" w:hAnsi="Cambria"/>
          <w:b/>
          <w:sz w:val="22"/>
        </w:rPr>
        <w:t xml:space="preserve">Best Practices: </w:t>
      </w:r>
      <w:r>
        <w:rPr>
          <w:rFonts w:ascii="Cambria" w:hAnsi="Cambria"/>
          <w:sz w:val="22"/>
        </w:rPr>
      </w:r>
    </w:p>
    <w:p>
      <w:pPr>
        <w:pStyle w:val="ListBullet2"/>
        <w:ind w:left="720"/>
        <w:jc w:val="both"/>
      </w:pPr>
      <w:r>
        <w:rPr>
          <w:rFonts w:ascii="Cambria" w:hAnsi="Cambria"/>
          <w:b/>
          <w:sz w:val="22"/>
        </w:rPr>
        <w:t xml:space="preserve">THE Impact Rankings: </w:t>
      </w:r>
      <w:r>
        <w:rPr>
          <w:rFonts w:ascii="Cambria" w:hAnsi="Cambria"/>
          <w:sz w:val="22"/>
        </w:rPr>
        <w:t>Evaluates universities' contributions to SDGs.</w:t>
      </w:r>
    </w:p>
    <w:p>
      <w:pPr>
        <w:pStyle w:val="ListBullet2"/>
        <w:ind w:left="720"/>
        <w:jc w:val="both"/>
      </w:pPr>
      <w:r>
        <w:rPr>
          <w:rFonts w:ascii="Cambria" w:hAnsi="Cambria"/>
          <w:b/>
          <w:sz w:val="22"/>
        </w:rPr>
        <w:t xml:space="preserve">QS Sustainability Rankings: </w:t>
      </w:r>
      <w:r>
        <w:rPr>
          <w:rFonts w:ascii="Cambria" w:hAnsi="Cambria"/>
          <w:sz w:val="22"/>
        </w:rPr>
        <w:t>Measures social and environmental impact of HEIs.</w:t>
      </w:r>
    </w:p>
    <w:p>
      <w:pPr>
        <w:pStyle w:val="ListBullet2"/>
        <w:ind w:left="720"/>
        <w:jc w:val="both"/>
      </w:pPr>
      <w:r>
        <w:rPr>
          <w:rFonts w:ascii="Cambria" w:hAnsi="Cambria"/>
          <w:b/>
          <w:sz w:val="22"/>
        </w:rPr>
        <w:t xml:space="preserve">University of Toronto (Canada): </w:t>
      </w:r>
      <w:r>
        <w:rPr>
          <w:rFonts w:ascii="Cambria" w:hAnsi="Cambria"/>
          <w:sz w:val="22"/>
        </w:rPr>
        <w:t>Annual sustainability progress reports tied to SDGs.</w:t>
      </w:r>
    </w:p>
    <w:p>
      <w:pPr>
        <w:spacing w:before="200" w:after="80"/>
        <w:jc w:val="left"/>
      </w:pPr>
      <w:r>
        <w:rPr>
          <w:rFonts w:ascii="Cambria" w:hAnsi="Cambria"/>
          <w:b/>
          <w:color w:val="1F3A5F"/>
          <w:sz w:val="25"/>
        </w:rPr>
        <w:t>Policy–Action–Best Practice–Outcome–KPI Table for SDG-4</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left"/>
            </w:pPr>
            <w:r/>
            <w:r>
              <w:rPr>
                <w:rFonts w:ascii="Cambria" w:hAnsi="Cambria"/>
                <w:b/>
                <w:i w:val="0"/>
                <w:color w:val="FFFFFF"/>
                <w:sz w:val="22"/>
              </w:rPr>
              <w:t>Policy Domain</w:t>
            </w:r>
          </w:p>
        </w:tc>
        <w:tc>
          <w:tcPr>
            <w:tcW w:type="dxa" w:w="2154"/>
            <w:shd w:val="clear" w:color="auto" w:fill="1F3A5F"/>
            <w:tcW w:w="2154" w:type="dxa"/>
          </w:tcPr>
          <w:p>
            <w:pPr>
              <w:jc w:val="left"/>
            </w:pPr>
            <w:r/>
            <w:r>
              <w:rPr>
                <w:rFonts w:ascii="Cambria" w:hAnsi="Cambria"/>
                <w:b/>
                <w:i w:val="0"/>
                <w:color w:val="FFFFFF"/>
                <w:sz w:val="22"/>
              </w:rPr>
              <w:t>Proposed Actions (HEIs)</w:t>
            </w:r>
          </w:p>
        </w:tc>
        <w:tc>
          <w:tcPr>
            <w:tcW w:type="dxa" w:w="2041"/>
            <w:shd w:val="clear" w:color="auto" w:fill="1F3A5F"/>
            <w:tcW w:w="2041" w:type="dxa"/>
          </w:tcPr>
          <w:p>
            <w:pPr>
              <w:jc w:val="left"/>
            </w:pPr>
            <w:r/>
            <w:r>
              <w:rPr>
                <w:rFonts w:ascii="Cambria" w:hAnsi="Cambria"/>
                <w:b/>
                <w:i w:val="0"/>
                <w:color w:val="FFFFFF"/>
                <w:sz w:val="22"/>
              </w:rPr>
              <w:t>Global Best Practices</w:t>
            </w:r>
          </w:p>
        </w:tc>
        <w:tc>
          <w:tcPr>
            <w:tcW w:type="dxa" w:w="1814"/>
            <w:shd w:val="clear" w:color="auto" w:fill="1F3A5F"/>
            <w:tcW w:w="1814" w:type="dxa"/>
          </w:tcPr>
          <w:p>
            <w:pPr>
              <w:jc w:val="left"/>
            </w:pPr>
            <w:r/>
            <w:r>
              <w:rPr>
                <w:rFonts w:ascii="Cambria" w:hAnsi="Cambria"/>
                <w:b/>
                <w:i w:val="0"/>
                <w:color w:val="FFFFFF"/>
                <w:sz w:val="22"/>
              </w:rPr>
              <w:t>Expected Outcomes</w:t>
            </w:r>
          </w:p>
        </w:tc>
        <w:tc>
          <w:tcPr>
            <w:tcW w:type="dxa" w:w="1928"/>
            <w:shd w:val="clear" w:color="auto" w:fill="1F3A5F"/>
            <w:tcW w:w="1927" w:type="dxa"/>
          </w:tcPr>
          <w:p>
            <w:pPr>
              <w:jc w:val="left"/>
            </w:pPr>
            <w:r/>
            <w:r>
              <w:rPr>
                <w:rFonts w:ascii="Cambria" w:hAnsi="Cambria"/>
                <w:b/>
                <w:i w:val="0"/>
                <w:color w:val="FFFFFF"/>
                <w:sz w:val="22"/>
              </w:rPr>
              <w:t>Key Performance Indicators (KPIs)</w:t>
            </w:r>
          </w:p>
        </w:tc>
      </w:tr>
      <w:tr>
        <w:tc>
          <w:tcPr>
            <w:tcW w:type="dxa" w:w="1474"/>
            <w:tcW w:w="1474" w:type="dxa"/>
          </w:tcPr>
          <w:p>
            <w:pPr>
              <w:jc w:val="left"/>
            </w:pPr>
            <w:r/>
            <w:r>
              <w:rPr>
                <w:rFonts w:ascii="Cambria" w:hAnsi="Cambria"/>
                <w:b w:val="0"/>
                <w:i w:val="0"/>
                <w:sz w:val="22"/>
              </w:rPr>
              <w:t>Curriculum Integration</w:t>
            </w:r>
          </w:p>
        </w:tc>
        <w:tc>
          <w:tcPr>
            <w:tcW w:type="dxa" w:w="2154"/>
            <w:tcW w:w="2154" w:type="dxa"/>
          </w:tcPr>
          <w:p>
            <w:pPr>
              <w:jc w:val="left"/>
            </w:pPr>
            <w:r/>
            <w:r>
              <w:rPr>
                <w:rFonts w:ascii="Cambria" w:hAnsi="Cambria"/>
                <w:b w:val="0"/>
                <w:i w:val="0"/>
                <w:sz w:val="22"/>
              </w:rPr>
              <w:t>Introduce SDG-based majors, minors, diplomas, electives; Embed sustainability, ethics, and global citizenship across curricula; Develop interdisciplinary programs</w:t>
            </w:r>
          </w:p>
        </w:tc>
        <w:tc>
          <w:tcPr>
            <w:tcW w:type="dxa" w:w="2041"/>
            <w:tcW w:w="2041" w:type="dxa"/>
          </w:tcPr>
          <w:p>
            <w:pPr>
              <w:jc w:val="left"/>
            </w:pPr>
            <w:r/>
            <w:r>
              <w:rPr>
                <w:rFonts w:ascii="Cambria" w:hAnsi="Cambria"/>
                <w:b w:val="0"/>
                <w:i w:val="0"/>
                <w:sz w:val="22"/>
              </w:rPr>
              <w:t>UNESCO ESD Framework – sustainability in teaching; Erasmus+ (EU): Joint curriculum innovation; NEP 2020 (India): Flexible, multidisciplinary design</w:t>
            </w:r>
          </w:p>
        </w:tc>
        <w:tc>
          <w:tcPr>
            <w:tcW w:type="dxa" w:w="1814"/>
            <w:tcW w:w="1814" w:type="dxa"/>
          </w:tcPr>
          <w:p>
            <w:pPr>
              <w:jc w:val="left"/>
            </w:pPr>
            <w:r/>
            <w:r>
              <w:rPr>
                <w:rFonts w:ascii="Cambria" w:hAnsi="Cambria"/>
                <w:b w:val="0"/>
                <w:i w:val="0"/>
                <w:sz w:val="22"/>
              </w:rPr>
              <w:t>Graduates with SDG knowledge; Interdisciplinary skills; Greater employability</w:t>
            </w:r>
          </w:p>
        </w:tc>
        <w:tc>
          <w:tcPr>
            <w:tcW w:type="dxa" w:w="1928"/>
            <w:tcW w:w="1927" w:type="dxa"/>
          </w:tcPr>
          <w:p>
            <w:pPr>
              <w:jc w:val="left"/>
            </w:pPr>
            <w:r/>
            <w:r>
              <w:rPr>
                <w:rFonts w:ascii="Cambria" w:hAnsi="Cambria"/>
                <w:b w:val="0"/>
                <w:i w:val="0"/>
                <w:sz w:val="22"/>
              </w:rPr>
              <w:t>% of courses aligned with SDGs; Number of new SDG-related programs; Student enrolment in SDG courses (%)</w:t>
            </w:r>
          </w:p>
        </w:tc>
      </w:tr>
      <w:tr>
        <w:tc>
          <w:tcPr>
            <w:tcW w:type="dxa" w:w="1474"/>
            <w:tcW w:w="1474" w:type="dxa"/>
            <w:shd w:val="clear" w:color="auto" w:fill="DCE6F1"/>
          </w:tcPr>
          <w:p>
            <w:pPr>
              <w:jc w:val="left"/>
            </w:pPr>
            <w:r/>
            <w:r>
              <w:rPr>
                <w:rFonts w:ascii="Cambria" w:hAnsi="Cambria"/>
                <w:b w:val="0"/>
                <w:i w:val="0"/>
                <w:sz w:val="22"/>
              </w:rPr>
              <w:t>Awareness &amp; Engagement</w:t>
            </w:r>
          </w:p>
        </w:tc>
        <w:tc>
          <w:tcPr>
            <w:tcW w:type="dxa" w:w="2154"/>
            <w:tcW w:w="2154" w:type="dxa"/>
            <w:shd w:val="clear" w:color="auto" w:fill="DCE6F1"/>
          </w:tcPr>
          <w:p>
            <w:pPr>
              <w:jc w:val="left"/>
            </w:pPr>
            <w:r/>
            <w:r>
              <w:rPr>
                <w:rFonts w:ascii="Cambria" w:hAnsi="Cambria"/>
                <w:b w:val="0"/>
                <w:i w:val="0"/>
                <w:sz w:val="22"/>
              </w:rPr>
              <w:t>Organize SDG seminars, workshops, and campaigns; Establish student clubs &amp; outreach projects; Launch MOOCs and OERs</w:t>
            </w:r>
          </w:p>
        </w:tc>
        <w:tc>
          <w:tcPr>
            <w:tcW w:type="dxa" w:w="2041"/>
            <w:tcW w:w="2041" w:type="dxa"/>
            <w:shd w:val="clear" w:color="auto" w:fill="DCE6F1"/>
          </w:tcPr>
          <w:p>
            <w:pPr>
              <w:jc w:val="left"/>
            </w:pPr>
            <w:r/>
            <w:r>
              <w:rPr>
                <w:rFonts w:ascii="Cambria" w:hAnsi="Cambria"/>
                <w:b w:val="0"/>
                <w:i w:val="0"/>
                <w:sz w:val="22"/>
              </w:rPr>
              <w:t>University of Cape Town SDG Hub; Coursera/edX MOOCs; UNESCO ASPnet</w:t>
            </w:r>
          </w:p>
        </w:tc>
        <w:tc>
          <w:tcPr>
            <w:tcW w:type="dxa" w:w="1814"/>
            <w:tcW w:w="1814" w:type="dxa"/>
            <w:shd w:val="clear" w:color="auto" w:fill="DCE6F1"/>
          </w:tcPr>
          <w:p>
            <w:pPr>
              <w:jc w:val="left"/>
            </w:pPr>
            <w:r/>
            <w:r>
              <w:rPr>
                <w:rFonts w:ascii="Cambria" w:hAnsi="Cambria"/>
                <w:b w:val="0"/>
                <w:i w:val="0"/>
                <w:sz w:val="22"/>
              </w:rPr>
              <w:t>Higher student participation in SDG projects; Stronger community partnerships; Global recognition as responsible HEIs</w:t>
            </w:r>
          </w:p>
        </w:tc>
        <w:tc>
          <w:tcPr>
            <w:tcW w:type="dxa" w:w="1928"/>
            <w:tcW w:w="1927" w:type="dxa"/>
            <w:shd w:val="clear" w:color="auto" w:fill="DCE6F1"/>
          </w:tcPr>
          <w:p>
            <w:pPr>
              <w:jc w:val="left"/>
            </w:pPr>
            <w:r/>
            <w:r>
              <w:rPr>
                <w:rFonts w:ascii="Cambria" w:hAnsi="Cambria"/>
                <w:b w:val="0"/>
                <w:i w:val="0"/>
                <w:sz w:val="22"/>
              </w:rPr>
              <w:t>Number of SDG-related events/year; Student participation rate (%); Number of MOOCs/OERs created</w:t>
            </w:r>
          </w:p>
        </w:tc>
      </w:tr>
      <w:tr>
        <w:tc>
          <w:tcPr>
            <w:tcW w:type="dxa" w:w="1474"/>
            <w:tcW w:w="1474" w:type="dxa"/>
          </w:tcPr>
          <w:p>
            <w:pPr>
              <w:jc w:val="left"/>
            </w:pPr>
            <w:r/>
            <w:r>
              <w:rPr>
                <w:rFonts w:ascii="Cambria" w:hAnsi="Cambria"/>
                <w:b w:val="0"/>
                <w:i w:val="0"/>
                <w:sz w:val="22"/>
              </w:rPr>
              <w:t>Faculty Development &amp; Training</w:t>
            </w:r>
          </w:p>
        </w:tc>
        <w:tc>
          <w:tcPr>
            <w:tcW w:type="dxa" w:w="2154"/>
            <w:tcW w:w="2154" w:type="dxa"/>
          </w:tcPr>
          <w:p>
            <w:pPr>
              <w:jc w:val="left"/>
            </w:pPr>
            <w:r/>
            <w:r>
              <w:rPr>
                <w:rFonts w:ascii="Cambria" w:hAnsi="Cambria"/>
                <w:b w:val="0"/>
                <w:i w:val="0"/>
                <w:sz w:val="22"/>
              </w:rPr>
              <w:t>Train faculty in SDG pedagogy; Encourage faculty exchanges; Incentivize continuous professional development</w:t>
            </w:r>
          </w:p>
        </w:tc>
        <w:tc>
          <w:tcPr>
            <w:tcW w:type="dxa" w:w="2041"/>
            <w:tcW w:w="2041" w:type="dxa"/>
          </w:tcPr>
          <w:p>
            <w:pPr>
              <w:jc w:val="left"/>
            </w:pPr>
            <w:r/>
            <w:r>
              <w:rPr>
                <w:rFonts w:ascii="Cambria" w:hAnsi="Cambria"/>
                <w:b w:val="0"/>
                <w:i w:val="0"/>
                <w:sz w:val="22"/>
              </w:rPr>
              <w:t>UNESCO Teacher Task Force; TeachSDGs Ambassadors; University of Melbourne Sustainability Fellowship</w:t>
            </w:r>
          </w:p>
        </w:tc>
        <w:tc>
          <w:tcPr>
            <w:tcW w:type="dxa" w:w="1814"/>
            <w:tcW w:w="1814" w:type="dxa"/>
          </w:tcPr>
          <w:p>
            <w:pPr>
              <w:jc w:val="left"/>
            </w:pPr>
            <w:r/>
            <w:r>
              <w:rPr>
                <w:rFonts w:ascii="Cambria" w:hAnsi="Cambria"/>
                <w:b w:val="0"/>
                <w:i w:val="0"/>
                <w:sz w:val="22"/>
              </w:rPr>
              <w:t>Skilled faculty in SDG education; Improved teaching quality; Stronger global collaboration</w:t>
            </w:r>
          </w:p>
        </w:tc>
        <w:tc>
          <w:tcPr>
            <w:tcW w:type="dxa" w:w="1928"/>
            <w:tcW w:w="1927" w:type="dxa"/>
          </w:tcPr>
          <w:p>
            <w:pPr>
              <w:jc w:val="left"/>
            </w:pPr>
            <w:r/>
            <w:r>
              <w:rPr>
                <w:rFonts w:ascii="Cambria" w:hAnsi="Cambria"/>
                <w:b w:val="0"/>
                <w:i w:val="0"/>
                <w:sz w:val="22"/>
              </w:rPr>
              <w:t>% of faculty trained in SDG pedagogy; Number of faculty exchanges/year; Avg. training hours per faculty annually</w:t>
            </w:r>
          </w:p>
        </w:tc>
      </w:tr>
      <w:tr>
        <w:tc>
          <w:tcPr>
            <w:tcW w:type="dxa" w:w="1474"/>
            <w:tcW w:w="1474" w:type="dxa"/>
            <w:shd w:val="clear" w:color="auto" w:fill="DCE6F1"/>
          </w:tcPr>
          <w:p>
            <w:pPr>
              <w:jc w:val="left"/>
            </w:pPr>
            <w:r/>
            <w:r>
              <w:rPr>
                <w:rFonts w:ascii="Cambria" w:hAnsi="Cambria"/>
                <w:b w:val="0"/>
                <w:i w:val="0"/>
                <w:sz w:val="22"/>
              </w:rPr>
              <w:t>Inclusive &amp; Equitable Access</w:t>
            </w:r>
          </w:p>
        </w:tc>
        <w:tc>
          <w:tcPr>
            <w:tcW w:type="dxa" w:w="2154"/>
            <w:tcW w:w="2154" w:type="dxa"/>
            <w:shd w:val="clear" w:color="auto" w:fill="DCE6F1"/>
          </w:tcPr>
          <w:p>
            <w:pPr>
              <w:jc w:val="left"/>
            </w:pPr>
            <w:r/>
            <w:r>
              <w:rPr>
                <w:rFonts w:ascii="Cambria" w:hAnsi="Cambria"/>
                <w:b w:val="0"/>
                <w:i w:val="0"/>
                <w:sz w:val="22"/>
              </w:rPr>
              <w:t>Scholarships &amp; aid for marginalized groups; Provide assistive technologies; Promote women in STEM</w:t>
            </w:r>
          </w:p>
        </w:tc>
        <w:tc>
          <w:tcPr>
            <w:tcW w:type="dxa" w:w="2041"/>
            <w:tcW w:w="2041" w:type="dxa"/>
            <w:shd w:val="clear" w:color="auto" w:fill="DCE6F1"/>
          </w:tcPr>
          <w:p>
            <w:pPr>
              <w:jc w:val="left"/>
            </w:pPr>
            <w:r/>
            <w:r>
              <w:rPr>
                <w:rFonts w:ascii="Cambria" w:hAnsi="Cambria"/>
                <w:b w:val="0"/>
                <w:i w:val="0"/>
                <w:sz w:val="22"/>
              </w:rPr>
              <w:t>UNICEF Inclusive Education Framework; Erasmus+ Inclusion Strategy; MIT Women in STEM Program</w:t>
            </w:r>
          </w:p>
        </w:tc>
        <w:tc>
          <w:tcPr>
            <w:tcW w:type="dxa" w:w="1814"/>
            <w:tcW w:w="1814" w:type="dxa"/>
            <w:shd w:val="clear" w:color="auto" w:fill="DCE6F1"/>
          </w:tcPr>
          <w:p>
            <w:pPr>
              <w:jc w:val="left"/>
            </w:pPr>
            <w:r/>
            <w:r>
              <w:rPr>
                <w:rFonts w:ascii="Cambria" w:hAnsi="Cambria"/>
                <w:b w:val="0"/>
                <w:i w:val="0"/>
                <w:sz w:val="22"/>
              </w:rPr>
              <w:t>Reduced gender &amp; social disparities; Increased enrolment of disadvantaged groups; Inclusive learning environments</w:t>
            </w:r>
          </w:p>
        </w:tc>
        <w:tc>
          <w:tcPr>
            <w:tcW w:type="dxa" w:w="1928"/>
            <w:tcW w:w="1927" w:type="dxa"/>
            <w:shd w:val="clear" w:color="auto" w:fill="DCE6F1"/>
          </w:tcPr>
          <w:p>
            <w:pPr>
              <w:jc w:val="left"/>
            </w:pPr>
            <w:r/>
            <w:r>
              <w:rPr>
                <w:rFonts w:ascii="Cambria" w:hAnsi="Cambria"/>
                <w:b w:val="0"/>
                <w:i w:val="0"/>
                <w:sz w:val="22"/>
              </w:rPr>
              <w:t>GER of disadvantaged groups (%); Gender Parity Index (GPI) in STEM; % of disabled students supported</w:t>
            </w:r>
          </w:p>
        </w:tc>
      </w:tr>
      <w:tr>
        <w:tc>
          <w:tcPr>
            <w:tcW w:type="dxa" w:w="1474"/>
            <w:tcW w:w="1474" w:type="dxa"/>
          </w:tcPr>
          <w:p>
            <w:pPr>
              <w:jc w:val="left"/>
            </w:pPr>
            <w:r/>
            <w:r>
              <w:rPr>
                <w:rFonts w:ascii="Cambria" w:hAnsi="Cambria"/>
                <w:b w:val="0"/>
                <w:i w:val="0"/>
                <w:sz w:val="22"/>
              </w:rPr>
              <w:t>Digital Transformation &amp; Lifelong Learning</w:t>
            </w:r>
          </w:p>
        </w:tc>
        <w:tc>
          <w:tcPr>
            <w:tcW w:type="dxa" w:w="2154"/>
            <w:tcW w:w="2154" w:type="dxa"/>
          </w:tcPr>
          <w:p>
            <w:pPr>
              <w:jc w:val="left"/>
            </w:pPr>
            <w:r/>
            <w:r>
              <w:rPr>
                <w:rFonts w:ascii="Cambria" w:hAnsi="Cambria"/>
                <w:b w:val="0"/>
                <w:i w:val="0"/>
                <w:sz w:val="22"/>
              </w:rPr>
              <w:t>Expand ICT-enabled classrooms &amp; digital libraries; Launch adult literacy and reskilling programs; Create continuing education centers</w:t>
            </w:r>
          </w:p>
        </w:tc>
        <w:tc>
          <w:tcPr>
            <w:tcW w:type="dxa" w:w="2041"/>
            <w:tcW w:w="2041" w:type="dxa"/>
          </w:tcPr>
          <w:p>
            <w:pPr>
              <w:jc w:val="left"/>
            </w:pPr>
            <w:r/>
            <w:r>
              <w:rPr>
                <w:rFonts w:ascii="Cambria" w:hAnsi="Cambria"/>
                <w:b w:val="0"/>
                <w:i w:val="0"/>
                <w:sz w:val="22"/>
              </w:rPr>
              <w:t>UNESCO Global Education Coalition; EU Digital Education Action Plan; SWAYAM (India)</w:t>
            </w:r>
          </w:p>
        </w:tc>
        <w:tc>
          <w:tcPr>
            <w:tcW w:type="dxa" w:w="1814"/>
            <w:tcW w:w="1814" w:type="dxa"/>
          </w:tcPr>
          <w:p>
            <w:pPr>
              <w:jc w:val="left"/>
            </w:pPr>
            <w:r/>
            <w:r>
              <w:rPr>
                <w:rFonts w:ascii="Cambria" w:hAnsi="Cambria"/>
                <w:b w:val="0"/>
                <w:i w:val="0"/>
                <w:sz w:val="22"/>
              </w:rPr>
              <w:t>Improved ICT literacy; Expanded access to flexible education; Lifelong learning culture</w:t>
            </w:r>
          </w:p>
        </w:tc>
        <w:tc>
          <w:tcPr>
            <w:tcW w:type="dxa" w:w="1928"/>
            <w:tcW w:w="1927" w:type="dxa"/>
          </w:tcPr>
          <w:p>
            <w:pPr>
              <w:jc w:val="left"/>
            </w:pPr>
            <w:r/>
            <w:r>
              <w:rPr>
                <w:rFonts w:ascii="Cambria" w:hAnsi="Cambria"/>
                <w:b w:val="0"/>
                <w:i w:val="0"/>
                <w:sz w:val="22"/>
              </w:rPr>
              <w:t>% of courses delivered online; Number of adult learners enrolled; ICT literacy rate (%) among students/adults</w:t>
            </w:r>
          </w:p>
        </w:tc>
      </w:tr>
      <w:tr>
        <w:tc>
          <w:tcPr>
            <w:tcW w:type="dxa" w:w="1474"/>
            <w:tcW w:w="1474" w:type="dxa"/>
            <w:shd w:val="clear" w:color="auto" w:fill="DCE6F1"/>
          </w:tcPr>
          <w:p>
            <w:pPr>
              <w:jc w:val="left"/>
            </w:pPr>
            <w:r/>
            <w:r>
              <w:rPr>
                <w:rFonts w:ascii="Cambria" w:hAnsi="Cambria"/>
                <w:b w:val="0"/>
                <w:i w:val="0"/>
                <w:sz w:val="22"/>
              </w:rPr>
              <w:t>Research, Innovation &amp; Partnerships</w:t>
            </w:r>
          </w:p>
        </w:tc>
        <w:tc>
          <w:tcPr>
            <w:tcW w:type="dxa" w:w="2154"/>
            <w:tcW w:w="2154" w:type="dxa"/>
            <w:shd w:val="clear" w:color="auto" w:fill="DCE6F1"/>
          </w:tcPr>
          <w:p>
            <w:pPr>
              <w:jc w:val="left"/>
            </w:pPr>
            <w:r/>
            <w:r>
              <w:rPr>
                <w:rFonts w:ascii="Cambria" w:hAnsi="Cambria"/>
                <w:b w:val="0"/>
                <w:i w:val="0"/>
                <w:sz w:val="22"/>
              </w:rPr>
              <w:t>Support SDG-focused interdisciplinary research; Build partnerships with industry, NGOs, and HEIs; Promote publications and patents</w:t>
            </w:r>
          </w:p>
        </w:tc>
        <w:tc>
          <w:tcPr>
            <w:tcW w:type="dxa" w:w="2041"/>
            <w:tcW w:w="2041" w:type="dxa"/>
            <w:shd w:val="clear" w:color="auto" w:fill="DCE6F1"/>
          </w:tcPr>
          <w:p>
            <w:pPr>
              <w:jc w:val="left"/>
            </w:pPr>
            <w:r/>
            <w:r>
              <w:rPr>
                <w:rFonts w:ascii="Cambria" w:hAnsi="Cambria"/>
                <w:b w:val="0"/>
                <w:i w:val="0"/>
                <w:sz w:val="22"/>
              </w:rPr>
              <w:t>UNESCO Chairs Programme; Horizon Europe (EU): SDG research funding; UCL SDG Institute (UK)</w:t>
            </w:r>
          </w:p>
        </w:tc>
        <w:tc>
          <w:tcPr>
            <w:tcW w:type="dxa" w:w="1814"/>
            <w:tcW w:w="1814" w:type="dxa"/>
            <w:shd w:val="clear" w:color="auto" w:fill="DCE6F1"/>
          </w:tcPr>
          <w:p>
            <w:pPr>
              <w:jc w:val="left"/>
            </w:pPr>
            <w:r/>
            <w:r>
              <w:rPr>
                <w:rFonts w:ascii="Cambria" w:hAnsi="Cambria"/>
                <w:b w:val="0"/>
                <w:i w:val="0"/>
                <w:sz w:val="22"/>
              </w:rPr>
              <w:t>Evidence-based policy reforms; Stronger industry–academia–society linkages; Global reputation enhancement</w:t>
            </w:r>
          </w:p>
        </w:tc>
        <w:tc>
          <w:tcPr>
            <w:tcW w:type="dxa" w:w="1928"/>
            <w:tcW w:w="1927" w:type="dxa"/>
            <w:shd w:val="clear" w:color="auto" w:fill="DCE6F1"/>
          </w:tcPr>
          <w:p>
            <w:pPr>
              <w:jc w:val="left"/>
            </w:pPr>
            <w:r/>
            <w:r>
              <w:rPr>
                <w:rFonts w:ascii="Cambria" w:hAnsi="Cambria"/>
                <w:b w:val="0"/>
                <w:i w:val="0"/>
                <w:sz w:val="22"/>
              </w:rPr>
              <w:t>Number of SDG-related publications; Research funding secured ($/₹); Number of active MoUs/partnerships</w:t>
            </w:r>
          </w:p>
        </w:tc>
      </w:tr>
      <w:tr>
        <w:tc>
          <w:tcPr>
            <w:tcW w:type="dxa" w:w="1474"/>
            <w:tcW w:w="1474" w:type="dxa"/>
          </w:tcPr>
          <w:p>
            <w:pPr>
              <w:jc w:val="left"/>
            </w:pPr>
            <w:r/>
            <w:r>
              <w:rPr>
                <w:rFonts w:ascii="Cambria" w:hAnsi="Cambria"/>
                <w:b w:val="0"/>
                <w:i w:val="0"/>
                <w:sz w:val="22"/>
              </w:rPr>
              <w:t>Monitoring &amp; Evaluation</w:t>
            </w:r>
          </w:p>
        </w:tc>
        <w:tc>
          <w:tcPr>
            <w:tcW w:type="dxa" w:w="2154"/>
            <w:tcW w:w="2154" w:type="dxa"/>
          </w:tcPr>
          <w:p>
            <w:pPr>
              <w:jc w:val="left"/>
            </w:pPr>
            <w:r/>
            <w:r>
              <w:rPr>
                <w:rFonts w:ascii="Cambria" w:hAnsi="Cambria"/>
                <w:b w:val="0"/>
                <w:i w:val="0"/>
                <w:sz w:val="22"/>
              </w:rPr>
              <w:t>Establish SDG monitoring cells; Publish annual SDG/sustainability reports; Align accreditation with SDGs (NAAC, NBA, NIRF, QS)</w:t>
            </w:r>
          </w:p>
        </w:tc>
        <w:tc>
          <w:tcPr>
            <w:tcW w:type="dxa" w:w="2041"/>
            <w:tcW w:w="2041" w:type="dxa"/>
          </w:tcPr>
          <w:p>
            <w:pPr>
              <w:jc w:val="left"/>
            </w:pPr>
            <w:r/>
            <w:r>
              <w:rPr>
                <w:rFonts w:ascii="Cambria" w:hAnsi="Cambria"/>
                <w:b w:val="0"/>
                <w:i w:val="0"/>
                <w:sz w:val="22"/>
              </w:rPr>
              <w:t>THE Impact Rankings; QS Sustainability Rankings; University of Toronto SDG Report</w:t>
            </w:r>
          </w:p>
        </w:tc>
        <w:tc>
          <w:tcPr>
            <w:tcW w:type="dxa" w:w="1814"/>
            <w:tcW w:w="1814" w:type="dxa"/>
          </w:tcPr>
          <w:p>
            <w:pPr>
              <w:jc w:val="left"/>
            </w:pPr>
            <w:r/>
            <w:r>
              <w:rPr>
                <w:rFonts w:ascii="Cambria" w:hAnsi="Cambria"/>
                <w:b w:val="0"/>
                <w:i w:val="0"/>
                <w:sz w:val="22"/>
              </w:rPr>
              <w:t>Transparent accountability; Better accreditation &amp; ranking performance; Continuous quality enhancement</w:t>
            </w:r>
          </w:p>
        </w:tc>
        <w:tc>
          <w:tcPr>
            <w:tcW w:type="dxa" w:w="1928"/>
            <w:tcW w:w="1927" w:type="dxa"/>
          </w:tcPr>
          <w:p>
            <w:pPr>
              <w:jc w:val="left"/>
            </w:pPr>
            <w:r/>
            <w:r>
              <w:rPr>
                <w:rFonts w:ascii="Cambria" w:hAnsi="Cambria"/>
                <w:b w:val="0"/>
                <w:i w:val="0"/>
                <w:sz w:val="22"/>
              </w:rPr>
              <w:t>Annual SDG-4 report published (Yes/No); % of accreditation metrics linked to SDGs; Year-on-year improvement in NAAC/NIRF/QS scores</w:t>
            </w:r>
          </w:p>
        </w:tc>
      </w:tr>
    </w:tbl>
    <w:p>
      <w:r>
        <w:br w:type="page"/>
      </w:r>
    </w:p>
    <w:p>
      <w:pPr>
        <w:spacing w:before="280" w:after="160"/>
        <w:jc w:val="left"/>
      </w:pPr>
      <w:r>
        <w:rPr>
          <w:rFonts w:ascii="Cambria" w:hAnsi="Cambria"/>
          <w:b/>
          <w:color w:val="1F3A5F"/>
          <w:sz w:val="32"/>
        </w:rPr>
        <w:t>9. MOOCs in Vernacular and Local Languages</w:t>
      </w:r>
    </w:p>
    <w:p>
      <w:pPr>
        <w:pStyle w:val="ListBullet"/>
        <w:ind w:left="357"/>
        <w:jc w:val="both"/>
      </w:pPr>
      <w:r>
        <w:rPr>
          <w:rFonts w:ascii="Cambria" w:hAnsi="Cambria"/>
          <w:b/>
          <w:sz w:val="22"/>
        </w:rPr>
        <w:t>Policy Recommendation:</w:t>
      </w:r>
    </w:p>
    <w:p>
      <w:pPr>
        <w:pStyle w:val="ListBullet2"/>
        <w:ind w:left="720"/>
        <w:jc w:val="both"/>
      </w:pPr>
      <w:r>
        <w:rPr>
          <w:rFonts w:ascii="Cambria" w:hAnsi="Cambria"/>
          <w:sz w:val="22"/>
        </w:rPr>
        <w:t>HEIs should design and deliver Massive Open Online Courses (MOOCs) in vernacular and local languages to ensure access for students, faculty, staff, community members, and surrounding villages.</w:t>
      </w:r>
    </w:p>
    <w:p>
      <w:pPr>
        <w:pStyle w:val="ListBullet2"/>
        <w:ind w:left="720"/>
        <w:jc w:val="both"/>
      </w:pPr>
      <w:r>
        <w:rPr>
          <w:rFonts w:ascii="Cambria" w:hAnsi="Cambria"/>
          <w:sz w:val="22"/>
        </w:rPr>
        <w:t>This expands inclusivity, bridges the digital divide, and ensures equitable access to lifelong learning opportunities.</w:t>
      </w:r>
    </w:p>
    <w:p>
      <w:pPr>
        <w:pStyle w:val="ListBullet"/>
        <w:ind w:left="357"/>
        <w:jc w:val="both"/>
      </w:pPr>
      <w:r>
        <w:rPr>
          <w:rFonts w:ascii="Cambria" w:hAnsi="Cambria"/>
          <w:b/>
          <w:sz w:val="22"/>
        </w:rPr>
        <w:t xml:space="preserve">Proposed Actions (HEIs): </w:t>
      </w:r>
      <w:r>
        <w:rPr>
          <w:rFonts w:ascii="Cambria" w:hAnsi="Cambria"/>
          <w:sz w:val="22"/>
        </w:rPr>
      </w:r>
    </w:p>
    <w:p>
      <w:pPr>
        <w:pStyle w:val="ListBullet2"/>
        <w:ind w:left="720"/>
        <w:jc w:val="both"/>
      </w:pPr>
      <w:r>
        <w:rPr>
          <w:rFonts w:ascii="Cambria" w:hAnsi="Cambria"/>
          <w:sz w:val="22"/>
        </w:rPr>
        <w:t>Identify local and regional learning needs through surveys and stakeholder consultations.</w:t>
      </w:r>
    </w:p>
    <w:p>
      <w:pPr>
        <w:pStyle w:val="ListBullet2"/>
        <w:ind w:left="720"/>
        <w:jc w:val="both"/>
      </w:pPr>
      <w:r>
        <w:rPr>
          <w:rFonts w:ascii="Cambria" w:hAnsi="Cambria"/>
          <w:sz w:val="22"/>
        </w:rPr>
        <w:t>Develop MOOCs on essential topics (literacy, digital skills, vocational training, sustainability, health awareness).</w:t>
      </w:r>
    </w:p>
    <w:p>
      <w:pPr>
        <w:pStyle w:val="ListBullet2"/>
        <w:ind w:left="720"/>
        <w:jc w:val="both"/>
      </w:pPr>
      <w:r>
        <w:rPr>
          <w:rFonts w:ascii="Cambria" w:hAnsi="Cambria"/>
          <w:sz w:val="22"/>
        </w:rPr>
        <w:t>Collaborate with SWAYAM (India), NPTEL, and FutureLearn to scale distribution.</w:t>
      </w:r>
    </w:p>
    <w:p>
      <w:pPr>
        <w:pStyle w:val="ListBullet2"/>
        <w:ind w:left="720"/>
        <w:jc w:val="both"/>
      </w:pPr>
      <w:r>
        <w:rPr>
          <w:rFonts w:ascii="Cambria" w:hAnsi="Cambria"/>
          <w:sz w:val="22"/>
        </w:rPr>
        <w:t>Use subtitles, audio translations, and culturally relevant examples to enhance accessibility.</w:t>
      </w:r>
    </w:p>
    <w:p>
      <w:pPr>
        <w:pStyle w:val="ListBullet"/>
        <w:ind w:left="357"/>
        <w:jc w:val="both"/>
      </w:pPr>
      <w:r>
        <w:rPr>
          <w:rFonts w:ascii="Cambria" w:hAnsi="Cambria"/>
          <w:b/>
          <w:sz w:val="22"/>
        </w:rPr>
        <w:t xml:space="preserve">Global/National Best Practices: </w:t>
      </w:r>
      <w:r>
        <w:rPr>
          <w:rFonts w:ascii="Cambria" w:hAnsi="Cambria"/>
          <w:sz w:val="22"/>
        </w:rPr>
      </w:r>
    </w:p>
    <w:p>
      <w:pPr>
        <w:pStyle w:val="ListBullet2"/>
        <w:ind w:left="720"/>
        <w:jc w:val="both"/>
      </w:pPr>
      <w:r>
        <w:rPr>
          <w:rFonts w:ascii="Cambria" w:hAnsi="Cambria"/>
          <w:b/>
          <w:sz w:val="22"/>
        </w:rPr>
        <w:t xml:space="preserve">SWAYAM (India): </w:t>
      </w:r>
      <w:r>
        <w:rPr>
          <w:rFonts w:ascii="Cambria" w:hAnsi="Cambria"/>
          <w:sz w:val="22"/>
        </w:rPr>
        <w:t>Offers MOOCs in multiple Indian languages to reach diverse learners.</w:t>
      </w:r>
    </w:p>
    <w:p>
      <w:pPr>
        <w:pStyle w:val="ListBullet2"/>
        <w:ind w:left="720"/>
        <w:jc w:val="both"/>
      </w:pPr>
      <w:r>
        <w:rPr>
          <w:rFonts w:ascii="Cambria" w:hAnsi="Cambria"/>
          <w:b/>
          <w:sz w:val="22"/>
        </w:rPr>
        <w:t xml:space="preserve">UNESCO OER Policy (2019): </w:t>
      </w:r>
      <w:r>
        <w:rPr>
          <w:rFonts w:ascii="Cambria" w:hAnsi="Cambria"/>
          <w:sz w:val="22"/>
        </w:rPr>
        <w:t>Advocates open resources in local languages to promote equity.</w:t>
      </w:r>
    </w:p>
    <w:p>
      <w:pPr>
        <w:pStyle w:val="ListBullet2"/>
        <w:ind w:left="720"/>
        <w:jc w:val="both"/>
      </w:pPr>
      <w:r>
        <w:rPr>
          <w:rFonts w:ascii="Cambria" w:hAnsi="Cambria"/>
          <w:b/>
          <w:sz w:val="22"/>
        </w:rPr>
        <w:t xml:space="preserve">edX/MOOCs Africa Project: </w:t>
      </w:r>
      <w:r>
        <w:rPr>
          <w:rFonts w:ascii="Cambria" w:hAnsi="Cambria"/>
          <w:sz w:val="22"/>
        </w:rPr>
        <w:t>Courses translated into Swahili and French for wider reach in Sub-Saharan Africa.</w:t>
      </w:r>
    </w:p>
    <w:p>
      <w:pPr>
        <w:pStyle w:val="ListBullet"/>
        <w:ind w:left="357"/>
        <w:jc w:val="both"/>
      </w:pPr>
      <w:r>
        <w:rPr>
          <w:rFonts w:ascii="Cambria" w:hAnsi="Cambria"/>
          <w:b/>
          <w:sz w:val="22"/>
        </w:rPr>
        <w:t xml:space="preserve">Expected Outcomes: </w:t>
      </w:r>
      <w:r>
        <w:rPr>
          <w:rFonts w:ascii="Cambria" w:hAnsi="Cambria"/>
          <w:sz w:val="22"/>
        </w:rPr>
      </w:r>
    </w:p>
    <w:p>
      <w:pPr>
        <w:pStyle w:val="ListBullet2"/>
        <w:ind w:left="720"/>
        <w:jc w:val="both"/>
      </w:pPr>
      <w:r>
        <w:rPr>
          <w:rFonts w:ascii="Cambria" w:hAnsi="Cambria"/>
          <w:sz w:val="22"/>
        </w:rPr>
        <w:t>Increased enrolment from rural and marginalized learners.</w:t>
      </w:r>
    </w:p>
    <w:p>
      <w:pPr>
        <w:pStyle w:val="ListBullet2"/>
        <w:ind w:left="720"/>
        <w:jc w:val="both"/>
      </w:pPr>
      <w:r>
        <w:rPr>
          <w:rFonts w:ascii="Cambria" w:hAnsi="Cambria"/>
          <w:sz w:val="22"/>
        </w:rPr>
        <w:t>Lifelong learning opportunities extended to communities beyond HEIs.</w:t>
      </w:r>
    </w:p>
    <w:p>
      <w:pPr>
        <w:pStyle w:val="ListBullet2"/>
        <w:ind w:left="720"/>
        <w:jc w:val="both"/>
      </w:pPr>
      <w:r>
        <w:rPr>
          <w:rFonts w:ascii="Cambria" w:hAnsi="Cambria"/>
          <w:sz w:val="22"/>
        </w:rPr>
        <w:t>Strengthened university–community partnerships.</w:t>
      </w:r>
    </w:p>
    <w:p>
      <w:pPr>
        <w:pStyle w:val="ListBullet2"/>
        <w:ind w:left="720"/>
        <w:jc w:val="both"/>
      </w:pPr>
      <w:r>
        <w:rPr>
          <w:rFonts w:ascii="Cambria" w:hAnsi="Cambria"/>
          <w:sz w:val="22"/>
        </w:rPr>
        <w:t>Contribution to literacy, employability, and local skill development.</w:t>
      </w:r>
    </w:p>
    <w:p>
      <w:pPr>
        <w:pStyle w:val="ListBullet"/>
        <w:ind w:left="357"/>
        <w:jc w:val="both"/>
      </w:pPr>
      <w:r>
        <w:rPr>
          <w:rFonts w:ascii="Cambria" w:hAnsi="Cambria"/>
          <w:b/>
          <w:sz w:val="22"/>
        </w:rPr>
        <w:t xml:space="preserve">Key Performance Indicators (KPIs): </w:t>
      </w:r>
      <w:r>
        <w:rPr>
          <w:rFonts w:ascii="Cambria" w:hAnsi="Cambria"/>
          <w:sz w:val="22"/>
        </w:rPr>
      </w:r>
    </w:p>
    <w:p>
      <w:pPr>
        <w:pStyle w:val="ListBullet2"/>
        <w:ind w:left="720"/>
        <w:jc w:val="both"/>
      </w:pPr>
      <w:r>
        <w:rPr>
          <w:rFonts w:ascii="Cambria" w:hAnsi="Cambria"/>
          <w:sz w:val="22"/>
        </w:rPr>
        <w:t>Number of MOOCs developed in vernacular/local languages.</w:t>
      </w:r>
    </w:p>
    <w:p>
      <w:pPr>
        <w:pStyle w:val="ListBullet2"/>
        <w:ind w:left="720"/>
        <w:jc w:val="both"/>
      </w:pPr>
      <w:r>
        <w:rPr>
          <w:rFonts w:ascii="Cambria" w:hAnsi="Cambria"/>
          <w:sz w:val="22"/>
        </w:rPr>
        <w:t>Enrolment and completion rates of community members.</w:t>
      </w:r>
    </w:p>
    <w:p>
      <w:pPr>
        <w:pStyle w:val="ListBullet2"/>
        <w:ind w:left="720"/>
        <w:jc w:val="both"/>
      </w:pPr>
      <w:r>
        <w:rPr>
          <w:rFonts w:ascii="Cambria" w:hAnsi="Cambria"/>
          <w:sz w:val="22"/>
        </w:rPr>
        <w:t>% of rural/first-generation learners benefitting from MOOCs.</w:t>
      </w:r>
    </w:p>
    <w:p>
      <w:pPr>
        <w:pStyle w:val="ListBullet2"/>
        <w:ind w:left="720"/>
        <w:jc w:val="both"/>
      </w:pPr>
      <w:r>
        <w:rPr>
          <w:rFonts w:ascii="Cambria" w:hAnsi="Cambria"/>
          <w:sz w:val="22"/>
        </w:rPr>
        <w:t>Student/teacher/community satisfaction scores from feedback surveys.</w:t>
      </w:r>
    </w:p>
    <w:p>
      <w:pPr>
        <w:spacing w:before="200" w:after="80"/>
        <w:jc w:val="left"/>
      </w:pPr>
      <w:r>
        <w:rPr>
          <w:rFonts w:ascii="Cambria" w:hAnsi="Cambria"/>
          <w:b/>
          <w:color w:val="1F3A5F"/>
          <w:sz w:val="25"/>
        </w:rPr>
        <w:t>Community-Focused Recommendations for SDG-4</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left"/>
            </w:pPr>
            <w:r/>
            <w:r>
              <w:rPr>
                <w:rFonts w:ascii="Cambria" w:hAnsi="Cambria"/>
                <w:b/>
                <w:i w:val="0"/>
                <w:color w:val="FFFFFF"/>
                <w:sz w:val="22"/>
              </w:rPr>
              <w:t>Policy Domain</w:t>
            </w:r>
          </w:p>
        </w:tc>
        <w:tc>
          <w:tcPr>
            <w:tcW w:type="dxa" w:w="2154"/>
            <w:shd w:val="clear" w:color="auto" w:fill="1F3A5F"/>
            <w:tcW w:w="2154" w:type="dxa"/>
          </w:tcPr>
          <w:p>
            <w:pPr>
              <w:jc w:val="left"/>
            </w:pPr>
            <w:r/>
            <w:r>
              <w:rPr>
                <w:rFonts w:ascii="Cambria" w:hAnsi="Cambria"/>
                <w:b/>
                <w:i w:val="0"/>
                <w:color w:val="FFFFFF"/>
                <w:sz w:val="22"/>
              </w:rPr>
              <w:t>Proposed Actions (HEIs)</w:t>
            </w:r>
          </w:p>
        </w:tc>
        <w:tc>
          <w:tcPr>
            <w:tcW w:type="dxa" w:w="2041"/>
            <w:shd w:val="clear" w:color="auto" w:fill="1F3A5F"/>
            <w:tcW w:w="2041" w:type="dxa"/>
          </w:tcPr>
          <w:p>
            <w:pPr>
              <w:jc w:val="left"/>
            </w:pPr>
            <w:r/>
            <w:r>
              <w:rPr>
                <w:rFonts w:ascii="Cambria" w:hAnsi="Cambria"/>
                <w:b/>
                <w:i w:val="0"/>
                <w:color w:val="FFFFFF"/>
                <w:sz w:val="22"/>
              </w:rPr>
              <w:t>Global/National Best Practices</w:t>
            </w:r>
          </w:p>
        </w:tc>
        <w:tc>
          <w:tcPr>
            <w:tcW w:type="dxa" w:w="1814"/>
            <w:shd w:val="clear" w:color="auto" w:fill="1F3A5F"/>
            <w:tcW w:w="1814" w:type="dxa"/>
          </w:tcPr>
          <w:p>
            <w:pPr>
              <w:jc w:val="left"/>
            </w:pPr>
            <w:r/>
            <w:r>
              <w:rPr>
                <w:rFonts w:ascii="Cambria" w:hAnsi="Cambria"/>
                <w:b/>
                <w:i w:val="0"/>
                <w:color w:val="FFFFFF"/>
                <w:sz w:val="22"/>
              </w:rPr>
              <w:t>Expected Outcomes</w:t>
            </w:r>
          </w:p>
        </w:tc>
        <w:tc>
          <w:tcPr>
            <w:tcW w:type="dxa" w:w="1928"/>
            <w:shd w:val="clear" w:color="auto" w:fill="1F3A5F"/>
            <w:tcW w:w="1927" w:type="dxa"/>
          </w:tcPr>
          <w:p>
            <w:pPr>
              <w:jc w:val="left"/>
            </w:pPr>
            <w:r/>
            <w:r>
              <w:rPr>
                <w:rFonts w:ascii="Cambria" w:hAnsi="Cambria"/>
                <w:b/>
                <w:i w:val="0"/>
                <w:color w:val="FFFFFF"/>
                <w:sz w:val="22"/>
              </w:rPr>
              <w:t>Key Performance Indicators (KPIs)</w:t>
            </w:r>
          </w:p>
        </w:tc>
      </w:tr>
      <w:tr>
        <w:tc>
          <w:tcPr>
            <w:tcW w:type="dxa" w:w="1474"/>
            <w:tcW w:w="1474" w:type="dxa"/>
          </w:tcPr>
          <w:p>
            <w:pPr>
              <w:jc w:val="left"/>
            </w:pPr>
            <w:r/>
            <w:r>
              <w:rPr>
                <w:rFonts w:ascii="Cambria" w:hAnsi="Cambria"/>
                <w:b w:val="0"/>
                <w:i w:val="0"/>
                <w:sz w:val="22"/>
              </w:rPr>
              <w:t>Community Literacy Labs</w:t>
            </w:r>
          </w:p>
        </w:tc>
        <w:tc>
          <w:tcPr>
            <w:tcW w:type="dxa" w:w="2154"/>
            <w:tcW w:w="2154" w:type="dxa"/>
          </w:tcPr>
          <w:p>
            <w:pPr>
              <w:jc w:val="left"/>
            </w:pPr>
            <w:r/>
            <w:r>
              <w:rPr>
                <w:rFonts w:ascii="Cambria" w:hAnsi="Cambria"/>
                <w:b w:val="0"/>
                <w:i w:val="0"/>
                <w:sz w:val="22"/>
              </w:rPr>
              <w:t>Establish literacy and digital learning labs in villages/towns using HEI facilities and student volunteers; Offer basic literacy, numeracy, financial literacy, and digital literacy courses; Partner with NGOs and local schools</w:t>
            </w:r>
          </w:p>
        </w:tc>
        <w:tc>
          <w:tcPr>
            <w:tcW w:type="dxa" w:w="2041"/>
            <w:tcW w:w="2041" w:type="dxa"/>
          </w:tcPr>
          <w:p>
            <w:pPr>
              <w:jc w:val="left"/>
            </w:pPr>
            <w:r/>
            <w:r>
              <w:rPr>
                <w:rFonts w:ascii="Cambria" w:hAnsi="Cambria"/>
                <w:b w:val="0"/>
                <w:i w:val="0"/>
                <w:sz w:val="22"/>
              </w:rPr>
              <w:t>UNESCO Literacy Initiative for Empowerment (LIFE): Community-based adult literacy programs; India's Saakshar Bharat Mission: Community-driven adult education; African Digital Schools Initiative: Literacy through ICT labs in rural areas</w:t>
            </w:r>
          </w:p>
        </w:tc>
        <w:tc>
          <w:tcPr>
            <w:tcW w:type="dxa" w:w="1814"/>
            <w:tcW w:w="1814" w:type="dxa"/>
          </w:tcPr>
          <w:p>
            <w:pPr>
              <w:jc w:val="left"/>
            </w:pPr>
            <w:r/>
            <w:r>
              <w:rPr>
                <w:rFonts w:ascii="Cambria" w:hAnsi="Cambria"/>
                <w:b w:val="0"/>
                <w:i w:val="0"/>
                <w:sz w:val="22"/>
              </w:rPr>
              <w:t>Improved literacy rates among adults and youth; Increased digital literacy for employability; Stronger HEI–community partnerships</w:t>
            </w:r>
          </w:p>
        </w:tc>
        <w:tc>
          <w:tcPr>
            <w:tcW w:type="dxa" w:w="1928"/>
            <w:tcW w:w="1927" w:type="dxa"/>
          </w:tcPr>
          <w:p>
            <w:pPr>
              <w:jc w:val="left"/>
            </w:pPr>
            <w:r/>
            <w:r>
              <w:rPr>
                <w:rFonts w:ascii="Cambria" w:hAnsi="Cambria"/>
                <w:b w:val="0"/>
                <w:i w:val="0"/>
                <w:sz w:val="22"/>
              </w:rPr>
              <w:t>Number of literacy labs established; Enrolment and completion rates in community programs; Adult literacy rate improvement in target regions</w:t>
            </w:r>
          </w:p>
        </w:tc>
      </w:tr>
      <w:tr>
        <w:tc>
          <w:tcPr>
            <w:tcW w:type="dxa" w:w="1474"/>
            <w:tcW w:w="1474" w:type="dxa"/>
            <w:shd w:val="clear" w:color="auto" w:fill="DCE6F1"/>
          </w:tcPr>
          <w:p>
            <w:pPr>
              <w:jc w:val="left"/>
            </w:pPr>
            <w:r/>
            <w:r>
              <w:rPr>
                <w:rFonts w:ascii="Cambria" w:hAnsi="Cambria"/>
                <w:b w:val="0"/>
                <w:i w:val="0"/>
                <w:sz w:val="22"/>
              </w:rPr>
              <w:t>Mobile Learning Vans (Edu-on-Wheels)</w:t>
            </w:r>
          </w:p>
        </w:tc>
        <w:tc>
          <w:tcPr>
            <w:tcW w:type="dxa" w:w="2154"/>
            <w:tcW w:w="2154" w:type="dxa"/>
            <w:shd w:val="clear" w:color="auto" w:fill="DCE6F1"/>
          </w:tcPr>
          <w:p>
            <w:pPr>
              <w:jc w:val="left"/>
            </w:pPr>
            <w:r/>
            <w:r>
              <w:rPr>
                <w:rFonts w:ascii="Cambria" w:hAnsi="Cambria"/>
                <w:b w:val="0"/>
                <w:i w:val="0"/>
                <w:sz w:val="22"/>
              </w:rPr>
              <w:t>Deploy mobile learning vans with digital classrooms, tablets, and internet access to underserved areas; Provide short courses on health, vocational training, sustainability, and life skills; Involve HEI students in outreach teaching</w:t>
            </w:r>
          </w:p>
        </w:tc>
        <w:tc>
          <w:tcPr>
            <w:tcW w:type="dxa" w:w="2041"/>
            <w:tcW w:w="2041" w:type="dxa"/>
            <w:shd w:val="clear" w:color="auto" w:fill="DCE6F1"/>
          </w:tcPr>
          <w:p>
            <w:pPr>
              <w:jc w:val="left"/>
            </w:pPr>
            <w:r/>
            <w:r>
              <w:rPr>
                <w:rFonts w:ascii="Cambria" w:hAnsi="Cambria"/>
                <w:b w:val="0"/>
                <w:i w:val="0"/>
                <w:sz w:val="22"/>
              </w:rPr>
              <w:t>Mexico's Telesecundaria Program: Mobile classrooms for rural secondary students; Pratham's Read India Campaign (India): Mobile libraries and learning buses; UNICEF Mobile Schools (Africa): Mobile classrooms for nomadic communities</w:t>
            </w:r>
          </w:p>
        </w:tc>
        <w:tc>
          <w:tcPr>
            <w:tcW w:type="dxa" w:w="1814"/>
            <w:tcW w:w="1814" w:type="dxa"/>
            <w:shd w:val="clear" w:color="auto" w:fill="DCE6F1"/>
          </w:tcPr>
          <w:p>
            <w:pPr>
              <w:jc w:val="left"/>
            </w:pPr>
            <w:r/>
            <w:r>
              <w:rPr>
                <w:rFonts w:ascii="Cambria" w:hAnsi="Cambria"/>
                <w:b w:val="0"/>
                <w:i w:val="0"/>
                <w:sz w:val="22"/>
              </w:rPr>
              <w:t>Access to education for remote/rural learners; Reduced digital divide in underserved areas; Increased community trust in HEIs</w:t>
            </w:r>
          </w:p>
        </w:tc>
        <w:tc>
          <w:tcPr>
            <w:tcW w:type="dxa" w:w="1928"/>
            <w:tcW w:w="1927" w:type="dxa"/>
            <w:shd w:val="clear" w:color="auto" w:fill="DCE6F1"/>
          </w:tcPr>
          <w:p>
            <w:pPr>
              <w:jc w:val="left"/>
            </w:pPr>
            <w:r/>
            <w:r>
              <w:rPr>
                <w:rFonts w:ascii="Cambria" w:hAnsi="Cambria"/>
                <w:b w:val="0"/>
                <w:i w:val="0"/>
                <w:sz w:val="22"/>
              </w:rPr>
              <w:t>Number of mobile learning vans deployed; Number of learners reached per year; % increase in rural/remote education enrolment</w:t>
            </w:r>
          </w:p>
        </w:tc>
      </w:tr>
      <w:tr>
        <w:tc>
          <w:tcPr>
            <w:tcW w:type="dxa" w:w="1474"/>
            <w:tcW w:w="1474" w:type="dxa"/>
          </w:tcPr>
          <w:p>
            <w:pPr>
              <w:jc w:val="left"/>
            </w:pPr>
            <w:r/>
            <w:r>
              <w:rPr>
                <w:rFonts w:ascii="Cambria" w:hAnsi="Cambria"/>
                <w:b w:val="0"/>
                <w:i w:val="0"/>
                <w:sz w:val="22"/>
              </w:rPr>
              <w:t>SDG Radio &amp; Community Broadcasting</w:t>
            </w:r>
          </w:p>
        </w:tc>
        <w:tc>
          <w:tcPr>
            <w:tcW w:type="dxa" w:w="2154"/>
            <w:tcW w:w="2154" w:type="dxa"/>
          </w:tcPr>
          <w:p>
            <w:pPr>
              <w:jc w:val="left"/>
            </w:pPr>
            <w:r/>
            <w:r>
              <w:rPr>
                <w:rFonts w:ascii="Cambria" w:hAnsi="Cambria"/>
                <w:b w:val="0"/>
                <w:i w:val="0"/>
                <w:sz w:val="22"/>
              </w:rPr>
              <w:t>Launch HEI-supported community radio/TV programs in local languages; Broadcast lessons on literacy, sustainability, health, and SDGs; Engage faculty and students in content creation</w:t>
            </w:r>
          </w:p>
        </w:tc>
        <w:tc>
          <w:tcPr>
            <w:tcW w:type="dxa" w:w="2041"/>
            <w:tcW w:w="2041" w:type="dxa"/>
          </w:tcPr>
          <w:p>
            <w:pPr>
              <w:jc w:val="left"/>
            </w:pPr>
            <w:r/>
            <w:r>
              <w:rPr>
                <w:rFonts w:ascii="Cambria" w:hAnsi="Cambria"/>
                <w:b w:val="0"/>
                <w:i w:val="0"/>
                <w:sz w:val="22"/>
              </w:rPr>
              <w:t>Community Radio in India (CRS Scheme): 350+ radios run by HEIs/NGOs; UNESCO Media &amp; Information Literacy (MIL): Promotes education via local broadcasting; BBC Media Action (Bangladesh): Radio for development and health literacy</w:t>
            </w:r>
          </w:p>
        </w:tc>
        <w:tc>
          <w:tcPr>
            <w:tcW w:type="dxa" w:w="1814"/>
            <w:tcW w:w="1814" w:type="dxa"/>
          </w:tcPr>
          <w:p>
            <w:pPr>
              <w:jc w:val="left"/>
            </w:pPr>
            <w:r/>
            <w:r>
              <w:rPr>
                <w:rFonts w:ascii="Cambria" w:hAnsi="Cambria"/>
                <w:b w:val="0"/>
                <w:i w:val="0"/>
                <w:sz w:val="22"/>
              </w:rPr>
              <w:t>Greater outreach to rural and low-literacy communities; Increased awareness of SDGs, health, and sustainability; Engagement of non-formal learners</w:t>
            </w:r>
          </w:p>
        </w:tc>
        <w:tc>
          <w:tcPr>
            <w:tcW w:type="dxa" w:w="1928"/>
            <w:tcW w:w="1927" w:type="dxa"/>
          </w:tcPr>
          <w:p>
            <w:pPr>
              <w:jc w:val="left"/>
            </w:pPr>
            <w:r/>
            <w:r>
              <w:rPr>
                <w:rFonts w:ascii="Cambria" w:hAnsi="Cambria"/>
                <w:b w:val="0"/>
                <w:i w:val="0"/>
                <w:sz w:val="22"/>
              </w:rPr>
              <w:t>Number of hours of SDG/education broadcast annually; Estimated listener reach (%); Community feedback ratings</w:t>
            </w:r>
          </w:p>
        </w:tc>
      </w:tr>
    </w:tbl>
    <w:p>
      <w:r>
        <w:br w:type="page"/>
      </w:r>
    </w:p>
    <w:p>
      <w:pPr>
        <w:spacing w:before="280" w:after="160"/>
        <w:jc w:val="left"/>
      </w:pPr>
      <w:r>
        <w:rPr>
          <w:rFonts w:ascii="Cambria" w:hAnsi="Cambria"/>
          <w:b/>
          <w:color w:val="1F3A5F"/>
          <w:sz w:val="32"/>
        </w:rPr>
        <w:t>10. Community Outreach: HEI Contributions to SDG-4</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left"/>
            </w:pPr>
            <w:r/>
            <w:r>
              <w:rPr>
                <w:rFonts w:ascii="Cambria" w:hAnsi="Cambria"/>
                <w:b/>
                <w:i w:val="0"/>
                <w:color w:val="FFFFFF"/>
                <w:sz w:val="22"/>
              </w:rPr>
              <w:t>Policy Domain: Community Outreach</w:t>
            </w:r>
          </w:p>
        </w:tc>
        <w:tc>
          <w:tcPr>
            <w:tcW w:type="dxa" w:w="2154"/>
            <w:shd w:val="clear" w:color="auto" w:fill="1F3A5F"/>
            <w:tcW w:w="2154" w:type="dxa"/>
          </w:tcPr>
          <w:p>
            <w:pPr>
              <w:jc w:val="left"/>
            </w:pPr>
            <w:r/>
            <w:r>
              <w:rPr>
                <w:rFonts w:ascii="Cambria" w:hAnsi="Cambria"/>
                <w:b/>
                <w:i w:val="0"/>
                <w:color w:val="FFFFFF"/>
                <w:sz w:val="22"/>
              </w:rPr>
              <w:t>Proposed Actions (HEIs)</w:t>
            </w:r>
          </w:p>
        </w:tc>
        <w:tc>
          <w:tcPr>
            <w:tcW w:type="dxa" w:w="2041"/>
            <w:shd w:val="clear" w:color="auto" w:fill="1F3A5F"/>
            <w:tcW w:w="2041" w:type="dxa"/>
          </w:tcPr>
          <w:p>
            <w:pPr>
              <w:jc w:val="left"/>
            </w:pPr>
            <w:r/>
            <w:r>
              <w:rPr>
                <w:rFonts w:ascii="Cambria" w:hAnsi="Cambria"/>
                <w:b/>
                <w:i w:val="0"/>
                <w:color w:val="FFFFFF"/>
                <w:sz w:val="22"/>
              </w:rPr>
              <w:t>Global/National Best Practices</w:t>
            </w:r>
          </w:p>
        </w:tc>
        <w:tc>
          <w:tcPr>
            <w:tcW w:type="dxa" w:w="1814"/>
            <w:shd w:val="clear" w:color="auto" w:fill="1F3A5F"/>
            <w:tcW w:w="1814" w:type="dxa"/>
          </w:tcPr>
          <w:p>
            <w:pPr>
              <w:jc w:val="left"/>
            </w:pPr>
            <w:r/>
            <w:r>
              <w:rPr>
                <w:rFonts w:ascii="Cambria" w:hAnsi="Cambria"/>
                <w:b/>
                <w:i w:val="0"/>
                <w:color w:val="FFFFFF"/>
                <w:sz w:val="22"/>
              </w:rPr>
              <w:t>Expected Outcomes</w:t>
            </w:r>
          </w:p>
        </w:tc>
        <w:tc>
          <w:tcPr>
            <w:tcW w:type="dxa" w:w="1928"/>
            <w:shd w:val="clear" w:color="auto" w:fill="1F3A5F"/>
            <w:tcW w:w="1927" w:type="dxa"/>
          </w:tcPr>
          <w:p>
            <w:pPr>
              <w:jc w:val="left"/>
            </w:pPr>
            <w:r/>
            <w:r>
              <w:rPr>
                <w:rFonts w:ascii="Cambria" w:hAnsi="Cambria"/>
                <w:b/>
                <w:i w:val="0"/>
                <w:color w:val="FFFFFF"/>
                <w:sz w:val="22"/>
              </w:rPr>
              <w:t>Key Performance Indicators (KPIs)</w:t>
            </w:r>
          </w:p>
        </w:tc>
      </w:tr>
      <w:tr>
        <w:tc>
          <w:tcPr>
            <w:tcW w:type="dxa" w:w="1474"/>
            <w:tcW w:w="1474" w:type="dxa"/>
          </w:tcPr>
          <w:p>
            <w:pPr>
              <w:jc w:val="left"/>
            </w:pPr>
            <w:r/>
            <w:r>
              <w:rPr>
                <w:rFonts w:ascii="Cambria" w:hAnsi="Cambria"/>
                <w:b w:val="0"/>
                <w:i w:val="0"/>
                <w:sz w:val="22"/>
              </w:rPr>
              <w:t>MOOCs in Vernacular &amp; Local Languages</w:t>
            </w:r>
          </w:p>
        </w:tc>
        <w:tc>
          <w:tcPr>
            <w:tcW w:type="dxa" w:w="2154"/>
            <w:tcW w:w="2154" w:type="dxa"/>
          </w:tcPr>
          <w:p>
            <w:pPr>
              <w:jc w:val="left"/>
            </w:pPr>
            <w:r/>
            <w:r>
              <w:rPr>
                <w:rFonts w:ascii="Cambria" w:hAnsi="Cambria"/>
                <w:b w:val="0"/>
                <w:i w:val="0"/>
                <w:sz w:val="22"/>
              </w:rPr>
              <w:t>Develop MOOCs in regional languages for students, staff, community, and surrounding villages; Translate/subtitle existing courses for accessibility; Focus on literacy, skills, sustainability, and health awareness</w:t>
            </w:r>
          </w:p>
        </w:tc>
        <w:tc>
          <w:tcPr>
            <w:tcW w:type="dxa" w:w="2041"/>
            <w:tcW w:w="2041" w:type="dxa"/>
          </w:tcPr>
          <w:p>
            <w:pPr>
              <w:jc w:val="left"/>
            </w:pPr>
            <w:r/>
            <w:r>
              <w:rPr>
                <w:rFonts w:ascii="Cambria" w:hAnsi="Cambria"/>
                <w:b w:val="0"/>
                <w:i w:val="0"/>
                <w:sz w:val="22"/>
              </w:rPr>
              <w:t>SWAYAM (India): MOOCs in Indian languages; UNESCO OER Policy (2019): Open resources in local languages; MOOCs Africa Project (edX): Swahili/French MOOCs</w:t>
            </w:r>
          </w:p>
        </w:tc>
        <w:tc>
          <w:tcPr>
            <w:tcW w:type="dxa" w:w="1814"/>
            <w:tcW w:w="1814" w:type="dxa"/>
          </w:tcPr>
          <w:p>
            <w:pPr>
              <w:jc w:val="left"/>
            </w:pPr>
            <w:r/>
            <w:r>
              <w:rPr>
                <w:rFonts w:ascii="Cambria" w:hAnsi="Cambria"/>
                <w:b w:val="0"/>
                <w:i w:val="0"/>
                <w:sz w:val="22"/>
              </w:rPr>
              <w:t>Broadened access to lifelong learning; Participation of rural and marginalized learners; Strengthened HEI–community linkages</w:t>
            </w:r>
          </w:p>
        </w:tc>
        <w:tc>
          <w:tcPr>
            <w:tcW w:type="dxa" w:w="1928"/>
            <w:tcW w:w="1927" w:type="dxa"/>
          </w:tcPr>
          <w:p>
            <w:pPr>
              <w:jc w:val="left"/>
            </w:pPr>
            <w:r/>
            <w:r>
              <w:rPr>
                <w:rFonts w:ascii="Cambria" w:hAnsi="Cambria"/>
                <w:b w:val="0"/>
                <w:i w:val="0"/>
                <w:sz w:val="22"/>
              </w:rPr>
              <w:t>Number of vernacular MOOCs developed; Enrolment &amp; completion rates by rural learners; % of community members benefitting</w:t>
            </w:r>
          </w:p>
        </w:tc>
      </w:tr>
      <w:tr>
        <w:tc>
          <w:tcPr>
            <w:tcW w:type="dxa" w:w="1474"/>
            <w:tcW w:w="1474" w:type="dxa"/>
            <w:shd w:val="clear" w:color="auto" w:fill="DCE6F1"/>
          </w:tcPr>
          <w:p>
            <w:pPr>
              <w:jc w:val="left"/>
            </w:pPr>
            <w:r/>
            <w:r>
              <w:rPr>
                <w:rFonts w:ascii="Cambria" w:hAnsi="Cambria"/>
                <w:b w:val="0"/>
                <w:i w:val="0"/>
                <w:sz w:val="22"/>
              </w:rPr>
              <w:t>Community Literacy Labs</w:t>
            </w:r>
          </w:p>
        </w:tc>
        <w:tc>
          <w:tcPr>
            <w:tcW w:type="dxa" w:w="2154"/>
            <w:tcW w:w="2154" w:type="dxa"/>
            <w:shd w:val="clear" w:color="auto" w:fill="DCE6F1"/>
          </w:tcPr>
          <w:p>
            <w:pPr>
              <w:jc w:val="left"/>
            </w:pPr>
            <w:r/>
            <w:r>
              <w:rPr>
                <w:rFonts w:ascii="Cambria" w:hAnsi="Cambria"/>
                <w:b w:val="0"/>
                <w:i w:val="0"/>
                <w:sz w:val="22"/>
              </w:rPr>
              <w:t>Establish village-based literacy and digital labs; Offer basic literacy, numeracy, and ICT skills; Use HEI students and faculty as trainers</w:t>
            </w:r>
          </w:p>
        </w:tc>
        <w:tc>
          <w:tcPr>
            <w:tcW w:type="dxa" w:w="2041"/>
            <w:tcW w:w="2041" w:type="dxa"/>
            <w:shd w:val="clear" w:color="auto" w:fill="DCE6F1"/>
          </w:tcPr>
          <w:p>
            <w:pPr>
              <w:jc w:val="left"/>
            </w:pPr>
            <w:r/>
            <w:r>
              <w:rPr>
                <w:rFonts w:ascii="Cambria" w:hAnsi="Cambria"/>
                <w:b w:val="0"/>
                <w:i w:val="0"/>
                <w:sz w:val="22"/>
              </w:rPr>
              <w:t>UNESCO LIFE Initiative: Adult literacy programs; Saakshar Bharat Mission (India): Community-based literacy; African Digital Schools Initiative: ICT literacy</w:t>
            </w:r>
          </w:p>
        </w:tc>
        <w:tc>
          <w:tcPr>
            <w:tcW w:type="dxa" w:w="1814"/>
            <w:tcW w:w="1814" w:type="dxa"/>
            <w:shd w:val="clear" w:color="auto" w:fill="DCE6F1"/>
          </w:tcPr>
          <w:p>
            <w:pPr>
              <w:jc w:val="left"/>
            </w:pPr>
            <w:r/>
            <w:r>
              <w:rPr>
                <w:rFonts w:ascii="Cambria" w:hAnsi="Cambria"/>
                <w:b w:val="0"/>
                <w:i w:val="0"/>
                <w:sz w:val="22"/>
              </w:rPr>
              <w:t>Increased adult and youth literacy rates; Improved digital employability; Closer HEI–community collaboration</w:t>
            </w:r>
          </w:p>
        </w:tc>
        <w:tc>
          <w:tcPr>
            <w:tcW w:type="dxa" w:w="1928"/>
            <w:tcW w:w="1927" w:type="dxa"/>
            <w:shd w:val="clear" w:color="auto" w:fill="DCE6F1"/>
          </w:tcPr>
          <w:p>
            <w:pPr>
              <w:jc w:val="left"/>
            </w:pPr>
            <w:r/>
            <w:r>
              <w:rPr>
                <w:rFonts w:ascii="Cambria" w:hAnsi="Cambria"/>
                <w:b w:val="0"/>
                <w:i w:val="0"/>
                <w:sz w:val="22"/>
              </w:rPr>
              <w:t>Number of literacy labs set up; Adult literacy rate improvements (%); Number of learners enrolled/completed</w:t>
            </w:r>
          </w:p>
        </w:tc>
      </w:tr>
      <w:tr>
        <w:tc>
          <w:tcPr>
            <w:tcW w:type="dxa" w:w="1474"/>
            <w:tcW w:w="1474" w:type="dxa"/>
          </w:tcPr>
          <w:p>
            <w:pPr>
              <w:jc w:val="left"/>
            </w:pPr>
            <w:r/>
            <w:r>
              <w:rPr>
                <w:rFonts w:ascii="Cambria" w:hAnsi="Cambria"/>
                <w:b w:val="0"/>
                <w:i w:val="0"/>
                <w:sz w:val="22"/>
              </w:rPr>
              <w:t>Mobile Learning Vans (Edu-on-Wheels)</w:t>
            </w:r>
          </w:p>
        </w:tc>
        <w:tc>
          <w:tcPr>
            <w:tcW w:type="dxa" w:w="2154"/>
            <w:tcW w:w="2154" w:type="dxa"/>
          </w:tcPr>
          <w:p>
            <w:pPr>
              <w:jc w:val="left"/>
            </w:pPr>
            <w:r/>
            <w:r>
              <w:rPr>
                <w:rFonts w:ascii="Cambria" w:hAnsi="Cambria"/>
                <w:b w:val="0"/>
                <w:i w:val="0"/>
                <w:sz w:val="22"/>
              </w:rPr>
              <w:t>Deploy digital vans with tablets, smart screens, and internet access; Deliver vocational and life skills training in rural/remote areas; Involve HEI students in teaching and outreach</w:t>
            </w:r>
          </w:p>
        </w:tc>
        <w:tc>
          <w:tcPr>
            <w:tcW w:type="dxa" w:w="2041"/>
            <w:tcW w:w="2041" w:type="dxa"/>
          </w:tcPr>
          <w:p>
            <w:pPr>
              <w:jc w:val="left"/>
            </w:pPr>
            <w:r/>
            <w:r>
              <w:rPr>
                <w:rFonts w:ascii="Cambria" w:hAnsi="Cambria"/>
                <w:b w:val="0"/>
                <w:i w:val="0"/>
                <w:sz w:val="22"/>
              </w:rPr>
              <w:t>Mexico's Telesecundaria Program: Mobile classrooms; Pratham (India): Learning buses &amp; libraries; UNICEF Mobile Schools (Africa): Outreach to nomadic learners</w:t>
            </w:r>
          </w:p>
        </w:tc>
        <w:tc>
          <w:tcPr>
            <w:tcW w:type="dxa" w:w="1814"/>
            <w:tcW w:w="1814" w:type="dxa"/>
          </w:tcPr>
          <w:p>
            <w:pPr>
              <w:jc w:val="left"/>
            </w:pPr>
            <w:r/>
            <w:r>
              <w:rPr>
                <w:rFonts w:ascii="Cambria" w:hAnsi="Cambria"/>
                <w:b w:val="0"/>
                <w:i w:val="0"/>
                <w:sz w:val="22"/>
              </w:rPr>
              <w:t>Education access for rural/remote learners; Reduced digital divide; Strengthened social responsibility of HEIs</w:t>
            </w:r>
          </w:p>
        </w:tc>
        <w:tc>
          <w:tcPr>
            <w:tcW w:type="dxa" w:w="1928"/>
            <w:tcW w:w="1927" w:type="dxa"/>
          </w:tcPr>
          <w:p>
            <w:pPr>
              <w:jc w:val="left"/>
            </w:pPr>
            <w:r/>
            <w:r>
              <w:rPr>
                <w:rFonts w:ascii="Cambria" w:hAnsi="Cambria"/>
                <w:b w:val="0"/>
                <w:i w:val="0"/>
                <w:sz w:val="22"/>
              </w:rPr>
              <w:t>Number of vans deployed; Rural learners reached annually; % increase in remote enrolment</w:t>
            </w:r>
          </w:p>
        </w:tc>
      </w:tr>
      <w:tr>
        <w:tc>
          <w:tcPr>
            <w:tcW w:type="dxa" w:w="1474"/>
            <w:tcW w:w="1474" w:type="dxa"/>
            <w:shd w:val="clear" w:color="auto" w:fill="DCE6F1"/>
          </w:tcPr>
          <w:p>
            <w:pPr>
              <w:jc w:val="left"/>
            </w:pPr>
            <w:r/>
            <w:r>
              <w:rPr>
                <w:rFonts w:ascii="Cambria" w:hAnsi="Cambria"/>
                <w:b w:val="0"/>
                <w:i w:val="0"/>
                <w:sz w:val="22"/>
              </w:rPr>
              <w:t>SDG Radio &amp; Community Broadcasting</w:t>
            </w:r>
          </w:p>
        </w:tc>
        <w:tc>
          <w:tcPr>
            <w:tcW w:type="dxa" w:w="2154"/>
            <w:tcW w:w="2154" w:type="dxa"/>
            <w:shd w:val="clear" w:color="auto" w:fill="DCE6F1"/>
          </w:tcPr>
          <w:p>
            <w:pPr>
              <w:jc w:val="left"/>
            </w:pPr>
            <w:r/>
            <w:r>
              <w:rPr>
                <w:rFonts w:ascii="Cambria" w:hAnsi="Cambria"/>
                <w:b w:val="0"/>
                <w:i w:val="0"/>
                <w:sz w:val="22"/>
              </w:rPr>
              <w:t>Launch HEI-led community radio/TV in local languages; Broadcast SDG lessons, health literacy, sustainability awareness; Involve faculty &amp; students in program design</w:t>
            </w:r>
          </w:p>
        </w:tc>
        <w:tc>
          <w:tcPr>
            <w:tcW w:type="dxa" w:w="2041"/>
            <w:tcW w:w="2041" w:type="dxa"/>
            <w:shd w:val="clear" w:color="auto" w:fill="DCE6F1"/>
          </w:tcPr>
          <w:p>
            <w:pPr>
              <w:jc w:val="left"/>
            </w:pPr>
            <w:r/>
            <w:r>
              <w:rPr>
                <w:rFonts w:ascii="Cambria" w:hAnsi="Cambria"/>
                <w:b w:val="0"/>
                <w:i w:val="0"/>
                <w:sz w:val="22"/>
              </w:rPr>
              <w:t>India's CRS Scheme: 350+ HEI-run stations; UNESCO Media &amp; Information Literacy (MIL): Community education broadcasts; BBC Media Action (Bangladesh): Health &amp; development via radio</w:t>
            </w:r>
          </w:p>
        </w:tc>
        <w:tc>
          <w:tcPr>
            <w:tcW w:type="dxa" w:w="1814"/>
            <w:tcW w:w="1814" w:type="dxa"/>
            <w:shd w:val="clear" w:color="auto" w:fill="DCE6F1"/>
          </w:tcPr>
          <w:p>
            <w:pPr>
              <w:jc w:val="left"/>
            </w:pPr>
            <w:r/>
            <w:r>
              <w:rPr>
                <w:rFonts w:ascii="Cambria" w:hAnsi="Cambria"/>
                <w:b w:val="0"/>
                <w:i w:val="0"/>
                <w:sz w:val="22"/>
              </w:rPr>
              <w:t>Wider outreach to low-literacy and rural populations; Increased awareness of SDGs, health, and sustainability; Community empowerment through education</w:t>
            </w:r>
          </w:p>
        </w:tc>
        <w:tc>
          <w:tcPr>
            <w:tcW w:type="dxa" w:w="1928"/>
            <w:tcW w:w="1927" w:type="dxa"/>
            <w:shd w:val="clear" w:color="auto" w:fill="DCE6F1"/>
          </w:tcPr>
          <w:p>
            <w:pPr>
              <w:jc w:val="left"/>
            </w:pPr>
            <w:r/>
            <w:r>
              <w:rPr>
                <w:rFonts w:ascii="Cambria" w:hAnsi="Cambria"/>
                <w:b w:val="0"/>
                <w:i w:val="0"/>
                <w:sz w:val="22"/>
              </w:rPr>
              <w:t>Hours of broadcast annually; Estimated listener reach (%); Feedback from community surveys</w:t>
            </w:r>
          </w:p>
        </w:tc>
      </w:tr>
    </w:tbl>
    <w:p>
      <w:r>
        <w:br w:type="page"/>
      </w:r>
    </w:p>
    <w:p>
      <w:pPr>
        <w:spacing w:before="280" w:after="160"/>
        <w:jc w:val="left"/>
      </w:pPr>
      <w:r>
        <w:rPr>
          <w:rFonts w:ascii="Cambria" w:hAnsi="Cambria"/>
          <w:b/>
          <w:color w:val="1F3A5F"/>
          <w:sz w:val="32"/>
        </w:rPr>
        <w:t>11. Literacy Centres and Preschools on University Campuses</w:t>
      </w:r>
    </w:p>
    <w:p>
      <w:pPr>
        <w:spacing w:after="120"/>
        <w:jc w:val="both"/>
      </w:pPr>
      <w:r>
        <w:rPr>
          <w:rFonts w:ascii="Cambria" w:hAnsi="Cambria"/>
          <w:b/>
          <w:i w:val="0"/>
          <w:sz w:val="22"/>
        </w:rPr>
        <w:t>Policy Recommendation</w:t>
      </w:r>
    </w:p>
    <w:p>
      <w:pPr>
        <w:pStyle w:val="ListBullet"/>
        <w:ind w:left="357"/>
        <w:jc w:val="both"/>
      </w:pPr>
      <w:r>
        <w:rPr>
          <w:rFonts w:ascii="Cambria" w:hAnsi="Cambria"/>
          <w:sz w:val="22"/>
        </w:rPr>
        <w:t>Higher Education Institutions (HEIs) should establish literacy centres and preschools on their campuses as part of their community outreach and social responsibility initiatives.</w:t>
      </w:r>
    </w:p>
    <w:p>
      <w:pPr>
        <w:pStyle w:val="ListBullet"/>
        <w:ind w:left="357"/>
        <w:jc w:val="both"/>
      </w:pPr>
      <w:r>
        <w:rPr>
          <w:rFonts w:ascii="Cambria" w:hAnsi="Cambria"/>
          <w:b/>
          <w:sz w:val="22"/>
        </w:rPr>
        <w:t xml:space="preserve">These centres should provide: </w:t>
      </w:r>
      <w:r>
        <w:rPr>
          <w:rFonts w:ascii="Cambria" w:hAnsi="Cambria"/>
          <w:sz w:val="22"/>
        </w:rPr>
      </w:r>
    </w:p>
    <w:p>
      <w:pPr>
        <w:pStyle w:val="ListBullet2"/>
        <w:ind w:left="720"/>
        <w:jc w:val="both"/>
      </w:pPr>
      <w:r>
        <w:rPr>
          <w:rFonts w:ascii="Cambria" w:hAnsi="Cambria"/>
          <w:b/>
          <w:sz w:val="22"/>
        </w:rPr>
        <w:t xml:space="preserve">Adult Literacy Programmes: </w:t>
      </w:r>
      <w:r>
        <w:rPr>
          <w:rFonts w:ascii="Cambria" w:hAnsi="Cambria"/>
          <w:sz w:val="22"/>
        </w:rPr>
        <w:t>Reading, writing, numeracy, financial literacy, and digital literacy for adults from surrounding communities.</w:t>
      </w:r>
    </w:p>
    <w:p>
      <w:pPr>
        <w:pStyle w:val="ListBullet2"/>
        <w:ind w:left="720"/>
        <w:jc w:val="both"/>
      </w:pPr>
      <w:r>
        <w:rPr>
          <w:rFonts w:ascii="Cambria" w:hAnsi="Cambria"/>
          <w:b/>
          <w:sz w:val="22"/>
        </w:rPr>
        <w:t xml:space="preserve">Preschool Education: </w:t>
      </w:r>
      <w:r>
        <w:rPr>
          <w:rFonts w:ascii="Cambria" w:hAnsi="Cambria"/>
          <w:sz w:val="22"/>
        </w:rPr>
        <w:t>Early childhood education facilities for children of local populations, ensuring readiness for primary school.</w:t>
      </w:r>
    </w:p>
    <w:p>
      <w:pPr>
        <w:spacing w:after="120"/>
        <w:jc w:val="both"/>
      </w:pPr>
      <w:r>
        <w:rPr>
          <w:rFonts w:ascii="Cambria" w:hAnsi="Cambria"/>
          <w:b/>
          <w:i w:val="0"/>
          <w:sz w:val="22"/>
        </w:rPr>
        <w:t>Proposed Actions by HEIs</w:t>
      </w:r>
    </w:p>
    <w:p>
      <w:pPr>
        <w:pStyle w:val="ListBullet"/>
        <w:ind w:left="357"/>
        <w:jc w:val="both"/>
      </w:pPr>
      <w:r>
        <w:rPr>
          <w:rFonts w:ascii="Cambria" w:hAnsi="Cambria"/>
          <w:sz w:val="22"/>
        </w:rPr>
        <w:t>Allocate physical space on university campuses for literacy centres and preschools.</w:t>
      </w:r>
    </w:p>
    <w:p>
      <w:pPr>
        <w:pStyle w:val="ListBullet"/>
        <w:ind w:left="357"/>
        <w:jc w:val="both"/>
      </w:pPr>
      <w:r>
        <w:rPr>
          <w:rFonts w:ascii="Cambria" w:hAnsi="Cambria"/>
          <w:sz w:val="22"/>
        </w:rPr>
        <w:t>Design structured literacy and preschool curricula in line with UNESCO ESD goals and national education policies.</w:t>
      </w:r>
    </w:p>
    <w:p>
      <w:pPr>
        <w:pStyle w:val="ListBullet"/>
        <w:ind w:left="357"/>
        <w:jc w:val="both"/>
      </w:pPr>
      <w:r>
        <w:rPr>
          <w:rFonts w:ascii="Cambria" w:hAnsi="Cambria"/>
          <w:sz w:val="22"/>
        </w:rPr>
        <w:t>Involve university students and faculty (education, social work, psychology departments) in teaching and mentoring, providing them service-learning opportunities.</w:t>
      </w:r>
    </w:p>
    <w:p>
      <w:pPr>
        <w:pStyle w:val="ListBullet"/>
        <w:ind w:left="357"/>
        <w:jc w:val="both"/>
      </w:pPr>
      <w:r>
        <w:rPr>
          <w:rFonts w:ascii="Cambria" w:hAnsi="Cambria"/>
          <w:sz w:val="22"/>
        </w:rPr>
        <w:t>Partner with local governments, NGOs, and community organizations to mobilize resources and monitor outcomes.</w:t>
      </w:r>
    </w:p>
    <w:p>
      <w:pPr>
        <w:pStyle w:val="ListBullet"/>
        <w:ind w:left="357"/>
        <w:jc w:val="both"/>
      </w:pPr>
      <w:r>
        <w:rPr>
          <w:rFonts w:ascii="Cambria" w:hAnsi="Cambria"/>
          <w:sz w:val="22"/>
        </w:rPr>
        <w:t>Integrate ICT tools (digital boards, tablets, apps) for blended learning in literacy and preschool programmes.</w:t>
      </w:r>
    </w:p>
    <w:p>
      <w:pPr>
        <w:spacing w:after="120"/>
        <w:jc w:val="both"/>
      </w:pPr>
      <w:r>
        <w:rPr>
          <w:rFonts w:ascii="Cambria" w:hAnsi="Cambria"/>
          <w:b/>
          <w:i w:val="0"/>
          <w:sz w:val="22"/>
        </w:rPr>
        <w:t>Global and National Best Practices</w:t>
      </w:r>
    </w:p>
    <w:p>
      <w:pPr>
        <w:pStyle w:val="ListBullet"/>
        <w:ind w:left="357"/>
        <w:jc w:val="both"/>
      </w:pPr>
      <w:r>
        <w:rPr>
          <w:rFonts w:ascii="Cambria" w:hAnsi="Cambria"/>
          <w:b/>
          <w:sz w:val="22"/>
        </w:rPr>
        <w:t xml:space="preserve">UNESCO Global Alliance for Literacy (GAL): </w:t>
      </w:r>
      <w:r>
        <w:rPr>
          <w:rFonts w:ascii="Cambria" w:hAnsi="Cambria"/>
          <w:sz w:val="22"/>
        </w:rPr>
        <w:t>A worldwide initiative encouraging universities to partner in community literacy programmes.</w:t>
      </w:r>
    </w:p>
    <w:p>
      <w:pPr>
        <w:pStyle w:val="ListBullet"/>
        <w:ind w:left="357"/>
        <w:jc w:val="both"/>
      </w:pPr>
      <w:r>
        <w:rPr>
          <w:rFonts w:ascii="Cambria" w:hAnsi="Cambria"/>
          <w:b/>
          <w:sz w:val="22"/>
        </w:rPr>
        <w:t xml:space="preserve">India's Anganwadi Centres: </w:t>
      </w:r>
      <w:r>
        <w:rPr>
          <w:rFonts w:ascii="Cambria" w:hAnsi="Cambria"/>
          <w:sz w:val="22"/>
        </w:rPr>
        <w:t>Community-based preschools providing early childhood care, nutrition, and education.</w:t>
      </w:r>
    </w:p>
    <w:p>
      <w:pPr>
        <w:pStyle w:val="ListBullet"/>
        <w:ind w:left="357"/>
        <w:jc w:val="both"/>
      </w:pPr>
      <w:r>
        <w:rPr>
          <w:rFonts w:ascii="Cambria" w:hAnsi="Cambria"/>
          <w:sz w:val="22"/>
        </w:rPr>
        <w:t>Harvard University's Phillips Brooks House Association (USA): Student-led literacy tutoring programmes for underprivileged communities.</w:t>
      </w:r>
    </w:p>
    <w:p>
      <w:pPr>
        <w:pStyle w:val="ListBullet"/>
        <w:ind w:left="357"/>
        <w:jc w:val="both"/>
      </w:pPr>
      <w:r>
        <w:rPr>
          <w:rFonts w:ascii="Cambria" w:hAnsi="Cambria"/>
          <w:b/>
          <w:sz w:val="22"/>
        </w:rPr>
        <w:t xml:space="preserve">University of Cape Town (South Africa): </w:t>
      </w:r>
      <w:r>
        <w:rPr>
          <w:rFonts w:ascii="Cambria" w:hAnsi="Cambria"/>
          <w:sz w:val="22"/>
        </w:rPr>
        <w:t>Outreach programmes linking higher education with school readiness initiatives in disadvantaged townships.</w:t>
      </w:r>
    </w:p>
    <w:p>
      <w:pPr>
        <w:spacing w:after="120"/>
        <w:jc w:val="both"/>
      </w:pPr>
      <w:r>
        <w:rPr>
          <w:rFonts w:ascii="Cambria" w:hAnsi="Cambria"/>
          <w:b/>
          <w:i w:val="0"/>
          <w:sz w:val="22"/>
        </w:rPr>
        <w:t>Expected Outcomes</w:t>
      </w:r>
    </w:p>
    <w:p>
      <w:pPr>
        <w:pStyle w:val="ListBullet"/>
        <w:ind w:left="357"/>
        <w:jc w:val="both"/>
      </w:pPr>
      <w:r>
        <w:rPr>
          <w:rFonts w:ascii="Cambria" w:hAnsi="Cambria"/>
          <w:b/>
          <w:sz w:val="22"/>
        </w:rPr>
        <w:t>For Communities:</w:t>
      </w:r>
    </w:p>
    <w:p>
      <w:pPr>
        <w:pStyle w:val="ListBullet2"/>
        <w:ind w:left="720"/>
        <w:jc w:val="both"/>
      </w:pPr>
      <w:r>
        <w:rPr>
          <w:rFonts w:ascii="Cambria" w:hAnsi="Cambria"/>
          <w:sz w:val="22"/>
        </w:rPr>
        <w:t>Improved adult literacy rates and employability.</w:t>
      </w:r>
    </w:p>
    <w:p>
      <w:pPr>
        <w:pStyle w:val="ListBullet2"/>
        <w:ind w:left="720"/>
        <w:jc w:val="both"/>
      </w:pPr>
      <w:r>
        <w:rPr>
          <w:rFonts w:ascii="Cambria" w:hAnsi="Cambria"/>
          <w:sz w:val="22"/>
        </w:rPr>
        <w:t>Enhanced early childhood school readiness, reducing dropout rates in primary education.</w:t>
      </w:r>
    </w:p>
    <w:p>
      <w:pPr>
        <w:pStyle w:val="ListBullet"/>
        <w:ind w:left="357"/>
        <w:jc w:val="both"/>
      </w:pPr>
      <w:r>
        <w:rPr>
          <w:rFonts w:ascii="Cambria" w:hAnsi="Cambria"/>
          <w:b/>
          <w:sz w:val="22"/>
        </w:rPr>
        <w:t>For HEIs:</w:t>
      </w:r>
    </w:p>
    <w:p>
      <w:pPr>
        <w:pStyle w:val="ListBullet2"/>
        <w:ind w:left="720"/>
        <w:jc w:val="both"/>
      </w:pPr>
      <w:r>
        <w:rPr>
          <w:rFonts w:ascii="Cambria" w:hAnsi="Cambria"/>
          <w:sz w:val="22"/>
        </w:rPr>
        <w:t>Strengthened university–community partnerships.</w:t>
      </w:r>
    </w:p>
    <w:p>
      <w:pPr>
        <w:pStyle w:val="ListBullet2"/>
        <w:ind w:left="720"/>
        <w:jc w:val="both"/>
      </w:pPr>
      <w:r>
        <w:rPr>
          <w:rFonts w:ascii="Cambria" w:hAnsi="Cambria"/>
          <w:sz w:val="22"/>
        </w:rPr>
        <w:t>Enhanced reputation as socially responsible institutions.</w:t>
      </w:r>
    </w:p>
    <w:p>
      <w:pPr>
        <w:pStyle w:val="ListBullet2"/>
        <w:ind w:left="720"/>
        <w:jc w:val="both"/>
      </w:pPr>
      <w:r>
        <w:rPr>
          <w:rFonts w:ascii="Cambria" w:hAnsi="Cambria"/>
          <w:sz w:val="22"/>
        </w:rPr>
        <w:t>Practical learning and research opportunities for students and faculty.</w:t>
      </w:r>
    </w:p>
    <w:p>
      <w:pPr>
        <w:pStyle w:val="ListBullet"/>
        <w:ind w:left="357"/>
        <w:jc w:val="both"/>
      </w:pPr>
      <w:r>
        <w:rPr>
          <w:rFonts w:ascii="Cambria" w:hAnsi="Cambria"/>
          <w:b/>
          <w:sz w:val="22"/>
        </w:rPr>
        <w:t>For SDG-4 Achievement:</w:t>
      </w:r>
    </w:p>
    <w:p>
      <w:pPr>
        <w:pStyle w:val="ListBullet2"/>
        <w:ind w:left="720"/>
        <w:jc w:val="both"/>
      </w:pPr>
      <w:r>
        <w:rPr>
          <w:rFonts w:ascii="Cambria" w:hAnsi="Cambria"/>
          <w:sz w:val="22"/>
        </w:rPr>
        <w:t>Direct contribution to Target 4.2 (early childhood education) and Target 4.6 (youth and adult literacy).</w:t>
      </w:r>
    </w:p>
    <w:p>
      <w:pPr>
        <w:spacing w:after="120"/>
        <w:jc w:val="both"/>
      </w:pPr>
      <w:r>
        <w:rPr>
          <w:rFonts w:ascii="Cambria" w:hAnsi="Cambria"/>
          <w:b/>
          <w:i w:val="0"/>
          <w:sz w:val="22"/>
        </w:rPr>
        <w:t>Key Performance Indicators (KPIs)</w:t>
      </w:r>
    </w:p>
    <w:p>
      <w:pPr>
        <w:pStyle w:val="ListBullet"/>
        <w:ind w:left="357"/>
        <w:jc w:val="both"/>
      </w:pPr>
      <w:r>
        <w:rPr>
          <w:rFonts w:ascii="Cambria" w:hAnsi="Cambria"/>
          <w:sz w:val="22"/>
        </w:rPr>
        <w:t>Number of literacy centres and preschools established on campuses.</w:t>
      </w:r>
    </w:p>
    <w:p>
      <w:pPr>
        <w:pStyle w:val="ListBullet"/>
        <w:ind w:left="357"/>
        <w:jc w:val="both"/>
      </w:pPr>
      <w:r>
        <w:rPr>
          <w:rFonts w:ascii="Cambria" w:hAnsi="Cambria"/>
          <w:sz w:val="22"/>
        </w:rPr>
        <w:t>Enrolment and attendance rates of adults and children in these programmes.</w:t>
      </w:r>
    </w:p>
    <w:p>
      <w:pPr>
        <w:pStyle w:val="ListBullet"/>
        <w:ind w:left="357"/>
        <w:jc w:val="both"/>
      </w:pPr>
      <w:r>
        <w:rPr>
          <w:rFonts w:ascii="Cambria" w:hAnsi="Cambria"/>
          <w:sz w:val="22"/>
        </w:rPr>
        <w:t>Literacy rate improvement (%) in surrounding communities.</w:t>
      </w:r>
    </w:p>
    <w:p>
      <w:pPr>
        <w:pStyle w:val="ListBullet"/>
        <w:ind w:left="357"/>
        <w:jc w:val="both"/>
      </w:pPr>
      <w:r>
        <w:rPr>
          <w:rFonts w:ascii="Cambria" w:hAnsi="Cambria"/>
          <w:sz w:val="22"/>
        </w:rPr>
        <w:t>Preschool enrolment and transition rates to primary schools.</w:t>
      </w:r>
    </w:p>
    <w:p>
      <w:pPr>
        <w:pStyle w:val="ListBullet"/>
        <w:ind w:left="357"/>
        <w:jc w:val="both"/>
      </w:pPr>
      <w:r>
        <w:rPr>
          <w:rFonts w:ascii="Cambria" w:hAnsi="Cambria"/>
          <w:sz w:val="22"/>
        </w:rPr>
        <w:t>Number of university students and faculty engaged in these outreach programmes.</w:t>
      </w:r>
    </w:p>
    <w:p>
      <w:pPr>
        <w:spacing w:before="200" w:after="80"/>
        <w:jc w:val="left"/>
      </w:pPr>
      <w:r>
        <w:rPr>
          <w:rFonts w:ascii="Cambria" w:hAnsi="Cambria"/>
          <w:b/>
          <w:color w:val="1F3A5F"/>
          <w:sz w:val="25"/>
        </w:rPr>
        <w:t>KPIs for Literacy Centres and Preschools on University Campuses</w:t>
      </w:r>
    </w:p>
    <w:p>
      <w:pPr>
        <w:ind w:left="357" w:hanging="357"/>
        <w:jc w:val="both"/>
      </w:pPr>
      <w:r>
        <w:rPr>
          <w:rFonts w:ascii="Cambria" w:hAnsi="Cambria"/>
          <w:b w:val="0"/>
          <w:sz w:val="22"/>
        </w:rPr>
        <w:t xml:space="preserve">1. </w:t>
      </w:r>
      <w:r>
        <w:rPr>
          <w:rFonts w:ascii="Cambria" w:hAnsi="Cambria"/>
          <w:i w:val="0"/>
          <w:sz w:val="22"/>
        </w:rPr>
        <w:t>Number of Literacy Centres and Preschools Established</w:t>
      </w:r>
    </w:p>
    <w:p>
      <w:pPr>
        <w:pStyle w:val="ListBullet2"/>
        <w:ind w:left="720"/>
        <w:jc w:val="both"/>
      </w:pPr>
      <w:r>
        <w:rPr>
          <w:rFonts w:ascii="Cambria" w:hAnsi="Cambria"/>
          <w:sz w:val="22"/>
        </w:rPr>
        <w:t>Measures the institutional commitment and infrastructure created by HEIs to promote literacy and early childhood education.</w:t>
      </w:r>
    </w:p>
    <w:p>
      <w:pPr>
        <w:pStyle w:val="ListBullet2"/>
        <w:ind w:left="720"/>
        <w:jc w:val="both"/>
      </w:pPr>
      <w:r>
        <w:rPr>
          <w:rFonts w:ascii="Cambria" w:hAnsi="Cambria"/>
          <w:sz w:val="22"/>
        </w:rPr>
        <w:t>Higher numbers reflect greater outreach capacity and long-term sustainability.</w:t>
      </w:r>
    </w:p>
    <w:p>
      <w:pPr>
        <w:ind w:left="357" w:hanging="357"/>
        <w:jc w:val="both"/>
      </w:pPr>
      <w:r>
        <w:rPr>
          <w:rFonts w:ascii="Cambria" w:hAnsi="Cambria"/>
          <w:b w:val="0"/>
          <w:sz w:val="22"/>
        </w:rPr>
        <w:t xml:space="preserve">2. </w:t>
      </w:r>
      <w:r>
        <w:rPr>
          <w:rFonts w:ascii="Cambria" w:hAnsi="Cambria"/>
          <w:i w:val="0"/>
          <w:sz w:val="22"/>
        </w:rPr>
        <w:t>Enrolment and Attendance Rates of Adults and Children</w:t>
      </w:r>
    </w:p>
    <w:p>
      <w:pPr>
        <w:pStyle w:val="ListBullet2"/>
        <w:ind w:left="720"/>
        <w:jc w:val="both"/>
      </w:pPr>
      <w:r>
        <w:rPr>
          <w:rFonts w:ascii="Cambria" w:hAnsi="Cambria"/>
          <w:sz w:val="22"/>
        </w:rPr>
        <w:t>Tracks participation levels of target groups (adults in literacy programmes, children in preschool education).</w:t>
      </w:r>
    </w:p>
    <w:p>
      <w:pPr>
        <w:pStyle w:val="ListBullet2"/>
        <w:ind w:left="720"/>
        <w:jc w:val="both"/>
      </w:pPr>
      <w:r>
        <w:rPr>
          <w:rFonts w:ascii="Cambria" w:hAnsi="Cambria"/>
          <w:sz w:val="22"/>
        </w:rPr>
        <w:t>Attendance rates indicate community trust, programme relevance, and accessibility.</w:t>
      </w:r>
    </w:p>
    <w:p>
      <w:pPr>
        <w:ind w:left="357" w:hanging="357"/>
        <w:jc w:val="both"/>
      </w:pPr>
      <w:r>
        <w:rPr>
          <w:rFonts w:ascii="Cambria" w:hAnsi="Cambria"/>
          <w:b w:val="0"/>
          <w:sz w:val="22"/>
        </w:rPr>
        <w:t xml:space="preserve">3. </w:t>
      </w:r>
      <w:r>
        <w:rPr>
          <w:rFonts w:ascii="Cambria" w:hAnsi="Cambria"/>
          <w:i w:val="0"/>
          <w:sz w:val="22"/>
        </w:rPr>
        <w:t>Literacy Rate Improvement (%) in Surrounding Communities</w:t>
      </w:r>
    </w:p>
    <w:p>
      <w:pPr>
        <w:pStyle w:val="ListBullet2"/>
        <w:ind w:left="720"/>
        <w:jc w:val="both"/>
      </w:pPr>
      <w:r>
        <w:rPr>
          <w:rFonts w:ascii="Cambria" w:hAnsi="Cambria"/>
          <w:sz w:val="22"/>
        </w:rPr>
        <w:t>Assesses the tangible impact of university-led literacy programmes on adult and youth literacy.</w:t>
      </w:r>
    </w:p>
    <w:p>
      <w:pPr>
        <w:pStyle w:val="ListBullet2"/>
        <w:ind w:left="720"/>
        <w:jc w:val="both"/>
      </w:pPr>
      <w:r>
        <w:rPr>
          <w:rFonts w:ascii="Cambria" w:hAnsi="Cambria"/>
          <w:sz w:val="22"/>
        </w:rPr>
        <w:t>Improvement percentage can be monitored annually through baseline and follow-up surveys.</w:t>
      </w:r>
    </w:p>
    <w:p>
      <w:pPr>
        <w:ind w:left="357" w:hanging="357"/>
        <w:jc w:val="both"/>
      </w:pPr>
      <w:r>
        <w:rPr>
          <w:rFonts w:ascii="Cambria" w:hAnsi="Cambria"/>
          <w:b w:val="0"/>
          <w:sz w:val="22"/>
        </w:rPr>
        <w:t xml:space="preserve">4. </w:t>
      </w:r>
      <w:r>
        <w:rPr>
          <w:rFonts w:ascii="Cambria" w:hAnsi="Cambria"/>
          <w:i w:val="0"/>
          <w:sz w:val="22"/>
        </w:rPr>
        <w:t>Preschool Enrolment and Transition Rates to Primary Schools</w:t>
      </w:r>
    </w:p>
    <w:p>
      <w:pPr>
        <w:pStyle w:val="ListBullet2"/>
        <w:ind w:left="720"/>
        <w:jc w:val="both"/>
      </w:pPr>
      <w:r>
        <w:rPr>
          <w:rFonts w:ascii="Cambria" w:hAnsi="Cambria"/>
          <w:sz w:val="22"/>
        </w:rPr>
        <w:t>Evaluates the effectiveness of preschool initiatives in preparing children for formal education.</w:t>
      </w:r>
    </w:p>
    <w:p>
      <w:pPr>
        <w:pStyle w:val="ListBullet2"/>
        <w:ind w:left="720"/>
        <w:jc w:val="both"/>
      </w:pPr>
      <w:r>
        <w:rPr>
          <w:rFonts w:ascii="Cambria" w:hAnsi="Cambria"/>
          <w:sz w:val="22"/>
        </w:rPr>
        <w:t>High transition rates reflect successful early childhood development and school readiness.</w:t>
      </w:r>
    </w:p>
    <w:p>
      <w:pPr>
        <w:ind w:left="357" w:hanging="357"/>
        <w:jc w:val="both"/>
      </w:pPr>
      <w:r>
        <w:rPr>
          <w:rFonts w:ascii="Cambria" w:hAnsi="Cambria"/>
          <w:b w:val="0"/>
          <w:sz w:val="22"/>
        </w:rPr>
        <w:t xml:space="preserve">5. </w:t>
      </w:r>
      <w:r>
        <w:rPr>
          <w:rFonts w:ascii="Cambria" w:hAnsi="Cambria"/>
          <w:i w:val="0"/>
          <w:sz w:val="22"/>
        </w:rPr>
        <w:t>Number of University Students and Faculty Engaged</w:t>
      </w:r>
    </w:p>
    <w:p>
      <w:pPr>
        <w:pStyle w:val="ListBullet2"/>
        <w:ind w:left="720"/>
        <w:jc w:val="both"/>
      </w:pPr>
      <w:r>
        <w:rPr>
          <w:rFonts w:ascii="Cambria" w:hAnsi="Cambria"/>
          <w:sz w:val="22"/>
        </w:rPr>
        <w:t>Monitors the extent of HEI involvement in outreach programmes.</w:t>
      </w:r>
    </w:p>
    <w:p>
      <w:pPr>
        <w:pStyle w:val="ListBullet2"/>
        <w:ind w:left="720"/>
        <w:jc w:val="both"/>
      </w:pPr>
      <w:r>
        <w:rPr>
          <w:rFonts w:ascii="Cambria" w:hAnsi="Cambria"/>
          <w:sz w:val="22"/>
        </w:rPr>
        <w:t>Indicates how well HEIs integrate service-learning, internships, and faculty participation in SDG-4 initiatives.</w:t>
      </w:r>
    </w:p>
    <w:p>
      <w:pPr>
        <w:spacing w:before="200" w:after="80"/>
        <w:jc w:val="left"/>
      </w:pPr>
      <w:r>
        <w:rPr>
          <w:rFonts w:ascii="Cambria" w:hAnsi="Cambria"/>
          <w:b/>
          <w:color w:val="1F3A5F"/>
          <w:sz w:val="25"/>
        </w:rPr>
        <w:t>Community Outreach – Literacy Centres &amp; Preschools (with Stakeholder Responsibility)</w:t>
      </w:r>
    </w:p>
    <w:p>
      <w:pPr>
        <w:spacing w:before="160" w:after="80"/>
      </w:pPr>
      <w:r>
        <w:rPr>
          <w:rFonts w:ascii="Cambria" w:hAnsi="Cambria"/>
          <w:b/>
          <w:color w:val="1F3A5F"/>
          <w:sz w:val="23"/>
        </w:rPr>
        <w:t>Community Outreach – Literacy Centres &amp; Preschools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Establish literacy centres and preschools on university campuses; Run adult literacy programmes for surrounding communities (reading, numeracy, digital skills); Offer preschool education for local children; Involve HEI students and faculty as volunteers/trainers (service-learning); Partner with NGOs and local bodies for resources and monitoring</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UNESCO Global Alliance for Literacy (GAL): Encourages HEIs in adult literacy; India's Anganwadi Centres: Early childhood education for disadvantaged groups; Harvard's Phillips Brooks House (USA): Student-led literacy tutoring; University of Cape Town (South Africa): Preschool outreach for township children</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Increased adult literacy rates in surrounding communities; Improved school readiness among children; Reduced dropout rates in primary education; Stronger HEI–community partnerships; Experiential learning for university students</w:t>
            </w:r>
          </w:p>
        </w:tc>
      </w:tr>
      <w:tr>
        <w:tc>
          <w:tcPr>
            <w:tcW w:type="dxa" w:w="2551"/>
            <w:tcW w:w="2551" w:type="dxa"/>
            <w:shd w:val="clear" w:color="auto" w:fill="DCE6F1"/>
          </w:tcPr>
          <w:p>
            <w:pPr>
              <w:jc w:val="left"/>
            </w:pPr>
            <w:r/>
            <w:r>
              <w:rPr>
                <w:rFonts w:ascii="Cambria" w:hAnsi="Cambria"/>
                <w:b/>
                <w:i w:val="0"/>
                <w:sz w:val="22"/>
              </w:rPr>
              <w:t>Key Performance Indicators (KPIs)</w:t>
            </w:r>
          </w:p>
        </w:tc>
        <w:tc>
          <w:tcPr>
            <w:tcW w:type="dxa" w:w="6860"/>
            <w:tcW w:w="6860" w:type="dxa"/>
            <w:shd w:val="clear" w:color="auto" w:fill="DCE6F1"/>
          </w:tcPr>
          <w:p>
            <w:pPr>
              <w:jc w:val="left"/>
            </w:pPr>
            <w:r/>
            <w:r>
              <w:rPr>
                <w:rFonts w:ascii="Cambria" w:hAnsi="Cambria"/>
                <w:b w:val="0"/>
                <w:i w:val="0"/>
                <w:sz w:val="22"/>
              </w:rPr>
              <w:t>Number of literacy centres &amp; preschools established; Enrolment &amp; attendance rates of adults and children; Literacy rate improvement (%) in local communities; Preschool enrolment &amp; transition rates to primary school (%); Number of university students &amp; faculty engaged</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Provide space, curriculum design, student/faculty engagement; Policymakers (Govt/UGC/AICTE): Funding, policy incentives, integration with NEP 2020; Accreditation Agencies (NAAC, NBA, NIRF, QS I-GAUGE): Link accreditation/ranking scores to literacy &amp; outreach performance; NGOs/Community Partners: Support delivery, mobilize participation</w:t>
            </w:r>
          </w:p>
        </w:tc>
      </w:tr>
    </w:tbl>
    <w:p>
      <w:r>
        <w:br w:type="page"/>
      </w:r>
    </w:p>
    <w:p>
      <w:pPr>
        <w:spacing w:before="280" w:after="160"/>
        <w:jc w:val="left"/>
      </w:pPr>
      <w:r>
        <w:rPr>
          <w:rFonts w:ascii="Cambria" w:hAnsi="Cambria"/>
          <w:b/>
          <w:color w:val="1F3A5F"/>
          <w:sz w:val="32"/>
        </w:rPr>
        <w:t>12. Establishing Centres of Excellence and Faculty Coordinators for SDGs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Many HEIs currently engage with the Sustainable Development Goals (SDGs) in fragmented ways – through isolated courses, research projects, or outreach activities.</w:t>
      </w:r>
    </w:p>
    <w:p>
      <w:pPr>
        <w:pStyle w:val="ListBullet"/>
        <w:ind w:left="357"/>
        <w:jc w:val="both"/>
      </w:pPr>
      <w:r>
        <w:rPr>
          <w:rFonts w:ascii="Cambria" w:hAnsi="Cambria"/>
          <w:sz w:val="22"/>
        </w:rPr>
        <w:t>Without institutionalization, efforts lack coordination, visibility, and accountability.</w:t>
      </w:r>
    </w:p>
    <w:p>
      <w:pPr>
        <w:pStyle w:val="ListBullet"/>
        <w:ind w:left="357"/>
        <w:jc w:val="both"/>
      </w:pPr>
      <w:r>
        <w:rPr>
          <w:rFonts w:ascii="Cambria" w:hAnsi="Cambria"/>
          <w:sz w:val="22"/>
        </w:rPr>
        <w:t>By creating a Centre of Excellence (CoE) or dedicated Department for SDGs, universities can centralize efforts in research, teaching, policy support, and community engagement.</w:t>
      </w:r>
    </w:p>
    <w:p>
      <w:pPr>
        <w:pStyle w:val="ListBullet"/>
        <w:ind w:left="357"/>
        <w:jc w:val="both"/>
      </w:pPr>
      <w:r>
        <w:rPr>
          <w:rFonts w:ascii="Cambria" w:hAnsi="Cambria"/>
          <w:sz w:val="22"/>
        </w:rPr>
        <w:t>Having one faculty coordinator per SDG ensures distributed ownership, faculty accountability, and focus across all 17 SDGs.</w:t>
      </w:r>
    </w:p>
    <w:p>
      <w:pPr>
        <w:spacing w:before="200" w:after="80"/>
        <w:jc w:val="left"/>
      </w:pPr>
      <w:r>
        <w:rPr>
          <w:rFonts w:ascii="Cambria" w:hAnsi="Cambria"/>
          <w:b/>
          <w:color w:val="1F3A5F"/>
          <w:sz w:val="25"/>
        </w:rPr>
        <w:t>2. Role of Centres of Excellence (CoEs)</w:t>
      </w:r>
    </w:p>
    <w:p>
      <w:pPr>
        <w:pStyle w:val="ListBullet"/>
        <w:ind w:left="357"/>
        <w:jc w:val="both"/>
      </w:pPr>
      <w:r>
        <w:rPr>
          <w:rFonts w:ascii="Cambria" w:hAnsi="Cambria"/>
          <w:b/>
          <w:sz w:val="22"/>
        </w:rPr>
        <w:t xml:space="preserve">Research: </w:t>
      </w:r>
      <w:r>
        <w:rPr>
          <w:rFonts w:ascii="Cambria" w:hAnsi="Cambria"/>
          <w:sz w:val="22"/>
        </w:rPr>
        <w:t>Conduct interdisciplinary research on sustainability, climate change, health, equity, and digital transformation.</w:t>
      </w:r>
    </w:p>
    <w:p>
      <w:pPr>
        <w:pStyle w:val="ListBullet"/>
        <w:ind w:left="357"/>
        <w:jc w:val="both"/>
      </w:pPr>
      <w:r>
        <w:rPr>
          <w:rFonts w:ascii="Cambria" w:hAnsi="Cambria"/>
          <w:b/>
          <w:sz w:val="22"/>
        </w:rPr>
        <w:t xml:space="preserve">Teaching: </w:t>
      </w:r>
      <w:r>
        <w:rPr>
          <w:rFonts w:ascii="Cambria" w:hAnsi="Cambria"/>
          <w:sz w:val="22"/>
        </w:rPr>
        <w:t>Integrate SDG-related curricula into undergraduate and postgraduate programmes.</w:t>
      </w:r>
    </w:p>
    <w:p>
      <w:pPr>
        <w:pStyle w:val="ListBullet"/>
        <w:ind w:left="357"/>
        <w:jc w:val="both"/>
      </w:pPr>
      <w:r>
        <w:rPr>
          <w:rFonts w:ascii="Cambria" w:hAnsi="Cambria"/>
          <w:b/>
          <w:sz w:val="22"/>
        </w:rPr>
        <w:t xml:space="preserve">Community Engagement: </w:t>
      </w:r>
      <w:r>
        <w:rPr>
          <w:rFonts w:ascii="Cambria" w:hAnsi="Cambria"/>
          <w:sz w:val="22"/>
        </w:rPr>
        <w:t>Link HEIs with surrounding communities through outreach (literacy centres, preschools, awareness drives).</w:t>
      </w:r>
    </w:p>
    <w:p>
      <w:pPr>
        <w:pStyle w:val="ListBullet"/>
        <w:ind w:left="357"/>
        <w:jc w:val="both"/>
      </w:pPr>
      <w:r>
        <w:rPr>
          <w:rFonts w:ascii="Cambria" w:hAnsi="Cambria"/>
          <w:b/>
          <w:sz w:val="22"/>
        </w:rPr>
        <w:t xml:space="preserve">Policy Support: </w:t>
      </w:r>
      <w:r>
        <w:rPr>
          <w:rFonts w:ascii="Cambria" w:hAnsi="Cambria"/>
          <w:sz w:val="22"/>
        </w:rPr>
        <w:t>Provide evidence-based recommendations for government and regulatory bodies.</w:t>
      </w:r>
    </w:p>
    <w:p>
      <w:pPr>
        <w:pStyle w:val="ListBullet"/>
        <w:ind w:left="357"/>
        <w:jc w:val="both"/>
      </w:pPr>
      <w:r>
        <w:rPr>
          <w:rFonts w:ascii="Cambria" w:hAnsi="Cambria"/>
          <w:b/>
          <w:sz w:val="22"/>
        </w:rPr>
        <w:t xml:space="preserve">International Collaboration: </w:t>
      </w:r>
      <w:r>
        <w:rPr>
          <w:rFonts w:ascii="Cambria" w:hAnsi="Cambria"/>
          <w:sz w:val="22"/>
        </w:rPr>
        <w:t>Build partnerships with UN agencies, global universities, and industry.</w:t>
      </w:r>
    </w:p>
    <w:p>
      <w:pPr>
        <w:spacing w:before="200" w:after="80"/>
        <w:jc w:val="left"/>
      </w:pPr>
      <w:r>
        <w:rPr>
          <w:rFonts w:ascii="Cambria" w:hAnsi="Cambria"/>
          <w:b/>
          <w:color w:val="1F3A5F"/>
          <w:sz w:val="25"/>
        </w:rPr>
        <w:t>3. Role of Faculty Coordinators</w:t>
      </w:r>
    </w:p>
    <w:p>
      <w:pPr>
        <w:pStyle w:val="ListBullet"/>
        <w:ind w:left="357"/>
        <w:jc w:val="both"/>
      </w:pPr>
      <w:r>
        <w:rPr>
          <w:rFonts w:ascii="Cambria" w:hAnsi="Cambria"/>
          <w:sz w:val="22"/>
        </w:rPr>
        <w:t>Each SDG (1 to 17) is assigned to one faculty member who acts as Coordinator.</w:t>
      </w:r>
    </w:p>
    <w:p>
      <w:pPr>
        <w:pStyle w:val="ListBullet"/>
        <w:ind w:left="357"/>
        <w:jc w:val="both"/>
      </w:pPr>
      <w:r>
        <w:rPr>
          <w:rFonts w:ascii="Cambria" w:hAnsi="Cambria"/>
          <w:b/>
          <w:sz w:val="22"/>
        </w:rPr>
        <w:t xml:space="preserve">Responsibilities include: </w:t>
      </w:r>
      <w:r>
        <w:rPr>
          <w:rFonts w:ascii="Cambria" w:hAnsi="Cambria"/>
          <w:sz w:val="22"/>
        </w:rPr>
      </w:r>
    </w:p>
    <w:p>
      <w:pPr>
        <w:pStyle w:val="ListBullet2"/>
        <w:ind w:left="720"/>
        <w:jc w:val="both"/>
      </w:pPr>
      <w:r>
        <w:rPr>
          <w:rFonts w:ascii="Cambria" w:hAnsi="Cambria"/>
          <w:sz w:val="22"/>
        </w:rPr>
        <w:t>Embedding SDG content into courses.</w:t>
      </w:r>
    </w:p>
    <w:p>
      <w:pPr>
        <w:pStyle w:val="ListBullet2"/>
        <w:ind w:left="720"/>
        <w:jc w:val="both"/>
      </w:pPr>
      <w:r>
        <w:rPr>
          <w:rFonts w:ascii="Cambria" w:hAnsi="Cambria"/>
          <w:sz w:val="22"/>
        </w:rPr>
        <w:t>Supervising research projects and student dissertations aligned with their SDG.</w:t>
      </w:r>
    </w:p>
    <w:p>
      <w:pPr>
        <w:pStyle w:val="ListBullet2"/>
        <w:ind w:left="720"/>
        <w:jc w:val="both"/>
      </w:pPr>
      <w:r>
        <w:rPr>
          <w:rFonts w:ascii="Cambria" w:hAnsi="Cambria"/>
          <w:sz w:val="22"/>
        </w:rPr>
        <w:t>Coordinating outreach/community projects related to the goal.</w:t>
      </w:r>
    </w:p>
    <w:p>
      <w:pPr>
        <w:pStyle w:val="ListBullet2"/>
        <w:ind w:left="720"/>
        <w:jc w:val="both"/>
      </w:pPr>
      <w:r>
        <w:rPr>
          <w:rFonts w:ascii="Cambria" w:hAnsi="Cambria"/>
          <w:sz w:val="22"/>
        </w:rPr>
        <w:t>Reporting progress annually to the CoE and accreditation bodies.</w:t>
      </w:r>
    </w:p>
    <w:p>
      <w:pPr>
        <w:pStyle w:val="ListBullet"/>
        <w:ind w:left="357"/>
        <w:jc w:val="both"/>
      </w:pPr>
      <w:r>
        <w:rPr>
          <w:rFonts w:ascii="Cambria" w:hAnsi="Cambria"/>
          <w:sz w:val="22"/>
        </w:rPr>
        <w:t>This distributed leadership model prevents over-centralization and ensures that every SDG gets attention.</w:t>
      </w:r>
    </w:p>
    <w:p>
      <w:pPr>
        <w:spacing w:before="200" w:after="80"/>
        <w:jc w:val="left"/>
      </w:pPr>
      <w:r>
        <w:rPr>
          <w:rFonts w:ascii="Cambria" w:hAnsi="Cambria"/>
          <w:b/>
          <w:color w:val="1F3A5F"/>
          <w:sz w:val="25"/>
        </w:rPr>
        <w:t>4. Global Best Practices</w:t>
      </w:r>
    </w:p>
    <w:p>
      <w:pPr>
        <w:pStyle w:val="ListBullet"/>
        <w:ind w:left="357"/>
        <w:jc w:val="both"/>
      </w:pPr>
      <w:r>
        <w:rPr>
          <w:rFonts w:ascii="Cambria" w:hAnsi="Cambria"/>
          <w:b/>
          <w:sz w:val="22"/>
        </w:rPr>
        <w:t xml:space="preserve">SDSN (Sustainable Development Solutions Network): </w:t>
      </w:r>
      <w:r>
        <w:rPr>
          <w:rFonts w:ascii="Cambria" w:hAnsi="Cambria"/>
          <w:sz w:val="22"/>
        </w:rPr>
        <w:t>Universities worldwide acting as SDG hubs.</w:t>
      </w:r>
    </w:p>
    <w:p>
      <w:pPr>
        <w:pStyle w:val="ListBullet"/>
        <w:ind w:left="357"/>
        <w:jc w:val="both"/>
      </w:pPr>
      <w:r>
        <w:rPr>
          <w:rFonts w:ascii="Cambria" w:hAnsi="Cambria"/>
          <w:b/>
          <w:sz w:val="22"/>
        </w:rPr>
        <w:t xml:space="preserve">University of Cambridge (UK): </w:t>
      </w:r>
      <w:r>
        <w:rPr>
          <w:rFonts w:ascii="Cambria" w:hAnsi="Cambria"/>
          <w:sz w:val="22"/>
        </w:rPr>
        <w:t>Established C-EENRG to integrate research and policy on sustainability.</w:t>
      </w:r>
    </w:p>
    <w:p>
      <w:pPr>
        <w:pStyle w:val="ListBullet"/>
        <w:ind w:left="357"/>
        <w:jc w:val="both"/>
      </w:pPr>
      <w:r>
        <w:rPr>
          <w:rFonts w:ascii="Cambria" w:hAnsi="Cambria"/>
          <w:b/>
          <w:sz w:val="22"/>
        </w:rPr>
        <w:t xml:space="preserve">TERI School of Advanced Studies (India): </w:t>
      </w:r>
      <w:r>
        <w:rPr>
          <w:rFonts w:ascii="Cambria" w:hAnsi="Cambria"/>
          <w:sz w:val="22"/>
        </w:rPr>
        <w:t>Created Centres for Sustainable Development, actively partnering with government and industry.</w:t>
      </w:r>
    </w:p>
    <w:p>
      <w:pPr>
        <w:pStyle w:val="ListBullet"/>
        <w:ind w:left="357"/>
        <w:jc w:val="both"/>
      </w:pPr>
      <w:r>
        <w:rPr>
          <w:rFonts w:ascii="Cambria" w:hAnsi="Cambria"/>
          <w:b/>
          <w:sz w:val="22"/>
        </w:rPr>
        <w:t xml:space="preserve">Columbia University (USA): </w:t>
      </w:r>
      <w:r>
        <w:rPr>
          <w:rFonts w:ascii="Cambria" w:hAnsi="Cambria"/>
          <w:sz w:val="22"/>
        </w:rPr>
        <w:t>Earth Institute as an SDG research and teaching hub.</w:t>
      </w:r>
    </w:p>
    <w:p>
      <w:pPr>
        <w:spacing w:before="200" w:after="80"/>
        <w:jc w:val="left"/>
      </w:pPr>
      <w:r>
        <w:rPr>
          <w:rFonts w:ascii="Cambria" w:hAnsi="Cambria"/>
          <w:b/>
          <w:color w:val="1F3A5F"/>
          <w:sz w:val="25"/>
        </w:rPr>
        <w:t>5. Expected Outcomes</w:t>
      </w:r>
    </w:p>
    <w:p>
      <w:pPr>
        <w:pStyle w:val="ListBullet"/>
        <w:ind w:left="357"/>
        <w:jc w:val="both"/>
      </w:pPr>
      <w:r>
        <w:rPr>
          <w:rFonts w:ascii="Cambria" w:hAnsi="Cambria"/>
          <w:sz w:val="22"/>
        </w:rPr>
        <w:t>A structured, institutionalized mechanism to drive SDGs.</w:t>
      </w:r>
    </w:p>
    <w:p>
      <w:pPr>
        <w:pStyle w:val="ListBullet"/>
        <w:ind w:left="357"/>
        <w:jc w:val="both"/>
      </w:pPr>
      <w:r>
        <w:rPr>
          <w:rFonts w:ascii="Cambria" w:hAnsi="Cambria"/>
          <w:sz w:val="22"/>
        </w:rPr>
        <w:t>Improved accountability through named faculty coordinators for each SDG.</w:t>
      </w:r>
    </w:p>
    <w:p>
      <w:pPr>
        <w:pStyle w:val="ListBullet"/>
        <w:ind w:left="357"/>
        <w:jc w:val="both"/>
      </w:pPr>
      <w:r>
        <w:rPr>
          <w:rFonts w:ascii="Cambria" w:hAnsi="Cambria"/>
          <w:sz w:val="22"/>
        </w:rPr>
        <w:t>Enhanced research output on sustainability, helping in national/global rankings (THE Impact, QS Sustainability).</w:t>
      </w:r>
    </w:p>
    <w:p>
      <w:pPr>
        <w:pStyle w:val="ListBullet"/>
        <w:ind w:left="357"/>
        <w:jc w:val="both"/>
      </w:pPr>
      <w:r>
        <w:rPr>
          <w:rFonts w:ascii="Cambria" w:hAnsi="Cambria"/>
          <w:sz w:val="22"/>
        </w:rPr>
        <w:t>A permanent bridge between campus, community, and global networks.</w:t>
      </w:r>
    </w:p>
    <w:p>
      <w:pPr>
        <w:pStyle w:val="ListBullet"/>
        <w:ind w:left="357"/>
        <w:jc w:val="both"/>
      </w:pPr>
      <w:r>
        <w:rPr>
          <w:rFonts w:ascii="Cambria" w:hAnsi="Cambria"/>
          <w:sz w:val="22"/>
        </w:rPr>
        <w:t>Stronger compliance with NAAC, NBA, NIRF evidence requirements.</w:t>
      </w:r>
    </w:p>
    <w:p>
      <w:pPr>
        <w:spacing w:before="200" w:after="80"/>
        <w:jc w:val="left"/>
      </w:pPr>
      <w:r>
        <w:rPr>
          <w:rFonts w:ascii="Cambria" w:hAnsi="Cambria"/>
          <w:b/>
          <w:color w:val="1F3A5F"/>
          <w:sz w:val="25"/>
        </w:rPr>
        <w:t>6. Key Performance Indicators (KPIs)</w:t>
      </w:r>
    </w:p>
    <w:p>
      <w:pPr>
        <w:pStyle w:val="ListBullet"/>
        <w:ind w:left="357"/>
        <w:jc w:val="both"/>
      </w:pPr>
      <w:r>
        <w:rPr>
          <w:rFonts w:ascii="Cambria" w:hAnsi="Cambria"/>
          <w:sz w:val="22"/>
        </w:rPr>
        <w:t>Number of Centres of Excellence/Departments established.</w:t>
      </w:r>
    </w:p>
    <w:p>
      <w:pPr>
        <w:pStyle w:val="ListBullet"/>
        <w:ind w:left="357"/>
        <w:jc w:val="both"/>
      </w:pPr>
      <w:r>
        <w:rPr>
          <w:rFonts w:ascii="Cambria" w:hAnsi="Cambria"/>
          <w:sz w:val="22"/>
        </w:rPr>
        <w:t>Number of faculty coordinators appointed (one per SDG).</w:t>
      </w:r>
    </w:p>
    <w:p>
      <w:pPr>
        <w:pStyle w:val="ListBullet"/>
        <w:ind w:left="357"/>
        <w:jc w:val="both"/>
      </w:pPr>
      <w:r>
        <w:rPr>
          <w:rFonts w:ascii="Cambria" w:hAnsi="Cambria"/>
          <w:sz w:val="22"/>
        </w:rPr>
        <w:t>Number of SDG-related publications, projects, patents, and community initiatives.</w:t>
      </w:r>
    </w:p>
    <w:p>
      <w:pPr>
        <w:pStyle w:val="ListBullet"/>
        <w:ind w:left="357"/>
        <w:jc w:val="both"/>
      </w:pPr>
      <w:r>
        <w:rPr>
          <w:rFonts w:ascii="Cambria" w:hAnsi="Cambria"/>
          <w:sz w:val="22"/>
        </w:rPr>
        <w:t>Existence of annual SDG reports at institutional level.</w:t>
      </w:r>
    </w:p>
    <w:p>
      <w:pPr>
        <w:pStyle w:val="ListBullet"/>
        <w:ind w:left="357"/>
        <w:jc w:val="both"/>
      </w:pPr>
      <w:r>
        <w:rPr>
          <w:rFonts w:ascii="Cambria" w:hAnsi="Cambria"/>
          <w:sz w:val="22"/>
        </w:rPr>
        <w:t>Evidence of funding and partnerships generated via the CoE.</w:t>
      </w:r>
    </w:p>
    <w:p>
      <w:pPr>
        <w:spacing w:before="200" w:after="80"/>
        <w:jc w:val="left"/>
      </w:pPr>
      <w:r>
        <w:rPr>
          <w:rFonts w:ascii="Cambria" w:hAnsi="Cambria"/>
          <w:b/>
          <w:color w:val="1F3A5F"/>
          <w:sz w:val="25"/>
        </w:rPr>
        <w:t>KPIs for Centres of Excellence and SDG Faculty Coordinators</w:t>
      </w:r>
    </w:p>
    <w:p>
      <w:pPr>
        <w:ind w:left="357" w:hanging="357"/>
        <w:jc w:val="both"/>
      </w:pPr>
      <w:r>
        <w:rPr>
          <w:rFonts w:ascii="Cambria" w:hAnsi="Cambria"/>
          <w:b w:val="0"/>
          <w:sz w:val="22"/>
        </w:rPr>
        <w:t xml:space="preserve">1. </w:t>
      </w:r>
      <w:r>
        <w:rPr>
          <w:rFonts w:ascii="Cambria" w:hAnsi="Cambria"/>
          <w:i w:val="0"/>
          <w:sz w:val="22"/>
        </w:rPr>
        <w:t>Number of Centres of Excellence/Departments Established</w:t>
      </w:r>
    </w:p>
    <w:p>
      <w:pPr>
        <w:pStyle w:val="ListBullet2"/>
        <w:ind w:left="720"/>
        <w:jc w:val="both"/>
      </w:pPr>
      <w:r>
        <w:rPr>
          <w:rFonts w:ascii="Cambria" w:hAnsi="Cambria"/>
          <w:sz w:val="22"/>
        </w:rPr>
        <w:t>Tracks the institutional adoption of dedicated SDG units.</w:t>
      </w:r>
    </w:p>
    <w:p>
      <w:pPr>
        <w:pStyle w:val="ListBullet2"/>
        <w:ind w:left="720"/>
        <w:jc w:val="both"/>
      </w:pPr>
      <w:r>
        <w:rPr>
          <w:rFonts w:ascii="Cambria" w:hAnsi="Cambria"/>
          <w:sz w:val="22"/>
        </w:rPr>
        <w:t>Reflects the HEI's commitment to mainstreaming SDGs across teaching, research, and outreach.</w:t>
      </w:r>
    </w:p>
    <w:p>
      <w:pPr>
        <w:pStyle w:val="ListBullet2"/>
        <w:ind w:left="720"/>
        <w:jc w:val="both"/>
      </w:pPr>
      <w:r>
        <w:rPr>
          <w:rFonts w:ascii="Cambria" w:hAnsi="Cambria"/>
          <w:sz w:val="22"/>
        </w:rPr>
        <w:t>Higher numbers indicate system-wide integration rather than isolated initiatives.</w:t>
      </w:r>
    </w:p>
    <w:p>
      <w:pPr>
        <w:ind w:left="357" w:hanging="357"/>
        <w:jc w:val="both"/>
      </w:pPr>
      <w:r>
        <w:rPr>
          <w:rFonts w:ascii="Cambria" w:hAnsi="Cambria"/>
          <w:b w:val="0"/>
          <w:sz w:val="22"/>
        </w:rPr>
        <w:t xml:space="preserve">2. </w:t>
      </w:r>
      <w:r>
        <w:rPr>
          <w:rFonts w:ascii="Cambria" w:hAnsi="Cambria"/>
          <w:i w:val="0"/>
          <w:sz w:val="22"/>
        </w:rPr>
        <w:t>Number of Faculty Coordinators Appointed (One per SDG)</w:t>
      </w:r>
    </w:p>
    <w:p>
      <w:pPr>
        <w:pStyle w:val="ListBullet2"/>
        <w:ind w:left="720"/>
        <w:jc w:val="both"/>
      </w:pPr>
      <w:r>
        <w:rPr>
          <w:rFonts w:ascii="Cambria" w:hAnsi="Cambria"/>
          <w:sz w:val="22"/>
        </w:rPr>
        <w:t>Measures accountability by assigning clear responsibilities for all 17 SDGs.</w:t>
      </w:r>
    </w:p>
    <w:p>
      <w:pPr>
        <w:pStyle w:val="ListBullet2"/>
        <w:ind w:left="720"/>
        <w:jc w:val="both"/>
      </w:pPr>
      <w:r>
        <w:rPr>
          <w:rFonts w:ascii="Cambria" w:hAnsi="Cambria"/>
          <w:sz w:val="22"/>
        </w:rPr>
        <w:t>Ensures distributed leadership across faculties/departments.</w:t>
      </w:r>
    </w:p>
    <w:p>
      <w:pPr>
        <w:pStyle w:val="ListBullet2"/>
        <w:ind w:left="720"/>
        <w:jc w:val="both"/>
      </w:pPr>
      <w:r>
        <w:rPr>
          <w:rFonts w:ascii="Cambria" w:hAnsi="Cambria"/>
          <w:sz w:val="22"/>
        </w:rPr>
        <w:t>Provides evidence of organizational structure for accreditation (NAAC, NBA, QS I-GAUGE).</w:t>
      </w:r>
    </w:p>
    <w:p>
      <w:pPr>
        <w:ind w:left="357" w:hanging="357"/>
        <w:jc w:val="both"/>
      </w:pPr>
      <w:r>
        <w:rPr>
          <w:rFonts w:ascii="Cambria" w:hAnsi="Cambria"/>
          <w:b w:val="0"/>
          <w:sz w:val="22"/>
        </w:rPr>
        <w:t xml:space="preserve">3. </w:t>
      </w:r>
      <w:r>
        <w:rPr>
          <w:rFonts w:ascii="Cambria" w:hAnsi="Cambria"/>
          <w:i w:val="0"/>
          <w:sz w:val="22"/>
        </w:rPr>
        <w:t>Number of SDG-Related Publications, Projects, Patents, and Community Initiatives</w:t>
      </w:r>
    </w:p>
    <w:p>
      <w:pPr>
        <w:pStyle w:val="ListBullet2"/>
        <w:ind w:left="720"/>
        <w:jc w:val="both"/>
      </w:pPr>
      <w:r>
        <w:rPr>
          <w:rFonts w:ascii="Cambria" w:hAnsi="Cambria"/>
          <w:sz w:val="22"/>
        </w:rPr>
        <w:t>Quantifies the research and innovation output linked to SDGs.</w:t>
      </w:r>
    </w:p>
    <w:p>
      <w:pPr>
        <w:pStyle w:val="ListBullet2"/>
        <w:ind w:left="720"/>
        <w:jc w:val="both"/>
      </w:pPr>
      <w:r>
        <w:rPr>
          <w:rFonts w:ascii="Cambria" w:hAnsi="Cambria"/>
          <w:sz w:val="22"/>
        </w:rPr>
        <w:t>Demonstrates HEI engagement beyond teaching into applied sustainability solutions.</w:t>
      </w:r>
    </w:p>
    <w:p>
      <w:pPr>
        <w:pStyle w:val="ListBullet2"/>
        <w:ind w:left="720"/>
        <w:jc w:val="both"/>
      </w:pPr>
      <w:r>
        <w:rPr>
          <w:rFonts w:ascii="Cambria" w:hAnsi="Cambria"/>
          <w:sz w:val="22"/>
        </w:rPr>
        <w:t>Provides strong evidence for NIRF (Research &amp; Professional Practices) and THE Impact Rankings.</w:t>
      </w:r>
    </w:p>
    <w:p>
      <w:pPr>
        <w:ind w:left="357" w:hanging="357"/>
        <w:jc w:val="both"/>
      </w:pPr>
      <w:r>
        <w:rPr>
          <w:rFonts w:ascii="Cambria" w:hAnsi="Cambria"/>
          <w:b w:val="0"/>
          <w:sz w:val="22"/>
        </w:rPr>
        <w:t xml:space="preserve">4. </w:t>
      </w:r>
      <w:r>
        <w:rPr>
          <w:rFonts w:ascii="Cambria" w:hAnsi="Cambria"/>
          <w:i w:val="0"/>
          <w:sz w:val="22"/>
        </w:rPr>
        <w:t>Existence of Annual SDG Reports at Institutional Level</w:t>
      </w:r>
    </w:p>
    <w:p>
      <w:pPr>
        <w:pStyle w:val="ListBullet2"/>
        <w:ind w:left="720"/>
        <w:jc w:val="both"/>
      </w:pPr>
      <w:r>
        <w:rPr>
          <w:rFonts w:ascii="Cambria" w:hAnsi="Cambria"/>
          <w:sz w:val="22"/>
        </w:rPr>
        <w:t>Acts as a compliance and accountability mechanism.</w:t>
      </w:r>
    </w:p>
    <w:p>
      <w:pPr>
        <w:pStyle w:val="ListBullet2"/>
        <w:ind w:left="720"/>
        <w:jc w:val="both"/>
      </w:pPr>
      <w:r>
        <w:rPr>
          <w:rFonts w:ascii="Cambria" w:hAnsi="Cambria"/>
          <w:sz w:val="22"/>
        </w:rPr>
        <w:t>Provides documentation for accreditation and global benchmarking (QS, THE).</w:t>
      </w:r>
    </w:p>
    <w:p>
      <w:pPr>
        <w:pStyle w:val="ListBullet2"/>
        <w:ind w:left="720"/>
        <w:jc w:val="both"/>
      </w:pPr>
      <w:r>
        <w:rPr>
          <w:rFonts w:ascii="Cambria" w:hAnsi="Cambria"/>
          <w:sz w:val="22"/>
        </w:rPr>
        <w:t>Can include curriculum reforms, outreach activities, research outcomes, and community impact.</w:t>
      </w:r>
    </w:p>
    <w:p>
      <w:pPr>
        <w:ind w:left="357" w:hanging="357"/>
        <w:jc w:val="both"/>
      </w:pPr>
      <w:r>
        <w:rPr>
          <w:rFonts w:ascii="Cambria" w:hAnsi="Cambria"/>
          <w:b w:val="0"/>
          <w:sz w:val="22"/>
        </w:rPr>
        <w:t xml:space="preserve">5. </w:t>
      </w:r>
      <w:r>
        <w:rPr>
          <w:rFonts w:ascii="Cambria" w:hAnsi="Cambria"/>
          <w:i w:val="0"/>
          <w:sz w:val="22"/>
        </w:rPr>
        <w:t>Evidence of Funding and Partnerships Generated via the CoE</w:t>
      </w:r>
    </w:p>
    <w:p>
      <w:pPr>
        <w:pStyle w:val="ListBullet2"/>
        <w:ind w:left="720"/>
        <w:jc w:val="both"/>
      </w:pPr>
      <w:r>
        <w:rPr>
          <w:rFonts w:ascii="Cambria" w:hAnsi="Cambria"/>
          <w:sz w:val="22"/>
        </w:rPr>
        <w:t>Monitors financial sustainability of the CoE.</w:t>
      </w:r>
    </w:p>
    <w:p>
      <w:pPr>
        <w:pStyle w:val="ListBullet2"/>
        <w:ind w:left="720"/>
        <w:jc w:val="both"/>
      </w:pPr>
      <w:r>
        <w:rPr>
          <w:rFonts w:ascii="Cambria" w:hAnsi="Cambria"/>
          <w:sz w:val="22"/>
        </w:rPr>
        <w:t>Tracks grants from national (UGC, DST, AICTE) and international (UNESCO, Erasmus+, Horizon Europe) bodies.</w:t>
      </w:r>
    </w:p>
    <w:p>
      <w:pPr>
        <w:pStyle w:val="ListBullet2"/>
        <w:ind w:left="720"/>
        <w:jc w:val="both"/>
      </w:pPr>
      <w:r>
        <w:rPr>
          <w:rFonts w:ascii="Cambria" w:hAnsi="Cambria"/>
          <w:sz w:val="22"/>
        </w:rPr>
        <w:t>Captures collaboration with NGOs, industries, and government agencies.</w:t>
      </w:r>
    </w:p>
    <w:p>
      <w:pPr>
        <w:spacing w:before="200" w:after="80"/>
        <w:jc w:val="left"/>
      </w:pPr>
      <w:r>
        <w:rPr>
          <w:rFonts w:ascii="Cambria" w:hAnsi="Cambria"/>
          <w:b/>
          <w:color w:val="1F3A5F"/>
          <w:sz w:val="25"/>
        </w:rPr>
        <w:t>Institutional Governance – Centres of Excellence &amp; Faculty Coordinators</w:t>
      </w:r>
    </w:p>
    <w:p>
      <w:pPr>
        <w:spacing w:before="160" w:after="80"/>
      </w:pPr>
      <w:r>
        <w:rPr>
          <w:rFonts w:ascii="Cambria" w:hAnsi="Cambria"/>
          <w:b/>
          <w:color w:val="1F3A5F"/>
          <w:sz w:val="23"/>
        </w:rPr>
        <w:t>Institutional Governance – Centres of Excellence &amp; Faculty Coordinators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Establish a Centre of Excellence (CoE) or dedicated Department for SDGs on campus; Appoint one faculty coordinator per SDG (1–17); Organize annual SDG conferences and sustainability reports; Align CoE outputs with accreditation, rankings, and community engagement</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SDSN (Sustainable Development Solutions Network): Global university hubs for SDGs; University of Cambridge (UK): Centre for Environment, Energy &amp; Natural Resource Governance (C-EENRG); TERI School of Advanced Studies (India): Centre for Sustainable Development; Columbia University (USA): Earth Institute as an SDG hub</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Institutionalized approach to SDG implementation; Improved accountability through faculty coordinators; Increased SDG-related research, innovation, and publications; Stronger visibility in global rankings (THE Impact, QS Sustainability); Enhanced partnerships with industry, NGOs, and government</w:t>
            </w:r>
          </w:p>
        </w:tc>
      </w:tr>
      <w:tr>
        <w:tc>
          <w:tcPr>
            <w:tcW w:type="dxa" w:w="2551"/>
            <w:tcW w:w="2551" w:type="dxa"/>
            <w:shd w:val="clear" w:color="auto" w:fill="DCE6F1"/>
          </w:tcPr>
          <w:p>
            <w:pPr>
              <w:jc w:val="left"/>
            </w:pPr>
            <w:r/>
            <w:r>
              <w:rPr>
                <w:rFonts w:ascii="Cambria" w:hAnsi="Cambria"/>
                <w:b/>
                <w:i w:val="0"/>
                <w:sz w:val="22"/>
              </w:rPr>
              <w:t>Key Performance Indicators (KPIs)</w:t>
            </w:r>
          </w:p>
        </w:tc>
        <w:tc>
          <w:tcPr>
            <w:tcW w:type="dxa" w:w="6860"/>
            <w:tcW w:w="6860" w:type="dxa"/>
            <w:shd w:val="clear" w:color="auto" w:fill="DCE6F1"/>
          </w:tcPr>
          <w:p>
            <w:pPr>
              <w:jc w:val="left"/>
            </w:pPr>
            <w:r/>
            <w:r>
              <w:rPr>
                <w:rFonts w:ascii="Cambria" w:hAnsi="Cambria"/>
                <w:b w:val="0"/>
                <w:i w:val="0"/>
                <w:sz w:val="22"/>
              </w:rPr>
              <w:t>Number of CoEs/Departments established; Number of faculty coordinators appointed (one per SDG); Number of SDG-related publications, projects, patents, and outreach initiatives; Annual SDG progress report published (Yes/No); Evidence of funding and partnerships generated via the CoE</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Establish CoEs, appoint coordinators, allocate resources, publish annual reports; Policymakers (UGC, AICTE, Ministry of Education): Provide guidelines, funding support, policy mandates; Accreditation Agencies (NAAC, NBA, NIRF, QS, THE): Incorporate CoEs and SDG coordinators into assessment criteria; Industry/NGOs: Collaborate on joint research and implementation projects</w:t>
            </w:r>
          </w:p>
        </w:tc>
      </w:tr>
    </w:tbl>
    <w:p>
      <w:r>
        <w:br w:type="page"/>
      </w:r>
    </w:p>
    <w:p>
      <w:pPr>
        <w:spacing w:before="280" w:after="160"/>
        <w:jc w:val="left"/>
      </w:pPr>
      <w:r>
        <w:rPr>
          <w:rFonts w:ascii="Cambria" w:hAnsi="Cambria"/>
          <w:b/>
          <w:color w:val="1F3A5F"/>
          <w:sz w:val="32"/>
        </w:rPr>
        <w:t>13. Allocating Budget and Aligning Doctoral Research with SDGs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Research is the backbone of higher education's contribution to the Sustainable Development Goals (SDGs).</w:t>
      </w:r>
    </w:p>
    <w:p>
      <w:pPr>
        <w:pStyle w:val="ListBullet"/>
        <w:ind w:left="357"/>
        <w:jc w:val="both"/>
      </w:pPr>
      <w:r>
        <w:rPr>
          <w:rFonts w:ascii="Cambria" w:hAnsi="Cambria"/>
          <w:sz w:val="22"/>
        </w:rPr>
        <w:t>Many universities produce excellent research, but much of it is not explicitly aligned with SDGs or directly addressing pressing global challenges such as climate change, poverty, education quality, and health.</w:t>
      </w:r>
    </w:p>
    <w:p>
      <w:pPr>
        <w:pStyle w:val="ListBullet"/>
        <w:ind w:left="357"/>
        <w:jc w:val="both"/>
      </w:pPr>
      <w:r>
        <w:rPr>
          <w:rFonts w:ascii="Cambria" w:hAnsi="Cambria"/>
          <w:sz w:val="22"/>
        </w:rPr>
        <w:t>By earmarking at least 10% of annual budgets for SDG-related research, HEIs ensure that financial resources are systematically directed toward sustainability-driven inquiry.</w:t>
      </w:r>
    </w:p>
    <w:p>
      <w:pPr>
        <w:pStyle w:val="ListBullet"/>
        <w:ind w:left="357"/>
        <w:jc w:val="both"/>
      </w:pPr>
      <w:r>
        <w:rPr>
          <w:rFonts w:ascii="Cambria" w:hAnsi="Cambria"/>
          <w:sz w:val="22"/>
        </w:rPr>
        <w:t>Aligning doctoral theses, dissertations, and research projects with SDGs institutionalizes the agenda and ensures future researchers are trained in sustainability-focused problem-solving.</w:t>
      </w:r>
    </w:p>
    <w:p>
      <w:pPr>
        <w:spacing w:before="200" w:after="80"/>
        <w:jc w:val="left"/>
      </w:pPr>
      <w:r>
        <w:rPr>
          <w:rFonts w:ascii="Cambria" w:hAnsi="Cambria"/>
          <w:b/>
          <w:color w:val="1F3A5F"/>
          <w:sz w:val="25"/>
        </w:rPr>
        <w:t>2. Role of Budget Allocation</w:t>
      </w:r>
    </w:p>
    <w:p>
      <w:pPr>
        <w:pStyle w:val="ListBullet"/>
        <w:ind w:left="357"/>
        <w:jc w:val="both"/>
      </w:pPr>
      <w:r>
        <w:rPr>
          <w:rFonts w:ascii="Cambria" w:hAnsi="Cambria"/>
          <w:sz w:val="22"/>
        </w:rPr>
        <w:t>Provides dedicated financial resources to fund research grants, laboratories, field projects, and community-engaged research.</w:t>
      </w:r>
    </w:p>
    <w:p>
      <w:pPr>
        <w:pStyle w:val="ListBullet"/>
        <w:ind w:left="357"/>
        <w:jc w:val="both"/>
      </w:pPr>
      <w:r>
        <w:rPr>
          <w:rFonts w:ascii="Cambria" w:hAnsi="Cambria"/>
          <w:sz w:val="22"/>
        </w:rPr>
        <w:t>Enables the creation of internal seed funding schemes to encourage faculty and students to pursue SDG-aligned research.</w:t>
      </w:r>
    </w:p>
    <w:p>
      <w:pPr>
        <w:pStyle w:val="ListBullet"/>
        <w:ind w:left="357"/>
        <w:jc w:val="both"/>
      </w:pPr>
      <w:r>
        <w:rPr>
          <w:rFonts w:ascii="Cambria" w:hAnsi="Cambria"/>
          <w:sz w:val="22"/>
        </w:rPr>
        <w:t>Attracts external grants since international funding agencies increasingly require SDG-alignment in proposals (e.g., Horizon Europe, World Bank, UNDP).</w:t>
      </w:r>
    </w:p>
    <w:p>
      <w:pPr>
        <w:spacing w:before="200" w:after="80"/>
        <w:jc w:val="left"/>
      </w:pPr>
      <w:r>
        <w:rPr>
          <w:rFonts w:ascii="Cambria" w:hAnsi="Cambria"/>
          <w:b/>
          <w:color w:val="1F3A5F"/>
          <w:sz w:val="25"/>
        </w:rPr>
        <w:t>3. Role of Doctoral and Research Alignment</w:t>
      </w:r>
    </w:p>
    <w:p>
      <w:pPr>
        <w:pStyle w:val="ListBullet"/>
        <w:ind w:left="357"/>
        <w:jc w:val="both"/>
      </w:pPr>
      <w:r>
        <w:rPr>
          <w:rFonts w:ascii="Cambria" w:hAnsi="Cambria"/>
          <w:sz w:val="22"/>
        </w:rPr>
        <w:t>Every PhD thesis/dissertation aligned with an SDG ensures future academic leaders are trained in sustainability-focused research methodologies.</w:t>
      </w:r>
    </w:p>
    <w:p>
      <w:pPr>
        <w:pStyle w:val="ListBullet"/>
        <w:ind w:left="357"/>
        <w:jc w:val="both"/>
      </w:pPr>
      <w:r>
        <w:rPr>
          <w:rFonts w:ascii="Cambria" w:hAnsi="Cambria"/>
          <w:sz w:val="22"/>
        </w:rPr>
        <w:t>Encourages interdisciplinary collaboration, since SDGs cut across environment, health, education, engineering, and social sciences.</w:t>
      </w:r>
    </w:p>
    <w:p>
      <w:pPr>
        <w:pStyle w:val="ListBullet"/>
        <w:ind w:left="357"/>
        <w:jc w:val="both"/>
      </w:pPr>
      <w:r>
        <w:rPr>
          <w:rFonts w:ascii="Cambria" w:hAnsi="Cambria"/>
          <w:sz w:val="22"/>
        </w:rPr>
        <w:t>Enhances publication and citation impact, as sustainability is a global research priority.</w:t>
      </w:r>
    </w:p>
    <w:p>
      <w:pPr>
        <w:pStyle w:val="ListBullet"/>
        <w:ind w:left="357"/>
        <w:jc w:val="both"/>
      </w:pPr>
      <w:r>
        <w:rPr>
          <w:rFonts w:ascii="Cambria" w:hAnsi="Cambria"/>
          <w:sz w:val="22"/>
        </w:rPr>
        <w:t>Provides evidence for accreditation (NAAC, NBA, NIRF, QS Sustainability Rankings) and strengthens HEIs in THE Impact Rankings.</w:t>
      </w:r>
    </w:p>
    <w:p>
      <w:pPr>
        <w:spacing w:before="200" w:after="80"/>
        <w:jc w:val="left"/>
      </w:pPr>
      <w:r>
        <w:rPr>
          <w:rFonts w:ascii="Cambria" w:hAnsi="Cambria"/>
          <w:b/>
          <w:color w:val="1F3A5F"/>
          <w:sz w:val="25"/>
        </w:rPr>
        <w:t>4. Global and National Best Practices</w:t>
      </w:r>
    </w:p>
    <w:p>
      <w:pPr>
        <w:pStyle w:val="ListBullet"/>
        <w:ind w:left="357"/>
        <w:jc w:val="both"/>
      </w:pPr>
      <w:r>
        <w:rPr>
          <w:rFonts w:ascii="Cambria" w:hAnsi="Cambria"/>
          <w:b/>
          <w:sz w:val="22"/>
        </w:rPr>
        <w:t xml:space="preserve">Horizon Europe (EU): </w:t>
      </w:r>
      <w:r>
        <w:rPr>
          <w:rFonts w:ascii="Cambria" w:hAnsi="Cambria"/>
          <w:sz w:val="22"/>
        </w:rPr>
        <w:t>Largest research funding programme in the world, explicitly linking calls to SDG goals.</w:t>
      </w:r>
    </w:p>
    <w:p>
      <w:pPr>
        <w:pStyle w:val="ListBullet"/>
        <w:ind w:left="357"/>
        <w:jc w:val="both"/>
      </w:pPr>
      <w:r>
        <w:rPr>
          <w:rFonts w:ascii="Cambria" w:hAnsi="Cambria"/>
          <w:b/>
          <w:sz w:val="22"/>
        </w:rPr>
        <w:t xml:space="preserve">European Green Deal Research Funding: </w:t>
      </w:r>
      <w:r>
        <w:rPr>
          <w:rFonts w:ascii="Cambria" w:hAnsi="Cambria"/>
          <w:sz w:val="22"/>
        </w:rPr>
        <w:t>Billions invested to transition towards a climate-neutral economy, aligned with SDG-13 (Climate Action).</w:t>
      </w:r>
    </w:p>
    <w:p>
      <w:pPr>
        <w:pStyle w:val="ListBullet"/>
        <w:ind w:left="357"/>
        <w:jc w:val="both"/>
      </w:pPr>
      <w:r>
        <w:rPr>
          <w:rFonts w:ascii="Cambria" w:hAnsi="Cambria"/>
          <w:b/>
          <w:sz w:val="22"/>
        </w:rPr>
        <w:t xml:space="preserve">SDSN (Global): </w:t>
      </w:r>
      <w:r>
        <w:rPr>
          <w:rFonts w:ascii="Cambria" w:hAnsi="Cambria"/>
          <w:sz w:val="22"/>
        </w:rPr>
        <w:t>Encourages HEIs to serve as hubs for sustainability solutions.</w:t>
      </w:r>
    </w:p>
    <w:p>
      <w:pPr>
        <w:pStyle w:val="ListBullet"/>
        <w:ind w:left="357"/>
        <w:jc w:val="both"/>
      </w:pPr>
      <w:r>
        <w:rPr>
          <w:rFonts w:ascii="Cambria" w:hAnsi="Cambria"/>
          <w:b/>
          <w:sz w:val="22"/>
        </w:rPr>
        <w:t xml:space="preserve">UGC/ICSSR (India): </w:t>
      </w:r>
      <w:r>
        <w:rPr>
          <w:rFonts w:ascii="Cambria" w:hAnsi="Cambria"/>
          <w:sz w:val="22"/>
        </w:rPr>
        <w:t>Guidelines increasingly promoting interdisciplinary and SDG-related doctoral research.</w:t>
      </w:r>
    </w:p>
    <w:p>
      <w:pPr>
        <w:spacing w:before="200" w:after="80"/>
        <w:jc w:val="left"/>
      </w:pPr>
      <w:r>
        <w:rPr>
          <w:rFonts w:ascii="Cambria" w:hAnsi="Cambria"/>
          <w:b/>
          <w:color w:val="1F3A5F"/>
          <w:sz w:val="25"/>
        </w:rPr>
        <w:t>5. Expected Outcomes</w:t>
      </w:r>
    </w:p>
    <w:p>
      <w:pPr>
        <w:pStyle w:val="ListBullet"/>
        <w:ind w:left="357"/>
        <w:jc w:val="both"/>
      </w:pPr>
      <w:r>
        <w:rPr>
          <w:rFonts w:ascii="Cambria" w:hAnsi="Cambria"/>
          <w:b/>
          <w:sz w:val="22"/>
        </w:rPr>
        <w:t xml:space="preserve">For Universities: </w:t>
      </w:r>
      <w:r>
        <w:rPr>
          <w:rFonts w:ascii="Cambria" w:hAnsi="Cambria"/>
          <w:sz w:val="22"/>
        </w:rPr>
        <w:t>Recognition as sustainability leaders, higher rankings, attraction of global partnerships.</w:t>
      </w:r>
    </w:p>
    <w:p>
      <w:pPr>
        <w:pStyle w:val="ListBullet"/>
        <w:ind w:left="357"/>
        <w:jc w:val="both"/>
      </w:pPr>
      <w:r>
        <w:rPr>
          <w:rFonts w:ascii="Cambria" w:hAnsi="Cambria"/>
          <w:b/>
          <w:sz w:val="22"/>
        </w:rPr>
        <w:t xml:space="preserve">For Students: </w:t>
      </w:r>
      <w:r>
        <w:rPr>
          <w:rFonts w:ascii="Cambria" w:hAnsi="Cambria"/>
          <w:sz w:val="22"/>
        </w:rPr>
        <w:t>Increased employability and research opportunities in green jobs, policy research, and global organizations.</w:t>
      </w:r>
    </w:p>
    <w:p>
      <w:pPr>
        <w:pStyle w:val="ListBullet"/>
        <w:ind w:left="357"/>
        <w:jc w:val="both"/>
      </w:pPr>
      <w:r>
        <w:rPr>
          <w:rFonts w:ascii="Cambria" w:hAnsi="Cambria"/>
          <w:b/>
          <w:sz w:val="22"/>
        </w:rPr>
        <w:t xml:space="preserve">For Society: </w:t>
      </w:r>
      <w:r>
        <w:rPr>
          <w:rFonts w:ascii="Cambria" w:hAnsi="Cambria"/>
          <w:sz w:val="22"/>
        </w:rPr>
        <w:t>Tangible solutions to local and global sustainability challenges.</w:t>
      </w:r>
    </w:p>
    <w:p>
      <w:pPr>
        <w:pStyle w:val="ListBullet"/>
        <w:ind w:left="357"/>
        <w:jc w:val="both"/>
      </w:pPr>
      <w:r>
        <w:rPr>
          <w:rFonts w:ascii="Cambria" w:hAnsi="Cambria"/>
          <w:b/>
          <w:sz w:val="22"/>
        </w:rPr>
        <w:t xml:space="preserve">For Accreditation: </w:t>
      </w:r>
      <w:r>
        <w:rPr>
          <w:rFonts w:ascii="Cambria" w:hAnsi="Cambria"/>
          <w:sz w:val="22"/>
        </w:rPr>
        <w:t>Strong evidence for NAAC/NBA/NIRF/QS on curriculum relevance, research impact, and community engagement.</w:t>
      </w:r>
    </w:p>
    <w:p>
      <w:pPr>
        <w:spacing w:before="200" w:after="80"/>
        <w:jc w:val="left"/>
      </w:pPr>
      <w:r>
        <w:rPr>
          <w:rFonts w:ascii="Cambria" w:hAnsi="Cambria"/>
          <w:b/>
          <w:color w:val="1F3A5F"/>
          <w:sz w:val="25"/>
        </w:rPr>
        <w:t>6. Measurable Indicators (KPIs)</w:t>
      </w:r>
    </w:p>
    <w:p>
      <w:pPr>
        <w:pStyle w:val="ListBullet"/>
        <w:ind w:left="357"/>
        <w:jc w:val="both"/>
      </w:pPr>
      <w:r>
        <w:rPr>
          <w:rFonts w:ascii="Cambria" w:hAnsi="Cambria"/>
          <w:sz w:val="22"/>
        </w:rPr>
        <w:t>% of total annual budget allocated to SDG-related research (minimum target: 10%).</w:t>
      </w:r>
    </w:p>
    <w:p>
      <w:pPr>
        <w:pStyle w:val="ListBullet"/>
        <w:ind w:left="357"/>
        <w:jc w:val="both"/>
      </w:pPr>
      <w:r>
        <w:rPr>
          <w:rFonts w:ascii="Cambria" w:hAnsi="Cambria"/>
          <w:sz w:val="22"/>
        </w:rPr>
        <w:t>% of doctoral theses/dissertations explicitly mapped to SDGs (target: 100%).</w:t>
      </w:r>
    </w:p>
    <w:p>
      <w:pPr>
        <w:pStyle w:val="ListBullet"/>
        <w:ind w:left="357"/>
        <w:jc w:val="both"/>
      </w:pPr>
      <w:r>
        <w:rPr>
          <w:rFonts w:ascii="Cambria" w:hAnsi="Cambria"/>
          <w:sz w:val="22"/>
        </w:rPr>
        <w:t>Number of SDG-related publications, patents, and funded projects.</w:t>
      </w:r>
    </w:p>
    <w:p>
      <w:pPr>
        <w:pStyle w:val="ListBullet"/>
        <w:ind w:left="357"/>
        <w:jc w:val="both"/>
      </w:pPr>
      <w:r>
        <w:rPr>
          <w:rFonts w:ascii="Cambria" w:hAnsi="Cambria"/>
          <w:sz w:val="22"/>
        </w:rPr>
        <w:t>Volume of external funding secured for SDG projects.</w:t>
      </w:r>
    </w:p>
    <w:p>
      <w:pPr>
        <w:pStyle w:val="ListBullet"/>
        <w:ind w:left="357"/>
        <w:jc w:val="both"/>
      </w:pPr>
      <w:r>
        <w:rPr>
          <w:rFonts w:ascii="Cambria" w:hAnsi="Cambria"/>
          <w:sz w:val="22"/>
        </w:rPr>
        <w:t>Annual institutional SDG research reports documenting outcomes.</w:t>
      </w:r>
    </w:p>
    <w:p>
      <w:pPr>
        <w:spacing w:before="200" w:after="80"/>
        <w:jc w:val="left"/>
      </w:pPr>
      <w:r>
        <w:rPr>
          <w:rFonts w:ascii="Cambria" w:hAnsi="Cambria"/>
          <w:b/>
          <w:color w:val="1F3A5F"/>
          <w:sz w:val="25"/>
        </w:rPr>
        <w:t>Institutional Finance &amp; Research – Budget Allocation and Doctoral Alignment with SDGs</w:t>
      </w:r>
    </w:p>
    <w:p>
      <w:pPr>
        <w:spacing w:before="160" w:after="80"/>
      </w:pPr>
      <w:r>
        <w:rPr>
          <w:rFonts w:ascii="Cambria" w:hAnsi="Cambria"/>
          <w:b/>
          <w:color w:val="1F3A5F"/>
          <w:sz w:val="23"/>
        </w:rPr>
        <w:t>Institutional Finance &amp; Research – Budget Allocation &amp; Doctoral Alignment</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Allocate minimum 10% of total annual HEI budget towards SDG-focused research; Align all doctoral theses, dissertations, and research projects with one or more SDGs; Establish internal funding schemes for faculty and student SDG research; Promote industry, government, and international partnerships to co-fund SDG research</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European Green Deal Research Funding (EU): Billions allocated to SDG-aligned research; Horizon Europe (EU): Largest funding scheme with SDG integration; UGC/ICSSR (India): Encourage SDG-based doctoral and interdisciplinary research; SDSN (Global): Network of HEIs driving SDG research and policy</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Increased SDG-oriented doctoral research and publications; Stronger interdisciplinary collaboration across faculties; Improved ranking performance in THE Impact &amp; QS Sustainability metrics; Attraction of international funding and partnerships; Greater community and industry impact through applied research</w:t>
            </w:r>
          </w:p>
        </w:tc>
      </w:tr>
      <w:tr>
        <w:tc>
          <w:tcPr>
            <w:tcW w:type="dxa" w:w="2551"/>
            <w:tcW w:w="2551" w:type="dxa"/>
            <w:shd w:val="clear" w:color="auto" w:fill="DCE6F1"/>
          </w:tcPr>
          <w:p>
            <w:pPr>
              <w:jc w:val="left"/>
            </w:pPr>
            <w:r/>
            <w:r>
              <w:rPr>
                <w:rFonts w:ascii="Cambria" w:hAnsi="Cambria"/>
                <w:b/>
                <w:i w:val="0"/>
                <w:sz w:val="22"/>
              </w:rPr>
              <w:t>Key Performance Indicators (KPIs)</w:t>
            </w:r>
          </w:p>
        </w:tc>
        <w:tc>
          <w:tcPr>
            <w:tcW w:type="dxa" w:w="6860"/>
            <w:tcW w:w="6860" w:type="dxa"/>
            <w:shd w:val="clear" w:color="auto" w:fill="DCE6F1"/>
          </w:tcPr>
          <w:p>
            <w:pPr>
              <w:jc w:val="left"/>
            </w:pPr>
            <w:r/>
            <w:r>
              <w:rPr>
                <w:rFonts w:ascii="Cambria" w:hAnsi="Cambria"/>
                <w:b w:val="0"/>
                <w:i w:val="0"/>
                <w:sz w:val="22"/>
              </w:rPr>
              <w:t>% of total budget allocated to SDG-related research (target ≥10%); % of doctoral theses/dissertations aligned with SDGs (target = 100%); Number of SDG-related funded projects, patents, and publications; Volume of external funding generated for SDG projects; Evidence of SDG alignment in research evaluation reports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Earmark budgets, mandate doctoral-SDG alignment, create funding mechanisms; Policymakers (UGC, AICTE, DST, Ministry of Education): Issue funding guidelines, monitor compliance; Accreditation Agencies (NAAC, NBA, NIRF, QS, THE Impact): Integrate SDG budget allocation &amp; doctoral alignment into evaluation criteria; Industry/NGOs/International Agencies: Provide co-funding, collaborative research opportunities</w:t>
            </w:r>
          </w:p>
        </w:tc>
      </w:tr>
    </w:tbl>
    <w:p>
      <w:r>
        <w:br w:type="page"/>
      </w:r>
    </w:p>
    <w:p>
      <w:pPr>
        <w:spacing w:before="280" w:after="160"/>
        <w:jc w:val="left"/>
      </w:pPr>
      <w:r>
        <w:rPr>
          <w:rFonts w:ascii="Cambria" w:hAnsi="Cambria"/>
          <w:b/>
          <w:color w:val="1F3A5F"/>
          <w:sz w:val="32"/>
        </w:rPr>
        <w:t>14. Institutional Sustainability and Ranking Performance (Funding, Visibility)</w:t>
      </w:r>
    </w:p>
    <w:p>
      <w:pPr>
        <w:spacing w:before="200" w:after="80"/>
        <w:jc w:val="left"/>
      </w:pPr>
      <w:r>
        <w:rPr>
          <w:rFonts w:ascii="Cambria" w:hAnsi="Cambria"/>
          <w:b/>
          <w:color w:val="1F3A5F"/>
          <w:sz w:val="25"/>
        </w:rPr>
        <w:t>1. Financial Sustainability</w:t>
      </w:r>
    </w:p>
    <w:p>
      <w:pPr>
        <w:pStyle w:val="ListBullet"/>
        <w:ind w:left="357"/>
        <w:jc w:val="both"/>
      </w:pPr>
      <w:r>
        <w:rPr>
          <w:rFonts w:ascii="Cambria" w:hAnsi="Cambria"/>
          <w:sz w:val="22"/>
        </w:rPr>
        <w:t>By earmarking 10% of the annual budget for SDG research, HEIs ensure a dedicated and stable funding stream for sustainability projects.</w:t>
      </w:r>
    </w:p>
    <w:p>
      <w:pPr>
        <w:pStyle w:val="ListBullet"/>
        <w:ind w:left="357"/>
        <w:jc w:val="both"/>
      </w:pPr>
      <w:r>
        <w:rPr>
          <w:rFonts w:ascii="Cambria" w:hAnsi="Cambria"/>
          <w:sz w:val="22"/>
        </w:rPr>
        <w:t>This reduces dependence on irregular or external funding and ensures that long-term SDG research agendas (such as climate change, renewable energy, education, and public health) are not interrupted.</w:t>
      </w:r>
    </w:p>
    <w:p>
      <w:pPr>
        <w:pStyle w:val="ListBullet"/>
        <w:ind w:left="357"/>
        <w:jc w:val="both"/>
      </w:pPr>
      <w:r>
        <w:rPr>
          <w:rFonts w:ascii="Cambria" w:hAnsi="Cambria"/>
          <w:sz w:val="22"/>
        </w:rPr>
        <w:t>Dedicated SDG funding acts as a catalyst to attract external research grants from global agencies like Horizon Europe, World Bank, UNESCO, and UNDP, thereby multiplying the impact of the internal allocation.</w:t>
      </w:r>
    </w:p>
    <w:p>
      <w:pPr>
        <w:spacing w:before="200" w:after="80"/>
        <w:jc w:val="left"/>
      </w:pPr>
      <w:r>
        <w:rPr>
          <w:rFonts w:ascii="Cambria" w:hAnsi="Cambria"/>
          <w:b/>
          <w:color w:val="1F3A5F"/>
          <w:sz w:val="25"/>
        </w:rPr>
        <w:t>2. Enhanced Institutional Visibility</w:t>
      </w:r>
    </w:p>
    <w:p>
      <w:pPr>
        <w:pStyle w:val="ListBullet"/>
        <w:ind w:left="357"/>
        <w:jc w:val="both"/>
      </w:pPr>
      <w:r>
        <w:rPr>
          <w:rFonts w:ascii="Cambria" w:hAnsi="Cambria"/>
          <w:sz w:val="22"/>
        </w:rPr>
        <w:t>Universities that prioritize SDG-related research gain higher visibility in international academic circles.</w:t>
      </w:r>
    </w:p>
    <w:p>
      <w:pPr>
        <w:pStyle w:val="ListBullet"/>
        <w:ind w:left="357"/>
        <w:jc w:val="both"/>
      </w:pPr>
      <w:r>
        <w:rPr>
          <w:rFonts w:ascii="Cambria" w:hAnsi="Cambria"/>
          <w:b/>
          <w:sz w:val="22"/>
        </w:rPr>
        <w:t xml:space="preserve">This visibility translates into: </w:t>
      </w:r>
      <w:r>
        <w:rPr>
          <w:rFonts w:ascii="Cambria" w:hAnsi="Cambria"/>
          <w:sz w:val="22"/>
        </w:rPr>
      </w:r>
    </w:p>
    <w:p>
      <w:pPr>
        <w:pStyle w:val="ListBullet2"/>
        <w:ind w:left="720"/>
        <w:jc w:val="both"/>
      </w:pPr>
      <w:r>
        <w:rPr>
          <w:rFonts w:ascii="Cambria" w:hAnsi="Cambria"/>
          <w:sz w:val="22"/>
        </w:rPr>
        <w:t>Increased citations of SDG-related research papers.</w:t>
      </w:r>
    </w:p>
    <w:p>
      <w:pPr>
        <w:pStyle w:val="ListBullet2"/>
        <w:ind w:left="720"/>
        <w:jc w:val="both"/>
      </w:pPr>
      <w:r>
        <w:rPr>
          <w:rFonts w:ascii="Cambria" w:hAnsi="Cambria"/>
          <w:sz w:val="22"/>
        </w:rPr>
        <w:t>Collaborations with international institutions working on sustainability.</w:t>
      </w:r>
    </w:p>
    <w:p>
      <w:pPr>
        <w:pStyle w:val="ListBullet2"/>
        <w:ind w:left="720"/>
        <w:jc w:val="both"/>
      </w:pPr>
      <w:r>
        <w:rPr>
          <w:rFonts w:ascii="Cambria" w:hAnsi="Cambria"/>
          <w:sz w:val="22"/>
        </w:rPr>
        <w:t>Policy influence, as governments and NGOs often cite HEI research in development frameworks.</w:t>
      </w:r>
    </w:p>
    <w:p>
      <w:pPr>
        <w:pStyle w:val="ListBullet"/>
        <w:ind w:left="357"/>
        <w:jc w:val="both"/>
      </w:pPr>
      <w:r>
        <w:rPr>
          <w:rFonts w:ascii="Cambria" w:hAnsi="Cambria"/>
          <w:sz w:val="22"/>
        </w:rPr>
        <w:t>Visibility is also enhanced by participation in international SDG networks like the Sustainable Development Solutions Network (SDSN) and Times Higher Education's (THE) Impact Rankings.</w:t>
      </w:r>
    </w:p>
    <w:p>
      <w:pPr>
        <w:spacing w:before="200" w:after="80"/>
        <w:jc w:val="left"/>
      </w:pPr>
      <w:r>
        <w:rPr>
          <w:rFonts w:ascii="Cambria" w:hAnsi="Cambria"/>
          <w:b/>
          <w:color w:val="1F3A5F"/>
          <w:sz w:val="25"/>
        </w:rPr>
        <w:t>3. Performance in Rankings</w:t>
      </w:r>
    </w:p>
    <w:p>
      <w:pPr>
        <w:pStyle w:val="ListBullet"/>
        <w:ind w:left="357"/>
        <w:jc w:val="both"/>
      </w:pPr>
      <w:r>
        <w:rPr>
          <w:rFonts w:ascii="Cambria" w:hAnsi="Cambria"/>
          <w:sz w:val="22"/>
        </w:rPr>
        <w:t>Times Higher Education (THE) Impact Rankings explicitly measure universities' contributions to the SDGs. HEIs with visible investment in SDG research consistently perform better.</w:t>
      </w:r>
    </w:p>
    <w:p>
      <w:pPr>
        <w:pStyle w:val="ListBullet"/>
        <w:ind w:left="357"/>
        <w:jc w:val="both"/>
      </w:pPr>
      <w:r>
        <w:rPr>
          <w:rFonts w:ascii="Cambria" w:hAnsi="Cambria"/>
          <w:sz w:val="22"/>
        </w:rPr>
        <w:t>QS Sustainability Rankings evaluate universities on social and environmental impact, where SDG-aligned research funding and doctoral outputs serve as strong evidence.</w:t>
      </w:r>
    </w:p>
    <w:p>
      <w:pPr>
        <w:pStyle w:val="ListBullet"/>
        <w:ind w:left="357"/>
        <w:jc w:val="both"/>
      </w:pPr>
      <w:r>
        <w:rPr>
          <w:rFonts w:ascii="Cambria" w:hAnsi="Cambria"/>
          <w:b/>
          <w:sz w:val="22"/>
        </w:rPr>
        <w:t xml:space="preserve">NIRF (India): </w:t>
      </w:r>
      <w:r>
        <w:rPr>
          <w:rFonts w:ascii="Cambria" w:hAnsi="Cambria"/>
          <w:sz w:val="22"/>
        </w:rPr>
        <w:t>Includes Research &amp; Professional Practices (RP) as a major component; SDG research outputs and funding contribute directly to this score.</w:t>
      </w:r>
    </w:p>
    <w:p>
      <w:pPr>
        <w:pStyle w:val="ListBullet"/>
        <w:ind w:left="357"/>
        <w:jc w:val="both"/>
      </w:pPr>
      <w:r>
        <w:rPr>
          <w:rFonts w:ascii="Cambria" w:hAnsi="Cambria"/>
          <w:b/>
          <w:sz w:val="22"/>
        </w:rPr>
        <w:t xml:space="preserve">NAAC/NBA Accreditation: </w:t>
      </w:r>
      <w:r>
        <w:rPr>
          <w:rFonts w:ascii="Cambria" w:hAnsi="Cambria"/>
          <w:sz w:val="22"/>
        </w:rPr>
        <w:t>Requires evidence of research impact, community engagement, and societal relevance—all of which are addressed by SDG-focused projects.</w:t>
      </w:r>
    </w:p>
    <w:p>
      <w:pPr>
        <w:spacing w:before="200" w:after="80"/>
        <w:jc w:val="left"/>
      </w:pPr>
      <w:r>
        <w:rPr>
          <w:rFonts w:ascii="Cambria" w:hAnsi="Cambria"/>
          <w:b/>
          <w:color w:val="1F3A5F"/>
          <w:sz w:val="25"/>
        </w:rPr>
        <w:t>4. Institutional Sustainability Beyond Funding</w:t>
      </w:r>
    </w:p>
    <w:p>
      <w:pPr>
        <w:pStyle w:val="ListBullet"/>
        <w:ind w:left="357"/>
        <w:jc w:val="both"/>
      </w:pPr>
      <w:r>
        <w:rPr>
          <w:rFonts w:ascii="Cambria" w:hAnsi="Cambria"/>
          <w:sz w:val="22"/>
        </w:rPr>
        <w:t>Aligning doctoral research with SDGs ensures that future faculty, researchers, and policy advisors are sustainability-trained, thereby future-proofing institutional expertise.</w:t>
      </w:r>
    </w:p>
    <w:p>
      <w:pPr>
        <w:pStyle w:val="ListBullet"/>
        <w:ind w:left="357"/>
        <w:jc w:val="both"/>
      </w:pPr>
      <w:r>
        <w:rPr>
          <w:rFonts w:ascii="Cambria" w:hAnsi="Cambria"/>
          <w:sz w:val="22"/>
        </w:rPr>
        <w:t>Strong SDG portfolios make HEIs attractive to international students, especially those seeking programmes with global relevance.</w:t>
      </w:r>
    </w:p>
    <w:p>
      <w:pPr>
        <w:pStyle w:val="ListBullet"/>
        <w:ind w:left="357"/>
        <w:jc w:val="both"/>
      </w:pPr>
      <w:r>
        <w:rPr>
          <w:rFonts w:ascii="Cambria" w:hAnsi="Cambria"/>
          <w:sz w:val="22"/>
        </w:rPr>
        <w:t>Partnerships with industry and NGOs in SDG-aligned areas ensure long-term collaborative opportunities, enhancing both financial sustainability and reputational sustainability.</w:t>
      </w:r>
    </w:p>
    <w:p>
      <w:pPr>
        <w:spacing w:before="200" w:after="80"/>
        <w:jc w:val="left"/>
      </w:pPr>
      <w:r>
        <w:rPr>
          <w:rFonts w:ascii="Cambria" w:hAnsi="Cambria"/>
          <w:b/>
          <w:color w:val="1F3A5F"/>
          <w:sz w:val="25"/>
        </w:rPr>
        <w:t>Ranking &amp; Accreditation Impact</w:t>
      </w:r>
    </w:p>
    <w:p>
      <w:pPr>
        <w:spacing w:before="160" w:after="80"/>
      </w:pPr>
      <w:r>
        <w:rPr>
          <w:rFonts w:ascii="Cambria" w:hAnsi="Cambria"/>
          <w:b/>
          <w:color w:val="1F3A5F"/>
          <w:sz w:val="23"/>
        </w:rPr>
        <w:t>Institutional Governance – Centres of Excellence &amp; Faculty Coordinators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Establish Centres of Excellence/Departments for SDGs; Appoint one faculty coordinator per SDG (1–17); Organize annual SDG conferences and sustainability reports</w:t>
            </w:r>
          </w:p>
        </w:tc>
      </w:tr>
      <w:tr>
        <w:tc>
          <w:tcPr>
            <w:tcW w:type="dxa" w:w="2551"/>
            <w:tcW w:w="2551" w:type="dxa"/>
            <w:shd w:val="clear" w:color="auto" w:fill="DCE6F1"/>
          </w:tcPr>
          <w:p>
            <w:pPr>
              <w:jc w:val="left"/>
            </w:pPr>
            <w:r/>
            <w:r>
              <w:rPr>
                <w:rFonts w:ascii="Cambria" w:hAnsi="Cambria"/>
                <w:b/>
                <w:i w:val="0"/>
                <w:sz w:val="22"/>
              </w:rPr>
              <w:t>Expected Outcomes</w:t>
            </w:r>
          </w:p>
        </w:tc>
        <w:tc>
          <w:tcPr>
            <w:tcW w:type="dxa" w:w="6860"/>
            <w:tcW w:w="6860" w:type="dxa"/>
            <w:shd w:val="clear" w:color="auto" w:fill="DCE6F1"/>
          </w:tcPr>
          <w:p>
            <w:pPr>
              <w:jc w:val="left"/>
            </w:pPr>
            <w:r/>
            <w:r>
              <w:rPr>
                <w:rFonts w:ascii="Cambria" w:hAnsi="Cambria"/>
                <w:b w:val="0"/>
                <w:i w:val="0"/>
                <w:sz w:val="22"/>
              </w:rPr>
              <w:t>Institutionalized SDG leadership; Improved accountability and outputs; Global partnerships &amp; visibility</w:t>
            </w:r>
          </w:p>
        </w:tc>
      </w:tr>
      <w:tr>
        <w:tc>
          <w:tcPr>
            <w:tcW w:type="dxa" w:w="2551"/>
            <w:tcW w:w="2551" w:type="dxa"/>
          </w:tcPr>
          <w:p>
            <w:pPr>
              <w:jc w:val="left"/>
            </w:pPr>
            <w:r/>
            <w:r>
              <w:rPr>
                <w:rFonts w:ascii="Cambria" w:hAnsi="Cambria"/>
                <w:b/>
                <w:i w:val="0"/>
                <w:sz w:val="22"/>
              </w:rPr>
              <w:t>KPIs</w:t>
            </w:r>
          </w:p>
        </w:tc>
        <w:tc>
          <w:tcPr>
            <w:tcW w:type="dxa" w:w="6860"/>
            <w:tcW w:w="6860" w:type="dxa"/>
          </w:tcPr>
          <w:p>
            <w:pPr>
              <w:jc w:val="left"/>
            </w:pPr>
            <w:r/>
            <w:r>
              <w:rPr>
                <w:rFonts w:ascii="Cambria" w:hAnsi="Cambria"/>
                <w:b w:val="0"/>
                <w:i w:val="0"/>
                <w:sz w:val="22"/>
              </w:rPr>
              <w:t>Number of CoEs; Number of faculty coordinators; Number of SDG publications, patents, projects; Annual SDG reports published</w:t>
            </w:r>
          </w:p>
        </w:tc>
      </w:tr>
      <w:tr>
        <w:tc>
          <w:tcPr>
            <w:tcW w:type="dxa" w:w="2551"/>
            <w:tcW w:w="2551" w:type="dxa"/>
            <w:shd w:val="clear" w:color="auto" w:fill="DCE6F1"/>
          </w:tcPr>
          <w:p>
            <w:pPr>
              <w:jc w:val="left"/>
            </w:pPr>
            <w:r/>
            <w:r>
              <w:rPr>
                <w:rFonts w:ascii="Cambria" w:hAnsi="Cambria"/>
                <w:b/>
                <w:i w:val="0"/>
                <w:sz w:val="22"/>
              </w:rPr>
              <w:t>Stakeholder Responsibility</w:t>
            </w:r>
          </w:p>
        </w:tc>
        <w:tc>
          <w:tcPr>
            <w:tcW w:type="dxa" w:w="6860"/>
            <w:tcW w:w="6860" w:type="dxa"/>
            <w:shd w:val="clear" w:color="auto" w:fill="DCE6F1"/>
          </w:tcPr>
          <w:p>
            <w:pPr>
              <w:jc w:val="left"/>
            </w:pPr>
            <w:r/>
            <w:r>
              <w:rPr>
                <w:rFonts w:ascii="Cambria" w:hAnsi="Cambria"/>
                <w:b w:val="0"/>
                <w:i w:val="0"/>
                <w:sz w:val="22"/>
              </w:rPr>
              <w:t>HEIs: Establish CoEs, appoint coordinators; Policymakers: Provide funding/guidelines; Accreditation Agencies: Include CoEs in criteria</w:t>
            </w:r>
          </w:p>
        </w:tc>
      </w:tr>
      <w:tr>
        <w:tc>
          <w:tcPr>
            <w:tcW w:type="dxa" w:w="2551"/>
            <w:tcW w:w="2551" w:type="dxa"/>
          </w:tcPr>
          <w:p>
            <w:pPr>
              <w:jc w:val="left"/>
            </w:pPr>
            <w:r/>
            <w:r>
              <w:rPr>
                <w:rFonts w:ascii="Cambria" w:hAnsi="Cambria"/>
                <w:b/>
                <w:i w:val="0"/>
                <w:sz w:val="22"/>
              </w:rPr>
              <w:t>Ranking &amp; Accreditation Impact</w:t>
            </w:r>
          </w:p>
        </w:tc>
        <w:tc>
          <w:tcPr>
            <w:tcW w:type="dxa" w:w="6860"/>
            <w:tcW w:w="6860" w:type="dxa"/>
          </w:tcPr>
          <w:p>
            <w:pPr>
              <w:jc w:val="left"/>
            </w:pPr>
            <w:r/>
            <w:r>
              <w:rPr>
                <w:rFonts w:ascii="Cambria" w:hAnsi="Cambria"/>
                <w:b w:val="0"/>
                <w:i w:val="0"/>
                <w:sz w:val="22"/>
              </w:rPr>
              <w:t>NAAC: Criterion III (Research), Criterion VII (Best Practices); NBA: Continuous Improvement &amp; R&amp;D; NIRF: RP (Research &amp; Professional Practice) score; QS/THE Impact Rankings: Direct improvement via SDG governance evidence</w:t>
            </w:r>
          </w:p>
        </w:tc>
      </w:tr>
    </w:tbl>
    <w:p/>
    <w:p>
      <w:pPr>
        <w:spacing w:before="160" w:after="80"/>
      </w:pPr>
      <w:r>
        <w:rPr>
          <w:rFonts w:ascii="Cambria" w:hAnsi="Cambria"/>
          <w:b/>
          <w:color w:val="1F3A5F"/>
          <w:sz w:val="23"/>
        </w:rPr>
        <w:t>Institutional Finance &amp; Research – Budget Allocation &amp; Doctoral Alignment</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Allocate 10% of budget to SDG-related research; Align all doctoral theses/dissertations with SDGs; Establish internal SDG research funding schemes</w:t>
            </w:r>
          </w:p>
        </w:tc>
      </w:tr>
      <w:tr>
        <w:tc>
          <w:tcPr>
            <w:tcW w:type="dxa" w:w="2551"/>
            <w:tcW w:w="2551" w:type="dxa"/>
            <w:shd w:val="clear" w:color="auto" w:fill="DCE6F1"/>
          </w:tcPr>
          <w:p>
            <w:pPr>
              <w:jc w:val="left"/>
            </w:pPr>
            <w:r/>
            <w:r>
              <w:rPr>
                <w:rFonts w:ascii="Cambria" w:hAnsi="Cambria"/>
                <w:b/>
                <w:i w:val="0"/>
                <w:sz w:val="22"/>
              </w:rPr>
              <w:t>Expected Outcomes</w:t>
            </w:r>
          </w:p>
        </w:tc>
        <w:tc>
          <w:tcPr>
            <w:tcW w:type="dxa" w:w="6860"/>
            <w:tcW w:w="6860" w:type="dxa"/>
            <w:shd w:val="clear" w:color="auto" w:fill="DCE6F1"/>
          </w:tcPr>
          <w:p>
            <w:pPr>
              <w:jc w:val="left"/>
            </w:pPr>
            <w:r/>
            <w:r>
              <w:rPr>
                <w:rFonts w:ascii="Cambria" w:hAnsi="Cambria"/>
                <w:b w:val="0"/>
                <w:i w:val="0"/>
                <w:sz w:val="22"/>
              </w:rPr>
              <w:t>Increased SDG research outputs; Stronger interdisciplinary research; Attraction of global funding</w:t>
            </w:r>
          </w:p>
        </w:tc>
      </w:tr>
      <w:tr>
        <w:tc>
          <w:tcPr>
            <w:tcW w:type="dxa" w:w="2551"/>
            <w:tcW w:w="2551" w:type="dxa"/>
          </w:tcPr>
          <w:p>
            <w:pPr>
              <w:jc w:val="left"/>
            </w:pPr>
            <w:r/>
            <w:r>
              <w:rPr>
                <w:rFonts w:ascii="Cambria" w:hAnsi="Cambria"/>
                <w:b/>
                <w:i w:val="0"/>
                <w:sz w:val="22"/>
              </w:rPr>
              <w:t>KPIs</w:t>
            </w:r>
          </w:p>
        </w:tc>
        <w:tc>
          <w:tcPr>
            <w:tcW w:type="dxa" w:w="6860"/>
            <w:tcW w:w="6860" w:type="dxa"/>
          </w:tcPr>
          <w:p>
            <w:pPr>
              <w:jc w:val="left"/>
            </w:pPr>
            <w:r/>
            <w:r>
              <w:rPr>
                <w:rFonts w:ascii="Cambria" w:hAnsi="Cambria"/>
                <w:b w:val="0"/>
                <w:i w:val="0"/>
                <w:sz w:val="22"/>
              </w:rPr>
              <w:t>% of budget earmarked for SDG research (≥10%); % of doctoral theses aligned to SDGs (100%); Number of funded SDG projects, patents, publications; External funding volume generated</w:t>
            </w:r>
          </w:p>
        </w:tc>
      </w:tr>
      <w:tr>
        <w:tc>
          <w:tcPr>
            <w:tcW w:type="dxa" w:w="2551"/>
            <w:tcW w:w="2551" w:type="dxa"/>
            <w:shd w:val="clear" w:color="auto" w:fill="DCE6F1"/>
          </w:tcPr>
          <w:p>
            <w:pPr>
              <w:jc w:val="left"/>
            </w:pPr>
            <w:r/>
            <w:r>
              <w:rPr>
                <w:rFonts w:ascii="Cambria" w:hAnsi="Cambria"/>
                <w:b/>
                <w:i w:val="0"/>
                <w:sz w:val="22"/>
              </w:rPr>
              <w:t>Stakeholder Responsibility</w:t>
            </w:r>
          </w:p>
        </w:tc>
        <w:tc>
          <w:tcPr>
            <w:tcW w:type="dxa" w:w="6860"/>
            <w:tcW w:w="6860" w:type="dxa"/>
            <w:shd w:val="clear" w:color="auto" w:fill="DCE6F1"/>
          </w:tcPr>
          <w:p>
            <w:pPr>
              <w:jc w:val="left"/>
            </w:pPr>
            <w:r/>
            <w:r>
              <w:rPr>
                <w:rFonts w:ascii="Cambria" w:hAnsi="Cambria"/>
                <w:b w:val="0"/>
                <w:i w:val="0"/>
                <w:sz w:val="22"/>
              </w:rPr>
              <w:t>HEIs: Budget earmarking, doctoral alignment; Policymakers: Funding schemes, monitoring; Accreditation Agencies: Evaluate SDG research alignment; Industry/NGOs: Co-funding &amp; projects</w:t>
            </w:r>
          </w:p>
        </w:tc>
      </w:tr>
      <w:tr>
        <w:tc>
          <w:tcPr>
            <w:tcW w:type="dxa" w:w="2551"/>
            <w:tcW w:w="2551" w:type="dxa"/>
          </w:tcPr>
          <w:p>
            <w:pPr>
              <w:jc w:val="left"/>
            </w:pPr>
            <w:r/>
            <w:r>
              <w:rPr>
                <w:rFonts w:ascii="Cambria" w:hAnsi="Cambria"/>
                <w:b/>
                <w:i w:val="0"/>
                <w:sz w:val="22"/>
              </w:rPr>
              <w:t>Ranking &amp; Accreditation Impact</w:t>
            </w:r>
          </w:p>
        </w:tc>
        <w:tc>
          <w:tcPr>
            <w:tcW w:type="dxa" w:w="6860"/>
            <w:tcW w:w="6860" w:type="dxa"/>
          </w:tcPr>
          <w:p>
            <w:pPr>
              <w:jc w:val="left"/>
            </w:pPr>
            <w:r/>
            <w:r>
              <w:rPr>
                <w:rFonts w:ascii="Cambria" w:hAnsi="Cambria"/>
                <w:b w:val="0"/>
                <w:i w:val="0"/>
                <w:sz w:val="22"/>
              </w:rPr>
              <w:t>NAAC: Criterion III (Research &amp; Extension); NBA: Research/PhD output evidence; NIRF: RP score (funding, patents, publications); QS Sustainability: Proof of SDG research investments; THE Impact Rankings: High weightage on SDG-aligned research outputs</w:t>
            </w:r>
          </w:p>
        </w:tc>
      </w:tr>
    </w:tbl>
    <w:p>
      <w:pPr>
        <w:spacing w:before="200" w:after="80"/>
        <w:jc w:val="left"/>
      </w:pPr>
      <w:r>
        <w:rPr>
          <w:rFonts w:ascii="Cambria" w:hAnsi="Cambria"/>
          <w:b/>
          <w:color w:val="1F3A5F"/>
          <w:sz w:val="25"/>
        </w:rPr>
        <w:t>Student Growth (Doctoral Alignment with Global Goals)</w:t>
      </w:r>
    </w:p>
    <w:p>
      <w:pPr>
        <w:spacing w:after="120"/>
        <w:jc w:val="both"/>
      </w:pPr>
      <w:r>
        <w:rPr>
          <w:rFonts w:ascii="Cambria" w:hAnsi="Cambria"/>
          <w:b/>
          <w:i w:val="0"/>
          <w:sz w:val="22"/>
        </w:rPr>
        <w:t>1. Academic Development</w:t>
      </w:r>
    </w:p>
    <w:p>
      <w:pPr>
        <w:pStyle w:val="ListBullet"/>
        <w:ind w:left="357"/>
        <w:jc w:val="both"/>
      </w:pPr>
      <w:r>
        <w:rPr>
          <w:rFonts w:ascii="Cambria" w:hAnsi="Cambria"/>
          <w:sz w:val="22"/>
        </w:rPr>
        <w:t>Aligning doctoral theses and research projects with SDGs ensures that students engage in research of global relevance rather than isolated academic exercises.</w:t>
      </w:r>
    </w:p>
    <w:p>
      <w:pPr>
        <w:pStyle w:val="ListBullet"/>
        <w:ind w:left="357"/>
        <w:jc w:val="both"/>
      </w:pPr>
      <w:r>
        <w:rPr>
          <w:rFonts w:ascii="Cambria" w:hAnsi="Cambria"/>
          <w:sz w:val="22"/>
        </w:rPr>
        <w:t>Students develop expertise in interdisciplinary problem-solving, since SDGs cut across health, education, climate, technology, and social equity.</w:t>
      </w:r>
    </w:p>
    <w:p>
      <w:pPr>
        <w:pStyle w:val="ListBullet"/>
        <w:ind w:left="357"/>
        <w:jc w:val="both"/>
      </w:pPr>
      <w:r>
        <w:rPr>
          <w:rFonts w:ascii="Cambria" w:hAnsi="Cambria"/>
          <w:sz w:val="22"/>
        </w:rPr>
        <w:t>Exposure to real-world challenges prepares doctoral scholars for careers beyond academia (policy, industry, NGOs, global agencies).</w:t>
      </w:r>
    </w:p>
    <w:p>
      <w:pPr>
        <w:spacing w:after="120"/>
        <w:jc w:val="both"/>
      </w:pPr>
      <w:r>
        <w:rPr>
          <w:rFonts w:ascii="Cambria" w:hAnsi="Cambria"/>
          <w:b/>
          <w:i w:val="0"/>
          <w:sz w:val="22"/>
        </w:rPr>
        <w:t>2. Employability and Career Opportunities</w:t>
      </w:r>
    </w:p>
    <w:p>
      <w:pPr>
        <w:pStyle w:val="ListBullet"/>
        <w:ind w:left="357"/>
        <w:jc w:val="both"/>
      </w:pPr>
      <w:r>
        <w:rPr>
          <w:rFonts w:ascii="Cambria" w:hAnsi="Cambria"/>
          <w:sz w:val="22"/>
        </w:rPr>
        <w:t>Global employers and international organizations increasingly seek graduates with sustainability-oriented skills.</w:t>
      </w:r>
    </w:p>
    <w:p>
      <w:pPr>
        <w:pStyle w:val="ListBullet"/>
        <w:ind w:left="357"/>
        <w:jc w:val="both"/>
      </w:pPr>
      <w:r>
        <w:rPr>
          <w:rFonts w:ascii="Cambria" w:hAnsi="Cambria"/>
          <w:sz w:val="22"/>
        </w:rPr>
        <w:t>Doctoral research aligned with SDGs positions students as future-ready professionals for careers in:</w:t>
      </w:r>
    </w:p>
    <w:p>
      <w:pPr>
        <w:pStyle w:val="ListBullet2"/>
        <w:ind w:left="720"/>
        <w:jc w:val="both"/>
      </w:pPr>
      <w:r>
        <w:rPr>
          <w:rFonts w:ascii="Cambria" w:hAnsi="Cambria"/>
          <w:sz w:val="22"/>
        </w:rPr>
        <w:t>International agencies (UNESCO, UNDP, World Bank, WHO).</w:t>
      </w:r>
    </w:p>
    <w:p>
      <w:pPr>
        <w:pStyle w:val="ListBullet2"/>
        <w:ind w:left="720"/>
        <w:jc w:val="both"/>
      </w:pPr>
      <w:r>
        <w:rPr>
          <w:rFonts w:ascii="Cambria" w:hAnsi="Cambria"/>
          <w:sz w:val="22"/>
        </w:rPr>
        <w:t>Research think tanks and policy advisory roles.</w:t>
      </w:r>
    </w:p>
    <w:p>
      <w:pPr>
        <w:pStyle w:val="ListBullet2"/>
        <w:ind w:left="720"/>
        <w:jc w:val="both"/>
      </w:pPr>
      <w:r>
        <w:rPr>
          <w:rFonts w:ascii="Cambria" w:hAnsi="Cambria"/>
          <w:sz w:val="22"/>
        </w:rPr>
        <w:t>Sustainability-focused industries (renewable energy, green tech, EdTech, healthcare).</w:t>
      </w:r>
    </w:p>
    <w:p>
      <w:pPr>
        <w:pStyle w:val="ListBullet"/>
        <w:ind w:left="357"/>
        <w:jc w:val="both"/>
      </w:pPr>
      <w:r>
        <w:rPr>
          <w:rFonts w:ascii="Cambria" w:hAnsi="Cambria"/>
          <w:sz w:val="22"/>
        </w:rPr>
        <w:t>This enhances employability and competitiveness in global job markets.</w:t>
      </w:r>
    </w:p>
    <w:p>
      <w:pPr>
        <w:spacing w:after="120"/>
        <w:jc w:val="both"/>
      </w:pPr>
      <w:r>
        <w:rPr>
          <w:rFonts w:ascii="Cambria" w:hAnsi="Cambria"/>
          <w:b/>
          <w:i w:val="0"/>
          <w:sz w:val="22"/>
        </w:rPr>
        <w:t>3. Contribution to Global Goals</w:t>
      </w:r>
    </w:p>
    <w:p>
      <w:pPr>
        <w:pStyle w:val="ListBullet"/>
        <w:ind w:left="357"/>
        <w:jc w:val="both"/>
      </w:pPr>
      <w:r>
        <w:rPr>
          <w:rFonts w:ascii="Cambria" w:hAnsi="Cambria"/>
          <w:sz w:val="22"/>
        </w:rPr>
        <w:t>Doctoral students become direct contributors to Agenda 2030 by producing knowledge and innovations that tackle pressing global challenges.</w:t>
      </w:r>
    </w:p>
    <w:p>
      <w:pPr>
        <w:pStyle w:val="ListBullet"/>
        <w:ind w:left="357"/>
        <w:jc w:val="both"/>
      </w:pPr>
      <w:r>
        <w:rPr>
          <w:rFonts w:ascii="Cambria" w:hAnsi="Cambria"/>
          <w:sz w:val="22"/>
        </w:rPr>
        <w:t>By embedding SDGs, universities transform students into knowledge leaders and change agents, not just researchers.</w:t>
      </w:r>
    </w:p>
    <w:p>
      <w:pPr>
        <w:pStyle w:val="ListBullet"/>
        <w:ind w:left="357"/>
        <w:jc w:val="both"/>
      </w:pPr>
      <w:r>
        <w:rPr>
          <w:rFonts w:ascii="Cambria" w:hAnsi="Cambria"/>
          <w:sz w:val="22"/>
        </w:rPr>
        <w:t>This creates a pipeline of graduates capable of influencing policy and practice at national and global levels.</w:t>
      </w:r>
    </w:p>
    <w:p>
      <w:pPr>
        <w:spacing w:after="120"/>
        <w:jc w:val="both"/>
      </w:pPr>
      <w:r>
        <w:rPr>
          <w:rFonts w:ascii="Cambria" w:hAnsi="Cambria"/>
          <w:b/>
          <w:i w:val="0"/>
          <w:sz w:val="22"/>
        </w:rPr>
        <w:t>4. Global Recognition &amp; Mobility</w:t>
      </w:r>
    </w:p>
    <w:p>
      <w:pPr>
        <w:pStyle w:val="ListBullet"/>
        <w:ind w:left="357"/>
        <w:jc w:val="both"/>
      </w:pPr>
      <w:r>
        <w:rPr>
          <w:rFonts w:ascii="Cambria" w:hAnsi="Cambria"/>
          <w:sz w:val="22"/>
        </w:rPr>
        <w:t>SDG-aligned doctoral research increases chances of international recognition, exchange, and collaborations (e.g., Erasmus+, Horizon Europe).</w:t>
      </w:r>
    </w:p>
    <w:p>
      <w:pPr>
        <w:pStyle w:val="ListBullet"/>
        <w:ind w:left="357"/>
        <w:jc w:val="both"/>
      </w:pPr>
      <w:r>
        <w:rPr>
          <w:rFonts w:ascii="Cambria" w:hAnsi="Cambria"/>
          <w:sz w:val="22"/>
        </w:rPr>
        <w:t>Publications in high-impact journals focusing on sustainability boost students' academic profiles.</w:t>
      </w:r>
    </w:p>
    <w:p>
      <w:pPr>
        <w:pStyle w:val="ListBullet"/>
        <w:ind w:left="357"/>
        <w:jc w:val="both"/>
      </w:pPr>
      <w:r>
        <w:rPr>
          <w:rFonts w:ascii="Cambria" w:hAnsi="Cambria"/>
          <w:sz w:val="22"/>
        </w:rPr>
        <w:t>Alumni with SDG-focused research backgrounds contribute to the global visibility of HEIs, feeding back into institutional rankings.</w:t>
      </w:r>
    </w:p>
    <w:p>
      <w:pPr>
        <w:spacing w:after="120"/>
        <w:jc w:val="both"/>
      </w:pPr>
      <w:r>
        <w:rPr>
          <w:rFonts w:ascii="Cambria" w:hAnsi="Cambria"/>
          <w:b/>
          <w:i w:val="0"/>
          <w:sz w:val="22"/>
        </w:rPr>
        <w:t>5. Measurable Indicators (Student Growth KPIs)</w:t>
      </w:r>
    </w:p>
    <w:p>
      <w:pPr>
        <w:pStyle w:val="ListBullet"/>
        <w:ind w:left="357"/>
        <w:jc w:val="both"/>
      </w:pPr>
      <w:r>
        <w:rPr>
          <w:rFonts w:ascii="Cambria" w:hAnsi="Cambria"/>
          <w:sz w:val="22"/>
        </w:rPr>
        <w:t>% of doctoral theses explicitly aligned with SDGs (target = 100%).</w:t>
      </w:r>
    </w:p>
    <w:p>
      <w:pPr>
        <w:pStyle w:val="ListBullet"/>
        <w:ind w:left="357"/>
        <w:jc w:val="both"/>
      </w:pPr>
      <w:r>
        <w:rPr>
          <w:rFonts w:ascii="Cambria" w:hAnsi="Cambria"/>
          <w:sz w:val="22"/>
        </w:rPr>
        <w:t>Number of doctoral graduates securing global jobs, fellowships, or postdocs in sustainability fields.</w:t>
      </w:r>
    </w:p>
    <w:p>
      <w:pPr>
        <w:pStyle w:val="ListBullet"/>
        <w:ind w:left="357"/>
        <w:jc w:val="both"/>
      </w:pPr>
      <w:r>
        <w:rPr>
          <w:rFonts w:ascii="Cambria" w:hAnsi="Cambria"/>
          <w:sz w:val="22"/>
        </w:rPr>
        <w:t>Number of interdisciplinary doctoral projects addressing multiple SDGs.</w:t>
      </w:r>
    </w:p>
    <w:p>
      <w:pPr>
        <w:pStyle w:val="ListBullet"/>
        <w:ind w:left="357"/>
        <w:jc w:val="both"/>
      </w:pPr>
      <w:r>
        <w:rPr>
          <w:rFonts w:ascii="Cambria" w:hAnsi="Cambria"/>
          <w:sz w:val="22"/>
        </w:rPr>
        <w:t>Student satisfaction and employability scores in tracer studies.</w:t>
      </w:r>
    </w:p>
    <w:p>
      <w:pPr>
        <w:pStyle w:val="ListBullet"/>
        <w:ind w:left="357"/>
        <w:jc w:val="both"/>
      </w:pPr>
      <w:r>
        <w:rPr>
          <w:rFonts w:ascii="Cambria" w:hAnsi="Cambria"/>
          <w:sz w:val="22"/>
        </w:rPr>
        <w:t>Co-authored publications between doctoral students and international collaborators.</w:t>
      </w:r>
    </w:p>
    <w:p>
      <w:pPr>
        <w:spacing w:before="200" w:after="80"/>
        <w:jc w:val="left"/>
      </w:pPr>
      <w:r>
        <w:rPr>
          <w:rFonts w:ascii="Cambria" w:hAnsi="Cambria"/>
          <w:b/>
          <w:color w:val="1F3A5F"/>
          <w:sz w:val="25"/>
        </w:rPr>
        <w:t>Student Growth &amp; Employability Impact</w:t>
      </w:r>
    </w:p>
    <w:p>
      <w:pPr>
        <w:spacing w:before="160" w:after="80"/>
      </w:pPr>
      <w:r>
        <w:rPr>
          <w:rFonts w:ascii="Cambria" w:hAnsi="Cambria"/>
          <w:b/>
          <w:color w:val="1F3A5F"/>
          <w:sz w:val="23"/>
        </w:rPr>
        <w:t>Institutional Governance – Centres of Excellence &amp; Faculty Coordinators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Establish CoEs/Departments for SDGs; Appoint one faculty coordinator per SDG; Host annual SDG conferences and sustainability reports</w:t>
            </w:r>
          </w:p>
        </w:tc>
      </w:tr>
      <w:tr>
        <w:tc>
          <w:tcPr>
            <w:tcW w:type="dxa" w:w="2551"/>
            <w:tcW w:w="2551" w:type="dxa"/>
            <w:shd w:val="clear" w:color="auto" w:fill="DCE6F1"/>
          </w:tcPr>
          <w:p>
            <w:pPr>
              <w:jc w:val="left"/>
            </w:pPr>
            <w:r/>
            <w:r>
              <w:rPr>
                <w:rFonts w:ascii="Cambria" w:hAnsi="Cambria"/>
                <w:b/>
                <w:i w:val="0"/>
                <w:sz w:val="22"/>
              </w:rPr>
              <w:t>Expected Outcomes</w:t>
            </w:r>
          </w:p>
        </w:tc>
        <w:tc>
          <w:tcPr>
            <w:tcW w:type="dxa" w:w="6860"/>
            <w:tcW w:w="6860" w:type="dxa"/>
            <w:shd w:val="clear" w:color="auto" w:fill="DCE6F1"/>
          </w:tcPr>
          <w:p>
            <w:pPr>
              <w:jc w:val="left"/>
            </w:pPr>
            <w:r/>
            <w:r>
              <w:rPr>
                <w:rFonts w:ascii="Cambria" w:hAnsi="Cambria"/>
                <w:b w:val="0"/>
                <w:i w:val="0"/>
                <w:sz w:val="22"/>
              </w:rPr>
              <w:t>Institutionalized SDG governance; Increased accountability and visibility</w:t>
            </w:r>
          </w:p>
        </w:tc>
      </w:tr>
      <w:tr>
        <w:tc>
          <w:tcPr>
            <w:tcW w:type="dxa" w:w="2551"/>
            <w:tcW w:w="2551" w:type="dxa"/>
          </w:tcPr>
          <w:p>
            <w:pPr>
              <w:jc w:val="left"/>
            </w:pPr>
            <w:r/>
            <w:r>
              <w:rPr>
                <w:rFonts w:ascii="Cambria" w:hAnsi="Cambria"/>
                <w:b/>
                <w:i w:val="0"/>
                <w:sz w:val="22"/>
              </w:rPr>
              <w:t>KPIs</w:t>
            </w:r>
          </w:p>
        </w:tc>
        <w:tc>
          <w:tcPr>
            <w:tcW w:type="dxa" w:w="6860"/>
            <w:tcW w:w="6860" w:type="dxa"/>
          </w:tcPr>
          <w:p>
            <w:pPr>
              <w:jc w:val="left"/>
            </w:pPr>
            <w:r/>
            <w:r>
              <w:rPr>
                <w:rFonts w:ascii="Cambria" w:hAnsi="Cambria"/>
                <w:b w:val="0"/>
                <w:i w:val="0"/>
                <w:sz w:val="22"/>
              </w:rPr>
              <w:t>Number of CoEs; Number of faculty coordinators; Number of SDG outputs; Annual SDG reports</w:t>
            </w:r>
          </w:p>
        </w:tc>
      </w:tr>
      <w:tr>
        <w:tc>
          <w:tcPr>
            <w:tcW w:type="dxa" w:w="2551"/>
            <w:tcW w:w="2551" w:type="dxa"/>
            <w:shd w:val="clear" w:color="auto" w:fill="DCE6F1"/>
          </w:tcPr>
          <w:p>
            <w:pPr>
              <w:jc w:val="left"/>
            </w:pPr>
            <w:r/>
            <w:r>
              <w:rPr>
                <w:rFonts w:ascii="Cambria" w:hAnsi="Cambria"/>
                <w:b/>
                <w:i w:val="0"/>
                <w:sz w:val="22"/>
              </w:rPr>
              <w:t>Stakeholder Responsibility</w:t>
            </w:r>
          </w:p>
        </w:tc>
        <w:tc>
          <w:tcPr>
            <w:tcW w:type="dxa" w:w="6860"/>
            <w:tcW w:w="6860" w:type="dxa"/>
            <w:shd w:val="clear" w:color="auto" w:fill="DCE6F1"/>
          </w:tcPr>
          <w:p>
            <w:pPr>
              <w:jc w:val="left"/>
            </w:pPr>
            <w:r/>
            <w:r>
              <w:rPr>
                <w:rFonts w:ascii="Cambria" w:hAnsi="Cambria"/>
                <w:b w:val="0"/>
                <w:i w:val="0"/>
                <w:sz w:val="22"/>
              </w:rPr>
              <w:t>HEIs: Establish CoEs, appoint coordinators; Policymakers: Provide policy &amp; funding; Accreditation Agencies: Assess CoEs as evidence</w:t>
            </w:r>
          </w:p>
        </w:tc>
      </w:tr>
      <w:tr>
        <w:tc>
          <w:tcPr>
            <w:tcW w:type="dxa" w:w="2551"/>
            <w:tcW w:w="2551" w:type="dxa"/>
          </w:tcPr>
          <w:p>
            <w:pPr>
              <w:jc w:val="left"/>
            </w:pPr>
            <w:r/>
            <w:r>
              <w:rPr>
                <w:rFonts w:ascii="Cambria" w:hAnsi="Cambria"/>
                <w:b/>
                <w:i w:val="0"/>
                <w:sz w:val="22"/>
              </w:rPr>
              <w:t>Ranking &amp; Accreditation Impact</w:t>
            </w:r>
          </w:p>
        </w:tc>
        <w:tc>
          <w:tcPr>
            <w:tcW w:type="dxa" w:w="6860"/>
            <w:tcW w:w="6860" w:type="dxa"/>
          </w:tcPr>
          <w:p>
            <w:pPr>
              <w:jc w:val="left"/>
            </w:pPr>
            <w:r/>
            <w:r>
              <w:rPr>
                <w:rFonts w:ascii="Cambria" w:hAnsi="Cambria"/>
                <w:b w:val="0"/>
                <w:i w:val="0"/>
                <w:sz w:val="22"/>
              </w:rPr>
              <w:t>NAAC: Criterion III &amp; VII evidence; NBA: R&amp;D &amp; Continuous Improvement; NIRF: RP score improvement; QS/THE: SDG leadership boosts rankings</w:t>
            </w:r>
          </w:p>
        </w:tc>
      </w:tr>
      <w:tr>
        <w:tc>
          <w:tcPr>
            <w:tcW w:type="dxa" w:w="2551"/>
            <w:tcW w:w="2551" w:type="dxa"/>
            <w:shd w:val="clear" w:color="auto" w:fill="DCE6F1"/>
          </w:tcPr>
          <w:p>
            <w:pPr>
              <w:jc w:val="left"/>
            </w:pPr>
            <w:r/>
            <w:r>
              <w:rPr>
                <w:rFonts w:ascii="Cambria" w:hAnsi="Cambria"/>
                <w:b/>
                <w:i w:val="0"/>
                <w:sz w:val="22"/>
              </w:rPr>
              <w:t>Student Growth &amp; Employability Impact</w:t>
            </w:r>
          </w:p>
        </w:tc>
        <w:tc>
          <w:tcPr>
            <w:tcW w:type="dxa" w:w="6860"/>
            <w:tcW w:w="6860" w:type="dxa"/>
            <w:shd w:val="clear" w:color="auto" w:fill="DCE6F1"/>
          </w:tcPr>
          <w:p>
            <w:pPr>
              <w:jc w:val="left"/>
            </w:pPr>
            <w:r/>
            <w:r>
              <w:rPr>
                <w:rFonts w:ascii="Cambria" w:hAnsi="Cambria"/>
                <w:b w:val="0"/>
                <w:i w:val="0"/>
                <w:sz w:val="22"/>
              </w:rPr>
              <w:t>Students gain access to SDG-focused research centres; Opportunities for interdisciplinary projects and fellowships; Direct mentorship under SDG faculty coordinators; Higher global visibility for their research</w:t>
            </w:r>
          </w:p>
        </w:tc>
      </w:tr>
    </w:tbl>
    <w:p/>
    <w:p>
      <w:pPr>
        <w:spacing w:before="160" w:after="80"/>
      </w:pPr>
      <w:r>
        <w:rPr>
          <w:rFonts w:ascii="Cambria" w:hAnsi="Cambria"/>
          <w:b/>
          <w:color w:val="1F3A5F"/>
          <w:sz w:val="23"/>
        </w:rPr>
        <w:t>Institutional Finance &amp; Research – Budget Allocation &amp; Doctoral Alignment</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Allocate ≥10% of budget to SDG research; Align all doctoral theses/dissertations with SDGs; Launch internal SDG research funding schemes</w:t>
            </w:r>
          </w:p>
        </w:tc>
      </w:tr>
      <w:tr>
        <w:tc>
          <w:tcPr>
            <w:tcW w:type="dxa" w:w="2551"/>
            <w:tcW w:w="2551" w:type="dxa"/>
            <w:shd w:val="clear" w:color="auto" w:fill="DCE6F1"/>
          </w:tcPr>
          <w:p>
            <w:pPr>
              <w:jc w:val="left"/>
            </w:pPr>
            <w:r/>
            <w:r>
              <w:rPr>
                <w:rFonts w:ascii="Cambria" w:hAnsi="Cambria"/>
                <w:b/>
                <w:i w:val="0"/>
                <w:sz w:val="22"/>
              </w:rPr>
              <w:t>Expected Outcomes</w:t>
            </w:r>
          </w:p>
        </w:tc>
        <w:tc>
          <w:tcPr>
            <w:tcW w:type="dxa" w:w="6860"/>
            <w:tcW w:w="6860" w:type="dxa"/>
            <w:shd w:val="clear" w:color="auto" w:fill="DCE6F1"/>
          </w:tcPr>
          <w:p>
            <w:pPr>
              <w:jc w:val="left"/>
            </w:pPr>
            <w:r/>
            <w:r>
              <w:rPr>
                <w:rFonts w:ascii="Cambria" w:hAnsi="Cambria"/>
                <w:b w:val="0"/>
                <w:i w:val="0"/>
                <w:sz w:val="22"/>
              </w:rPr>
              <w:t>Increased research output aligned with global challenges; Attraction of international funding</w:t>
            </w:r>
          </w:p>
        </w:tc>
      </w:tr>
      <w:tr>
        <w:tc>
          <w:tcPr>
            <w:tcW w:type="dxa" w:w="2551"/>
            <w:tcW w:w="2551" w:type="dxa"/>
          </w:tcPr>
          <w:p>
            <w:pPr>
              <w:jc w:val="left"/>
            </w:pPr>
            <w:r/>
            <w:r>
              <w:rPr>
                <w:rFonts w:ascii="Cambria" w:hAnsi="Cambria"/>
                <w:b/>
                <w:i w:val="0"/>
                <w:sz w:val="22"/>
              </w:rPr>
              <w:t>KPIs</w:t>
            </w:r>
          </w:p>
        </w:tc>
        <w:tc>
          <w:tcPr>
            <w:tcW w:type="dxa" w:w="6860"/>
            <w:tcW w:w="6860" w:type="dxa"/>
          </w:tcPr>
          <w:p>
            <w:pPr>
              <w:jc w:val="left"/>
            </w:pPr>
            <w:r/>
            <w:r>
              <w:rPr>
                <w:rFonts w:ascii="Cambria" w:hAnsi="Cambria"/>
                <w:b w:val="0"/>
                <w:i w:val="0"/>
                <w:sz w:val="22"/>
              </w:rPr>
              <w:t>% of budget earmarked for SDG research; % of doctoral theses aligned with SDGs; Number of funded SDG projects, patents, publications; External funding generated</w:t>
            </w:r>
          </w:p>
        </w:tc>
      </w:tr>
      <w:tr>
        <w:tc>
          <w:tcPr>
            <w:tcW w:type="dxa" w:w="2551"/>
            <w:tcW w:w="2551" w:type="dxa"/>
            <w:shd w:val="clear" w:color="auto" w:fill="DCE6F1"/>
          </w:tcPr>
          <w:p>
            <w:pPr>
              <w:jc w:val="left"/>
            </w:pPr>
            <w:r/>
            <w:r>
              <w:rPr>
                <w:rFonts w:ascii="Cambria" w:hAnsi="Cambria"/>
                <w:b/>
                <w:i w:val="0"/>
                <w:sz w:val="22"/>
              </w:rPr>
              <w:t>Stakeholder Responsibility</w:t>
            </w:r>
          </w:p>
        </w:tc>
        <w:tc>
          <w:tcPr>
            <w:tcW w:type="dxa" w:w="6860"/>
            <w:tcW w:w="6860" w:type="dxa"/>
            <w:shd w:val="clear" w:color="auto" w:fill="DCE6F1"/>
          </w:tcPr>
          <w:p>
            <w:pPr>
              <w:jc w:val="left"/>
            </w:pPr>
            <w:r/>
            <w:r>
              <w:rPr>
                <w:rFonts w:ascii="Cambria" w:hAnsi="Cambria"/>
                <w:b w:val="0"/>
                <w:i w:val="0"/>
                <w:sz w:val="22"/>
              </w:rPr>
              <w:t>HEIs: Budget earmarking &amp; doctoral mapping; Policymakers: Issue mandates &amp; funding schemes; Accreditation Agencies: Assess SDG-research as evidence; Industry/NGOs: Co-fund research</w:t>
            </w:r>
          </w:p>
        </w:tc>
      </w:tr>
      <w:tr>
        <w:tc>
          <w:tcPr>
            <w:tcW w:type="dxa" w:w="2551"/>
            <w:tcW w:w="2551" w:type="dxa"/>
          </w:tcPr>
          <w:p>
            <w:pPr>
              <w:jc w:val="left"/>
            </w:pPr>
            <w:r/>
            <w:r>
              <w:rPr>
                <w:rFonts w:ascii="Cambria" w:hAnsi="Cambria"/>
                <w:b/>
                <w:i w:val="0"/>
                <w:sz w:val="22"/>
              </w:rPr>
              <w:t>Ranking &amp; Accreditation Impact</w:t>
            </w:r>
          </w:p>
        </w:tc>
        <w:tc>
          <w:tcPr>
            <w:tcW w:type="dxa" w:w="6860"/>
            <w:tcW w:w="6860" w:type="dxa"/>
          </w:tcPr>
          <w:p>
            <w:pPr>
              <w:jc w:val="left"/>
            </w:pPr>
            <w:r/>
            <w:r>
              <w:rPr>
                <w:rFonts w:ascii="Cambria" w:hAnsi="Cambria"/>
                <w:b w:val="0"/>
                <w:i w:val="0"/>
                <w:sz w:val="22"/>
              </w:rPr>
              <w:t>NAAC: Research &amp; Extension evidence; NBA: PhD &amp; R&amp;D outputs; NIRF: RP score (funding, patents, publications); QS/THE Sustainability: Strong boost via research metrics</w:t>
            </w:r>
          </w:p>
        </w:tc>
      </w:tr>
      <w:tr>
        <w:tc>
          <w:tcPr>
            <w:tcW w:type="dxa" w:w="2551"/>
            <w:tcW w:w="2551" w:type="dxa"/>
            <w:shd w:val="clear" w:color="auto" w:fill="DCE6F1"/>
          </w:tcPr>
          <w:p>
            <w:pPr>
              <w:jc w:val="left"/>
            </w:pPr>
            <w:r/>
            <w:r>
              <w:rPr>
                <w:rFonts w:ascii="Cambria" w:hAnsi="Cambria"/>
                <w:b/>
                <w:i w:val="0"/>
                <w:sz w:val="22"/>
              </w:rPr>
              <w:t>Student Growth &amp; Employability Impact</w:t>
            </w:r>
          </w:p>
        </w:tc>
        <w:tc>
          <w:tcPr>
            <w:tcW w:type="dxa" w:w="6860"/>
            <w:tcW w:w="6860" w:type="dxa"/>
            <w:shd w:val="clear" w:color="auto" w:fill="DCE6F1"/>
          </w:tcPr>
          <w:p>
            <w:pPr>
              <w:jc w:val="left"/>
            </w:pPr>
            <w:r/>
            <w:r>
              <w:rPr>
                <w:rFonts w:ascii="Cambria" w:hAnsi="Cambria"/>
                <w:b w:val="0"/>
                <w:i w:val="0"/>
                <w:sz w:val="22"/>
              </w:rPr>
              <w:t>Doctoral scholars develop expertise in sustainability challenges; Increased employability in global NGOs, policy, and industry roles; Stronger publication and citation profiles; Enhanced global mobility (postdocs, fellowships)</w:t>
            </w:r>
          </w:p>
        </w:tc>
      </w:tr>
    </w:tbl>
    <w:p>
      <w:pPr>
        <w:spacing w:before="200" w:after="80"/>
        <w:jc w:val="left"/>
      </w:pPr>
      <w:r>
        <w:rPr>
          <w:rFonts w:ascii="Cambria" w:hAnsi="Cambria"/>
          <w:b/>
          <w:color w:val="1F3A5F"/>
          <w:sz w:val="25"/>
        </w:rPr>
        <w:t>Societal Benefit (Knowledge Generation for Real-World Challenges)</w:t>
      </w:r>
    </w:p>
    <w:p>
      <w:pPr>
        <w:spacing w:after="120"/>
        <w:jc w:val="both"/>
      </w:pPr>
      <w:r>
        <w:rPr>
          <w:rFonts w:ascii="Cambria" w:hAnsi="Cambria"/>
          <w:b/>
          <w:i w:val="0"/>
          <w:sz w:val="22"/>
        </w:rPr>
        <w:t>1. Community Impact</w:t>
      </w:r>
    </w:p>
    <w:p>
      <w:pPr>
        <w:pStyle w:val="ListBullet"/>
        <w:ind w:left="357"/>
        <w:jc w:val="both"/>
      </w:pPr>
      <w:r>
        <w:rPr>
          <w:rFonts w:ascii="Cambria" w:hAnsi="Cambria"/>
          <w:sz w:val="22"/>
        </w:rPr>
        <w:t>SDG-aligned research generates evidence-based solutions to pressing challenges like literacy, healthcare, renewable energy, climate resilience, gender equity, and poverty alleviation.</w:t>
      </w:r>
    </w:p>
    <w:p>
      <w:pPr>
        <w:pStyle w:val="ListBullet"/>
        <w:ind w:left="357"/>
        <w:jc w:val="both"/>
      </w:pPr>
      <w:r>
        <w:rPr>
          <w:rFonts w:ascii="Cambria" w:hAnsi="Cambria"/>
          <w:sz w:val="22"/>
        </w:rPr>
        <w:t>HEIs become knowledge hubs for surrounding communities by addressing local problems with global frameworks (e.g., literacy centres, preschools, digital literacy, climate adaptation).</w:t>
      </w:r>
    </w:p>
    <w:p>
      <w:pPr>
        <w:spacing w:after="120"/>
        <w:jc w:val="both"/>
      </w:pPr>
      <w:r>
        <w:rPr>
          <w:rFonts w:ascii="Cambria" w:hAnsi="Cambria"/>
          <w:b/>
          <w:i w:val="0"/>
          <w:sz w:val="22"/>
        </w:rPr>
        <w:t>2. Policy and Governance Support</w:t>
      </w:r>
    </w:p>
    <w:p>
      <w:pPr>
        <w:pStyle w:val="ListBullet"/>
        <w:ind w:left="357"/>
        <w:jc w:val="both"/>
      </w:pPr>
      <w:r>
        <w:rPr>
          <w:rFonts w:ascii="Cambria" w:hAnsi="Cambria"/>
          <w:sz w:val="22"/>
        </w:rPr>
        <w:t>Research aligned with SDGs equips governments with data-driven insights for policymaking.</w:t>
      </w:r>
    </w:p>
    <w:p>
      <w:pPr>
        <w:pStyle w:val="ListBullet"/>
        <w:ind w:left="357"/>
        <w:jc w:val="both"/>
      </w:pPr>
      <w:r>
        <w:rPr>
          <w:rFonts w:ascii="Cambria" w:hAnsi="Cambria"/>
          <w:b/>
          <w:sz w:val="22"/>
        </w:rPr>
        <w:t xml:space="preserve">Example: </w:t>
      </w:r>
      <w:r>
        <w:rPr>
          <w:rFonts w:ascii="Cambria" w:hAnsi="Cambria"/>
          <w:sz w:val="22"/>
        </w:rPr>
        <w:t>Doctoral research on SDG-6 (Clean Water) can inform rural water supply schemes; SDG-7 research can support national renewable energy policies.</w:t>
      </w:r>
    </w:p>
    <w:p>
      <w:pPr>
        <w:pStyle w:val="ListBullet"/>
        <w:ind w:left="357"/>
        <w:jc w:val="both"/>
      </w:pPr>
      <w:r>
        <w:rPr>
          <w:rFonts w:ascii="Cambria" w:hAnsi="Cambria"/>
          <w:sz w:val="22"/>
        </w:rPr>
        <w:t>HEIs become policy advisors, strengthening their role as stakeholders in national development.</w:t>
      </w:r>
    </w:p>
    <w:p>
      <w:pPr>
        <w:spacing w:after="120"/>
        <w:jc w:val="both"/>
      </w:pPr>
      <w:r>
        <w:rPr>
          <w:rFonts w:ascii="Cambria" w:hAnsi="Cambria"/>
          <w:b/>
          <w:i w:val="0"/>
          <w:sz w:val="22"/>
        </w:rPr>
        <w:t>3. Industry and Innovation Benefits</w:t>
      </w:r>
    </w:p>
    <w:p>
      <w:pPr>
        <w:pStyle w:val="ListBullet"/>
        <w:ind w:left="357"/>
        <w:jc w:val="both"/>
      </w:pPr>
      <w:r>
        <w:rPr>
          <w:rFonts w:ascii="Cambria" w:hAnsi="Cambria"/>
          <w:sz w:val="22"/>
        </w:rPr>
        <w:t>SDG research produces patents, prototypes, and innovations that can be scaled by industries and start-ups.</w:t>
      </w:r>
    </w:p>
    <w:p>
      <w:pPr>
        <w:pStyle w:val="ListBullet"/>
        <w:ind w:left="357"/>
        <w:jc w:val="both"/>
      </w:pPr>
      <w:r>
        <w:rPr>
          <w:rFonts w:ascii="Cambria" w:hAnsi="Cambria"/>
          <w:b/>
          <w:sz w:val="22"/>
        </w:rPr>
        <w:t xml:space="preserve">Example: </w:t>
      </w:r>
      <w:r>
        <w:rPr>
          <w:rFonts w:ascii="Cambria" w:hAnsi="Cambria"/>
          <w:sz w:val="22"/>
        </w:rPr>
        <w:t>Sustainable packaging from HEI research supporting SDG-12 (Responsible Consumption).</w:t>
      </w:r>
    </w:p>
    <w:p>
      <w:pPr>
        <w:pStyle w:val="ListBullet"/>
        <w:ind w:left="357"/>
        <w:jc w:val="both"/>
      </w:pPr>
      <w:r>
        <w:rPr>
          <w:rFonts w:ascii="Cambria" w:hAnsi="Cambria"/>
          <w:sz w:val="22"/>
        </w:rPr>
        <w:t>Societal benefit flows through green jobs, local entrepreneurship, and technology transfer.</w:t>
      </w:r>
    </w:p>
    <w:p>
      <w:pPr>
        <w:spacing w:after="120"/>
        <w:jc w:val="both"/>
      </w:pPr>
      <w:r>
        <w:rPr>
          <w:rFonts w:ascii="Cambria" w:hAnsi="Cambria"/>
          <w:b/>
          <w:i w:val="0"/>
          <w:sz w:val="22"/>
        </w:rPr>
        <w:t>4. Global Development Contribution</w:t>
      </w:r>
    </w:p>
    <w:p>
      <w:pPr>
        <w:pStyle w:val="ListBullet"/>
        <w:ind w:left="357"/>
        <w:jc w:val="both"/>
      </w:pPr>
      <w:r>
        <w:rPr>
          <w:rFonts w:ascii="Cambria" w:hAnsi="Cambria"/>
          <w:sz w:val="22"/>
        </w:rPr>
        <w:t>By mapping doctoral work and research projects to SDGs, HEIs directly contribute to UN Agenda 2030.</w:t>
      </w:r>
    </w:p>
    <w:p>
      <w:pPr>
        <w:pStyle w:val="ListBullet"/>
        <w:ind w:left="357"/>
        <w:jc w:val="both"/>
      </w:pPr>
      <w:r>
        <w:rPr>
          <w:rFonts w:ascii="Cambria" w:hAnsi="Cambria"/>
          <w:sz w:val="22"/>
        </w:rPr>
        <w:t>Local research gains global recognition when tied to SDG targets, positioning HEIs as actors in worldwide progress.</w:t>
      </w:r>
    </w:p>
    <w:p>
      <w:pPr>
        <w:spacing w:after="120"/>
        <w:jc w:val="both"/>
      </w:pPr>
      <w:r>
        <w:rPr>
          <w:rFonts w:ascii="Cambria" w:hAnsi="Cambria"/>
          <w:b/>
          <w:i w:val="0"/>
          <w:sz w:val="22"/>
        </w:rPr>
        <w:t>5. Measurable Indicators (Societal Benefit KPIs)</w:t>
      </w:r>
    </w:p>
    <w:p>
      <w:pPr>
        <w:pStyle w:val="ListBullet"/>
        <w:ind w:left="357"/>
        <w:jc w:val="both"/>
      </w:pPr>
      <w:r>
        <w:rPr>
          <w:rFonts w:ascii="Cambria" w:hAnsi="Cambria"/>
          <w:sz w:val="22"/>
        </w:rPr>
        <w:t>Number of community problems solved via SDG projects (e.g., water access, literacy campaigns).</w:t>
      </w:r>
    </w:p>
    <w:p>
      <w:pPr>
        <w:pStyle w:val="ListBullet"/>
        <w:ind w:left="357"/>
        <w:jc w:val="both"/>
      </w:pPr>
      <w:r>
        <w:rPr>
          <w:rFonts w:ascii="Cambria" w:hAnsi="Cambria"/>
          <w:sz w:val="22"/>
        </w:rPr>
        <w:t>Number of policy briefs/consultancies delivered to government or NGOs.</w:t>
      </w:r>
    </w:p>
    <w:p>
      <w:pPr>
        <w:pStyle w:val="ListBullet"/>
        <w:ind w:left="357"/>
        <w:jc w:val="both"/>
      </w:pPr>
      <w:r>
        <w:rPr>
          <w:rFonts w:ascii="Cambria" w:hAnsi="Cambria"/>
          <w:sz w:val="22"/>
        </w:rPr>
        <w:t>Patents, start-ups, or innovations addressing sustainability issues.</w:t>
      </w:r>
    </w:p>
    <w:p>
      <w:pPr>
        <w:pStyle w:val="ListBullet"/>
        <w:ind w:left="357"/>
        <w:jc w:val="both"/>
      </w:pPr>
      <w:r>
        <w:rPr>
          <w:rFonts w:ascii="Cambria" w:hAnsi="Cambria"/>
          <w:sz w:val="22"/>
        </w:rPr>
        <w:t>Community satisfaction/impact surveys reflecting improved quality of life.</w:t>
      </w:r>
    </w:p>
    <w:p>
      <w:pPr>
        <w:pStyle w:val="ListBullet"/>
        <w:ind w:left="357"/>
        <w:jc w:val="both"/>
      </w:pPr>
      <w:r>
        <w:rPr>
          <w:rFonts w:ascii="Cambria" w:hAnsi="Cambria"/>
          <w:sz w:val="22"/>
        </w:rPr>
        <w:t>Evidence of HEI research cited in government policies, UN reports, or industry adoption.</w:t>
      </w:r>
    </w:p>
    <w:p>
      <w:pPr>
        <w:spacing w:before="200" w:after="80"/>
        <w:jc w:val="left"/>
      </w:pPr>
      <w:r>
        <w:rPr>
          <w:rFonts w:ascii="Cambria" w:hAnsi="Cambria"/>
          <w:b/>
          <w:color w:val="1F3A5F"/>
          <w:sz w:val="25"/>
        </w:rPr>
        <w:t>Societal Benefit &amp; Community Impact</w:t>
      </w:r>
    </w:p>
    <w:p>
      <w:pPr>
        <w:spacing w:before="160" w:after="80"/>
      </w:pPr>
      <w:r>
        <w:rPr>
          <w:rFonts w:ascii="Cambria" w:hAnsi="Cambria"/>
          <w:b/>
          <w:color w:val="1F3A5F"/>
          <w:sz w:val="23"/>
        </w:rPr>
        <w:t>Institutional Finance &amp; Research – Budget Allocation &amp; Doctoral Alignment</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Allocate ≥10% annual budget to SDG research; Align all doctoral theses/dissertations with SDGs; Launch internal funding schemes for SDG projects</w:t>
            </w:r>
          </w:p>
        </w:tc>
      </w:tr>
      <w:tr>
        <w:tc>
          <w:tcPr>
            <w:tcW w:type="dxa" w:w="2551"/>
            <w:tcW w:w="2551" w:type="dxa"/>
            <w:shd w:val="clear" w:color="auto" w:fill="DCE6F1"/>
          </w:tcPr>
          <w:p>
            <w:pPr>
              <w:jc w:val="left"/>
            </w:pPr>
            <w:r/>
            <w:r>
              <w:rPr>
                <w:rFonts w:ascii="Cambria" w:hAnsi="Cambria"/>
                <w:b/>
                <w:i w:val="0"/>
                <w:sz w:val="22"/>
              </w:rPr>
              <w:t>Expected Outcomes</w:t>
            </w:r>
          </w:p>
        </w:tc>
        <w:tc>
          <w:tcPr>
            <w:tcW w:type="dxa" w:w="6860"/>
            <w:tcW w:w="6860" w:type="dxa"/>
            <w:shd w:val="clear" w:color="auto" w:fill="DCE6F1"/>
          </w:tcPr>
          <w:p>
            <w:pPr>
              <w:jc w:val="left"/>
            </w:pPr>
            <w:r/>
            <w:r>
              <w:rPr>
                <w:rFonts w:ascii="Cambria" w:hAnsi="Cambria"/>
                <w:b w:val="0"/>
                <w:i w:val="0"/>
                <w:sz w:val="22"/>
              </w:rPr>
              <w:t>Stronger SDG-focused research output; Attraction of global funding; Enhanced interdisciplinary collaboration</w:t>
            </w:r>
          </w:p>
        </w:tc>
      </w:tr>
      <w:tr>
        <w:tc>
          <w:tcPr>
            <w:tcW w:type="dxa" w:w="2551"/>
            <w:tcW w:w="2551" w:type="dxa"/>
          </w:tcPr>
          <w:p>
            <w:pPr>
              <w:jc w:val="left"/>
            </w:pPr>
            <w:r/>
            <w:r>
              <w:rPr>
                <w:rFonts w:ascii="Cambria" w:hAnsi="Cambria"/>
                <w:b/>
                <w:i w:val="0"/>
                <w:sz w:val="22"/>
              </w:rPr>
              <w:t>KPIs</w:t>
            </w:r>
          </w:p>
        </w:tc>
        <w:tc>
          <w:tcPr>
            <w:tcW w:type="dxa" w:w="6860"/>
            <w:tcW w:w="6860" w:type="dxa"/>
          </w:tcPr>
          <w:p>
            <w:pPr>
              <w:jc w:val="left"/>
            </w:pPr>
            <w:r/>
            <w:r>
              <w:rPr>
                <w:rFonts w:ascii="Cambria" w:hAnsi="Cambria"/>
                <w:b w:val="0"/>
                <w:i w:val="0"/>
                <w:sz w:val="22"/>
              </w:rPr>
              <w:t>% of budget allocated to SDG research; % of doctoral theses mapped to SDGs; Number of SDG-related projects, patents, publications; Volume of external funding</w:t>
            </w:r>
          </w:p>
        </w:tc>
      </w:tr>
      <w:tr>
        <w:tc>
          <w:tcPr>
            <w:tcW w:type="dxa" w:w="2551"/>
            <w:tcW w:w="2551" w:type="dxa"/>
            <w:shd w:val="clear" w:color="auto" w:fill="DCE6F1"/>
          </w:tcPr>
          <w:p>
            <w:pPr>
              <w:jc w:val="left"/>
            </w:pPr>
            <w:r/>
            <w:r>
              <w:rPr>
                <w:rFonts w:ascii="Cambria" w:hAnsi="Cambria"/>
                <w:b/>
                <w:i w:val="0"/>
                <w:sz w:val="22"/>
              </w:rPr>
              <w:t>Stakeholder Responsibility</w:t>
            </w:r>
          </w:p>
        </w:tc>
        <w:tc>
          <w:tcPr>
            <w:tcW w:type="dxa" w:w="6860"/>
            <w:tcW w:w="6860" w:type="dxa"/>
            <w:shd w:val="clear" w:color="auto" w:fill="DCE6F1"/>
          </w:tcPr>
          <w:p>
            <w:pPr>
              <w:jc w:val="left"/>
            </w:pPr>
            <w:r/>
            <w:r>
              <w:rPr>
                <w:rFonts w:ascii="Cambria" w:hAnsi="Cambria"/>
                <w:b w:val="0"/>
                <w:i w:val="0"/>
                <w:sz w:val="22"/>
              </w:rPr>
              <w:t>HEIs: Allocate budget, monitor doctoral mapping; Policymakers: Issue guidelines, provide funding support; Accreditation Agencies: Integrate into evaluation criteria; Industry/NGOs: Provide co-funding, partnerships</w:t>
            </w:r>
          </w:p>
        </w:tc>
      </w:tr>
      <w:tr>
        <w:tc>
          <w:tcPr>
            <w:tcW w:type="dxa" w:w="2551"/>
            <w:tcW w:w="2551" w:type="dxa"/>
          </w:tcPr>
          <w:p>
            <w:pPr>
              <w:jc w:val="left"/>
            </w:pPr>
            <w:r/>
            <w:r>
              <w:rPr>
                <w:rFonts w:ascii="Cambria" w:hAnsi="Cambria"/>
                <w:b/>
                <w:i w:val="0"/>
                <w:sz w:val="22"/>
              </w:rPr>
              <w:t>Ranking &amp; Accreditation Impact</w:t>
            </w:r>
          </w:p>
        </w:tc>
        <w:tc>
          <w:tcPr>
            <w:tcW w:type="dxa" w:w="6860"/>
            <w:tcW w:w="6860" w:type="dxa"/>
          </w:tcPr>
          <w:p>
            <w:pPr>
              <w:jc w:val="left"/>
            </w:pPr>
            <w:r/>
            <w:r>
              <w:rPr>
                <w:rFonts w:ascii="Cambria" w:hAnsi="Cambria"/>
                <w:b w:val="0"/>
                <w:i w:val="0"/>
                <w:sz w:val="22"/>
              </w:rPr>
              <w:t>NAAC: Criterion III (Research), Criterion VII (Best Practices); NBA: PhD &amp; R&amp;D contributions; NIRF: RP (Research &amp; Professional Practice) score; QS/THE Impact: Boosts SDG research visibility</w:t>
            </w:r>
          </w:p>
        </w:tc>
      </w:tr>
      <w:tr>
        <w:tc>
          <w:tcPr>
            <w:tcW w:type="dxa" w:w="2551"/>
            <w:tcW w:w="2551" w:type="dxa"/>
            <w:shd w:val="clear" w:color="auto" w:fill="DCE6F1"/>
          </w:tcPr>
          <w:p>
            <w:pPr>
              <w:jc w:val="left"/>
            </w:pPr>
            <w:r/>
            <w:r>
              <w:rPr>
                <w:rFonts w:ascii="Cambria" w:hAnsi="Cambria"/>
                <w:b/>
                <w:i w:val="0"/>
                <w:sz w:val="22"/>
              </w:rPr>
              <w:t>Student Growth &amp; Employability Impact</w:t>
            </w:r>
          </w:p>
        </w:tc>
        <w:tc>
          <w:tcPr>
            <w:tcW w:type="dxa" w:w="6860"/>
            <w:tcW w:w="6860" w:type="dxa"/>
            <w:shd w:val="clear" w:color="auto" w:fill="DCE6F1"/>
          </w:tcPr>
          <w:p>
            <w:pPr>
              <w:jc w:val="left"/>
            </w:pPr>
            <w:r/>
            <w:r>
              <w:rPr>
                <w:rFonts w:ascii="Cambria" w:hAnsi="Cambria"/>
                <w:b w:val="0"/>
                <w:i w:val="0"/>
                <w:sz w:val="22"/>
              </w:rPr>
              <w:t>Doctoral scholars build expertise in sustainability challenges; Higher employability in policy, NGOs, and green industries; International research mobility (postdocs, fellowships)</w:t>
            </w:r>
          </w:p>
        </w:tc>
      </w:tr>
      <w:tr>
        <w:tc>
          <w:tcPr>
            <w:tcW w:type="dxa" w:w="2551"/>
            <w:tcW w:w="2551" w:type="dxa"/>
          </w:tcPr>
          <w:p>
            <w:pPr>
              <w:jc w:val="left"/>
            </w:pPr>
            <w:r/>
            <w:r>
              <w:rPr>
                <w:rFonts w:ascii="Cambria" w:hAnsi="Cambria"/>
                <w:b/>
                <w:i w:val="0"/>
                <w:sz w:val="22"/>
              </w:rPr>
              <w:t>Societal Benefit &amp; Community Impact</w:t>
            </w:r>
          </w:p>
        </w:tc>
        <w:tc>
          <w:tcPr>
            <w:tcW w:type="dxa" w:w="6860"/>
            <w:tcW w:w="6860" w:type="dxa"/>
          </w:tcPr>
          <w:p>
            <w:pPr>
              <w:jc w:val="left"/>
            </w:pPr>
            <w:r/>
            <w:r>
              <w:rPr>
                <w:rFonts w:ascii="Cambria" w:hAnsi="Cambria"/>
                <w:b w:val="0"/>
                <w:i w:val="0"/>
                <w:sz w:val="22"/>
              </w:rPr>
              <w:t>Knowledge generation directly addressing local/global challenges; Evidence-based solutions for policy and industry; Community impact through innovations (literacy, climate, health); Increased HEI role as development partner</w:t>
            </w:r>
          </w:p>
        </w:tc>
      </w:tr>
    </w:tbl>
    <w:p>
      <w:r>
        <w:br w:type="page"/>
      </w:r>
    </w:p>
    <w:p>
      <w:pPr>
        <w:spacing w:before="280" w:after="160"/>
        <w:jc w:val="left"/>
      </w:pPr>
      <w:r>
        <w:rPr>
          <w:rFonts w:ascii="Cambria" w:hAnsi="Cambria"/>
          <w:b/>
          <w:color w:val="1F3A5F"/>
          <w:sz w:val="32"/>
        </w:rPr>
        <w:t>15. Government to Create 3–5 New Institutions of National Importance Focused on SDGs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Just as India's IITs (engineering) and IIMs (management) became global benchmarks of excellence, there is now a pressing need for equivalent institutions dedicated to Sustainable Development Goals (SDGs).</w:t>
      </w:r>
    </w:p>
    <w:p>
      <w:pPr>
        <w:pStyle w:val="ListBullet"/>
        <w:ind w:left="357"/>
        <w:jc w:val="both"/>
      </w:pPr>
      <w:r>
        <w:rPr>
          <w:rFonts w:ascii="Cambria" w:hAnsi="Cambria"/>
          <w:sz w:val="22"/>
        </w:rPr>
        <w:t>SDGs cut across climate, health, education, water, clean energy, poverty alleviation, and social equity. Yet, existing HEIs often address these areas in a fragmented way.</w:t>
      </w:r>
    </w:p>
    <w:p>
      <w:pPr>
        <w:pStyle w:val="ListBullet"/>
        <w:ind w:left="357"/>
        <w:jc w:val="both"/>
      </w:pPr>
      <w:r>
        <w:rPr>
          <w:rFonts w:ascii="Cambria" w:hAnsi="Cambria"/>
          <w:sz w:val="22"/>
        </w:rPr>
        <w:t>Establishing 3–5 national institutions of importance fully dedicated to SDGs would create critical mass in sustainability-focused teaching, research, and innovation.</w:t>
      </w:r>
    </w:p>
    <w:p>
      <w:pPr>
        <w:spacing w:before="200" w:after="80"/>
        <w:jc w:val="left"/>
      </w:pPr>
      <w:r>
        <w:rPr>
          <w:rFonts w:ascii="Cambria" w:hAnsi="Cambria"/>
          <w:b/>
          <w:color w:val="1F3A5F"/>
          <w:sz w:val="25"/>
        </w:rPr>
        <w:t>2. Vision for New Institutions</w:t>
      </w:r>
    </w:p>
    <w:p>
      <w:pPr>
        <w:pStyle w:val="ListBullet"/>
        <w:ind w:left="357"/>
        <w:jc w:val="both"/>
      </w:pPr>
      <w:r>
        <w:rPr>
          <w:rFonts w:ascii="Cambria" w:hAnsi="Cambria"/>
          <w:b/>
          <w:sz w:val="22"/>
        </w:rPr>
        <w:t xml:space="preserve">Multidisciplinary Approach: </w:t>
      </w:r>
      <w:r>
        <w:rPr>
          <w:rFonts w:ascii="Cambria" w:hAnsi="Cambria"/>
          <w:sz w:val="22"/>
        </w:rPr>
        <w:t>Combine environmental sciences, social sciences, engineering, technology, and public policy.</w:t>
      </w:r>
    </w:p>
    <w:p>
      <w:pPr>
        <w:pStyle w:val="ListBullet"/>
        <w:ind w:left="357"/>
        <w:jc w:val="both"/>
      </w:pPr>
      <w:r>
        <w:rPr>
          <w:rFonts w:ascii="Cambria" w:hAnsi="Cambria"/>
          <w:b/>
          <w:sz w:val="22"/>
        </w:rPr>
        <w:t xml:space="preserve">Global Hubs of Excellence: </w:t>
      </w:r>
      <w:r>
        <w:rPr>
          <w:rFonts w:ascii="Cambria" w:hAnsi="Cambria"/>
          <w:sz w:val="22"/>
        </w:rPr>
        <w:t>Position them as Asia's leading centres for SDG research, innovation, and capacity building.</w:t>
      </w:r>
    </w:p>
    <w:p>
      <w:pPr>
        <w:pStyle w:val="ListBullet"/>
        <w:ind w:left="357"/>
        <w:jc w:val="both"/>
      </w:pPr>
      <w:r>
        <w:rPr>
          <w:rFonts w:ascii="Cambria" w:hAnsi="Cambria"/>
          <w:b/>
          <w:sz w:val="22"/>
        </w:rPr>
        <w:t xml:space="preserve">Integration with Policy and Industry: </w:t>
      </w:r>
      <w:r>
        <w:rPr>
          <w:rFonts w:ascii="Cambria" w:hAnsi="Cambria"/>
          <w:sz w:val="22"/>
        </w:rPr>
        <w:t>Serve as knowledge partners to government ministries, NGOs, and industry for implementing sustainability policies.</w:t>
      </w:r>
    </w:p>
    <w:p>
      <w:pPr>
        <w:pStyle w:val="ListBullet"/>
        <w:ind w:left="357"/>
        <w:jc w:val="both"/>
      </w:pPr>
      <w:r>
        <w:rPr>
          <w:rFonts w:ascii="Cambria" w:hAnsi="Cambria"/>
          <w:b/>
          <w:sz w:val="22"/>
        </w:rPr>
        <w:t xml:space="preserve">Talent Pipeline: </w:t>
      </w:r>
      <w:r>
        <w:rPr>
          <w:rFonts w:ascii="Cambria" w:hAnsi="Cambria"/>
          <w:sz w:val="22"/>
        </w:rPr>
        <w:t>Train the next generation of sustainability leaders, innovators, and policy thinkers.</w:t>
      </w:r>
    </w:p>
    <w:p>
      <w:pPr>
        <w:spacing w:before="200" w:after="80"/>
        <w:jc w:val="left"/>
      </w:pPr>
      <w:r>
        <w:rPr>
          <w:rFonts w:ascii="Cambria" w:hAnsi="Cambria"/>
          <w:b/>
          <w:color w:val="1F3A5F"/>
          <w:sz w:val="25"/>
        </w:rPr>
        <w:t>3. Global and National Best Practices</w:t>
      </w:r>
    </w:p>
    <w:p>
      <w:pPr>
        <w:pStyle w:val="ListBullet"/>
        <w:ind w:left="357"/>
        <w:jc w:val="both"/>
      </w:pPr>
      <w:r>
        <w:rPr>
          <w:rFonts w:ascii="Cambria" w:hAnsi="Cambria"/>
          <w:b/>
          <w:sz w:val="22"/>
        </w:rPr>
        <w:t xml:space="preserve">Arizona State University (USA): </w:t>
      </w:r>
      <w:r>
        <w:rPr>
          <w:rFonts w:ascii="Cambria" w:hAnsi="Cambria"/>
          <w:sz w:val="22"/>
        </w:rPr>
        <w:t>Ranked #1 in THE Impact Rankings for SDGs, integrating sustainability across teaching and research.</w:t>
      </w:r>
    </w:p>
    <w:p>
      <w:pPr>
        <w:pStyle w:val="ListBullet"/>
        <w:ind w:left="357"/>
        <w:jc w:val="both"/>
      </w:pPr>
      <w:r>
        <w:rPr>
          <w:rFonts w:ascii="Cambria" w:hAnsi="Cambria"/>
          <w:b/>
          <w:sz w:val="22"/>
        </w:rPr>
        <w:t xml:space="preserve">Wageningen University (Netherlands): </w:t>
      </w:r>
      <w:r>
        <w:rPr>
          <w:rFonts w:ascii="Cambria" w:hAnsi="Cambria"/>
          <w:sz w:val="22"/>
        </w:rPr>
        <w:t>A world leader in sustainable agriculture and climate science.</w:t>
      </w:r>
    </w:p>
    <w:p>
      <w:pPr>
        <w:pStyle w:val="ListBullet"/>
        <w:ind w:left="357"/>
        <w:jc w:val="both"/>
      </w:pPr>
      <w:r>
        <w:rPr>
          <w:rFonts w:ascii="Cambria" w:hAnsi="Cambria"/>
          <w:b/>
          <w:sz w:val="22"/>
        </w:rPr>
        <w:t xml:space="preserve">TERI School of Advanced Studies (India): </w:t>
      </w:r>
      <w:r>
        <w:rPr>
          <w:rFonts w:ascii="Cambria" w:hAnsi="Cambria"/>
          <w:sz w:val="22"/>
        </w:rPr>
        <w:t>A specialized institution focused on sustainable development research.</w:t>
      </w:r>
    </w:p>
    <w:p>
      <w:pPr>
        <w:pStyle w:val="ListBullet"/>
        <w:ind w:left="357"/>
        <w:jc w:val="both"/>
      </w:pPr>
      <w:r>
        <w:rPr>
          <w:rFonts w:ascii="Cambria" w:hAnsi="Cambria"/>
          <w:b/>
          <w:sz w:val="22"/>
        </w:rPr>
        <w:t xml:space="preserve">UNESCO Chairs Programme: </w:t>
      </w:r>
      <w:r>
        <w:rPr>
          <w:rFonts w:ascii="Cambria" w:hAnsi="Cambria"/>
          <w:sz w:val="22"/>
        </w:rPr>
        <w:t>Universities worldwide designated as global hubs for sustainability education and innovation.</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b/>
          <w:sz w:val="22"/>
        </w:rPr>
        <w:t xml:space="preserve">National Leadership: </w:t>
      </w:r>
      <w:r>
        <w:rPr>
          <w:rFonts w:ascii="Cambria" w:hAnsi="Cambria"/>
          <w:sz w:val="22"/>
        </w:rPr>
        <w:t>India emerges as a global leader in sustainability-focused higher education.</w:t>
      </w:r>
    </w:p>
    <w:p>
      <w:pPr>
        <w:pStyle w:val="ListBullet"/>
        <w:ind w:left="357"/>
        <w:jc w:val="both"/>
      </w:pPr>
      <w:r>
        <w:rPr>
          <w:rFonts w:ascii="Cambria" w:hAnsi="Cambria"/>
          <w:b/>
          <w:sz w:val="22"/>
        </w:rPr>
        <w:t xml:space="preserve">Research Excellence: </w:t>
      </w:r>
      <w:r>
        <w:rPr>
          <w:rFonts w:ascii="Cambria" w:hAnsi="Cambria"/>
          <w:sz w:val="22"/>
        </w:rPr>
        <w:t>Increased SDG-oriented research publications, patents, and innovations.</w:t>
      </w:r>
    </w:p>
    <w:p>
      <w:pPr>
        <w:pStyle w:val="ListBullet"/>
        <w:ind w:left="357"/>
        <w:jc w:val="both"/>
      </w:pPr>
      <w:r>
        <w:rPr>
          <w:rFonts w:ascii="Cambria" w:hAnsi="Cambria"/>
          <w:b/>
          <w:sz w:val="22"/>
        </w:rPr>
        <w:t xml:space="preserve">Global Partnerships: </w:t>
      </w:r>
      <w:r>
        <w:rPr>
          <w:rFonts w:ascii="Cambria" w:hAnsi="Cambria"/>
          <w:sz w:val="22"/>
        </w:rPr>
        <w:t>Attraction of international students, faculty, and collaborations.</w:t>
      </w:r>
    </w:p>
    <w:p>
      <w:pPr>
        <w:pStyle w:val="ListBullet"/>
        <w:ind w:left="357"/>
        <w:jc w:val="both"/>
      </w:pPr>
      <w:r>
        <w:rPr>
          <w:rFonts w:ascii="Cambria" w:hAnsi="Cambria"/>
          <w:b/>
          <w:sz w:val="22"/>
        </w:rPr>
        <w:t xml:space="preserve">Policy Relevance: </w:t>
      </w:r>
      <w:r>
        <w:rPr>
          <w:rFonts w:ascii="Cambria" w:hAnsi="Cambria"/>
          <w:sz w:val="22"/>
        </w:rPr>
        <w:t>Evidence-based inputs for national and state-level policies on education, climate, health, and inclusive development.</w:t>
      </w:r>
    </w:p>
    <w:p>
      <w:pPr>
        <w:pStyle w:val="ListBullet"/>
        <w:ind w:left="357"/>
        <w:jc w:val="both"/>
      </w:pPr>
      <w:r>
        <w:rPr>
          <w:rFonts w:ascii="Cambria" w:hAnsi="Cambria"/>
          <w:b/>
          <w:sz w:val="22"/>
        </w:rPr>
        <w:t xml:space="preserve">Economic &amp; Social Impact: </w:t>
      </w:r>
      <w:r>
        <w:rPr>
          <w:rFonts w:ascii="Cambria" w:hAnsi="Cambria"/>
          <w:sz w:val="22"/>
        </w:rPr>
        <w:t>Direct contribution to green jobs, renewable energy innovations, community literacy, and sustainable cities.</w:t>
      </w:r>
    </w:p>
    <w:p>
      <w:pPr>
        <w:spacing w:before="200" w:after="80"/>
        <w:jc w:val="left"/>
      </w:pPr>
      <w:r>
        <w:rPr>
          <w:rFonts w:ascii="Cambria" w:hAnsi="Cambria"/>
          <w:b/>
          <w:color w:val="1F3A5F"/>
          <w:sz w:val="25"/>
        </w:rPr>
        <w:t>5. Societal Benefits</w:t>
      </w:r>
    </w:p>
    <w:p>
      <w:pPr>
        <w:pStyle w:val="ListBullet"/>
        <w:ind w:left="357"/>
        <w:jc w:val="both"/>
      </w:pPr>
      <w:r>
        <w:rPr>
          <w:rFonts w:ascii="Cambria" w:hAnsi="Cambria"/>
          <w:sz w:val="22"/>
        </w:rPr>
        <w:t>Solutions for real-world challenges such as clean water, affordable clean energy, inclusive education, and climate resilience.</w:t>
      </w:r>
    </w:p>
    <w:p>
      <w:pPr>
        <w:pStyle w:val="ListBullet"/>
        <w:ind w:left="357"/>
        <w:jc w:val="both"/>
      </w:pPr>
      <w:r>
        <w:rPr>
          <w:rFonts w:ascii="Cambria" w:hAnsi="Cambria"/>
          <w:sz w:val="22"/>
        </w:rPr>
        <w:t>Establishment of community outreach centres within these institutions to serve nearby populations with literacy, health, and skills programmes.</w:t>
      </w:r>
    </w:p>
    <w:p>
      <w:pPr>
        <w:pStyle w:val="ListBullet"/>
        <w:ind w:left="357"/>
        <w:jc w:val="both"/>
      </w:pPr>
      <w:r>
        <w:rPr>
          <w:rFonts w:ascii="Cambria" w:hAnsi="Cambria"/>
          <w:sz w:val="22"/>
        </w:rPr>
        <w:t>Contribution to India's knowledge economy while uplifting local communities.</w:t>
      </w:r>
    </w:p>
    <w:p>
      <w:pPr>
        <w:spacing w:before="200" w:after="80"/>
        <w:jc w:val="left"/>
      </w:pPr>
      <w:r>
        <w:rPr>
          <w:rFonts w:ascii="Cambria" w:hAnsi="Cambria"/>
          <w:b/>
          <w:color w:val="1F3A5F"/>
          <w:sz w:val="25"/>
        </w:rPr>
        <w:t>6. Student Growth &amp; Employability</w:t>
      </w:r>
    </w:p>
    <w:p>
      <w:pPr>
        <w:pStyle w:val="ListBullet"/>
        <w:ind w:left="357"/>
        <w:jc w:val="both"/>
      </w:pPr>
      <w:r>
        <w:rPr>
          <w:rFonts w:ascii="Cambria" w:hAnsi="Cambria"/>
          <w:sz w:val="22"/>
        </w:rPr>
        <w:t>Students trained in interdisciplinary SDG research gain employability in:</w:t>
      </w:r>
    </w:p>
    <w:p>
      <w:pPr>
        <w:pStyle w:val="ListBullet2"/>
        <w:ind w:left="720"/>
        <w:jc w:val="both"/>
      </w:pPr>
      <w:r>
        <w:rPr>
          <w:rFonts w:ascii="Cambria" w:hAnsi="Cambria"/>
          <w:sz w:val="22"/>
        </w:rPr>
        <w:t>UN agencies (UNDP, UNESCO, WHO).</w:t>
      </w:r>
    </w:p>
    <w:p>
      <w:pPr>
        <w:pStyle w:val="ListBullet2"/>
        <w:ind w:left="720"/>
        <w:jc w:val="both"/>
      </w:pPr>
      <w:r>
        <w:rPr>
          <w:rFonts w:ascii="Cambria" w:hAnsi="Cambria"/>
          <w:sz w:val="22"/>
        </w:rPr>
        <w:t>International research think tanks.</w:t>
      </w:r>
    </w:p>
    <w:p>
      <w:pPr>
        <w:pStyle w:val="ListBullet2"/>
        <w:ind w:left="720"/>
        <w:jc w:val="both"/>
      </w:pPr>
      <w:r>
        <w:rPr>
          <w:rFonts w:ascii="Cambria" w:hAnsi="Cambria"/>
          <w:sz w:val="22"/>
        </w:rPr>
        <w:t>Sustainability-focused industries (renewables, circular economy, climate tech).</w:t>
      </w:r>
    </w:p>
    <w:p>
      <w:pPr>
        <w:pStyle w:val="ListBullet"/>
        <w:ind w:left="357"/>
        <w:jc w:val="both"/>
      </w:pPr>
      <w:r>
        <w:rPr>
          <w:rFonts w:ascii="Cambria" w:hAnsi="Cambria"/>
          <w:sz w:val="22"/>
        </w:rPr>
        <w:t>Stronger global mobility via doctoral and postdoctoral fellowships aligned with global goals.</w:t>
      </w:r>
    </w:p>
    <w:p>
      <w:pPr>
        <w:spacing w:before="200" w:after="80"/>
        <w:jc w:val="left"/>
      </w:pPr>
      <w:r>
        <w:rPr>
          <w:rFonts w:ascii="Cambria" w:hAnsi="Cambria"/>
          <w:b/>
          <w:color w:val="1F3A5F"/>
          <w:sz w:val="25"/>
        </w:rPr>
        <w:t>7. Ranking &amp; Accreditation Impact</w:t>
      </w:r>
    </w:p>
    <w:p>
      <w:pPr>
        <w:pStyle w:val="ListBullet"/>
        <w:ind w:left="357"/>
        <w:jc w:val="both"/>
      </w:pPr>
      <w:r>
        <w:rPr>
          <w:rFonts w:ascii="Cambria" w:hAnsi="Cambria"/>
          <w:b/>
          <w:sz w:val="22"/>
        </w:rPr>
        <w:t xml:space="preserve">NIRF: </w:t>
      </w:r>
      <w:r>
        <w:rPr>
          <w:rFonts w:ascii="Cambria" w:hAnsi="Cambria"/>
          <w:sz w:val="22"/>
        </w:rPr>
        <w:t>Boosts Research &amp; Professional Practices (RP) scores.</w:t>
      </w:r>
    </w:p>
    <w:p>
      <w:pPr>
        <w:pStyle w:val="ListBullet"/>
        <w:ind w:left="357"/>
        <w:jc w:val="both"/>
      </w:pPr>
      <w:r>
        <w:rPr>
          <w:rFonts w:ascii="Cambria" w:hAnsi="Cambria"/>
          <w:b/>
          <w:sz w:val="22"/>
        </w:rPr>
        <w:t xml:space="preserve">NAAC/NBA: </w:t>
      </w:r>
      <w:r>
        <w:rPr>
          <w:rFonts w:ascii="Cambria" w:hAnsi="Cambria"/>
          <w:sz w:val="22"/>
        </w:rPr>
        <w:t>Provides model evidence of curriculum innovation, outreach, and sustainability impact.</w:t>
      </w:r>
    </w:p>
    <w:p>
      <w:pPr>
        <w:pStyle w:val="ListBullet"/>
        <w:ind w:left="357"/>
        <w:jc w:val="both"/>
      </w:pPr>
      <w:r>
        <w:rPr>
          <w:rFonts w:ascii="Cambria" w:hAnsi="Cambria"/>
          <w:b/>
          <w:sz w:val="22"/>
        </w:rPr>
        <w:t xml:space="preserve">QS/THE Impact Rankings: </w:t>
      </w:r>
      <w:r>
        <w:rPr>
          <w:rFonts w:ascii="Cambria" w:hAnsi="Cambria"/>
          <w:sz w:val="22"/>
        </w:rPr>
        <w:t>Elevates India's standing in global sustainability education.</w:t>
      </w:r>
    </w:p>
    <w:p>
      <w:pPr>
        <w:pStyle w:val="ListBullet"/>
        <w:ind w:left="357"/>
        <w:jc w:val="both"/>
      </w:pPr>
      <w:r>
        <w:rPr>
          <w:rFonts w:ascii="Cambria" w:hAnsi="Cambria"/>
          <w:b/>
          <w:sz w:val="22"/>
        </w:rPr>
        <w:t xml:space="preserve">QS Sustainability Rankings: </w:t>
      </w:r>
      <w:r>
        <w:rPr>
          <w:rFonts w:ascii="Cambria" w:hAnsi="Cambria"/>
          <w:sz w:val="22"/>
        </w:rPr>
        <w:t>Recognition as flagship sustainability hubs in Asia.</w:t>
      </w:r>
    </w:p>
    <w:p>
      <w:pPr>
        <w:spacing w:before="240" w:after="120"/>
        <w:jc w:val="left"/>
      </w:pPr>
      <w:r>
        <w:rPr>
          <w:rFonts w:ascii="Cambria" w:hAnsi="Cambria"/>
          <w:b/>
          <w:color w:val="1F3A5F"/>
          <w:sz w:val="28"/>
        </w:rPr>
        <w:t>Policy–Action–Outcome Roadmap: Establishing National SDG-Focused Institutions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 Level:</w:t>
      </w:r>
    </w:p>
    <w:p>
      <w:pPr>
        <w:pStyle w:val="ListBullet"/>
        <w:ind w:left="357"/>
        <w:jc w:val="both"/>
      </w:pPr>
      <w:r>
        <w:rPr>
          <w:rFonts w:ascii="Cambria" w:hAnsi="Cambria"/>
          <w:sz w:val="22"/>
        </w:rPr>
        <w:t>Ministry of Education announces policy to establish 3–5 National SDG Universities.</w:t>
      </w:r>
    </w:p>
    <w:p>
      <w:pPr>
        <w:pStyle w:val="ListBullet"/>
        <w:ind w:left="357"/>
        <w:jc w:val="both"/>
      </w:pPr>
      <w:r>
        <w:rPr>
          <w:rFonts w:ascii="Cambria" w:hAnsi="Cambria"/>
          <w:sz w:val="22"/>
        </w:rPr>
        <w:t>UGC/AICTE drafts regulatory framework for curriculum, governance, and accreditation.</w:t>
      </w:r>
    </w:p>
    <w:p>
      <w:pPr>
        <w:pStyle w:val="ListBullet"/>
        <w:ind w:left="357"/>
        <w:jc w:val="both"/>
      </w:pPr>
      <w:r>
        <w:rPr>
          <w:rFonts w:ascii="Cambria" w:hAnsi="Cambria"/>
          <w:sz w:val="22"/>
        </w:rPr>
        <w:t>Identification of locations, with priority to underserved regions for equitable access.</w:t>
      </w:r>
    </w:p>
    <w:p>
      <w:pPr>
        <w:spacing w:after="120"/>
        <w:jc w:val="both"/>
      </w:pPr>
      <w:r>
        <w:rPr>
          <w:rFonts w:ascii="Cambria" w:hAnsi="Cambria"/>
          <w:b/>
          <w:i w:val="0"/>
          <w:sz w:val="22"/>
        </w:rPr>
        <w:t>Actions:</w:t>
      </w:r>
    </w:p>
    <w:p>
      <w:pPr>
        <w:pStyle w:val="ListBullet"/>
        <w:ind w:left="357"/>
        <w:jc w:val="both"/>
      </w:pPr>
      <w:r>
        <w:rPr>
          <w:rFonts w:ascii="Cambria" w:hAnsi="Cambria"/>
          <w:sz w:val="22"/>
        </w:rPr>
        <w:t>Form National Task Force (Govt + HEIs + Industry + International Experts).</w:t>
      </w:r>
    </w:p>
    <w:p>
      <w:pPr>
        <w:pStyle w:val="ListBullet"/>
        <w:ind w:left="357"/>
        <w:jc w:val="both"/>
      </w:pPr>
      <w:r>
        <w:rPr>
          <w:rFonts w:ascii="Cambria" w:hAnsi="Cambria"/>
          <w:sz w:val="22"/>
        </w:rPr>
        <w:t>Allocate seed funding (10,000+ crores or equivalent multi-year plan).</w:t>
      </w:r>
    </w:p>
    <w:p>
      <w:pPr>
        <w:pStyle w:val="ListBullet"/>
        <w:ind w:left="357"/>
        <w:jc w:val="both"/>
      </w:pPr>
      <w:r>
        <w:rPr>
          <w:rFonts w:ascii="Cambria" w:hAnsi="Cambria"/>
          <w:sz w:val="22"/>
        </w:rPr>
        <w:t>Sign MoUs with global universities (e.g., Arizona State, Wageningen, Cambridge) for knowledge transfer.</w:t>
      </w:r>
    </w:p>
    <w:p>
      <w:pPr>
        <w:spacing w:after="120"/>
        <w:jc w:val="both"/>
      </w:pPr>
      <w:r>
        <w:rPr>
          <w:rFonts w:ascii="Cambria" w:hAnsi="Cambria"/>
          <w:b/>
          <w:i w:val="0"/>
          <w:sz w:val="22"/>
        </w:rPr>
        <w:t>Outcomes:</w:t>
      </w:r>
    </w:p>
    <w:p>
      <w:pPr>
        <w:pStyle w:val="ListBullet"/>
        <w:ind w:left="357"/>
        <w:jc w:val="both"/>
      </w:pPr>
      <w:r>
        <w:rPr>
          <w:rFonts w:ascii="Cambria" w:hAnsi="Cambria"/>
          <w:sz w:val="22"/>
        </w:rPr>
        <w:t>Clear policy vision and legal mandate established.</w:t>
      </w:r>
    </w:p>
    <w:p>
      <w:pPr>
        <w:pStyle w:val="ListBullet"/>
        <w:ind w:left="357"/>
        <w:jc w:val="both"/>
      </w:pPr>
      <w:r>
        <w:rPr>
          <w:rFonts w:ascii="Cambria" w:hAnsi="Cambria"/>
          <w:sz w:val="22"/>
        </w:rPr>
        <w:t>Initial governance and funding models approved.</w:t>
      </w:r>
    </w:p>
    <w:p>
      <w:pPr>
        <w:pStyle w:val="ListBullet"/>
        <w:ind w:left="357"/>
        <w:jc w:val="both"/>
      </w:pPr>
      <w:r>
        <w:rPr>
          <w:rFonts w:ascii="Cambria" w:hAnsi="Cambria"/>
          <w:sz w:val="22"/>
        </w:rPr>
        <w:t>National and international attention builds credibility for the initiative.</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 Level:</w:t>
      </w:r>
    </w:p>
    <w:p>
      <w:pPr>
        <w:pStyle w:val="ListBullet"/>
        <w:ind w:left="357"/>
        <w:jc w:val="both"/>
      </w:pPr>
      <w:r>
        <w:rPr>
          <w:rFonts w:ascii="Cambria" w:hAnsi="Cambria"/>
          <w:sz w:val="22"/>
        </w:rPr>
        <w:t>Special Acts of Parliament passed to grant "Institutions of National Importance" status.</w:t>
      </w:r>
    </w:p>
    <w:p>
      <w:pPr>
        <w:pStyle w:val="ListBullet"/>
        <w:ind w:left="357"/>
        <w:jc w:val="both"/>
      </w:pPr>
      <w:r>
        <w:rPr>
          <w:rFonts w:ascii="Cambria" w:hAnsi="Cambria"/>
          <w:sz w:val="22"/>
        </w:rPr>
        <w:t>Inclusion of SDG institutions in national R&amp;D missions and policy frameworks (climate, energy, education, health).</w:t>
      </w:r>
    </w:p>
    <w:p>
      <w:pPr>
        <w:spacing w:after="120"/>
        <w:jc w:val="both"/>
      </w:pPr>
      <w:r>
        <w:rPr>
          <w:rFonts w:ascii="Cambria" w:hAnsi="Cambria"/>
          <w:b/>
          <w:i w:val="0"/>
          <w:sz w:val="22"/>
        </w:rPr>
        <w:t>Actions:</w:t>
      </w:r>
    </w:p>
    <w:p>
      <w:pPr>
        <w:pStyle w:val="ListBullet"/>
        <w:ind w:left="357"/>
        <w:jc w:val="both"/>
      </w:pPr>
      <w:r>
        <w:rPr>
          <w:rFonts w:ascii="Cambria" w:hAnsi="Cambria"/>
          <w:sz w:val="22"/>
        </w:rPr>
        <w:t>Construction of state-of-the-art campuses with green infrastructure.</w:t>
      </w:r>
    </w:p>
    <w:p>
      <w:pPr>
        <w:pStyle w:val="ListBullet"/>
        <w:ind w:left="357"/>
        <w:jc w:val="both"/>
      </w:pPr>
      <w:r>
        <w:rPr>
          <w:rFonts w:ascii="Cambria" w:hAnsi="Cambria"/>
          <w:sz w:val="22"/>
        </w:rPr>
        <w:t>Appointment of founding faculty (national + international).</w:t>
      </w:r>
    </w:p>
    <w:p>
      <w:pPr>
        <w:pStyle w:val="ListBullet"/>
        <w:ind w:left="357"/>
        <w:jc w:val="both"/>
      </w:pPr>
      <w:r>
        <w:rPr>
          <w:rFonts w:ascii="Cambria" w:hAnsi="Cambria"/>
          <w:b/>
          <w:sz w:val="22"/>
        </w:rPr>
        <w:t xml:space="preserve">Launch of flagship academic programmes: </w:t>
      </w:r>
      <w:r>
        <w:rPr>
          <w:rFonts w:ascii="Cambria" w:hAnsi="Cambria"/>
          <w:sz w:val="22"/>
        </w:rPr>
        <w:t>UG, PG, Doctoral degrees fully aligned with SDGs.</w:t>
      </w:r>
    </w:p>
    <w:p>
      <w:pPr>
        <w:pStyle w:val="ListBullet"/>
        <w:ind w:left="357"/>
        <w:jc w:val="both"/>
      </w:pPr>
      <w:r>
        <w:rPr>
          <w:rFonts w:ascii="Cambria" w:hAnsi="Cambria"/>
          <w:sz w:val="22"/>
        </w:rPr>
        <w:t>Establish Centres of Excellence in key SDG domains (climate, health, energy, education, AI for SDGs).</w:t>
      </w:r>
    </w:p>
    <w:p>
      <w:pPr>
        <w:spacing w:after="120"/>
        <w:jc w:val="both"/>
      </w:pPr>
      <w:r>
        <w:rPr>
          <w:rFonts w:ascii="Cambria" w:hAnsi="Cambria"/>
          <w:b/>
          <w:i w:val="0"/>
          <w:sz w:val="22"/>
        </w:rPr>
        <w:t>Outcomes:</w:t>
      </w:r>
    </w:p>
    <w:p>
      <w:pPr>
        <w:pStyle w:val="ListBullet"/>
        <w:ind w:left="357"/>
        <w:jc w:val="both"/>
      </w:pPr>
      <w:r>
        <w:rPr>
          <w:rFonts w:ascii="Cambria" w:hAnsi="Cambria"/>
          <w:sz w:val="22"/>
        </w:rPr>
        <w:t>First batches of students enrolled.</w:t>
      </w:r>
    </w:p>
    <w:p>
      <w:pPr>
        <w:pStyle w:val="ListBullet"/>
        <w:ind w:left="357"/>
        <w:jc w:val="both"/>
      </w:pPr>
      <w:r>
        <w:rPr>
          <w:rFonts w:ascii="Cambria" w:hAnsi="Cambria"/>
          <w:sz w:val="22"/>
        </w:rPr>
        <w:t>Initial doctoral research projects aligned with SDGs initiated.</w:t>
      </w:r>
    </w:p>
    <w:p>
      <w:pPr>
        <w:pStyle w:val="ListBullet"/>
        <w:ind w:left="357"/>
        <w:jc w:val="both"/>
      </w:pPr>
      <w:r>
        <w:rPr>
          <w:rFonts w:ascii="Cambria" w:hAnsi="Cambria"/>
          <w:sz w:val="22"/>
        </w:rPr>
        <w:t>Growing research outputs, publications, and patents.</w:t>
      </w:r>
    </w:p>
    <w:p>
      <w:pPr>
        <w:pStyle w:val="ListBullet"/>
        <w:ind w:left="357"/>
        <w:jc w:val="both"/>
      </w:pPr>
      <w:r>
        <w:rPr>
          <w:rFonts w:ascii="Cambria" w:hAnsi="Cambria"/>
          <w:sz w:val="22"/>
        </w:rPr>
        <w:t>Formation of global partnerships for joint research and student mobility.</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 Level:</w:t>
      </w:r>
    </w:p>
    <w:p>
      <w:pPr>
        <w:pStyle w:val="ListBullet"/>
        <w:ind w:left="357"/>
        <w:jc w:val="both"/>
      </w:pPr>
      <w:r>
        <w:rPr>
          <w:rFonts w:ascii="Cambria" w:hAnsi="Cambria"/>
          <w:sz w:val="22"/>
        </w:rPr>
        <w:t>SDG Institutions recognized as global hubs in THE Impact Rankings and QS Sustainability Rankings.</w:t>
      </w:r>
    </w:p>
    <w:p>
      <w:pPr>
        <w:pStyle w:val="ListBullet"/>
        <w:ind w:left="357"/>
        <w:jc w:val="both"/>
      </w:pPr>
      <w:r>
        <w:rPr>
          <w:rFonts w:ascii="Cambria" w:hAnsi="Cambria"/>
          <w:sz w:val="22"/>
        </w:rPr>
        <w:t>Integration with UNESCO, UNDP, and global development programmes.</w:t>
      </w:r>
    </w:p>
    <w:p>
      <w:pPr>
        <w:spacing w:after="120"/>
        <w:jc w:val="both"/>
      </w:pPr>
      <w:r>
        <w:rPr>
          <w:rFonts w:ascii="Cambria" w:hAnsi="Cambria"/>
          <w:b/>
          <w:i w:val="0"/>
          <w:sz w:val="22"/>
        </w:rPr>
        <w:t>Actions:</w:t>
      </w:r>
    </w:p>
    <w:p>
      <w:pPr>
        <w:pStyle w:val="ListBullet"/>
        <w:ind w:left="357"/>
        <w:jc w:val="both"/>
      </w:pPr>
      <w:r>
        <w:rPr>
          <w:rFonts w:ascii="Cambria" w:hAnsi="Cambria"/>
          <w:sz w:val="22"/>
        </w:rPr>
        <w:t>Scale up intake to 10,000+ students per institution.</w:t>
      </w:r>
    </w:p>
    <w:p>
      <w:pPr>
        <w:pStyle w:val="ListBullet"/>
        <w:ind w:left="357"/>
        <w:jc w:val="both"/>
      </w:pPr>
      <w:r>
        <w:rPr>
          <w:rFonts w:ascii="Cambria" w:hAnsi="Cambria"/>
          <w:sz w:val="22"/>
        </w:rPr>
        <w:t>Create interdisciplinary schools (School of Climate Studies, School of Sustainable Cities, School of Digital Transformation for SDGs).</w:t>
      </w:r>
    </w:p>
    <w:p>
      <w:pPr>
        <w:pStyle w:val="ListBullet"/>
        <w:ind w:left="357"/>
        <w:jc w:val="both"/>
      </w:pPr>
      <w:r>
        <w:rPr>
          <w:rFonts w:ascii="Cambria" w:hAnsi="Cambria"/>
          <w:b/>
          <w:sz w:val="22"/>
        </w:rPr>
        <w:t xml:space="preserve">Expand into community outreach programmes: </w:t>
      </w:r>
      <w:r>
        <w:rPr>
          <w:rFonts w:ascii="Cambria" w:hAnsi="Cambria"/>
          <w:sz w:val="22"/>
        </w:rPr>
        <w:t>literacy labs, health clinics, renewable energy micro-grids for nearby communities.</w:t>
      </w:r>
    </w:p>
    <w:p>
      <w:pPr>
        <w:pStyle w:val="ListBullet"/>
        <w:ind w:left="357"/>
        <w:jc w:val="both"/>
      </w:pPr>
      <w:r>
        <w:rPr>
          <w:rFonts w:ascii="Cambria" w:hAnsi="Cambria"/>
          <w:sz w:val="22"/>
        </w:rPr>
        <w:t>Host World SDG Summits and policy dialogues annually.</w:t>
      </w:r>
    </w:p>
    <w:p>
      <w:pPr>
        <w:spacing w:after="120"/>
        <w:jc w:val="both"/>
      </w:pPr>
      <w:r>
        <w:rPr>
          <w:rFonts w:ascii="Cambria" w:hAnsi="Cambria"/>
          <w:b/>
          <w:i w:val="0"/>
          <w:sz w:val="22"/>
        </w:rPr>
        <w:t>Outcomes:</w:t>
      </w:r>
    </w:p>
    <w:p>
      <w:pPr>
        <w:pStyle w:val="ListBullet"/>
        <w:ind w:left="357"/>
        <w:jc w:val="both"/>
      </w:pPr>
      <w:r>
        <w:rPr>
          <w:rFonts w:ascii="Cambria" w:hAnsi="Cambria"/>
          <w:sz w:val="22"/>
        </w:rPr>
        <w:t>India positioned as a global leader in sustainability-focused higher education.</w:t>
      </w:r>
    </w:p>
    <w:p>
      <w:pPr>
        <w:pStyle w:val="ListBullet"/>
        <w:ind w:left="357"/>
        <w:jc w:val="both"/>
      </w:pPr>
      <w:r>
        <w:rPr>
          <w:rFonts w:ascii="Cambria" w:hAnsi="Cambria"/>
          <w:sz w:val="22"/>
        </w:rPr>
        <w:t>Strong pipeline of graduates, researchers, and innovators contributing to SDG implementation worldwide.</w:t>
      </w:r>
    </w:p>
    <w:p>
      <w:pPr>
        <w:pStyle w:val="ListBullet"/>
        <w:ind w:left="357"/>
        <w:jc w:val="both"/>
      </w:pPr>
      <w:r>
        <w:rPr>
          <w:rFonts w:ascii="Cambria" w:hAnsi="Cambria"/>
          <w:b/>
          <w:sz w:val="22"/>
        </w:rPr>
        <w:t xml:space="preserve">Tangible societal benefits: </w:t>
      </w:r>
      <w:r>
        <w:rPr>
          <w:rFonts w:ascii="Cambria" w:hAnsi="Cambria"/>
          <w:sz w:val="22"/>
        </w:rPr>
        <w:t>improved literacy, health outcomes, renewable energy adoption, and climate resilience in local communities.</w:t>
      </w:r>
    </w:p>
    <w:p>
      <w:pPr>
        <w:spacing w:before="200" w:after="80"/>
        <w:jc w:val="left"/>
      </w:pPr>
      <w:r>
        <w:rPr>
          <w:rFonts w:ascii="Cambria" w:hAnsi="Cambria"/>
          <w:b/>
          <w:color w:val="1F3A5F"/>
          <w:sz w:val="25"/>
        </w:rPr>
        <w:t>National Policy &amp; Expansion – SDG-Focused Institutions</w:t>
      </w:r>
    </w:p>
    <w:p>
      <w:pPr>
        <w:spacing w:before="160" w:after="80"/>
      </w:pPr>
      <w:r>
        <w:rPr>
          <w:rFonts w:ascii="Cambria" w:hAnsi="Cambria"/>
          <w:b/>
          <w:color w:val="1F3A5F"/>
          <w:sz w:val="23"/>
        </w:rPr>
        <w:t>National Policy &amp; Expansion – New SDG-Focused Institutions of National Importance</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(Govt/HEIs)</w:t>
            </w:r>
          </w:p>
        </w:tc>
        <w:tc>
          <w:tcPr>
            <w:tcW w:type="dxa" w:w="6860"/>
            <w:tcW w:w="6860" w:type="dxa"/>
          </w:tcPr>
          <w:p>
            <w:pPr>
              <w:jc w:val="left"/>
            </w:pPr>
            <w:r/>
            <w:r>
              <w:rPr>
                <w:rFonts w:ascii="Cambria" w:hAnsi="Cambria"/>
                <w:b w:val="0"/>
                <w:i w:val="0"/>
                <w:sz w:val="22"/>
              </w:rPr>
              <w:t>Government to establish 3–5 new universities/institutes on the scale of IITs/IIMs focused entirely on SDGs; Ensure multidisciplinary schools (climate, health, clean energy, education, technology, social equity); Integrate with policy, industry, and community outreach frameworks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Arizona State University (USA): #1 THE Impact Ranking for SDGs; Wageningen University (Netherlands): Global leader in agriculture/climate research; TERI SAS (India): Dedicated to sustainability studies; UNESCO Chairs Network: Global SDG hubs in higher education</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Creation of world-class SDG-focused HEIs in India; Stronger global positioning as a leader in sustainability education; Research excellence addressing global challenges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new institutions established; Annual student intake (UG/PG/PhD); Number of SDG-related research projects, patents, and publications; Volume of international partnerships &amp; funding</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Government (MoE/UGC/AICTE): Establish policy &amp; funding; HEIs: Collaborate, exchange expertise; Accreditation Agencies: Create evaluation standards for new institutions; Industry/NGOs: Provide co-funding &amp; research collaborations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NIRF: Strengthens RP scores at national scale; NAAC/NBA: Model evidence for innovation, curriculum, outreach; QS/THE Impact Rankings: Elevates India's standing globally</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Access to world-class sustainability programmes; Expanded doctoral opportunities aligned with SDGs; Increased employability in global sustainability careers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Tangible solutions to national challenges (clean water, health, energy, education); Knowledge generation supporting government policies; Reduction in social and gender disparities in access to HEIs; Increased green jobs &amp; sustainable industries; India's strengthened role in global sustainability leadership</w:t>
            </w:r>
          </w:p>
        </w:tc>
      </w:tr>
    </w:tbl>
    <w:p>
      <w:pPr>
        <w:spacing w:before="200" w:after="80"/>
        <w:jc w:val="left"/>
      </w:pPr>
      <w:r>
        <w:rPr>
          <w:rFonts w:ascii="Cambria" w:hAnsi="Cambria"/>
          <w:b/>
          <w:color w:val="1F3A5F"/>
          <w:sz w:val="25"/>
        </w:rPr>
        <w:t>National Policy &amp; Expansion – Regional SDG Consortia</w:t>
      </w:r>
    </w:p>
    <w:p>
      <w:pPr>
        <w:spacing w:before="160" w:after="80"/>
      </w:pPr>
      <w:r>
        <w:rPr>
          <w:rFonts w:ascii="Cambria" w:hAnsi="Cambria"/>
          <w:b/>
          <w:color w:val="1F3A5F"/>
          <w:sz w:val="23"/>
        </w:rPr>
        <w:t>National Policy &amp; Expansion – Regional SDG Consortia</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(Govt/HEIs)</w:t>
            </w:r>
          </w:p>
        </w:tc>
        <w:tc>
          <w:tcPr>
            <w:tcW w:type="dxa" w:w="6860"/>
            <w:tcW w:w="6860" w:type="dxa"/>
          </w:tcPr>
          <w:p>
            <w:pPr>
              <w:jc w:val="left"/>
            </w:pPr>
            <w:r/>
            <w:r>
              <w:rPr>
                <w:rFonts w:ascii="Cambria" w:hAnsi="Cambria"/>
                <w:b w:val="0"/>
                <w:i w:val="0"/>
                <w:sz w:val="22"/>
              </w:rPr>
              <w:t>Establish state/regional consortia of HEIs to share infrastructure, labs, libraries, and digital resources for SDG-related teaching &amp; research; Facilitate joint doctoral programmes, inter-university research centres, and collaborative community outreach; Organize annual SDG summits at state/regional level to share best practices; Promote faculty/student exchange among institutions within the consortium</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European University Association (EUA): Regional consortia for sustainability &amp; innovation; African Research Universities Alliance (ARUA): Collaborative network for SDG-focused research; RUSA (India): Rashtriya Uchchatar Shiksha Abhiyan encourages regional resource sharing; Cluster Universities (India): Collaborative models for shared facilities and teaching</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Reduced duplication of infrastructure and investment; Increased access to advanced labs, equipment, and research tools for smaller HEIs; Enhanced inter-university collaboration on SDG research; Stronger ecosystem for innovation and outreach at state/regional level</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regional SDG consortia formed; Number of HEIs participating per consortium; Number of joint projects/publications generated; Number of faculty/student exchanges facilitated; Shared infrastructure utilization rate (%)</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Government (MoE/State Govts/UGC): Policy mandate, funding, coordination support; HEIs: Share infrastructure/resources, co-develop projects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III (Research &amp; Collaboration); NBA: Research/Innovation evaluation strengthened; NIRF: Improved RP scores via joint projects; QS/THE Impact Rankings: Recognition for collaborative SDG networks</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Access to advanced infrastructure for students in smaller/regional HEIs; Increased opportunities for collaborative doctoral &amp; research training; Exposure to interdisciplinary approaches via student/faculty exchange</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Democratized access to world-class labs, digital resources, and expertise across regions; Faster progress in solving state/regional sustainability challenges (water, energy, agriculture, education); Creation of innovation clusters benefiting local industries and communities</w:t>
            </w:r>
          </w:p>
        </w:tc>
      </w:tr>
    </w:tbl>
    <w:p>
      <w:r>
        <w:br w:type="page"/>
      </w:r>
    </w:p>
    <w:p>
      <w:pPr>
        <w:spacing w:before="280" w:after="160"/>
        <w:jc w:val="left"/>
      </w:pPr>
      <w:r>
        <w:rPr>
          <w:rFonts w:ascii="Cambria" w:hAnsi="Cambria"/>
          <w:b/>
          <w:color w:val="1F3A5F"/>
          <w:sz w:val="32"/>
        </w:rPr>
        <w:t>16. HEIs Addressing Quality, Accessibility, Equality, Equity, and Accountability in Indian Higher Education</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India's higher education system is the second largest in the world, but it faces challenges of unequal access, quality disparities, and accountability gaps.</w:t>
      </w:r>
    </w:p>
    <w:p>
      <w:pPr>
        <w:pStyle w:val="ListBullet"/>
        <w:ind w:left="357"/>
        <w:jc w:val="both"/>
      </w:pPr>
      <w:r>
        <w:rPr>
          <w:rFonts w:ascii="Cambria" w:hAnsi="Cambria"/>
          <w:sz w:val="22"/>
        </w:rPr>
        <w:t>Foundational issues such as inclusivity, equity, and transparency are critical for aligning with SDG-4 (Quality Education) and NEP 2020's vision.</w:t>
      </w:r>
    </w:p>
    <w:p>
      <w:pPr>
        <w:pStyle w:val="ListBullet"/>
        <w:ind w:left="357"/>
        <w:jc w:val="both"/>
      </w:pPr>
      <w:r>
        <w:rPr>
          <w:rFonts w:ascii="Cambria" w:hAnsi="Cambria"/>
          <w:sz w:val="22"/>
        </w:rPr>
        <w:t>Without urgent reforms, HEIs risk reinforcing inequalities instead of serving as drivers of social mobility and national development.</w:t>
      </w:r>
    </w:p>
    <w:p>
      <w:pPr>
        <w:spacing w:before="200" w:after="80"/>
        <w:jc w:val="left"/>
      </w:pPr>
      <w:r>
        <w:rPr>
          <w:rFonts w:ascii="Cambria" w:hAnsi="Cambria"/>
          <w:b/>
          <w:color w:val="1F3A5F"/>
          <w:sz w:val="25"/>
        </w:rPr>
        <w:t>2. Key Focus Areas</w:t>
      </w:r>
    </w:p>
    <w:p>
      <w:pPr>
        <w:pStyle w:val="ListBullet"/>
        <w:ind w:left="357"/>
        <w:jc w:val="both"/>
      </w:pPr>
      <w:r>
        <w:rPr>
          <w:rFonts w:ascii="Cambria" w:hAnsi="Cambria"/>
          <w:b/>
          <w:sz w:val="22"/>
        </w:rPr>
        <w:t xml:space="preserve">Quality: </w:t>
      </w:r>
      <w:r>
        <w:rPr>
          <w:rFonts w:ascii="Cambria" w:hAnsi="Cambria"/>
          <w:sz w:val="22"/>
        </w:rPr>
      </w:r>
    </w:p>
    <w:p>
      <w:pPr>
        <w:pStyle w:val="ListBullet2"/>
        <w:ind w:left="720"/>
        <w:jc w:val="both"/>
      </w:pPr>
      <w:r>
        <w:rPr>
          <w:rFonts w:ascii="Cambria" w:hAnsi="Cambria"/>
          <w:sz w:val="22"/>
        </w:rPr>
        <w:t>Ensure curricula are contemporary, interdisciplinary, and outcome-based.</w:t>
      </w:r>
    </w:p>
    <w:p>
      <w:pPr>
        <w:pStyle w:val="ListBullet2"/>
        <w:ind w:left="720"/>
        <w:jc w:val="both"/>
      </w:pPr>
      <w:r>
        <w:rPr>
          <w:rFonts w:ascii="Cambria" w:hAnsi="Cambria"/>
          <w:sz w:val="22"/>
        </w:rPr>
        <w:t>Strengthen faculty training in pedagogy and research.</w:t>
      </w:r>
    </w:p>
    <w:p>
      <w:pPr>
        <w:pStyle w:val="ListBullet2"/>
        <w:ind w:left="720"/>
        <w:jc w:val="both"/>
      </w:pPr>
      <w:r>
        <w:rPr>
          <w:rFonts w:ascii="Cambria" w:hAnsi="Cambria"/>
          <w:sz w:val="22"/>
        </w:rPr>
        <w:t>Improve student–faculty ratios to enhance teaching quality.</w:t>
      </w:r>
    </w:p>
    <w:p>
      <w:pPr>
        <w:pStyle w:val="ListBullet"/>
        <w:ind w:left="357"/>
        <w:jc w:val="both"/>
      </w:pPr>
      <w:r>
        <w:rPr>
          <w:rFonts w:ascii="Cambria" w:hAnsi="Cambria"/>
          <w:b/>
          <w:sz w:val="22"/>
        </w:rPr>
        <w:t xml:space="preserve">Accessibility: </w:t>
      </w:r>
      <w:r>
        <w:rPr>
          <w:rFonts w:ascii="Cambria" w:hAnsi="Cambria"/>
          <w:sz w:val="22"/>
        </w:rPr>
      </w:r>
    </w:p>
    <w:p>
      <w:pPr>
        <w:pStyle w:val="ListBullet2"/>
        <w:ind w:left="720"/>
        <w:jc w:val="both"/>
      </w:pPr>
      <w:r>
        <w:rPr>
          <w:rFonts w:ascii="Cambria" w:hAnsi="Cambria"/>
          <w:sz w:val="22"/>
        </w:rPr>
        <w:t>Expand scholarships, financial aid, and fee waivers for disadvantaged groups.</w:t>
      </w:r>
    </w:p>
    <w:p>
      <w:pPr>
        <w:pStyle w:val="ListBullet2"/>
        <w:ind w:left="720"/>
        <w:jc w:val="both"/>
      </w:pPr>
      <w:r>
        <w:rPr>
          <w:rFonts w:ascii="Cambria" w:hAnsi="Cambria"/>
          <w:sz w:val="22"/>
        </w:rPr>
        <w:t>Build digital infrastructure (e-learning platforms, hybrid classrooms) for remote learners.</w:t>
      </w:r>
    </w:p>
    <w:p>
      <w:pPr>
        <w:pStyle w:val="ListBullet2"/>
        <w:ind w:left="720"/>
        <w:jc w:val="both"/>
      </w:pPr>
      <w:r>
        <w:rPr>
          <w:rFonts w:ascii="Cambria" w:hAnsi="Cambria"/>
          <w:sz w:val="22"/>
        </w:rPr>
        <w:t>Provide assistive technologies (screen readers, ramps, sign language interpreters) for students with disabilities.</w:t>
      </w:r>
    </w:p>
    <w:p>
      <w:pPr>
        <w:pStyle w:val="ListBullet"/>
        <w:ind w:left="357"/>
        <w:jc w:val="both"/>
      </w:pPr>
      <w:r>
        <w:rPr>
          <w:rFonts w:ascii="Cambria" w:hAnsi="Cambria"/>
          <w:b/>
          <w:sz w:val="22"/>
        </w:rPr>
        <w:t xml:space="preserve">Equality &amp; Equity: </w:t>
      </w:r>
      <w:r>
        <w:rPr>
          <w:rFonts w:ascii="Cambria" w:hAnsi="Cambria"/>
          <w:sz w:val="22"/>
        </w:rPr>
      </w:r>
    </w:p>
    <w:p>
      <w:pPr>
        <w:pStyle w:val="ListBullet2"/>
        <w:ind w:left="720"/>
        <w:jc w:val="both"/>
      </w:pPr>
      <w:r>
        <w:rPr>
          <w:rFonts w:ascii="Cambria" w:hAnsi="Cambria"/>
          <w:sz w:val="22"/>
        </w:rPr>
        <w:t>Establish Equity and Inclusion Cells on campuses.</w:t>
      </w:r>
    </w:p>
    <w:p>
      <w:pPr>
        <w:pStyle w:val="ListBullet2"/>
        <w:ind w:left="720"/>
        <w:jc w:val="both"/>
      </w:pPr>
      <w:r>
        <w:rPr>
          <w:rFonts w:ascii="Cambria" w:hAnsi="Cambria"/>
          <w:sz w:val="22"/>
        </w:rPr>
        <w:t>Promote gender-sensitive policies (hostels, safety, mentorship).</w:t>
      </w:r>
    </w:p>
    <w:p>
      <w:pPr>
        <w:pStyle w:val="ListBullet2"/>
        <w:ind w:left="720"/>
        <w:jc w:val="both"/>
      </w:pPr>
      <w:r>
        <w:rPr>
          <w:rFonts w:ascii="Cambria" w:hAnsi="Cambria"/>
          <w:sz w:val="22"/>
        </w:rPr>
        <w:t>Special focus on SC/ST/OBC, minority groups, rural populations, and PwDs.</w:t>
      </w:r>
    </w:p>
    <w:p>
      <w:pPr>
        <w:pStyle w:val="ListBullet"/>
        <w:ind w:left="357"/>
        <w:jc w:val="both"/>
      </w:pPr>
      <w:r>
        <w:rPr>
          <w:rFonts w:ascii="Cambria" w:hAnsi="Cambria"/>
          <w:b/>
          <w:sz w:val="22"/>
        </w:rPr>
        <w:t xml:space="preserve">Accountability: </w:t>
      </w:r>
      <w:r>
        <w:rPr>
          <w:rFonts w:ascii="Cambria" w:hAnsi="Cambria"/>
          <w:sz w:val="22"/>
        </w:rPr>
      </w:r>
    </w:p>
    <w:p>
      <w:pPr>
        <w:pStyle w:val="ListBullet2"/>
        <w:ind w:left="720"/>
        <w:jc w:val="both"/>
      </w:pPr>
      <w:r>
        <w:rPr>
          <w:rFonts w:ascii="Cambria" w:hAnsi="Cambria"/>
          <w:sz w:val="22"/>
        </w:rPr>
        <w:t>Mandate annual inclusivity audits and public disclosure reports on enrolment, dropouts, faculty diversity, and grievances.</w:t>
      </w:r>
    </w:p>
    <w:p>
      <w:pPr>
        <w:pStyle w:val="ListBullet2"/>
        <w:ind w:left="720"/>
        <w:jc w:val="both"/>
      </w:pPr>
      <w:r>
        <w:rPr>
          <w:rFonts w:ascii="Cambria" w:hAnsi="Cambria"/>
          <w:sz w:val="22"/>
        </w:rPr>
        <w:t>Strengthen governance structures with transparency in admissions, finances, and hiring.</w:t>
      </w:r>
    </w:p>
    <w:p>
      <w:pPr>
        <w:pStyle w:val="ListBullet2"/>
        <w:ind w:left="720"/>
        <w:jc w:val="both"/>
      </w:pPr>
      <w:r>
        <w:rPr>
          <w:rFonts w:ascii="Cambria" w:hAnsi="Cambria"/>
          <w:sz w:val="22"/>
        </w:rPr>
        <w:t>Encourage third-party accreditation and benchmarking (NAAC, NBA, QS, THE).</w:t>
      </w:r>
    </w:p>
    <w:p>
      <w:pPr>
        <w:spacing w:before="200" w:after="80"/>
        <w:jc w:val="left"/>
      </w:pPr>
      <w:r>
        <w:rPr>
          <w:rFonts w:ascii="Cambria" w:hAnsi="Cambria"/>
          <w:b/>
          <w:color w:val="1F3A5F"/>
          <w:sz w:val="25"/>
        </w:rPr>
        <w:t>3. Global and National Best Practices</w:t>
      </w:r>
    </w:p>
    <w:p>
      <w:pPr>
        <w:pStyle w:val="ListBullet"/>
        <w:ind w:left="357"/>
        <w:jc w:val="both"/>
      </w:pPr>
      <w:r>
        <w:rPr>
          <w:rFonts w:ascii="Cambria" w:hAnsi="Cambria"/>
          <w:b/>
          <w:sz w:val="22"/>
        </w:rPr>
        <w:t xml:space="preserve">UNESCO GEM Report: </w:t>
      </w:r>
      <w:r>
        <w:rPr>
          <w:rFonts w:ascii="Cambria" w:hAnsi="Cambria"/>
          <w:sz w:val="22"/>
        </w:rPr>
        <w:t>Advocates inclusive education as the foundation of SDG-4.</w:t>
      </w:r>
    </w:p>
    <w:p>
      <w:pPr>
        <w:pStyle w:val="ListBullet"/>
        <w:ind w:left="357"/>
        <w:jc w:val="both"/>
      </w:pPr>
      <w:r>
        <w:rPr>
          <w:rFonts w:ascii="Cambria" w:hAnsi="Cambria"/>
          <w:b/>
          <w:sz w:val="22"/>
        </w:rPr>
        <w:t xml:space="preserve">NEP 2020 (India): </w:t>
      </w:r>
      <w:r>
        <w:rPr>
          <w:rFonts w:ascii="Cambria" w:hAnsi="Cambria"/>
          <w:sz w:val="22"/>
        </w:rPr>
        <w:t>Calls for universal access, equity, and accountability in higher education.</w:t>
      </w:r>
    </w:p>
    <w:p>
      <w:pPr>
        <w:pStyle w:val="ListBullet"/>
        <w:ind w:left="357"/>
        <w:jc w:val="both"/>
      </w:pPr>
      <w:r>
        <w:rPr>
          <w:rFonts w:ascii="Cambria" w:hAnsi="Cambria"/>
          <w:b/>
          <w:sz w:val="22"/>
        </w:rPr>
        <w:t xml:space="preserve">University of Cape Town (South Africa): </w:t>
      </w:r>
      <w:r>
        <w:rPr>
          <w:rFonts w:ascii="Cambria" w:hAnsi="Cambria"/>
          <w:sz w:val="22"/>
        </w:rPr>
        <w:t>Strong equity programmes for historically disadvantaged groups.</w:t>
      </w:r>
    </w:p>
    <w:p>
      <w:pPr>
        <w:pStyle w:val="ListBullet"/>
        <w:ind w:left="357"/>
        <w:jc w:val="both"/>
      </w:pPr>
      <w:r>
        <w:rPr>
          <w:rFonts w:ascii="Cambria" w:hAnsi="Cambria"/>
          <w:sz w:val="22"/>
        </w:rPr>
        <w:t>Harvard University's Office for Equity, Diversity, and Inclusion: A structured model for institutional accountability.</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More equitable access to higher education across social, economic, and gender divides.</w:t>
      </w:r>
    </w:p>
    <w:p>
      <w:pPr>
        <w:pStyle w:val="ListBullet"/>
        <w:ind w:left="357"/>
        <w:jc w:val="both"/>
      </w:pPr>
      <w:r>
        <w:rPr>
          <w:rFonts w:ascii="Cambria" w:hAnsi="Cambria"/>
          <w:sz w:val="22"/>
        </w:rPr>
        <w:t>Improved trust between communities and universities through accountability and transparency.</w:t>
      </w:r>
    </w:p>
    <w:p>
      <w:pPr>
        <w:pStyle w:val="ListBullet"/>
        <w:ind w:left="357"/>
        <w:jc w:val="both"/>
      </w:pPr>
      <w:r>
        <w:rPr>
          <w:rFonts w:ascii="Cambria" w:hAnsi="Cambria"/>
          <w:sz w:val="22"/>
        </w:rPr>
        <w:t>Higher student retention and success rates, especially for underrepresented groups.</w:t>
      </w:r>
    </w:p>
    <w:p>
      <w:pPr>
        <w:pStyle w:val="ListBullet"/>
        <w:ind w:left="357"/>
        <w:jc w:val="both"/>
      </w:pPr>
      <w:r>
        <w:rPr>
          <w:rFonts w:ascii="Cambria" w:hAnsi="Cambria"/>
          <w:sz w:val="22"/>
        </w:rPr>
        <w:t>Enhanced faculty diversity and more inclusive teaching practices.</w:t>
      </w:r>
    </w:p>
    <w:p>
      <w:pPr>
        <w:pStyle w:val="ListBullet"/>
        <w:ind w:left="357"/>
        <w:jc w:val="both"/>
      </w:pPr>
      <w:r>
        <w:rPr>
          <w:rFonts w:ascii="Cambria" w:hAnsi="Cambria"/>
          <w:sz w:val="22"/>
        </w:rPr>
        <w:t>Recognition of HEIs as leaders in social responsibility.</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 increase in enrolment of marginalized groups (SC/ST/OBC, minorities, PwDs, women).</w:t>
      </w:r>
    </w:p>
    <w:p>
      <w:pPr>
        <w:pStyle w:val="ListBullet"/>
        <w:ind w:left="357"/>
        <w:jc w:val="both"/>
      </w:pPr>
      <w:r>
        <w:rPr>
          <w:rFonts w:ascii="Cambria" w:hAnsi="Cambria"/>
          <w:sz w:val="22"/>
        </w:rPr>
        <w:t>Number of scholarships/financial aid recipients annually.</w:t>
      </w:r>
    </w:p>
    <w:p>
      <w:pPr>
        <w:pStyle w:val="ListBullet"/>
        <w:ind w:left="357"/>
        <w:jc w:val="both"/>
      </w:pPr>
      <w:r>
        <w:rPr>
          <w:rFonts w:ascii="Cambria" w:hAnsi="Cambria"/>
          <w:sz w:val="22"/>
        </w:rPr>
        <w:t>Annual inclusivity audits and compliance reports published.</w:t>
      </w:r>
    </w:p>
    <w:p>
      <w:pPr>
        <w:pStyle w:val="ListBullet"/>
        <w:ind w:left="357"/>
        <w:jc w:val="both"/>
      </w:pPr>
      <w:r>
        <w:rPr>
          <w:rFonts w:ascii="Cambria" w:hAnsi="Cambria"/>
          <w:sz w:val="22"/>
        </w:rPr>
        <w:t>% of campuses compliant with accessibility standards.</w:t>
      </w:r>
    </w:p>
    <w:p>
      <w:pPr>
        <w:pStyle w:val="ListBullet"/>
        <w:ind w:left="357"/>
        <w:jc w:val="both"/>
      </w:pPr>
      <w:r>
        <w:rPr>
          <w:rFonts w:ascii="Cambria" w:hAnsi="Cambria"/>
          <w:sz w:val="22"/>
        </w:rPr>
        <w:t>Student satisfaction surveys showing improved inclusivity and learning experiences.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Marginalized students gain confidence, skills, and access to higher education.</w:t>
      </w:r>
    </w:p>
    <w:p>
      <w:pPr>
        <w:pStyle w:val="ListBullet"/>
        <w:ind w:left="357"/>
        <w:jc w:val="both"/>
      </w:pPr>
      <w:r>
        <w:rPr>
          <w:rFonts w:ascii="Cambria" w:hAnsi="Cambria"/>
          <w:sz w:val="22"/>
        </w:rPr>
        <w:t>Equitable opportunities lead to higher employability and social mobility.</w:t>
      </w:r>
    </w:p>
    <w:p>
      <w:pPr>
        <w:pStyle w:val="ListBullet"/>
        <w:ind w:left="357"/>
        <w:jc w:val="both"/>
      </w:pPr>
      <w:r>
        <w:rPr>
          <w:rFonts w:ascii="Cambria" w:hAnsi="Cambria"/>
          <w:sz w:val="22"/>
        </w:rPr>
        <w:t>Participation in equity cells fosters leadership and governance skills.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Reduction in social and economic inequalities in education.</w:t>
      </w:r>
    </w:p>
    <w:p>
      <w:pPr>
        <w:pStyle w:val="ListBullet"/>
        <w:ind w:left="357"/>
        <w:jc w:val="both"/>
      </w:pPr>
      <w:r>
        <w:rPr>
          <w:rFonts w:ascii="Cambria" w:hAnsi="Cambria"/>
          <w:sz w:val="22"/>
        </w:rPr>
        <w:t>Increased community trust in HEIs as institutions of opportunity and fairness.</w:t>
      </w:r>
    </w:p>
    <w:p>
      <w:pPr>
        <w:pStyle w:val="ListBullet"/>
        <w:ind w:left="357"/>
        <w:jc w:val="both"/>
      </w:pPr>
      <w:r>
        <w:rPr>
          <w:rFonts w:ascii="Cambria" w:hAnsi="Cambria"/>
          <w:sz w:val="22"/>
        </w:rPr>
        <w:t>Creation of a diverse workforce contributing to inclusive national development.</w:t>
      </w:r>
    </w:p>
    <w:p>
      <w:pPr>
        <w:spacing w:before="200" w:after="80"/>
        <w:jc w:val="left"/>
      </w:pPr>
      <w:r>
        <w:rPr>
          <w:rFonts w:ascii="Cambria" w:hAnsi="Cambria"/>
          <w:b/>
          <w:color w:val="1F3A5F"/>
          <w:sz w:val="25"/>
        </w:rPr>
        <w:t>Inclusivity, Quality, and Accountability in Higher Education</w:t>
      </w:r>
    </w:p>
    <w:p>
      <w:pPr>
        <w:spacing w:before="160" w:after="80"/>
      </w:pPr>
      <w:r>
        <w:rPr>
          <w:rFonts w:ascii="Cambria" w:hAnsi="Cambria"/>
          <w:b/>
          <w:color w:val="1F3A5F"/>
          <w:sz w:val="23"/>
        </w:rPr>
        <w:t>Equity &amp; Quality – Foundational Reforms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Review curriculum and pedagogy to ensure equity, accessibility, and inclusivity; Provide financial support schemes (scholarships, fee waivers) for disadvantaged groups; Establish gender, disability, and social equity cells with grievance redressal; Implement transparent accountability frameworks (annual inclusivity audits, public disclosure reports); Invest in assistive technologies and infrastructure</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NEP 2020 (India): Focus on access, equity, quality, and accountability; UNESCO Global Education Monitoring (GEM) Report: Advocates for inclusive education worldwide; University of Cape Town (South Africa): Inclusivity programmes addressing equity gaps; Harvard University's Office for Equity, Diversity, Inclusion: Systemic institutional support</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Improved access to higher education for marginalized groups; Strengthened institutional accountability and trust; Enhanced learning outcomes through inclusive teaching methods; Greater diversity in student and faculty populations; Recognition as socially responsible HEIs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scholarships/financial aid beneficiaries; % increase in enrolment of under-represented groups (SC/ST/OBC, women, PwDs); Student–faculty ratio improvements; Number of inclusivity audits conducted annually; Accessibility compliance of campus infrastructure (%)</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Implement inclusivity policies, audits, student support mechanisms; Policymakers (UGC/AICTE/Ministry of Education): Mandates and funding support; Accreditation Agencies (NAAC/NBA): Evaluate inclusivity and equity as core criteria; NGOs/CSR bodies: Provide outreach and resource support</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(Institutional Values &amp; Social Responsibilities); NBA: Student support, equity, and inclusivity metrics; NIRF: Outreach &amp; Inclusivity (OI) score improvement; QS/THE: Diversity &amp; equity indicators in rankings</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More equitable learning environments foster student confidence and engagement; Enhanced employability for disadvantaged students due to access and support; Development of leaders through inclusivity cells and participatory governance</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Societal advancement through greater educational equity; Reduction in social and gender disparities in access to HEIs; Increased community trust in higher education as a driver of opportunity; Knowledge and innovation networks accessible to diverse groups</w:t>
            </w:r>
          </w:p>
        </w:tc>
      </w:tr>
    </w:tbl>
    <w:p>
      <w:pPr>
        <w:pStyle w:val="ListBullet"/>
        <w:ind w:left="357"/>
        <w:jc w:val="both"/>
      </w:pPr>
      <w:r>
        <w:rPr>
          <w:rFonts w:ascii="Cambria" w:hAnsi="Cambria"/>
          <w:sz w:val="22"/>
        </w:rPr>
        <w:t>Train faculty on inclusive pedagogy and ethics</w:t>
      </w:r>
    </w:p>
    <w:p>
      <w:pPr>
        <w:spacing w:before="240" w:after="120"/>
        <w:jc w:val="left"/>
      </w:pPr>
      <w:r>
        <w:rPr>
          <w:rFonts w:ascii="Cambria" w:hAnsi="Cambria"/>
          <w:b/>
          <w:color w:val="1F3A5F"/>
          <w:sz w:val="28"/>
        </w:rPr>
        <w:t>Policy–Action–Outcome Roadmap: Inclusivity &amp; Foundational Reforms in HEIs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Ministry of Education/UGC/AICTE mandate Inclusivity &amp; Equity Cells in all HEIs.</w:t>
      </w:r>
    </w:p>
    <w:p>
      <w:pPr>
        <w:pStyle w:val="ListBullet"/>
        <w:ind w:left="357"/>
        <w:jc w:val="both"/>
      </w:pPr>
      <w:r>
        <w:rPr>
          <w:rFonts w:ascii="Cambria" w:hAnsi="Cambria"/>
          <w:sz w:val="22"/>
        </w:rPr>
        <w:t>Issue guidelines for annual inclusivity audits and grievance redressal mechanisms.</w:t>
      </w:r>
    </w:p>
    <w:p>
      <w:pPr>
        <w:pStyle w:val="ListBullet"/>
        <w:ind w:left="357"/>
        <w:jc w:val="both"/>
      </w:pPr>
      <w:r>
        <w:rPr>
          <w:rFonts w:ascii="Cambria" w:hAnsi="Cambria"/>
          <w:sz w:val="22"/>
        </w:rPr>
        <w:t>Introduce minimum accessibility standards (ramps, digital tools, assistive technologies).</w:t>
      </w:r>
    </w:p>
    <w:p>
      <w:pPr>
        <w:spacing w:after="120"/>
        <w:jc w:val="both"/>
      </w:pPr>
      <w:r>
        <w:rPr>
          <w:rFonts w:ascii="Cambria" w:hAnsi="Cambria"/>
          <w:b/>
          <w:i w:val="0"/>
          <w:sz w:val="22"/>
        </w:rPr>
        <w:t>Actions:</w:t>
      </w:r>
    </w:p>
    <w:p>
      <w:pPr>
        <w:pStyle w:val="ListBullet"/>
        <w:ind w:left="357"/>
        <w:jc w:val="both"/>
      </w:pPr>
      <w:r>
        <w:rPr>
          <w:rFonts w:ascii="Cambria" w:hAnsi="Cambria"/>
          <w:sz w:val="22"/>
        </w:rPr>
        <w:t>Launch financial aid expansion schemes (scholarships, fee waivers, need-based support).</w:t>
      </w:r>
    </w:p>
    <w:p>
      <w:pPr>
        <w:pStyle w:val="ListBullet"/>
        <w:ind w:left="357"/>
        <w:jc w:val="both"/>
      </w:pPr>
      <w:r>
        <w:rPr>
          <w:rFonts w:ascii="Cambria" w:hAnsi="Cambria"/>
          <w:sz w:val="22"/>
        </w:rPr>
        <w:t>Conduct baseline surveys of enrolment, dropout, and diversity statistics.</w:t>
      </w:r>
    </w:p>
    <w:p>
      <w:pPr>
        <w:pStyle w:val="ListBullet"/>
        <w:ind w:left="357"/>
        <w:jc w:val="both"/>
      </w:pPr>
      <w:r>
        <w:rPr>
          <w:rFonts w:ascii="Cambria" w:hAnsi="Cambria"/>
          <w:sz w:val="22"/>
        </w:rPr>
        <w:t>Faculty workshops on inclusive pedagogy and gender/equity sensitivity.</w:t>
      </w:r>
    </w:p>
    <w:p>
      <w:pPr>
        <w:spacing w:after="120"/>
        <w:jc w:val="both"/>
      </w:pPr>
      <w:r>
        <w:rPr>
          <w:rFonts w:ascii="Cambria" w:hAnsi="Cambria"/>
          <w:b/>
          <w:i w:val="0"/>
          <w:sz w:val="22"/>
        </w:rPr>
        <w:t>Outcomes:</w:t>
      </w:r>
    </w:p>
    <w:p>
      <w:pPr>
        <w:pStyle w:val="ListBullet"/>
        <w:ind w:left="357"/>
        <w:jc w:val="both"/>
      </w:pPr>
      <w:r>
        <w:rPr>
          <w:rFonts w:ascii="Cambria" w:hAnsi="Cambria"/>
          <w:sz w:val="22"/>
        </w:rPr>
        <w:t>First layer of institutional accountability established.</w:t>
      </w:r>
    </w:p>
    <w:p>
      <w:pPr>
        <w:pStyle w:val="ListBullet"/>
        <w:ind w:left="357"/>
        <w:jc w:val="both"/>
      </w:pPr>
      <w:r>
        <w:rPr>
          <w:rFonts w:ascii="Cambria" w:hAnsi="Cambria"/>
          <w:sz w:val="22"/>
        </w:rPr>
        <w:t>Improved visibility of marginalized students in enrolment.</w:t>
      </w:r>
    </w:p>
    <w:p>
      <w:pPr>
        <w:pStyle w:val="ListBullet"/>
        <w:ind w:left="357"/>
        <w:jc w:val="both"/>
      </w:pPr>
      <w:r>
        <w:rPr>
          <w:rFonts w:ascii="Cambria" w:hAnsi="Cambria"/>
          <w:sz w:val="22"/>
        </w:rPr>
        <w:t>Early adoption of inclusive teaching practices.</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Government provides dedicated inclusivity funds to HEIs meeting accessibility/equity benchmarks.</w:t>
      </w:r>
    </w:p>
    <w:p>
      <w:pPr>
        <w:pStyle w:val="ListBullet"/>
        <w:ind w:left="357"/>
        <w:jc w:val="both"/>
      </w:pPr>
      <w:r>
        <w:rPr>
          <w:rFonts w:ascii="Cambria" w:hAnsi="Cambria"/>
          <w:sz w:val="22"/>
        </w:rPr>
        <w:t>NIRF and NAAC strengthen weightage for Outreach &amp; Inclusivity indicators.</w:t>
      </w:r>
    </w:p>
    <w:p>
      <w:pPr>
        <w:pStyle w:val="ListBullet"/>
        <w:ind w:left="357"/>
        <w:jc w:val="both"/>
      </w:pPr>
      <w:r>
        <w:rPr>
          <w:rFonts w:ascii="Cambria" w:hAnsi="Cambria"/>
          <w:sz w:val="22"/>
        </w:rPr>
        <w:t>Regulations require digital inclusion infrastructure (hybrid classrooms, e-libraries).</w:t>
      </w:r>
    </w:p>
    <w:p>
      <w:pPr>
        <w:spacing w:after="120"/>
        <w:jc w:val="both"/>
      </w:pPr>
      <w:r>
        <w:rPr>
          <w:rFonts w:ascii="Cambria" w:hAnsi="Cambria"/>
          <w:b/>
          <w:i w:val="0"/>
          <w:sz w:val="22"/>
        </w:rPr>
        <w:t>Actions:</w:t>
      </w:r>
    </w:p>
    <w:p>
      <w:pPr>
        <w:pStyle w:val="ListBullet"/>
        <w:ind w:left="357"/>
        <w:jc w:val="both"/>
      </w:pPr>
      <w:r>
        <w:rPr>
          <w:rFonts w:ascii="Cambria" w:hAnsi="Cambria"/>
          <w:sz w:val="22"/>
        </w:rPr>
        <w:t>Expand student–faculty ratio reforms to reduce inequities in access to mentoring.</w:t>
      </w:r>
    </w:p>
    <w:p>
      <w:pPr>
        <w:pStyle w:val="ListBullet"/>
        <w:ind w:left="357"/>
        <w:jc w:val="both"/>
      </w:pPr>
      <w:r>
        <w:rPr>
          <w:rFonts w:ascii="Cambria" w:hAnsi="Cambria"/>
          <w:sz w:val="22"/>
        </w:rPr>
        <w:t>Roll out assistive technologies and universal design infrastructure on campuses.</w:t>
      </w:r>
    </w:p>
    <w:p>
      <w:pPr>
        <w:pStyle w:val="ListBullet"/>
        <w:ind w:left="357"/>
        <w:jc w:val="both"/>
      </w:pPr>
      <w:r>
        <w:rPr>
          <w:rFonts w:ascii="Cambria" w:hAnsi="Cambria"/>
          <w:sz w:val="22"/>
        </w:rPr>
        <w:t>Strengthen community outreach for rural and disadvantaged populations.</w:t>
      </w:r>
    </w:p>
    <w:p>
      <w:pPr>
        <w:pStyle w:val="ListBullet"/>
        <w:ind w:left="357"/>
        <w:jc w:val="both"/>
      </w:pPr>
      <w:r>
        <w:rPr>
          <w:rFonts w:ascii="Cambria" w:hAnsi="Cambria"/>
          <w:sz w:val="22"/>
        </w:rPr>
        <w:t>Implement transparent reporting dashboards (real-time data on enrolments, scholarships, faculty diversity).</w:t>
      </w:r>
    </w:p>
    <w:p>
      <w:pPr>
        <w:spacing w:after="120"/>
        <w:jc w:val="both"/>
      </w:pPr>
      <w:r>
        <w:rPr>
          <w:rFonts w:ascii="Cambria" w:hAnsi="Cambria"/>
          <w:b/>
          <w:i w:val="0"/>
          <w:sz w:val="22"/>
        </w:rPr>
        <w:t>Outcomes:</w:t>
      </w:r>
    </w:p>
    <w:p>
      <w:pPr>
        <w:pStyle w:val="ListBullet"/>
        <w:ind w:left="357"/>
        <w:jc w:val="both"/>
      </w:pPr>
      <w:r>
        <w:rPr>
          <w:rFonts w:ascii="Cambria" w:hAnsi="Cambria"/>
          <w:sz w:val="22"/>
        </w:rPr>
        <w:t>Significant increase in enrolment of underrepresented groups (SC/ST/OBC, women, PwDs, minorities).</w:t>
      </w:r>
    </w:p>
    <w:p>
      <w:pPr>
        <w:pStyle w:val="ListBullet"/>
        <w:ind w:left="357"/>
        <w:jc w:val="both"/>
      </w:pPr>
      <w:r>
        <w:rPr>
          <w:rFonts w:ascii="Cambria" w:hAnsi="Cambria"/>
          <w:sz w:val="22"/>
        </w:rPr>
        <w:t>Institutional culture shifts toward equity and inclusivity.</w:t>
      </w:r>
    </w:p>
    <w:p>
      <w:pPr>
        <w:pStyle w:val="ListBullet"/>
        <w:ind w:left="357"/>
        <w:jc w:val="both"/>
      </w:pPr>
      <w:r>
        <w:rPr>
          <w:rFonts w:ascii="Cambria" w:hAnsi="Cambria"/>
          <w:sz w:val="22"/>
        </w:rPr>
        <w:t>Higher student retention and graduation rates.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Enshrine equity and inclusivity frameworks into national law for higher education governance.</w:t>
      </w:r>
    </w:p>
    <w:p>
      <w:pPr>
        <w:pStyle w:val="ListBullet"/>
        <w:ind w:left="357"/>
        <w:jc w:val="both"/>
      </w:pPr>
      <w:r>
        <w:rPr>
          <w:rFonts w:ascii="Cambria" w:hAnsi="Cambria"/>
          <w:sz w:val="22"/>
        </w:rPr>
        <w:t>Create national accreditation standards specifically for inclusivity and accountability.</w:t>
      </w:r>
    </w:p>
    <w:p>
      <w:pPr>
        <w:pStyle w:val="ListBullet"/>
        <w:ind w:left="357"/>
        <w:jc w:val="both"/>
      </w:pPr>
      <w:r>
        <w:rPr>
          <w:rFonts w:ascii="Cambria" w:hAnsi="Cambria"/>
          <w:sz w:val="22"/>
        </w:rPr>
        <w:t>Incentivize HEIs with high inclusivity scores through extra funding, global partnerships, and recognition awards.</w:t>
      </w:r>
    </w:p>
    <w:p>
      <w:pPr>
        <w:spacing w:after="120"/>
        <w:jc w:val="both"/>
      </w:pPr>
      <w:r>
        <w:rPr>
          <w:rFonts w:ascii="Cambria" w:hAnsi="Cambria"/>
          <w:b/>
          <w:i w:val="0"/>
          <w:sz w:val="22"/>
        </w:rPr>
        <w:t>Actions:</w:t>
      </w:r>
    </w:p>
    <w:p>
      <w:pPr>
        <w:pStyle w:val="ListBullet"/>
        <w:ind w:left="357"/>
        <w:jc w:val="both"/>
      </w:pPr>
      <w:r>
        <w:rPr>
          <w:rFonts w:ascii="Cambria" w:hAnsi="Cambria"/>
          <w:sz w:val="22"/>
        </w:rPr>
        <w:t>Scale up inclusivity cells into Centres of Excellence for Equity &amp; Access in major HEIs.</w:t>
      </w:r>
    </w:p>
    <w:p>
      <w:pPr>
        <w:pStyle w:val="ListBullet"/>
        <w:ind w:left="357"/>
        <w:jc w:val="both"/>
      </w:pPr>
      <w:r>
        <w:rPr>
          <w:rFonts w:ascii="Cambria" w:hAnsi="Cambria"/>
          <w:sz w:val="22"/>
        </w:rPr>
        <w:t>Build national-level inclusivity repositories documenting best practices and impact studies.</w:t>
      </w:r>
    </w:p>
    <w:p>
      <w:pPr>
        <w:pStyle w:val="ListBullet"/>
        <w:ind w:left="357"/>
        <w:jc w:val="both"/>
      </w:pPr>
      <w:r>
        <w:rPr>
          <w:rFonts w:ascii="Cambria" w:hAnsi="Cambria"/>
          <w:sz w:val="22"/>
        </w:rPr>
        <w:t>Institutionalize participatory governance, where students from marginalized groups are involved in decision-making councils.</w:t>
      </w:r>
    </w:p>
    <w:p>
      <w:pPr>
        <w:spacing w:after="120"/>
        <w:jc w:val="both"/>
      </w:pPr>
      <w:r>
        <w:rPr>
          <w:rFonts w:ascii="Cambria" w:hAnsi="Cambria"/>
          <w:b/>
          <w:i w:val="0"/>
          <w:sz w:val="22"/>
        </w:rPr>
        <w:t>Outcomes:</w:t>
      </w:r>
    </w:p>
    <w:p>
      <w:pPr>
        <w:pStyle w:val="ListBullet"/>
        <w:ind w:left="357"/>
        <w:jc w:val="both"/>
      </w:pPr>
      <w:r>
        <w:rPr>
          <w:rFonts w:ascii="Cambria" w:hAnsi="Cambria"/>
          <w:sz w:val="22"/>
        </w:rPr>
        <w:t>A systemic transformation of higher education into a driver of equity, inclusivity, and quality.</w:t>
      </w:r>
    </w:p>
    <w:p>
      <w:pPr>
        <w:pStyle w:val="ListBullet"/>
        <w:ind w:left="357"/>
        <w:jc w:val="both"/>
      </w:pPr>
      <w:r>
        <w:rPr>
          <w:rFonts w:ascii="Cambria" w:hAnsi="Cambria"/>
          <w:sz w:val="22"/>
        </w:rPr>
        <w:t>HEIs gain recognition as global leaders in inclusive education.</w:t>
      </w:r>
    </w:p>
    <w:p>
      <w:pPr>
        <w:pStyle w:val="ListBullet"/>
        <w:ind w:left="357"/>
        <w:jc w:val="both"/>
      </w:pPr>
      <w:r>
        <w:rPr>
          <w:rFonts w:ascii="Cambria" w:hAnsi="Cambria"/>
          <w:b/>
          <w:sz w:val="22"/>
        </w:rPr>
        <w:t xml:space="preserve">Long-term societal benefits: </w:t>
      </w:r>
      <w:r>
        <w:rPr>
          <w:rFonts w:ascii="Cambria" w:hAnsi="Cambria"/>
          <w:sz w:val="22"/>
        </w:rPr>
        <w:t>reduced inequalities, empowered communities, and sustainable knowledge ecosystems.</w:t>
      </w:r>
    </w:p>
    <w:p>
      <w:r>
        <w:br w:type="page"/>
      </w:r>
    </w:p>
    <w:p>
      <w:pPr>
        <w:spacing w:before="280" w:after="160"/>
        <w:jc w:val="left"/>
      </w:pPr>
      <w:r>
        <w:rPr>
          <w:rFonts w:ascii="Cambria" w:hAnsi="Cambria"/>
          <w:b/>
          <w:color w:val="1F3A5F"/>
          <w:sz w:val="32"/>
        </w:rPr>
        <w:t>17. Supporting Vulnerable and Disadvantaged Groups in Higher Education</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Access to quality education is a fundamental right, yet vulnerable and disadvantaged populations—including persons with disabilities, indigenous peoples, economically weaker sections, and first-generation learners—face systemic barriers.</w:t>
      </w:r>
    </w:p>
    <w:p>
      <w:pPr>
        <w:pStyle w:val="ListBullet"/>
        <w:ind w:left="357"/>
        <w:jc w:val="both"/>
      </w:pPr>
      <w:r>
        <w:rPr>
          <w:rFonts w:ascii="Cambria" w:hAnsi="Cambria"/>
          <w:sz w:val="22"/>
        </w:rPr>
        <w:t>These groups are often underrepresented in HEIs due to financial constraints, lack of supportive infrastructure, and inequitable admission policies.</w:t>
      </w:r>
    </w:p>
    <w:p>
      <w:pPr>
        <w:pStyle w:val="ListBullet"/>
        <w:ind w:left="357"/>
        <w:jc w:val="both"/>
      </w:pPr>
      <w:r>
        <w:rPr>
          <w:rFonts w:ascii="Cambria" w:hAnsi="Cambria"/>
          <w:sz w:val="22"/>
        </w:rPr>
        <w:t>By addressing these barriers, HEIs contribute directly to SDG-4 (Quality Education) and the broader vision of inclusive and equitable societies outlined in NEP 2020 and UNESCO's Education 2030 Agenda.</w:t>
      </w:r>
    </w:p>
    <w:p>
      <w:pPr>
        <w:spacing w:before="200" w:after="80"/>
        <w:jc w:val="left"/>
      </w:pPr>
      <w:r>
        <w:rPr>
          <w:rFonts w:ascii="Cambria" w:hAnsi="Cambria"/>
          <w:b/>
          <w:color w:val="1F3A5F"/>
          <w:sz w:val="25"/>
        </w:rPr>
        <w:t>2. Areas of Support</w:t>
      </w:r>
    </w:p>
    <w:p>
      <w:pPr>
        <w:pStyle w:val="ListBullet"/>
        <w:ind w:left="357"/>
        <w:jc w:val="both"/>
      </w:pPr>
      <w:r>
        <w:rPr>
          <w:rFonts w:ascii="Cambria" w:hAnsi="Cambria"/>
          <w:sz w:val="22"/>
        </w:rPr>
        <w:t>Financial Accessibility</w:t>
      </w:r>
    </w:p>
    <w:p>
      <w:pPr>
        <w:pStyle w:val="ListBullet2"/>
        <w:ind w:left="720"/>
        <w:jc w:val="both"/>
      </w:pPr>
      <w:r>
        <w:rPr>
          <w:rFonts w:ascii="Cambria" w:hAnsi="Cambria"/>
          <w:sz w:val="22"/>
        </w:rPr>
        <w:t>Scholarships, fee waivers, and financial aid schemes to ensure affordability.</w:t>
      </w:r>
    </w:p>
    <w:p>
      <w:pPr>
        <w:pStyle w:val="ListBullet2"/>
        <w:ind w:left="720"/>
        <w:jc w:val="both"/>
      </w:pPr>
      <w:r>
        <w:rPr>
          <w:rFonts w:ascii="Cambria" w:hAnsi="Cambria"/>
          <w:sz w:val="22"/>
        </w:rPr>
        <w:t>Endowment funds, CSR partnerships, and alumni contributions earmarked for disadvantaged students.</w:t>
      </w:r>
    </w:p>
    <w:p>
      <w:pPr>
        <w:pStyle w:val="ListBullet"/>
        <w:ind w:left="357"/>
        <w:jc w:val="both"/>
      </w:pPr>
      <w:r>
        <w:rPr>
          <w:rFonts w:ascii="Cambria" w:hAnsi="Cambria"/>
          <w:sz w:val="22"/>
        </w:rPr>
        <w:t>Disability Inclusion</w:t>
      </w:r>
    </w:p>
    <w:p>
      <w:pPr>
        <w:pStyle w:val="ListBullet2"/>
        <w:ind w:left="720"/>
        <w:jc w:val="both"/>
      </w:pPr>
      <w:r>
        <w:rPr>
          <w:rFonts w:ascii="Cambria" w:hAnsi="Cambria"/>
          <w:sz w:val="22"/>
        </w:rPr>
        <w:t>Establish Disability Resource Centres (DRCs) to provide academic and social support.</w:t>
      </w:r>
    </w:p>
    <w:p>
      <w:pPr>
        <w:pStyle w:val="ListBullet2"/>
        <w:ind w:left="720"/>
        <w:jc w:val="both"/>
      </w:pPr>
      <w:r>
        <w:rPr>
          <w:rFonts w:ascii="Cambria" w:hAnsi="Cambria"/>
          <w:sz w:val="22"/>
        </w:rPr>
        <w:t>Infrastructure compliance with accessibility norms (ramps, lifts, signage, ICT tools).</w:t>
      </w:r>
    </w:p>
    <w:p>
      <w:pPr>
        <w:pStyle w:val="ListBullet2"/>
        <w:ind w:left="720"/>
        <w:jc w:val="both"/>
      </w:pPr>
      <w:r>
        <w:rPr>
          <w:rFonts w:ascii="Cambria" w:hAnsi="Cambria"/>
          <w:sz w:val="22"/>
        </w:rPr>
        <w:t>Assistive technologies (screen readers, braille devices, captioning software).</w:t>
      </w:r>
    </w:p>
    <w:p>
      <w:pPr>
        <w:pStyle w:val="ListBullet"/>
        <w:ind w:left="357"/>
        <w:jc w:val="both"/>
      </w:pPr>
      <w:r>
        <w:rPr>
          <w:rFonts w:ascii="Cambria" w:hAnsi="Cambria"/>
          <w:sz w:val="22"/>
        </w:rPr>
        <w:t>Indigenous and Local Communities</w:t>
      </w:r>
    </w:p>
    <w:p>
      <w:pPr>
        <w:pStyle w:val="ListBullet2"/>
        <w:ind w:left="720"/>
        <w:jc w:val="both"/>
      </w:pPr>
      <w:r>
        <w:rPr>
          <w:rFonts w:ascii="Cambria" w:hAnsi="Cambria"/>
          <w:sz w:val="22"/>
        </w:rPr>
        <w:t>Special admission policies and bridging courses for indigenous students.</w:t>
      </w:r>
    </w:p>
    <w:p>
      <w:pPr>
        <w:pStyle w:val="ListBullet2"/>
        <w:ind w:left="720"/>
        <w:jc w:val="both"/>
      </w:pPr>
      <w:r>
        <w:rPr>
          <w:rFonts w:ascii="Cambria" w:hAnsi="Cambria"/>
          <w:sz w:val="22"/>
        </w:rPr>
        <w:t>Programmes to preserve and integrate indigenous knowledge systems into curricula.</w:t>
      </w:r>
    </w:p>
    <w:p>
      <w:pPr>
        <w:pStyle w:val="ListBullet"/>
        <w:ind w:left="357"/>
        <w:jc w:val="both"/>
      </w:pPr>
      <w:r>
        <w:rPr>
          <w:rFonts w:ascii="Cambria" w:hAnsi="Cambria"/>
          <w:sz w:val="22"/>
        </w:rPr>
        <w:t>Community Literacy &amp; Bridging Programmes</w:t>
      </w:r>
    </w:p>
    <w:p>
      <w:pPr>
        <w:pStyle w:val="ListBullet2"/>
        <w:ind w:left="720"/>
        <w:jc w:val="both"/>
      </w:pPr>
      <w:r>
        <w:rPr>
          <w:rFonts w:ascii="Cambria" w:hAnsi="Cambria"/>
          <w:sz w:val="22"/>
        </w:rPr>
        <w:t>HEIs as hubs for literacy campaigns in local schools and villages.</w:t>
      </w:r>
    </w:p>
    <w:p>
      <w:pPr>
        <w:pStyle w:val="ListBullet2"/>
        <w:ind w:left="720"/>
        <w:jc w:val="both"/>
      </w:pPr>
      <w:r>
        <w:rPr>
          <w:rFonts w:ascii="Cambria" w:hAnsi="Cambria"/>
          <w:sz w:val="22"/>
        </w:rPr>
        <w:t>Outreach initiatives to support first-generation learners and reduce school-to-college transition gaps.</w:t>
      </w:r>
    </w:p>
    <w:p>
      <w:pPr>
        <w:pStyle w:val="ListBullet2"/>
        <w:ind w:left="720"/>
        <w:jc w:val="both"/>
      </w:pPr>
      <w:r>
        <w:rPr>
          <w:rFonts w:ascii="Cambria" w:hAnsi="Cambria"/>
          <w:sz w:val="22"/>
        </w:rPr>
        <w:t>Partnerships with NGOs to deliver adult literacy and digital education programmes.</w:t>
      </w:r>
    </w:p>
    <w:p>
      <w:pPr>
        <w:spacing w:before="200" w:after="80"/>
        <w:jc w:val="left"/>
      </w:pPr>
      <w:r>
        <w:rPr>
          <w:rFonts w:ascii="Cambria" w:hAnsi="Cambria"/>
          <w:b/>
          <w:color w:val="1F3A5F"/>
          <w:sz w:val="25"/>
        </w:rPr>
        <w:t>3. Global and National Best Practices</w:t>
      </w:r>
    </w:p>
    <w:p>
      <w:pPr>
        <w:pStyle w:val="ListBullet"/>
        <w:ind w:left="357"/>
        <w:jc w:val="both"/>
      </w:pPr>
      <w:r>
        <w:rPr>
          <w:rFonts w:ascii="Cambria" w:hAnsi="Cambria"/>
          <w:b/>
          <w:sz w:val="22"/>
        </w:rPr>
        <w:t xml:space="preserve">UNESCO GEM Report (2020): </w:t>
      </w:r>
      <w:r>
        <w:rPr>
          <w:rFonts w:ascii="Cambria" w:hAnsi="Cambria"/>
          <w:sz w:val="22"/>
        </w:rPr>
        <w:t>Emphasizes inclusive strategies for disadvantaged groups in education.</w:t>
      </w:r>
    </w:p>
    <w:p>
      <w:pPr>
        <w:pStyle w:val="ListBullet"/>
        <w:ind w:left="357"/>
        <w:jc w:val="both"/>
      </w:pPr>
      <w:r>
        <w:rPr>
          <w:rFonts w:ascii="Cambria" w:hAnsi="Cambria"/>
          <w:b/>
          <w:sz w:val="22"/>
        </w:rPr>
        <w:t xml:space="preserve">NEP 2020 (India): </w:t>
      </w:r>
      <w:r>
        <w:rPr>
          <w:rFonts w:ascii="Cambria" w:hAnsi="Cambria"/>
          <w:sz w:val="22"/>
        </w:rPr>
        <w:t>Calls for Special Education Zones and support systems for underrepresented communities.</w:t>
      </w:r>
    </w:p>
    <w:p>
      <w:pPr>
        <w:pStyle w:val="ListBullet"/>
        <w:ind w:left="357"/>
        <w:jc w:val="both"/>
      </w:pPr>
      <w:r>
        <w:rPr>
          <w:rFonts w:ascii="Cambria" w:hAnsi="Cambria"/>
          <w:b/>
          <w:sz w:val="22"/>
        </w:rPr>
        <w:t xml:space="preserve">University of Melbourne (Australia): </w:t>
      </w:r>
      <w:r>
        <w:rPr>
          <w:rFonts w:ascii="Cambria" w:hAnsi="Cambria"/>
          <w:sz w:val="22"/>
        </w:rPr>
        <w:t>Indigenous Student Support Centres as models of empowerment.</w:t>
      </w:r>
    </w:p>
    <w:p>
      <w:pPr>
        <w:pStyle w:val="ListBullet"/>
        <w:ind w:left="357"/>
        <w:jc w:val="both"/>
      </w:pPr>
      <w:r>
        <w:rPr>
          <w:rFonts w:ascii="Cambria" w:hAnsi="Cambria"/>
          <w:b/>
          <w:sz w:val="22"/>
        </w:rPr>
        <w:t xml:space="preserve">Harvard University Accessible Education Office (USA): </w:t>
      </w:r>
      <w:r>
        <w:rPr>
          <w:rFonts w:ascii="Cambria" w:hAnsi="Cambria"/>
          <w:sz w:val="22"/>
        </w:rPr>
        <w:t>Comprehensive disability services.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Improved enrolment, retention, and graduation rates among disadvantaged groups.</w:t>
      </w:r>
    </w:p>
    <w:p>
      <w:pPr>
        <w:pStyle w:val="ListBullet"/>
        <w:ind w:left="357"/>
        <w:jc w:val="both"/>
      </w:pPr>
      <w:r>
        <w:rPr>
          <w:rFonts w:ascii="Cambria" w:hAnsi="Cambria"/>
          <w:sz w:val="22"/>
        </w:rPr>
        <w:t>Increased literacy and educational attainment in communities linked to HEIs.</w:t>
      </w:r>
    </w:p>
    <w:p>
      <w:pPr>
        <w:pStyle w:val="ListBullet"/>
        <w:ind w:left="357"/>
        <w:jc w:val="both"/>
      </w:pPr>
      <w:r>
        <w:rPr>
          <w:rFonts w:ascii="Cambria" w:hAnsi="Cambria"/>
          <w:sz w:val="22"/>
        </w:rPr>
        <w:t>Creation of more equitable, diverse, and inclusive campuses.</w:t>
      </w:r>
    </w:p>
    <w:p>
      <w:pPr>
        <w:pStyle w:val="ListBullet"/>
        <w:ind w:left="357"/>
        <w:jc w:val="both"/>
      </w:pPr>
      <w:r>
        <w:rPr>
          <w:rFonts w:ascii="Cambria" w:hAnsi="Cambria"/>
          <w:sz w:val="22"/>
        </w:rPr>
        <w:t>Strengthened trust between HEIs and surrounding communities, positioning universities as leaders in social justice.</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 increase in enrolment of disadvantaged/vulnerable students.</w:t>
      </w:r>
    </w:p>
    <w:p>
      <w:pPr>
        <w:pStyle w:val="ListBullet"/>
        <w:ind w:left="357"/>
        <w:jc w:val="both"/>
      </w:pPr>
      <w:r>
        <w:rPr>
          <w:rFonts w:ascii="Cambria" w:hAnsi="Cambria"/>
          <w:sz w:val="22"/>
        </w:rPr>
        <w:t>Retention and graduation rates of these groups compared to institutional averages.</w:t>
      </w:r>
    </w:p>
    <w:p>
      <w:pPr>
        <w:pStyle w:val="ListBullet"/>
        <w:ind w:left="357"/>
        <w:jc w:val="both"/>
      </w:pPr>
      <w:r>
        <w:rPr>
          <w:rFonts w:ascii="Cambria" w:hAnsi="Cambria"/>
          <w:sz w:val="22"/>
        </w:rPr>
        <w:t>Number of literacy and bridging programmes run annually by HEIs.</w:t>
      </w:r>
    </w:p>
    <w:p>
      <w:pPr>
        <w:pStyle w:val="ListBullet"/>
        <w:ind w:left="357"/>
        <w:jc w:val="both"/>
      </w:pPr>
      <w:r>
        <w:rPr>
          <w:rFonts w:ascii="Cambria" w:hAnsi="Cambria"/>
          <w:sz w:val="22"/>
        </w:rPr>
        <w:t>Percentage of campus infrastructure compliant with accessibility standards.</w:t>
      </w:r>
    </w:p>
    <w:p>
      <w:pPr>
        <w:pStyle w:val="ListBullet"/>
        <w:ind w:left="357"/>
        <w:jc w:val="both"/>
      </w:pPr>
      <w:r>
        <w:rPr>
          <w:rFonts w:ascii="Cambria" w:hAnsi="Cambria"/>
          <w:sz w:val="22"/>
        </w:rPr>
        <w:t>Student satisfaction scores on inclusivity and support services.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Vulnerable students gain confidence, resilience, and employable skills through targeted support.</w:t>
      </w:r>
    </w:p>
    <w:p>
      <w:pPr>
        <w:pStyle w:val="ListBullet"/>
        <w:ind w:left="357"/>
        <w:jc w:val="both"/>
      </w:pPr>
      <w:r>
        <w:rPr>
          <w:rFonts w:ascii="Cambria" w:hAnsi="Cambria"/>
          <w:sz w:val="22"/>
        </w:rPr>
        <w:t>Mentorship programmes prepare disadvantaged students for leadership, entrepreneurship, and public service.</w:t>
      </w:r>
    </w:p>
    <w:p>
      <w:pPr>
        <w:pStyle w:val="ListBullet"/>
        <w:ind w:left="357"/>
        <w:jc w:val="both"/>
      </w:pPr>
      <w:r>
        <w:rPr>
          <w:rFonts w:ascii="Cambria" w:hAnsi="Cambria"/>
          <w:sz w:val="22"/>
        </w:rPr>
        <w:t>Enhanced access leads to a more diverse graduate pool, better reflecting society.</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Reduction of systemic inequalities in higher education access.</w:t>
      </w:r>
    </w:p>
    <w:p>
      <w:pPr>
        <w:pStyle w:val="ListBullet"/>
        <w:ind w:left="357"/>
        <w:jc w:val="both"/>
      </w:pPr>
      <w:r>
        <w:rPr>
          <w:rFonts w:ascii="Cambria" w:hAnsi="Cambria"/>
          <w:sz w:val="22"/>
        </w:rPr>
        <w:t>Stronger community engagement through literacy and adult education programmes.</w:t>
      </w:r>
    </w:p>
    <w:p>
      <w:pPr>
        <w:pStyle w:val="ListBullet"/>
        <w:ind w:left="357"/>
        <w:jc w:val="both"/>
      </w:pPr>
      <w:r>
        <w:rPr>
          <w:rFonts w:ascii="Cambria" w:hAnsi="Cambria"/>
          <w:sz w:val="22"/>
        </w:rPr>
        <w:t>Development of a more inclusive workforce that integrates diverse perspectives and talents.</w:t>
      </w:r>
    </w:p>
    <w:p>
      <w:pPr>
        <w:pStyle w:val="ListBullet"/>
        <w:ind w:left="357"/>
        <w:jc w:val="both"/>
      </w:pPr>
      <w:r>
        <w:rPr>
          <w:rFonts w:ascii="Cambria" w:hAnsi="Cambria"/>
          <w:sz w:val="22"/>
        </w:rPr>
        <w:t>Contribution to social cohesion and sustainable development at local and national levels.</w:t>
      </w:r>
    </w:p>
    <w:p>
      <w:pPr>
        <w:spacing w:before="200" w:after="80"/>
        <w:jc w:val="left"/>
      </w:pPr>
      <w:r>
        <w:rPr>
          <w:rFonts w:ascii="Cambria" w:hAnsi="Cambria"/>
          <w:b/>
          <w:color w:val="1F3A5F"/>
          <w:sz w:val="25"/>
        </w:rPr>
        <w:t>Equity &amp; Access – Supporting Vulnerable and Disadvantaged Groups</w:t>
      </w:r>
    </w:p>
    <w:p>
      <w:pPr>
        <w:spacing w:before="160" w:after="80"/>
      </w:pPr>
      <w:r>
        <w:rPr>
          <w:rFonts w:ascii="Cambria" w:hAnsi="Cambria"/>
          <w:b/>
          <w:color w:val="1F3A5F"/>
          <w:sz w:val="23"/>
        </w:rPr>
        <w:t>Equity &amp; Access – Vulnerable &amp; Disadvantaged Groups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w:t>
            </w:r>
          </w:p>
        </w:tc>
        <w:tc>
          <w:tcPr>
            <w:tcW w:type="dxa" w:w="6860"/>
            <w:tcW w:w="6860" w:type="dxa"/>
          </w:tcPr>
          <w:p>
            <w:pPr>
              <w:jc w:val="left"/>
            </w:pPr>
            <w:r/>
            <w:r>
              <w:rPr>
                <w:rFonts w:ascii="Cambria" w:hAnsi="Cambria"/>
                <w:b w:val="0"/>
                <w:i w:val="0"/>
                <w:sz w:val="22"/>
              </w:rPr>
              <w:t>Provide scholarships, fee waivers, and financial aid for students from disadvantaged backgrounds; Ensure inclusive admission policies that give fair access to persons with disabilities, indigenous communities, and economically weaker sections; Establish Disability Resource Centres and provide assistive technologies; Partner with schools and NGOs to run literacy &amp; bridging programmes in local communities; Conduct mentoring and skill development programmes for first-generation learners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UNESCO Global Education Monitoring Report: Focus on equity and inclusion; NEP 2020 (India): Emphasis on disadvantaged groups and special education zones; University of Melbourne (Australia): Indigenous Student Support Centres; Harvard Accessible Education Office (USA): Disability services and inclusion policies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Increased enrolment and retention of disadvantaged groups; Improved social equity and inclusion in higher education; Enhanced literacy and educational attainment in surrounding communities; Stronger HEI–community partnerships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 of students from disadvantaged/vulnerable backgrounds enrolled; Retention and graduation rates of these students; Number of literacy/bridging programmes run in schools and communities; % of HEI infrastructure accessibility compliance; Student feedback scores on inclusivity support services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Implement inclusive admission policies, provide financial aid, establish disability services; Policymakers (UGC/AICTE/MoE): Fund and regulate inclusive access schemes and special education zones; Accreditation Agencies (NAAC/NBA/NIRF): Evaluate inclusivity, equity, outreach; NGOs/CSR bodies: Partner in school/community literacy programmes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(Institutional Values &amp; Social Responsibilities); NBA: Inclusivity and student support mechanisms; NIRF: Outreach &amp; Inclusivity (OI) parameter; QS/THE: Diversity and inclusion indicators</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First-generation and marginalized students gain confidence and employability skills; Access to mentoring, financial support, and inclusive learning environments; Increased representation of vulnerable groups in leadership and research</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Reduces educational inequalities across gender, caste, class, and disability lines; Promotes inclusive social development through literacy initiatives; Creates a pipeline of educated, empowered citizens who uplift their communities</w:t>
            </w:r>
          </w:p>
        </w:tc>
      </w:tr>
    </w:tbl>
    <w:p>
      <w:pPr>
        <w:spacing w:before="240" w:after="120"/>
        <w:jc w:val="left"/>
      </w:pPr>
      <w:r>
        <w:rPr>
          <w:rFonts w:ascii="Cambria" w:hAnsi="Cambria"/>
          <w:b/>
          <w:color w:val="1F3A5F"/>
          <w:sz w:val="28"/>
        </w:rPr>
        <w:t>Policy–Action–Outcome Roadmap: Supporting Vulnerable &amp; Disadvantaged Groups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Ministry of Education/UGC/AICTE mandate inclusive admission policies with reserved seats and financial aid for disadvantaged groups.</w:t>
      </w:r>
    </w:p>
    <w:p>
      <w:pPr>
        <w:pStyle w:val="ListBullet"/>
        <w:ind w:left="357"/>
        <w:jc w:val="both"/>
      </w:pPr>
      <w:r>
        <w:rPr>
          <w:rFonts w:ascii="Cambria" w:hAnsi="Cambria"/>
          <w:sz w:val="22"/>
        </w:rPr>
        <w:t>Issue guidelines for establishing Disability Resource Centres (DRCs) in all universities.</w:t>
      </w:r>
    </w:p>
    <w:p>
      <w:pPr>
        <w:pStyle w:val="ListBullet"/>
        <w:ind w:left="357"/>
        <w:jc w:val="both"/>
      </w:pPr>
      <w:r>
        <w:rPr>
          <w:rFonts w:ascii="Cambria" w:hAnsi="Cambria"/>
          <w:sz w:val="22"/>
        </w:rPr>
        <w:t>Provide seed grants for community literacy and bridging programmes.</w:t>
      </w:r>
    </w:p>
    <w:p>
      <w:pPr>
        <w:spacing w:after="120"/>
        <w:jc w:val="both"/>
      </w:pPr>
      <w:r>
        <w:rPr>
          <w:rFonts w:ascii="Cambria" w:hAnsi="Cambria"/>
          <w:b/>
          <w:i w:val="0"/>
          <w:sz w:val="22"/>
        </w:rPr>
        <w:t>Actions:</w:t>
      </w:r>
    </w:p>
    <w:p>
      <w:pPr>
        <w:pStyle w:val="ListBullet"/>
        <w:ind w:left="357"/>
        <w:jc w:val="both"/>
      </w:pPr>
      <w:r>
        <w:rPr>
          <w:rFonts w:ascii="Cambria" w:hAnsi="Cambria"/>
          <w:sz w:val="22"/>
        </w:rPr>
        <w:t>Launch scholarship/fee waiver schemes for students from economically weaker backgrounds.</w:t>
      </w:r>
    </w:p>
    <w:p>
      <w:pPr>
        <w:pStyle w:val="ListBullet"/>
        <w:ind w:left="357"/>
        <w:jc w:val="both"/>
      </w:pPr>
      <w:r>
        <w:rPr>
          <w:rFonts w:ascii="Cambria" w:hAnsi="Cambria"/>
          <w:sz w:val="22"/>
        </w:rPr>
        <w:t>Conduct baseline surveys on enrolment and dropout patterns of marginalized groups.</w:t>
      </w:r>
    </w:p>
    <w:p>
      <w:pPr>
        <w:pStyle w:val="ListBullet"/>
        <w:ind w:left="357"/>
        <w:jc w:val="both"/>
      </w:pPr>
      <w:r>
        <w:rPr>
          <w:rFonts w:ascii="Cambria" w:hAnsi="Cambria"/>
          <w:sz w:val="22"/>
        </w:rPr>
        <w:t>Train faculty in inclusive pedagogy and disability sensitivity.</w:t>
      </w:r>
    </w:p>
    <w:p>
      <w:pPr>
        <w:pStyle w:val="ListBullet"/>
        <w:ind w:left="357"/>
        <w:jc w:val="both"/>
      </w:pPr>
      <w:r>
        <w:rPr>
          <w:rFonts w:ascii="Cambria" w:hAnsi="Cambria"/>
          <w:sz w:val="22"/>
        </w:rPr>
        <w:t>Begin pilot literacy programmes in nearby schools and villages.</w:t>
      </w:r>
    </w:p>
    <w:p>
      <w:pPr>
        <w:spacing w:after="120"/>
        <w:jc w:val="both"/>
      </w:pPr>
      <w:r>
        <w:rPr>
          <w:rFonts w:ascii="Cambria" w:hAnsi="Cambria"/>
          <w:b/>
          <w:i w:val="0"/>
          <w:sz w:val="22"/>
        </w:rPr>
        <w:t>Outcomes:</w:t>
      </w:r>
    </w:p>
    <w:p>
      <w:pPr>
        <w:pStyle w:val="ListBullet"/>
        <w:ind w:left="357"/>
        <w:jc w:val="both"/>
      </w:pPr>
      <w:r>
        <w:rPr>
          <w:rFonts w:ascii="Cambria" w:hAnsi="Cambria"/>
          <w:sz w:val="22"/>
        </w:rPr>
        <w:t>Immediate financial and infrastructural support mechanisms established.</w:t>
      </w:r>
    </w:p>
    <w:p>
      <w:pPr>
        <w:pStyle w:val="ListBullet"/>
        <w:ind w:left="357"/>
        <w:jc w:val="both"/>
      </w:pPr>
      <w:r>
        <w:rPr>
          <w:rFonts w:ascii="Cambria" w:hAnsi="Cambria"/>
          <w:sz w:val="22"/>
        </w:rPr>
        <w:t>First generation of disadvantaged students gain access to HEIs with targeted aid.</w:t>
      </w:r>
    </w:p>
    <w:p>
      <w:pPr>
        <w:pStyle w:val="ListBullet"/>
        <w:ind w:left="357"/>
        <w:jc w:val="both"/>
      </w:pPr>
      <w:r>
        <w:rPr>
          <w:rFonts w:ascii="Cambria" w:hAnsi="Cambria"/>
          <w:sz w:val="22"/>
        </w:rPr>
        <w:t>Early signs of improved literacy levels in surrounding communities.</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Introduce national inclusivity benchmarks tied to NIRF, NAAC, and NBA evaluation systems.</w:t>
      </w:r>
    </w:p>
    <w:p>
      <w:pPr>
        <w:pStyle w:val="ListBullet"/>
        <w:ind w:left="357"/>
        <w:jc w:val="both"/>
      </w:pPr>
      <w:r>
        <w:rPr>
          <w:rFonts w:ascii="Cambria" w:hAnsi="Cambria"/>
          <w:sz w:val="22"/>
        </w:rPr>
        <w:t>Create funding schemes to support assistive technologies and inclusive campus designs.</w:t>
      </w:r>
    </w:p>
    <w:p>
      <w:pPr>
        <w:pStyle w:val="ListBullet"/>
        <w:ind w:left="357"/>
        <w:jc w:val="both"/>
      </w:pPr>
      <w:r>
        <w:rPr>
          <w:rFonts w:ascii="Cambria" w:hAnsi="Cambria"/>
          <w:sz w:val="22"/>
        </w:rPr>
        <w:t>Partner with state governments and NGOs for large-scale literacy drives.</w:t>
      </w:r>
    </w:p>
    <w:p>
      <w:pPr>
        <w:spacing w:after="120"/>
        <w:jc w:val="both"/>
      </w:pPr>
      <w:r>
        <w:rPr>
          <w:rFonts w:ascii="Cambria" w:hAnsi="Cambria"/>
          <w:b/>
          <w:i w:val="0"/>
          <w:sz w:val="22"/>
        </w:rPr>
        <w:t>Actions:</w:t>
      </w:r>
    </w:p>
    <w:p>
      <w:pPr>
        <w:pStyle w:val="ListBullet"/>
        <w:ind w:left="357"/>
        <w:jc w:val="both"/>
      </w:pPr>
      <w:r>
        <w:rPr>
          <w:rFonts w:ascii="Cambria" w:hAnsi="Cambria"/>
          <w:sz w:val="22"/>
        </w:rPr>
        <w:t>Expand DRCs into full-service inclusion centres with ICT-based learning tools.</w:t>
      </w:r>
    </w:p>
    <w:p>
      <w:pPr>
        <w:pStyle w:val="ListBullet"/>
        <w:ind w:left="357"/>
        <w:jc w:val="both"/>
      </w:pPr>
      <w:r>
        <w:rPr>
          <w:rFonts w:ascii="Cambria" w:hAnsi="Cambria"/>
          <w:sz w:val="22"/>
        </w:rPr>
        <w:t>Implement mentoring and bridge courses for indigenous students and first-generation learners.</w:t>
      </w:r>
    </w:p>
    <w:p>
      <w:pPr>
        <w:pStyle w:val="ListBullet"/>
        <w:ind w:left="357"/>
        <w:jc w:val="both"/>
      </w:pPr>
      <w:r>
        <w:rPr>
          <w:rFonts w:ascii="Cambria" w:hAnsi="Cambria"/>
          <w:sz w:val="22"/>
        </w:rPr>
        <w:t>Scale up literacy/bridging programmes to multiple schools and districts.</w:t>
      </w:r>
    </w:p>
    <w:p>
      <w:pPr>
        <w:pStyle w:val="ListBullet"/>
        <w:ind w:left="357"/>
        <w:jc w:val="both"/>
      </w:pPr>
      <w:r>
        <w:rPr>
          <w:rFonts w:ascii="Cambria" w:hAnsi="Cambria"/>
          <w:sz w:val="22"/>
        </w:rPr>
        <w:t>Establish community outreach units within HEIs to coordinate inclusion projects.</w:t>
      </w:r>
    </w:p>
    <w:p>
      <w:pPr>
        <w:spacing w:after="120"/>
        <w:jc w:val="both"/>
      </w:pPr>
      <w:r>
        <w:rPr>
          <w:rFonts w:ascii="Cambria" w:hAnsi="Cambria"/>
          <w:b/>
          <w:i w:val="0"/>
          <w:sz w:val="22"/>
        </w:rPr>
        <w:t>Outcomes:</w:t>
      </w:r>
    </w:p>
    <w:p>
      <w:pPr>
        <w:pStyle w:val="ListBullet"/>
        <w:ind w:left="357"/>
        <w:jc w:val="both"/>
      </w:pPr>
      <w:r>
        <w:rPr>
          <w:rFonts w:ascii="Cambria" w:hAnsi="Cambria"/>
          <w:sz w:val="22"/>
        </w:rPr>
        <w:t>Significant increase in enrolment and retention of disadvantaged groups.</w:t>
      </w:r>
    </w:p>
    <w:p>
      <w:pPr>
        <w:pStyle w:val="ListBullet"/>
        <w:ind w:left="357"/>
        <w:jc w:val="both"/>
      </w:pPr>
      <w:r>
        <w:rPr>
          <w:rFonts w:ascii="Cambria" w:hAnsi="Cambria"/>
          <w:sz w:val="22"/>
        </w:rPr>
        <w:t>Stronger campus inclusivity culture with accessible infrastructure.</w:t>
      </w:r>
    </w:p>
    <w:p>
      <w:pPr>
        <w:pStyle w:val="ListBullet"/>
        <w:ind w:left="357"/>
        <w:jc w:val="both"/>
      </w:pPr>
      <w:r>
        <w:rPr>
          <w:rFonts w:ascii="Cambria" w:hAnsi="Cambria"/>
          <w:sz w:val="22"/>
        </w:rPr>
        <w:t>Communities benefit from literacy campaigns and school support.</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Enact a National Inclusive Education Act to make inclusivity legally binding for HEIs.</w:t>
      </w:r>
    </w:p>
    <w:p>
      <w:pPr>
        <w:pStyle w:val="ListBullet"/>
        <w:ind w:left="357"/>
        <w:jc w:val="both"/>
      </w:pPr>
      <w:r>
        <w:rPr>
          <w:rFonts w:ascii="Cambria" w:hAnsi="Cambria"/>
          <w:sz w:val="22"/>
        </w:rPr>
        <w:t>Institutionalize national databases tracking participation of disadvantaged groups.</w:t>
      </w:r>
    </w:p>
    <w:p>
      <w:pPr>
        <w:pStyle w:val="ListBullet"/>
        <w:ind w:left="357"/>
        <w:jc w:val="both"/>
      </w:pPr>
      <w:r>
        <w:rPr>
          <w:rFonts w:ascii="Cambria" w:hAnsi="Cambria"/>
          <w:sz w:val="22"/>
        </w:rPr>
        <w:t>Encourage international collaborations (UNESCO, Erasmus+, UNDP) for inclusivity projects.</w:t>
      </w:r>
    </w:p>
    <w:p>
      <w:pPr>
        <w:spacing w:after="120"/>
        <w:jc w:val="both"/>
      </w:pPr>
      <w:r>
        <w:rPr>
          <w:rFonts w:ascii="Cambria" w:hAnsi="Cambria"/>
          <w:b/>
          <w:i w:val="0"/>
          <w:sz w:val="22"/>
        </w:rPr>
        <w:t>Actions:</w:t>
      </w:r>
    </w:p>
    <w:p>
      <w:pPr>
        <w:pStyle w:val="ListBullet"/>
        <w:ind w:left="357"/>
        <w:jc w:val="both"/>
      </w:pPr>
      <w:r>
        <w:rPr>
          <w:rFonts w:ascii="Cambria" w:hAnsi="Cambria"/>
          <w:sz w:val="22"/>
        </w:rPr>
        <w:t>Transform inclusion centres into Centres of Excellence for Equity &amp; Accessibility.</w:t>
      </w:r>
    </w:p>
    <w:p>
      <w:pPr>
        <w:pStyle w:val="ListBullet"/>
        <w:ind w:left="357"/>
        <w:jc w:val="both"/>
      </w:pPr>
      <w:r>
        <w:rPr>
          <w:rFonts w:ascii="Cambria" w:hAnsi="Cambria"/>
          <w:sz w:val="22"/>
        </w:rPr>
        <w:t>HEIs to run long-term literacy/education partnerships with schools and villages.</w:t>
      </w:r>
    </w:p>
    <w:p>
      <w:pPr>
        <w:pStyle w:val="ListBullet"/>
        <w:ind w:left="357"/>
        <w:jc w:val="both"/>
      </w:pPr>
      <w:r>
        <w:rPr>
          <w:rFonts w:ascii="Cambria" w:hAnsi="Cambria"/>
          <w:sz w:val="22"/>
        </w:rPr>
        <w:t>Create a national best practices repository for equity and inclusion in higher education.</w:t>
      </w:r>
    </w:p>
    <w:p>
      <w:pPr>
        <w:pStyle w:val="ListBullet"/>
        <w:ind w:left="357"/>
        <w:jc w:val="both"/>
      </w:pPr>
      <w:r>
        <w:rPr>
          <w:rFonts w:ascii="Cambria" w:hAnsi="Cambria"/>
          <w:sz w:val="22"/>
        </w:rPr>
        <w:t>Involve marginalized student representatives in university governance councils.</w:t>
      </w:r>
    </w:p>
    <w:p>
      <w:pPr>
        <w:spacing w:after="120"/>
        <w:jc w:val="both"/>
      </w:pPr>
      <w:r>
        <w:rPr>
          <w:rFonts w:ascii="Cambria" w:hAnsi="Cambria"/>
          <w:b/>
          <w:i w:val="0"/>
          <w:sz w:val="22"/>
        </w:rPr>
        <w:t>Outcomes:</w:t>
      </w:r>
    </w:p>
    <w:p>
      <w:pPr>
        <w:pStyle w:val="ListBullet"/>
        <w:ind w:left="357"/>
        <w:jc w:val="both"/>
      </w:pPr>
      <w:r>
        <w:rPr>
          <w:rFonts w:ascii="Cambria" w:hAnsi="Cambria"/>
          <w:sz w:val="22"/>
        </w:rPr>
        <w:t>Systemic transformation toward universal access, equity, and accountability in HEIs.</w:t>
      </w:r>
    </w:p>
    <w:p>
      <w:pPr>
        <w:pStyle w:val="ListBullet"/>
        <w:ind w:left="357"/>
        <w:jc w:val="both"/>
      </w:pPr>
      <w:r>
        <w:rPr>
          <w:rFonts w:ascii="Cambria" w:hAnsi="Cambria"/>
          <w:sz w:val="22"/>
        </w:rPr>
        <w:t>Long-term upliftment of communities through sustained literacy and education access.</w:t>
      </w:r>
    </w:p>
    <w:p>
      <w:pPr>
        <w:pStyle w:val="ListBullet"/>
        <w:ind w:left="357"/>
        <w:jc w:val="both"/>
      </w:pPr>
      <w:r>
        <w:rPr>
          <w:rFonts w:ascii="Cambria" w:hAnsi="Cambria"/>
          <w:sz w:val="22"/>
        </w:rPr>
        <w:t>Recognition of India as a global leader in inclusive higher education.</w:t>
      </w:r>
    </w:p>
    <w:p>
      <w:r>
        <w:br w:type="page"/>
      </w:r>
    </w:p>
    <w:p>
      <w:pPr>
        <w:spacing w:before="280" w:after="160"/>
        <w:jc w:val="left"/>
      </w:pPr>
      <w:r>
        <w:rPr>
          <w:rFonts w:ascii="Cambria" w:hAnsi="Cambria"/>
          <w:b/>
          <w:color w:val="1F3A5F"/>
          <w:sz w:val="32"/>
        </w:rPr>
        <w:t>18. HEIs of Eminence as Mentors for Achieving SDG-4</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In India, HEIs of Eminence (IoEs) such as IITs, IIMs, IISc, and other top-tier universities enjoy world-class infrastructure, faculty expertise, and research ecosystems.</w:t>
      </w:r>
    </w:p>
    <w:p>
      <w:pPr>
        <w:pStyle w:val="ListBullet"/>
        <w:ind w:left="357"/>
        <w:jc w:val="both"/>
      </w:pPr>
      <w:r>
        <w:rPr>
          <w:rFonts w:ascii="Cambria" w:hAnsi="Cambria"/>
          <w:sz w:val="22"/>
        </w:rPr>
        <w:t>However, many regional and state-level HEIs face constraints in funding, faculty training, innovation capacity, and accreditation outcomes.</w:t>
      </w:r>
    </w:p>
    <w:p>
      <w:pPr>
        <w:pStyle w:val="ListBullet"/>
        <w:ind w:left="357"/>
        <w:jc w:val="both"/>
      </w:pPr>
      <w:r>
        <w:rPr>
          <w:rFonts w:ascii="Cambria" w:hAnsi="Cambria"/>
          <w:sz w:val="22"/>
        </w:rPr>
        <w:t>By creating structured mentor–mentee partnerships, IoEs can share innovations, technologies, and best practices with other HEIs, accelerating national progress towards SDG-4: Quality Education.</w:t>
      </w:r>
    </w:p>
    <w:p>
      <w:pPr>
        <w:spacing w:before="200" w:after="80"/>
        <w:jc w:val="left"/>
      </w:pPr>
      <w:r>
        <w:rPr>
          <w:rFonts w:ascii="Cambria" w:hAnsi="Cambria"/>
          <w:b/>
          <w:color w:val="1F3A5F"/>
          <w:sz w:val="25"/>
        </w:rPr>
        <w:t>2. Role of HEIs of Eminence</w:t>
      </w:r>
    </w:p>
    <w:p>
      <w:pPr>
        <w:pStyle w:val="ListBullet"/>
        <w:ind w:left="357"/>
        <w:jc w:val="both"/>
      </w:pPr>
      <w:r>
        <w:rPr>
          <w:rFonts w:ascii="Cambria" w:hAnsi="Cambria"/>
          <w:b/>
          <w:sz w:val="22"/>
        </w:rPr>
        <w:t xml:space="preserve">Mentorship &amp; Capacity Building: </w:t>
      </w:r>
      <w:r>
        <w:rPr>
          <w:rFonts w:ascii="Cambria" w:hAnsi="Cambria"/>
          <w:sz w:val="22"/>
        </w:rPr>
        <w:t>Train faculty and administrators of smaller HEIs in outcome-based education, digital pedagogy, and quality assurance processes.</w:t>
      </w:r>
    </w:p>
    <w:p>
      <w:pPr>
        <w:pStyle w:val="ListBullet"/>
        <w:ind w:left="357"/>
        <w:jc w:val="both"/>
      </w:pPr>
      <w:r>
        <w:rPr>
          <w:rFonts w:ascii="Cambria" w:hAnsi="Cambria"/>
          <w:b/>
          <w:sz w:val="22"/>
        </w:rPr>
        <w:t xml:space="preserve">Knowledge Transfer: </w:t>
      </w:r>
      <w:r>
        <w:rPr>
          <w:rFonts w:ascii="Cambria" w:hAnsi="Cambria"/>
          <w:sz w:val="22"/>
        </w:rPr>
        <w:t>Share ICT innovations, curriculum frameworks, accreditation strategies, and community outreach models.</w:t>
      </w:r>
    </w:p>
    <w:p>
      <w:pPr>
        <w:pStyle w:val="ListBullet"/>
        <w:ind w:left="357"/>
        <w:jc w:val="both"/>
      </w:pPr>
      <w:r>
        <w:rPr>
          <w:rFonts w:ascii="Cambria" w:hAnsi="Cambria"/>
          <w:b/>
          <w:sz w:val="22"/>
        </w:rPr>
        <w:t xml:space="preserve">Joint Research &amp; Outreach: </w:t>
      </w:r>
      <w:r>
        <w:rPr>
          <w:rFonts w:ascii="Cambria" w:hAnsi="Cambria"/>
          <w:sz w:val="22"/>
        </w:rPr>
        <w:t>Engage in collaborative SDG-focused projects that link research excellence with local challenges.</w:t>
      </w:r>
    </w:p>
    <w:p>
      <w:pPr>
        <w:pStyle w:val="ListBullet"/>
        <w:ind w:left="357"/>
        <w:jc w:val="both"/>
      </w:pPr>
      <w:r>
        <w:rPr>
          <w:rFonts w:ascii="Cambria" w:hAnsi="Cambria"/>
          <w:b/>
          <w:sz w:val="22"/>
        </w:rPr>
        <w:t xml:space="preserve">Digital Access &amp; MOOCs: </w:t>
      </w:r>
      <w:r>
        <w:rPr>
          <w:rFonts w:ascii="Cambria" w:hAnsi="Cambria"/>
          <w:sz w:val="22"/>
        </w:rPr>
        <w:t>Provide open-access courses, e-learning content, and digital libraries to enhance outreach.</w:t>
      </w:r>
    </w:p>
    <w:p>
      <w:pPr>
        <w:pStyle w:val="ListBullet"/>
        <w:ind w:left="357"/>
        <w:jc w:val="both"/>
      </w:pPr>
      <w:r>
        <w:rPr>
          <w:rFonts w:ascii="Cambria" w:hAnsi="Cambria"/>
          <w:b/>
          <w:sz w:val="22"/>
        </w:rPr>
        <w:t xml:space="preserve">Policy Alignment: </w:t>
      </w:r>
      <w:r>
        <w:rPr>
          <w:rFonts w:ascii="Cambria" w:hAnsi="Cambria"/>
          <w:sz w:val="22"/>
        </w:rPr>
        <w:t>Support mentee HEIs in meeting NAAC, NBA, NIRF, and QS I-GAUGE benchmarks.</w:t>
      </w:r>
    </w:p>
    <w:p>
      <w:pPr>
        <w:spacing w:before="200" w:after="80"/>
        <w:jc w:val="left"/>
      </w:pPr>
      <w:r>
        <w:rPr>
          <w:rFonts w:ascii="Cambria" w:hAnsi="Cambria"/>
          <w:b/>
          <w:color w:val="1F3A5F"/>
          <w:sz w:val="25"/>
        </w:rPr>
        <w:t>3. Global and National Best Practices</w:t>
      </w:r>
    </w:p>
    <w:p>
      <w:pPr>
        <w:pStyle w:val="ListBullet"/>
        <w:ind w:left="357"/>
        <w:jc w:val="both"/>
      </w:pPr>
      <w:r>
        <w:rPr>
          <w:rFonts w:ascii="Cambria" w:hAnsi="Cambria"/>
          <w:b/>
          <w:sz w:val="22"/>
        </w:rPr>
        <w:t xml:space="preserve">Russell Group (UK): </w:t>
      </w:r>
      <w:r>
        <w:rPr>
          <w:rFonts w:ascii="Cambria" w:hAnsi="Cambria"/>
          <w:sz w:val="22"/>
        </w:rPr>
        <w:t>Elite universities collaborating with regional institutions for joint innovation and teaching excellence.</w:t>
      </w:r>
    </w:p>
    <w:p>
      <w:pPr>
        <w:pStyle w:val="ListBullet"/>
        <w:ind w:left="357"/>
        <w:jc w:val="both"/>
      </w:pPr>
      <w:r>
        <w:rPr>
          <w:rFonts w:ascii="Cambria" w:hAnsi="Cambria"/>
          <w:sz w:val="22"/>
        </w:rPr>
        <w:t>Ivy+ Networks (USA): Knowledge-sharing ecosystems supporting innovation across institutions.</w:t>
      </w:r>
    </w:p>
    <w:p>
      <w:pPr>
        <w:pStyle w:val="ListBullet"/>
        <w:ind w:left="357"/>
        <w:jc w:val="both"/>
      </w:pPr>
      <w:r>
        <w:rPr>
          <w:rFonts w:ascii="Cambria" w:hAnsi="Cambria"/>
          <w:b/>
          <w:sz w:val="22"/>
        </w:rPr>
        <w:t xml:space="preserve">UGC Paramarsh Scheme (India): </w:t>
      </w:r>
      <w:r>
        <w:rPr>
          <w:rFonts w:ascii="Cambria" w:hAnsi="Cambria"/>
          <w:sz w:val="22"/>
        </w:rPr>
        <w:t>Mentor–mentee model for NAAC accreditation readiness.</w:t>
      </w:r>
    </w:p>
    <w:p>
      <w:pPr>
        <w:pStyle w:val="ListBullet"/>
        <w:ind w:left="357"/>
        <w:jc w:val="both"/>
      </w:pPr>
      <w:r>
        <w:rPr>
          <w:rFonts w:ascii="Cambria" w:hAnsi="Cambria"/>
          <w:sz w:val="22"/>
        </w:rPr>
        <w:t>Erasmus+ Capacity Building (EU): Universities across Europe mentor developing institutions in Asia and Africa for quality improvements.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Accelerated quality improvements in mentee HEIs through shared expertise.</w:t>
      </w:r>
    </w:p>
    <w:p>
      <w:pPr>
        <w:pStyle w:val="ListBullet"/>
        <w:ind w:left="357"/>
        <w:jc w:val="both"/>
      </w:pPr>
      <w:r>
        <w:rPr>
          <w:rFonts w:ascii="Cambria" w:hAnsi="Cambria"/>
          <w:sz w:val="22"/>
        </w:rPr>
        <w:t>Narrowing the gap between elite and regional institutions.</w:t>
      </w:r>
    </w:p>
    <w:p>
      <w:pPr>
        <w:pStyle w:val="ListBullet"/>
        <w:ind w:left="357"/>
        <w:jc w:val="both"/>
      </w:pPr>
      <w:r>
        <w:rPr>
          <w:rFonts w:ascii="Cambria" w:hAnsi="Cambria"/>
          <w:sz w:val="22"/>
        </w:rPr>
        <w:t>Higher national scores in NIRF, NAAC, and global ranking frameworks.</w:t>
      </w:r>
    </w:p>
    <w:p>
      <w:pPr>
        <w:pStyle w:val="ListBullet"/>
        <w:ind w:left="357"/>
        <w:jc w:val="both"/>
      </w:pPr>
      <w:r>
        <w:rPr>
          <w:rFonts w:ascii="Cambria" w:hAnsi="Cambria"/>
          <w:sz w:val="22"/>
        </w:rPr>
        <w:t>More equitable distribution of knowledge, innovation, and digital resources.</w:t>
      </w:r>
    </w:p>
    <w:p>
      <w:pPr>
        <w:pStyle w:val="ListBullet"/>
        <w:ind w:left="357"/>
        <w:jc w:val="both"/>
      </w:pPr>
      <w:r>
        <w:rPr>
          <w:rFonts w:ascii="Cambria" w:hAnsi="Cambria"/>
          <w:sz w:val="22"/>
        </w:rPr>
        <w:t>Strengthened national progress toward SDG-4 targets of universal access and quality education.</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Number of mentor–mentee partnerships formalized.</w:t>
      </w:r>
    </w:p>
    <w:p>
      <w:pPr>
        <w:pStyle w:val="ListBullet"/>
        <w:ind w:left="357"/>
        <w:jc w:val="both"/>
      </w:pPr>
      <w:r>
        <w:rPr>
          <w:rFonts w:ascii="Cambria" w:hAnsi="Cambria"/>
          <w:sz w:val="22"/>
        </w:rPr>
        <w:t>Number of FDPs and training workshops conducted annually.</w:t>
      </w:r>
    </w:p>
    <w:p>
      <w:pPr>
        <w:pStyle w:val="ListBullet"/>
        <w:ind w:left="357"/>
        <w:jc w:val="both"/>
      </w:pPr>
      <w:r>
        <w:rPr>
          <w:rFonts w:ascii="Cambria" w:hAnsi="Cambria"/>
          <w:sz w:val="22"/>
        </w:rPr>
        <w:t>Accreditation and ranking improvements of mentee HEIs.</w:t>
      </w:r>
    </w:p>
    <w:p>
      <w:pPr>
        <w:pStyle w:val="ListBullet"/>
        <w:ind w:left="357"/>
        <w:jc w:val="both"/>
      </w:pPr>
      <w:r>
        <w:rPr>
          <w:rFonts w:ascii="Cambria" w:hAnsi="Cambria"/>
          <w:sz w:val="22"/>
        </w:rPr>
        <w:t>Volume of joint projects, research publications, and community outreach initiatives.</w:t>
      </w:r>
    </w:p>
    <w:p>
      <w:pPr>
        <w:pStyle w:val="ListBullet"/>
        <w:ind w:left="357"/>
        <w:jc w:val="both"/>
      </w:pPr>
      <w:r>
        <w:rPr>
          <w:rFonts w:ascii="Cambria" w:hAnsi="Cambria"/>
          <w:sz w:val="22"/>
        </w:rPr>
        <w:t>Student participation in collaborative projects and MOOCs.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from smaller HEIs gain exposure to cutting-edge pedagogy, digital resources, and global practices.</w:t>
      </w:r>
    </w:p>
    <w:p>
      <w:pPr>
        <w:pStyle w:val="ListBullet"/>
        <w:ind w:left="357"/>
        <w:jc w:val="both"/>
      </w:pPr>
      <w:r>
        <w:rPr>
          <w:rFonts w:ascii="Cambria" w:hAnsi="Cambria"/>
          <w:sz w:val="22"/>
        </w:rPr>
        <w:t>Enhanced learning outcomes lead to higher employability and confidence.</w:t>
      </w:r>
    </w:p>
    <w:p>
      <w:pPr>
        <w:pStyle w:val="ListBullet"/>
        <w:ind w:left="357"/>
        <w:jc w:val="both"/>
      </w:pPr>
      <w:r>
        <w:rPr>
          <w:rFonts w:ascii="Cambria" w:hAnsi="Cambria"/>
          <w:sz w:val="22"/>
        </w:rPr>
        <w:t>Opportunities for student exchange, internships, and collaborative research with IoEs.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Bridging the quality divide between elite and regional HEIs promotes educational equity.</w:t>
      </w:r>
    </w:p>
    <w:p>
      <w:pPr>
        <w:pStyle w:val="ListBullet"/>
        <w:ind w:left="357"/>
        <w:jc w:val="both"/>
      </w:pPr>
      <w:r>
        <w:rPr>
          <w:rFonts w:ascii="Cambria" w:hAnsi="Cambria"/>
          <w:sz w:val="22"/>
        </w:rPr>
        <w:t>Communities benefit from IoE-driven outreach models replicated across mentee institutions.</w:t>
      </w:r>
    </w:p>
    <w:p>
      <w:pPr>
        <w:pStyle w:val="ListBullet"/>
        <w:ind w:left="357"/>
        <w:jc w:val="both"/>
      </w:pPr>
      <w:r>
        <w:rPr>
          <w:rFonts w:ascii="Cambria" w:hAnsi="Cambria"/>
          <w:sz w:val="22"/>
        </w:rPr>
        <w:t>Builds a culture of collaboration over competition, fostering a more resilient higher education ecosystem.</w:t>
      </w:r>
    </w:p>
    <w:p>
      <w:pPr>
        <w:pStyle w:val="ListBullet"/>
        <w:ind w:left="357"/>
        <w:jc w:val="both"/>
      </w:pPr>
      <w:r>
        <w:rPr>
          <w:rFonts w:ascii="Cambria" w:hAnsi="Cambria"/>
          <w:sz w:val="22"/>
        </w:rPr>
        <w:t>Contributes directly to national capacity building and social transformation through knowledge dissemination.</w:t>
      </w:r>
    </w:p>
    <w:p>
      <w:pPr>
        <w:spacing w:before="200" w:after="80"/>
        <w:jc w:val="left"/>
      </w:pPr>
      <w:r>
        <w:rPr>
          <w:rFonts w:ascii="Cambria" w:hAnsi="Cambria"/>
          <w:b/>
          <w:color w:val="1F3A5F"/>
          <w:sz w:val="25"/>
        </w:rPr>
        <w:t>Institutional Leadership – HEIs of Eminence as SDG-4 Mentors</w:t>
      </w:r>
    </w:p>
    <w:p>
      <w:pPr>
        <w:spacing w:before="160" w:after="80"/>
      </w:pPr>
      <w:r>
        <w:rPr>
          <w:rFonts w:ascii="Cambria" w:hAnsi="Cambria"/>
          <w:b/>
          <w:color w:val="1F3A5F"/>
          <w:sz w:val="23"/>
        </w:rPr>
        <w:t>Institutional Leadership – HEIs of Eminence Mentoring Others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of Eminence)</w:t>
            </w:r>
          </w:p>
        </w:tc>
        <w:tc>
          <w:tcPr>
            <w:tcW w:type="dxa" w:w="6860"/>
            <w:tcW w:w="6860" w:type="dxa"/>
          </w:tcPr>
          <w:p>
            <w:pPr>
              <w:jc w:val="left"/>
            </w:pPr>
            <w:r/>
            <w:r>
              <w:rPr>
                <w:rFonts w:ascii="Cambria" w:hAnsi="Cambria"/>
                <w:b w:val="0"/>
                <w:i w:val="0"/>
                <w:sz w:val="22"/>
              </w:rPr>
              <w:t>HEIs of Eminence (IoEs) to act as mentor institutions for regional/state universities; Share innovation in pedagogy, ICT tools, research methods, and community outreach; Create knowledge-sharing hubs and joint SDG-4 projects; Offer faculty development programmes (FDPs) and training workshops; Provide open-access digital content and MOOCs for smaller HEIs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UK's Russell Group Universities: Collaborative mentorship for smaller institutions; Ivy+ networks (USA): Resource sharing for innovation; UGC's Paramarsh Scheme (India): Mentor–mentee model for NAAC accreditation; Erasmus+ Capacity Building: Strong international mentorship models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Dissemination of innovative teaching and research practices across HEIs; Faster improvement in quality and accreditation scores of mentee institutions; Capacity building of faculty and administrators in SDG-4 aligned practices; National progress toward SDG-4 targets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mentor–mentee partnerships established; Number of FDPs/workshops conducted annually; Number of innovations (pedagogy, ICT, curriculum) transferred; Accreditation grade improvements of mentee HEIs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of Eminence: Provide mentorship, content, and expertise; Other HEIs: Adopt and implement best practices; Policymakers (UGC/AICTE): Facilitate mentor–mentee frameworks and funding; Accreditation Agencies: Track evidence of mentorship impact</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 (Governance, Leadership, Management) and Criterion VII (Best Practices); NBA: Recognizes continuous improvement through innovation adoption; NIRF: Enhances teaching–learning and outreach scores nationally; QS/THE: Strengthens reputation and global engagement</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in smaller HEIs gain access to cutting-edge content, methods, and digital resources; Enhanced learning outcomes, employability skills, and global exposure; Increased student participation in collaborative projects with IoEs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Reduces inequality between elite and regional HEIs; Spreads innovations nationally for broad-based quality improvement; Creates a culture of collaboration instead of competition; Contributes to faster achievement of SDG-4 universal quality education targets</w:t>
            </w:r>
          </w:p>
        </w:tc>
      </w:tr>
    </w:tbl>
    <w:p>
      <w:pPr>
        <w:spacing w:before="240" w:after="120"/>
        <w:jc w:val="left"/>
      </w:pPr>
      <w:r>
        <w:rPr>
          <w:rFonts w:ascii="Cambria" w:hAnsi="Cambria"/>
          <w:b/>
          <w:color w:val="1F3A5F"/>
          <w:sz w:val="28"/>
        </w:rPr>
        <w:t>Policy–Action–Outcome Roadmap: IoEs Mentoring Other HEIs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Ministry of Education/UGC launches a formal mentor–mentee scheme under SDG-4.</w:t>
      </w:r>
    </w:p>
    <w:p>
      <w:pPr>
        <w:pStyle w:val="ListBullet"/>
        <w:ind w:left="357"/>
        <w:jc w:val="both"/>
      </w:pPr>
      <w:r>
        <w:rPr>
          <w:rFonts w:ascii="Cambria" w:hAnsi="Cambria"/>
          <w:sz w:val="22"/>
        </w:rPr>
        <w:t>IoEs mandated to partner with 3–5 regional/state HEIs each.</w:t>
      </w:r>
    </w:p>
    <w:p>
      <w:pPr>
        <w:pStyle w:val="ListBullet"/>
        <w:ind w:left="357"/>
        <w:jc w:val="both"/>
      </w:pPr>
      <w:r>
        <w:rPr>
          <w:rFonts w:ascii="Cambria" w:hAnsi="Cambria"/>
          <w:sz w:val="22"/>
        </w:rPr>
        <w:t>Funding support allocated for capacity building and digital sharing platforms.</w:t>
      </w:r>
    </w:p>
    <w:p>
      <w:pPr>
        <w:spacing w:after="120"/>
        <w:jc w:val="both"/>
      </w:pPr>
      <w:r>
        <w:rPr>
          <w:rFonts w:ascii="Cambria" w:hAnsi="Cambria"/>
          <w:b/>
          <w:i w:val="0"/>
          <w:sz w:val="22"/>
        </w:rPr>
        <w:t>Actions:</w:t>
      </w:r>
    </w:p>
    <w:p>
      <w:pPr>
        <w:pStyle w:val="ListBullet"/>
        <w:ind w:left="357"/>
        <w:jc w:val="both"/>
      </w:pPr>
      <w:r>
        <w:rPr>
          <w:rFonts w:ascii="Cambria" w:hAnsi="Cambria"/>
          <w:sz w:val="22"/>
        </w:rPr>
        <w:t>Establish MoUs between IoEs and mentee HEIs for structured mentorship.</w:t>
      </w:r>
    </w:p>
    <w:p>
      <w:pPr>
        <w:pStyle w:val="ListBullet"/>
        <w:ind w:left="357"/>
        <w:jc w:val="both"/>
      </w:pPr>
      <w:r>
        <w:rPr>
          <w:rFonts w:ascii="Cambria" w:hAnsi="Cambria"/>
          <w:sz w:val="22"/>
        </w:rPr>
        <w:t>Conduct faculty development programmes (FDPs) on pedagogy, accreditation, and digital learning.</w:t>
      </w:r>
    </w:p>
    <w:p>
      <w:pPr>
        <w:pStyle w:val="ListBullet"/>
        <w:ind w:left="357"/>
        <w:jc w:val="both"/>
      </w:pPr>
      <w:r>
        <w:rPr>
          <w:rFonts w:ascii="Cambria" w:hAnsi="Cambria"/>
          <w:sz w:val="22"/>
        </w:rPr>
        <w:t>Share MOOCs, e-content, and digital libraries with mentee institutions.</w:t>
      </w:r>
    </w:p>
    <w:p>
      <w:pPr>
        <w:pStyle w:val="ListBullet"/>
        <w:ind w:left="357"/>
        <w:jc w:val="both"/>
      </w:pPr>
      <w:r>
        <w:rPr>
          <w:rFonts w:ascii="Cambria" w:hAnsi="Cambria"/>
          <w:sz w:val="22"/>
        </w:rPr>
        <w:t>Initiate pilot joint research and community projects.</w:t>
      </w:r>
    </w:p>
    <w:p>
      <w:pPr>
        <w:spacing w:after="120"/>
        <w:jc w:val="both"/>
      </w:pPr>
      <w:r>
        <w:rPr>
          <w:rFonts w:ascii="Cambria" w:hAnsi="Cambria"/>
          <w:b/>
          <w:i w:val="0"/>
          <w:sz w:val="22"/>
        </w:rPr>
        <w:t>Outcomes:</w:t>
      </w:r>
    </w:p>
    <w:p>
      <w:pPr>
        <w:pStyle w:val="ListBullet"/>
        <w:ind w:left="357"/>
        <w:jc w:val="both"/>
      </w:pPr>
      <w:r>
        <w:rPr>
          <w:rFonts w:ascii="Cambria" w:hAnsi="Cambria"/>
          <w:sz w:val="22"/>
        </w:rPr>
        <w:t>Early adoption of IoE innovations by mentee HEIs.</w:t>
      </w:r>
    </w:p>
    <w:p>
      <w:pPr>
        <w:pStyle w:val="ListBullet"/>
        <w:ind w:left="357"/>
        <w:jc w:val="both"/>
      </w:pPr>
      <w:r>
        <w:rPr>
          <w:rFonts w:ascii="Cambria" w:hAnsi="Cambria"/>
          <w:sz w:val="22"/>
        </w:rPr>
        <w:t>Faculty and student capacity building begins at scale.</w:t>
      </w:r>
    </w:p>
    <w:p>
      <w:pPr>
        <w:pStyle w:val="ListBullet"/>
        <w:ind w:left="357"/>
        <w:jc w:val="both"/>
      </w:pPr>
      <w:r>
        <w:rPr>
          <w:rFonts w:ascii="Cambria" w:hAnsi="Cambria"/>
          <w:sz w:val="22"/>
        </w:rPr>
        <w:t>First improvements in accreditation preparedness for smaller HEIs.</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Expand the mentor–mentee scheme nationwide; each IoE partners with 10–15 HEIs.</w:t>
      </w:r>
    </w:p>
    <w:p>
      <w:pPr>
        <w:pStyle w:val="ListBullet"/>
        <w:ind w:left="357"/>
        <w:jc w:val="both"/>
      </w:pPr>
      <w:r>
        <w:rPr>
          <w:rFonts w:ascii="Cambria" w:hAnsi="Cambria"/>
          <w:sz w:val="22"/>
        </w:rPr>
        <w:t>Incentives for IoEs and mentee HEIs tied to NAAC/NBA/NIRF performance improvements.</w:t>
      </w:r>
    </w:p>
    <w:p>
      <w:pPr>
        <w:pStyle w:val="ListBullet"/>
        <w:ind w:left="357"/>
        <w:jc w:val="both"/>
      </w:pPr>
      <w:r>
        <w:rPr>
          <w:rFonts w:ascii="Cambria" w:hAnsi="Cambria"/>
          <w:sz w:val="22"/>
        </w:rPr>
        <w:t>Create a National Digital Repository of best practices led by IoEs.</w:t>
      </w:r>
    </w:p>
    <w:p>
      <w:pPr>
        <w:spacing w:after="120"/>
        <w:jc w:val="both"/>
      </w:pPr>
      <w:r>
        <w:rPr>
          <w:rFonts w:ascii="Cambria" w:hAnsi="Cambria"/>
          <w:b/>
          <w:i w:val="0"/>
          <w:sz w:val="22"/>
        </w:rPr>
        <w:t>Actions:</w:t>
      </w:r>
    </w:p>
    <w:p>
      <w:pPr>
        <w:pStyle w:val="ListBullet"/>
        <w:ind w:left="357"/>
        <w:jc w:val="both"/>
      </w:pPr>
      <w:r>
        <w:rPr>
          <w:rFonts w:ascii="Cambria" w:hAnsi="Cambria"/>
          <w:sz w:val="22"/>
        </w:rPr>
        <w:t>Run annual state/regional SDG innovation summits hosted by IoEs.</w:t>
      </w:r>
    </w:p>
    <w:p>
      <w:pPr>
        <w:pStyle w:val="ListBullet"/>
        <w:ind w:left="357"/>
        <w:jc w:val="both"/>
      </w:pPr>
      <w:r>
        <w:rPr>
          <w:rFonts w:ascii="Cambria" w:hAnsi="Cambria"/>
          <w:sz w:val="22"/>
        </w:rPr>
        <w:t>Launch inter-university PhD and research collaborations.</w:t>
      </w:r>
    </w:p>
    <w:p>
      <w:pPr>
        <w:pStyle w:val="ListBullet"/>
        <w:ind w:left="357"/>
        <w:jc w:val="both"/>
      </w:pPr>
      <w:r>
        <w:rPr>
          <w:rFonts w:ascii="Cambria" w:hAnsi="Cambria"/>
          <w:sz w:val="22"/>
        </w:rPr>
        <w:t>Implement student and faculty exchange programmes between IoEs and mentees.</w:t>
      </w:r>
    </w:p>
    <w:p>
      <w:pPr>
        <w:pStyle w:val="ListBullet"/>
        <w:ind w:left="357"/>
        <w:jc w:val="both"/>
      </w:pPr>
      <w:r>
        <w:rPr>
          <w:rFonts w:ascii="Cambria" w:hAnsi="Cambria"/>
          <w:sz w:val="22"/>
        </w:rPr>
        <w:t>Set up shared virtual labs and innovation hubs for SDG research.</w:t>
      </w:r>
    </w:p>
    <w:p>
      <w:pPr>
        <w:spacing w:after="120"/>
        <w:jc w:val="both"/>
      </w:pPr>
      <w:r>
        <w:rPr>
          <w:rFonts w:ascii="Cambria" w:hAnsi="Cambria"/>
          <w:b/>
          <w:i w:val="0"/>
          <w:sz w:val="22"/>
        </w:rPr>
        <w:t>Outcomes:</w:t>
      </w:r>
    </w:p>
    <w:p>
      <w:pPr>
        <w:pStyle w:val="ListBullet"/>
        <w:ind w:left="357"/>
        <w:jc w:val="both"/>
      </w:pPr>
      <w:r>
        <w:rPr>
          <w:rFonts w:ascii="Cambria" w:hAnsi="Cambria"/>
          <w:sz w:val="22"/>
        </w:rPr>
        <w:t>Significant improvement in accreditation scores of mentee HEIs.</w:t>
      </w:r>
    </w:p>
    <w:p>
      <w:pPr>
        <w:pStyle w:val="ListBullet"/>
        <w:ind w:left="357"/>
        <w:jc w:val="both"/>
      </w:pPr>
      <w:r>
        <w:rPr>
          <w:rFonts w:ascii="Cambria" w:hAnsi="Cambria"/>
          <w:sz w:val="22"/>
        </w:rPr>
        <w:t>Joint projects and publications across IoEs and mentee institutions.</w:t>
      </w:r>
    </w:p>
    <w:p>
      <w:pPr>
        <w:pStyle w:val="ListBullet"/>
        <w:ind w:left="357"/>
        <w:jc w:val="both"/>
      </w:pPr>
      <w:r>
        <w:rPr>
          <w:rFonts w:ascii="Cambria" w:hAnsi="Cambria"/>
          <w:sz w:val="22"/>
        </w:rPr>
        <w:t>Enhanced student mobility and employability through exposure to IoE standards.</w:t>
      </w:r>
    </w:p>
    <w:p>
      <w:pPr>
        <w:pStyle w:val="ListBullet"/>
        <w:ind w:left="357"/>
        <w:jc w:val="both"/>
      </w:pPr>
      <w:r>
        <w:rPr>
          <w:rFonts w:ascii="Cambria" w:hAnsi="Cambria"/>
          <w:sz w:val="22"/>
        </w:rPr>
        <w:t>Regional ecosystems of collaborative innovation emerge.</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Institutionalize the mentorship framework as part of a National Higher Education Collaboration Act.</w:t>
      </w:r>
    </w:p>
    <w:p>
      <w:pPr>
        <w:pStyle w:val="ListBullet"/>
        <w:ind w:left="357"/>
        <w:jc w:val="both"/>
      </w:pPr>
      <w:r>
        <w:rPr>
          <w:rFonts w:ascii="Cambria" w:hAnsi="Cambria"/>
          <w:sz w:val="22"/>
        </w:rPr>
        <w:t>Recognize IoEs as "National SDG-4 Anchor Institutions."</w:t>
      </w:r>
    </w:p>
    <w:p>
      <w:pPr>
        <w:pStyle w:val="ListBullet"/>
        <w:ind w:left="357"/>
        <w:jc w:val="both"/>
      </w:pPr>
      <w:r>
        <w:rPr>
          <w:rFonts w:ascii="Cambria" w:hAnsi="Cambria"/>
          <w:sz w:val="22"/>
        </w:rPr>
        <w:t>Build international partnerships to extend the mentorship model globally.</w:t>
      </w:r>
    </w:p>
    <w:p>
      <w:pPr>
        <w:spacing w:after="120"/>
        <w:jc w:val="both"/>
      </w:pPr>
      <w:r>
        <w:rPr>
          <w:rFonts w:ascii="Cambria" w:hAnsi="Cambria"/>
          <w:b/>
          <w:i w:val="0"/>
          <w:sz w:val="22"/>
        </w:rPr>
        <w:t>Actions:</w:t>
      </w:r>
    </w:p>
    <w:p>
      <w:pPr>
        <w:pStyle w:val="ListBullet"/>
        <w:ind w:left="357"/>
        <w:jc w:val="both"/>
      </w:pPr>
      <w:r>
        <w:rPr>
          <w:rFonts w:ascii="Cambria" w:hAnsi="Cambria"/>
          <w:sz w:val="22"/>
        </w:rPr>
        <w:t>Scale IoE mentorship to all HEIs, ensuring nationwide coverage.</w:t>
      </w:r>
    </w:p>
    <w:p>
      <w:pPr>
        <w:pStyle w:val="ListBullet"/>
        <w:ind w:left="357"/>
        <w:jc w:val="both"/>
      </w:pPr>
      <w:r>
        <w:rPr>
          <w:rFonts w:ascii="Cambria" w:hAnsi="Cambria"/>
          <w:sz w:val="22"/>
        </w:rPr>
        <w:t>Establish permanent Centres for Teaching &amp; Learning Excellence in mentee HEIs with IoE support.</w:t>
      </w:r>
    </w:p>
    <w:p>
      <w:pPr>
        <w:pStyle w:val="ListBullet"/>
        <w:ind w:left="357"/>
        <w:jc w:val="both"/>
      </w:pPr>
      <w:r>
        <w:rPr>
          <w:rFonts w:ascii="Cambria" w:hAnsi="Cambria"/>
          <w:sz w:val="22"/>
        </w:rPr>
        <w:t>Expand joint programmes to include global universities and UN agencies.</w:t>
      </w:r>
    </w:p>
    <w:p>
      <w:pPr>
        <w:pStyle w:val="ListBullet"/>
        <w:ind w:left="357"/>
        <w:jc w:val="both"/>
      </w:pPr>
      <w:r>
        <w:rPr>
          <w:rFonts w:ascii="Cambria" w:hAnsi="Cambria"/>
          <w:sz w:val="22"/>
        </w:rPr>
        <w:t>Mentor HEIs to run community impact projects modeled on IoE outreach.</w:t>
      </w:r>
    </w:p>
    <w:p>
      <w:pPr>
        <w:spacing w:after="120"/>
        <w:jc w:val="both"/>
      </w:pPr>
      <w:r>
        <w:rPr>
          <w:rFonts w:ascii="Cambria" w:hAnsi="Cambria"/>
          <w:b/>
          <w:i w:val="0"/>
          <w:sz w:val="22"/>
        </w:rPr>
        <w:t>Outcomes:</w:t>
      </w:r>
    </w:p>
    <w:p>
      <w:pPr>
        <w:pStyle w:val="ListBullet"/>
        <w:ind w:left="357"/>
        <w:jc w:val="both"/>
      </w:pPr>
      <w:r>
        <w:rPr>
          <w:rFonts w:ascii="Cambria" w:hAnsi="Cambria"/>
          <w:sz w:val="22"/>
        </w:rPr>
        <w:t>A systemic reduction in quality gaps between elite and regional HEIs.</w:t>
      </w:r>
    </w:p>
    <w:p>
      <w:pPr>
        <w:pStyle w:val="ListBullet"/>
        <w:ind w:left="357"/>
        <w:jc w:val="both"/>
      </w:pPr>
      <w:r>
        <w:rPr>
          <w:rFonts w:ascii="Cambria" w:hAnsi="Cambria"/>
          <w:sz w:val="22"/>
        </w:rPr>
        <w:t>Indian higher education positioned as a global leader in SDG-4 implementation.</w:t>
      </w:r>
    </w:p>
    <w:p>
      <w:pPr>
        <w:pStyle w:val="ListBullet"/>
        <w:ind w:left="357"/>
        <w:jc w:val="both"/>
      </w:pPr>
      <w:r>
        <w:rPr>
          <w:rFonts w:ascii="Cambria" w:hAnsi="Cambria"/>
          <w:sz w:val="22"/>
        </w:rPr>
        <w:t>Stronger knowledge economy and inclusive national development.</w:t>
      </w:r>
    </w:p>
    <w:p>
      <w:pPr>
        <w:pStyle w:val="ListBullet"/>
        <w:ind w:left="357"/>
        <w:jc w:val="both"/>
      </w:pPr>
      <w:r>
        <w:rPr>
          <w:rFonts w:ascii="Cambria" w:hAnsi="Cambria"/>
          <w:sz w:val="22"/>
        </w:rPr>
        <w:t>Long-term societal transformation through education equity, innovation, and community empowerment.</w:t>
      </w:r>
    </w:p>
    <w:p>
      <w:r>
        <w:br w:type="page"/>
      </w:r>
    </w:p>
    <w:p>
      <w:pPr>
        <w:spacing w:before="280" w:after="160"/>
        <w:jc w:val="left"/>
      </w:pPr>
      <w:r>
        <w:rPr>
          <w:rFonts w:ascii="Cambria" w:hAnsi="Cambria"/>
          <w:b/>
          <w:color w:val="1F3A5F"/>
          <w:sz w:val="32"/>
        </w:rPr>
        <w:t>19. Regulatory &amp; Accreditation Role in Ensuring Green &amp; Sustainable Campuses under SDG-4</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Quality education is not limited to teaching and research; it also involves learning environments that are safe, healthy, and sustainable.</w:t>
      </w:r>
    </w:p>
    <w:p>
      <w:pPr>
        <w:pStyle w:val="ListBullet"/>
        <w:ind w:left="357"/>
        <w:jc w:val="both"/>
      </w:pPr>
      <w:r>
        <w:rPr>
          <w:rFonts w:ascii="Cambria" w:hAnsi="Cambria"/>
          <w:sz w:val="22"/>
        </w:rPr>
        <w:t>As HEIs are large consumers of water, electricity, and resources, they must take direct responsibility for environmental management.</w:t>
      </w:r>
    </w:p>
    <w:p>
      <w:pPr>
        <w:pStyle w:val="ListBullet"/>
        <w:ind w:left="357"/>
        <w:jc w:val="both"/>
      </w:pPr>
      <w:r>
        <w:rPr>
          <w:rFonts w:ascii="Cambria" w:hAnsi="Cambria"/>
          <w:sz w:val="22"/>
        </w:rPr>
        <w:t>By embedding sustainability into accreditation, regulators ensure that all institutions contribute to climate action, resource efficiency, and student awareness, thereby linking SDG-4 (Quality Education) with SDG-6 (Clean Water), SDG-7 (Clean Energy), and SDG-13 (Climate Action).</w:t>
      </w:r>
    </w:p>
    <w:p>
      <w:pPr>
        <w:spacing w:before="200" w:after="80"/>
        <w:jc w:val="left"/>
      </w:pPr>
      <w:r>
        <w:rPr>
          <w:rFonts w:ascii="Cambria" w:hAnsi="Cambria"/>
          <w:b/>
          <w:color w:val="1F3A5F"/>
          <w:sz w:val="25"/>
        </w:rPr>
        <w:t>2. Key Areas of Action</w:t>
      </w:r>
    </w:p>
    <w:p>
      <w:pPr>
        <w:pStyle w:val="ListBullet"/>
        <w:ind w:left="357"/>
        <w:jc w:val="both"/>
      </w:pPr>
      <w:r>
        <w:rPr>
          <w:rFonts w:ascii="Cambria" w:hAnsi="Cambria"/>
          <w:b/>
          <w:sz w:val="22"/>
        </w:rPr>
        <w:t xml:space="preserve">Green Campus Initiatives: </w:t>
      </w:r>
      <w:r>
        <w:rPr>
          <w:rFonts w:ascii="Cambria" w:hAnsi="Cambria"/>
          <w:sz w:val="22"/>
        </w:rPr>
        <w:t>Adoption of renewable energy (solar panels, biogas), energy-efficient buildings, tree plantation, and biodiversity conservation.</w:t>
      </w:r>
    </w:p>
    <w:p>
      <w:pPr>
        <w:pStyle w:val="ListBullet"/>
        <w:ind w:left="357"/>
        <w:jc w:val="both"/>
      </w:pPr>
      <w:r>
        <w:rPr>
          <w:rFonts w:ascii="Cambria" w:hAnsi="Cambria"/>
          <w:b/>
          <w:sz w:val="22"/>
        </w:rPr>
        <w:t xml:space="preserve">Waste Management: </w:t>
      </w:r>
      <w:r>
        <w:rPr>
          <w:rFonts w:ascii="Cambria" w:hAnsi="Cambria"/>
          <w:sz w:val="22"/>
        </w:rPr>
        <w:t>Systems for waste segregation, recycling, composting, and waste-to-energy solutions.</w:t>
      </w:r>
    </w:p>
    <w:p>
      <w:pPr>
        <w:pStyle w:val="ListBullet"/>
        <w:ind w:left="357"/>
        <w:jc w:val="both"/>
      </w:pPr>
      <w:r>
        <w:rPr>
          <w:rFonts w:ascii="Cambria" w:hAnsi="Cambria"/>
          <w:b/>
          <w:sz w:val="22"/>
        </w:rPr>
        <w:t xml:space="preserve">Water Conservation: </w:t>
      </w:r>
      <w:r>
        <w:rPr>
          <w:rFonts w:ascii="Cambria" w:hAnsi="Cambria"/>
          <w:sz w:val="22"/>
        </w:rPr>
        <w:t>Rainwater harvesting, grey-water recycling, and efficient irrigation systems.</w:t>
      </w:r>
    </w:p>
    <w:p>
      <w:pPr>
        <w:pStyle w:val="ListBullet"/>
        <w:ind w:left="357"/>
        <w:jc w:val="both"/>
      </w:pPr>
      <w:r>
        <w:rPr>
          <w:rFonts w:ascii="Cambria" w:hAnsi="Cambria"/>
          <w:b/>
          <w:sz w:val="22"/>
        </w:rPr>
        <w:t xml:space="preserve">Sewage &amp; Sanitation: </w:t>
      </w:r>
      <w:r>
        <w:rPr>
          <w:rFonts w:ascii="Cambria" w:hAnsi="Cambria"/>
          <w:sz w:val="22"/>
        </w:rPr>
        <w:t>Installation of Sewage Treatment Plants (STPs), proper disposal systems, and wastewater reuse.</w:t>
      </w:r>
    </w:p>
    <w:p>
      <w:pPr>
        <w:pStyle w:val="ListBullet"/>
        <w:ind w:left="357"/>
        <w:jc w:val="both"/>
      </w:pPr>
      <w:r>
        <w:rPr>
          <w:rFonts w:ascii="Cambria" w:hAnsi="Cambria"/>
          <w:b/>
          <w:sz w:val="22"/>
        </w:rPr>
        <w:t xml:space="preserve">Sustainability Audits: </w:t>
      </w:r>
      <w:r>
        <w:rPr>
          <w:rFonts w:ascii="Cambria" w:hAnsi="Cambria"/>
          <w:sz w:val="22"/>
        </w:rPr>
        <w:t>Annual third-party audits to measure carbon footprint, water use, and waste management.</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UGC Green Campus Guidelines (India): </w:t>
      </w:r>
      <w:r>
        <w:rPr>
          <w:rFonts w:ascii="Cambria" w:hAnsi="Cambria"/>
          <w:sz w:val="22"/>
        </w:rPr>
        <w:t>Encourage renewable energy adoption, plantation drives, and waste management.</w:t>
      </w:r>
    </w:p>
    <w:p>
      <w:pPr>
        <w:pStyle w:val="ListBullet"/>
        <w:ind w:left="357"/>
        <w:jc w:val="both"/>
      </w:pPr>
      <w:r>
        <w:rPr>
          <w:rFonts w:ascii="Cambria" w:hAnsi="Cambria"/>
          <w:b/>
          <w:sz w:val="22"/>
        </w:rPr>
        <w:t xml:space="preserve">AICTE Audit Mandates: </w:t>
      </w:r>
      <w:r>
        <w:rPr>
          <w:rFonts w:ascii="Cambria" w:hAnsi="Cambria"/>
          <w:sz w:val="22"/>
        </w:rPr>
        <w:t>Require institutions to demonstrate eco-conscious practices.</w:t>
      </w:r>
    </w:p>
    <w:p>
      <w:pPr>
        <w:pStyle w:val="ListBullet"/>
        <w:ind w:left="357"/>
        <w:jc w:val="both"/>
      </w:pPr>
      <w:r>
        <w:rPr>
          <w:rFonts w:ascii="Cambria" w:hAnsi="Cambria"/>
          <w:b/>
          <w:sz w:val="22"/>
        </w:rPr>
        <w:t xml:space="preserve">Arizona State University (USA): </w:t>
      </w:r>
      <w:r>
        <w:rPr>
          <w:rFonts w:ascii="Cambria" w:hAnsi="Cambria"/>
          <w:sz w:val="22"/>
        </w:rPr>
        <w:t>A benchmark in integrating sustainability into operations and curriculum.</w:t>
      </w:r>
    </w:p>
    <w:p>
      <w:pPr>
        <w:pStyle w:val="ListBullet"/>
        <w:ind w:left="357"/>
        <w:jc w:val="both"/>
      </w:pPr>
      <w:r>
        <w:rPr>
          <w:rFonts w:ascii="Cambria" w:hAnsi="Cambria"/>
          <w:b/>
          <w:sz w:val="22"/>
        </w:rPr>
        <w:t xml:space="preserve">THE Impact Rankings: </w:t>
      </w:r>
      <w:r>
        <w:rPr>
          <w:rFonts w:ascii="Cambria" w:hAnsi="Cambria"/>
          <w:sz w:val="22"/>
        </w:rPr>
        <w:t>Recognize universities for measurable contributions to environmental SDGs.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Improved campus sustainability and reduced ecological footprint of HEIs.</w:t>
      </w:r>
    </w:p>
    <w:p>
      <w:pPr>
        <w:pStyle w:val="ListBullet"/>
        <w:ind w:left="357"/>
        <w:jc w:val="both"/>
      </w:pPr>
      <w:r>
        <w:rPr>
          <w:rFonts w:ascii="Cambria" w:hAnsi="Cambria"/>
          <w:sz w:val="22"/>
        </w:rPr>
        <w:t>Enhanced student awareness and engagement in green practices.</w:t>
      </w:r>
    </w:p>
    <w:p>
      <w:pPr>
        <w:pStyle w:val="ListBullet"/>
        <w:ind w:left="357"/>
        <w:jc w:val="both"/>
      </w:pPr>
      <w:r>
        <w:rPr>
          <w:rFonts w:ascii="Cambria" w:hAnsi="Cambria"/>
          <w:sz w:val="22"/>
        </w:rPr>
        <w:t>Integration of environmental consciousness into teaching, research, and community outreach.</w:t>
      </w:r>
    </w:p>
    <w:p>
      <w:pPr>
        <w:pStyle w:val="ListBullet"/>
        <w:ind w:left="357"/>
        <w:jc w:val="both"/>
      </w:pPr>
      <w:r>
        <w:rPr>
          <w:rFonts w:ascii="Cambria" w:hAnsi="Cambria"/>
          <w:sz w:val="22"/>
        </w:rPr>
        <w:t>Stronger institutional contributions to national and global sustainability targets.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 of HEIs with rainwater harvesting systems and STPs.</w:t>
      </w:r>
    </w:p>
    <w:p>
      <w:pPr>
        <w:pStyle w:val="ListBullet"/>
        <w:ind w:left="357"/>
        <w:jc w:val="both"/>
      </w:pPr>
      <w:r>
        <w:rPr>
          <w:rFonts w:ascii="Cambria" w:hAnsi="Cambria"/>
          <w:sz w:val="22"/>
        </w:rPr>
        <w:t>% of waste recycled or reused annually.</w:t>
      </w:r>
    </w:p>
    <w:p>
      <w:pPr>
        <w:pStyle w:val="ListBullet"/>
        <w:ind w:left="357"/>
        <w:jc w:val="both"/>
      </w:pPr>
      <w:r>
        <w:rPr>
          <w:rFonts w:ascii="Cambria" w:hAnsi="Cambria"/>
          <w:sz w:val="22"/>
        </w:rPr>
        <w:t>Reduction in per-student energy and water consumption.</w:t>
      </w:r>
    </w:p>
    <w:p>
      <w:pPr>
        <w:pStyle w:val="ListBullet"/>
        <w:ind w:left="357"/>
        <w:jc w:val="both"/>
      </w:pPr>
      <w:r>
        <w:rPr>
          <w:rFonts w:ascii="Cambria" w:hAnsi="Cambria"/>
          <w:sz w:val="22"/>
        </w:rPr>
        <w:t>Number of green audits completed annually.</w:t>
      </w:r>
    </w:p>
    <w:p>
      <w:pPr>
        <w:pStyle w:val="ListBullet"/>
        <w:ind w:left="357"/>
        <w:jc w:val="both"/>
      </w:pPr>
      <w:r>
        <w:rPr>
          <w:rFonts w:ascii="Cambria" w:hAnsi="Cambria"/>
          <w:sz w:val="22"/>
        </w:rPr>
        <w:t>Student participation rates in campus sustainability programmes.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gain practical skills in renewable energy, waste management, and water conservation.</w:t>
      </w:r>
    </w:p>
    <w:p>
      <w:pPr>
        <w:pStyle w:val="ListBullet"/>
        <w:ind w:left="357"/>
        <w:jc w:val="both"/>
      </w:pPr>
      <w:r>
        <w:rPr>
          <w:rFonts w:ascii="Cambria" w:hAnsi="Cambria"/>
          <w:sz w:val="22"/>
        </w:rPr>
        <w:t>Improved readiness for green jobs and sustainability-related careers.</w:t>
      </w:r>
    </w:p>
    <w:p>
      <w:pPr>
        <w:pStyle w:val="ListBullet"/>
        <w:ind w:left="357"/>
        <w:jc w:val="both"/>
      </w:pPr>
      <w:r>
        <w:rPr>
          <w:rFonts w:ascii="Cambria" w:hAnsi="Cambria"/>
          <w:sz w:val="22"/>
        </w:rPr>
        <w:t>Development of eco-conscious leadership and research expertise.</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Reduction in environmental degradation and improved water security in communities.</w:t>
      </w:r>
    </w:p>
    <w:p>
      <w:pPr>
        <w:pStyle w:val="ListBullet"/>
        <w:ind w:left="357"/>
        <w:jc w:val="both"/>
      </w:pPr>
      <w:r>
        <w:rPr>
          <w:rFonts w:ascii="Cambria" w:hAnsi="Cambria"/>
          <w:sz w:val="22"/>
        </w:rPr>
        <w:t>Cleaner, healthier campuses serve as demonstration models for local communities.</w:t>
      </w:r>
    </w:p>
    <w:p>
      <w:pPr>
        <w:pStyle w:val="ListBullet"/>
        <w:ind w:left="357"/>
        <w:jc w:val="both"/>
      </w:pPr>
      <w:r>
        <w:rPr>
          <w:rFonts w:ascii="Cambria" w:hAnsi="Cambria"/>
          <w:sz w:val="22"/>
        </w:rPr>
        <w:t>HEIs contribute directly to India's climate commitments under the Paris Agreement.</w:t>
      </w:r>
    </w:p>
    <w:p>
      <w:pPr>
        <w:pStyle w:val="ListBullet"/>
        <w:ind w:left="357"/>
        <w:jc w:val="both"/>
      </w:pPr>
      <w:r>
        <w:rPr>
          <w:rFonts w:ascii="Cambria" w:hAnsi="Cambria"/>
          <w:sz w:val="22"/>
        </w:rPr>
        <w:t>Broader cultural shift towards sustainable living and green innovation.</w:t>
      </w:r>
    </w:p>
    <w:p>
      <w:pPr>
        <w:spacing w:before="200" w:after="80"/>
        <w:jc w:val="left"/>
      </w:pPr>
      <w:r>
        <w:rPr>
          <w:rFonts w:ascii="Cambria" w:hAnsi="Cambria"/>
          <w:b/>
          <w:color w:val="1F3A5F"/>
          <w:sz w:val="25"/>
        </w:rPr>
        <w:t>Regulation &amp; Accreditation – Green &amp; Sustainable Campuses</w:t>
      </w:r>
    </w:p>
    <w:p>
      <w:pPr>
        <w:spacing w:before="160" w:after="80"/>
      </w:pPr>
      <w:r>
        <w:rPr>
          <w:rFonts w:ascii="Cambria" w:hAnsi="Cambria"/>
          <w:b/>
          <w:color w:val="1F3A5F"/>
          <w:sz w:val="23"/>
        </w:rPr>
        <w:t>Regulation &amp; Accreditation – Green &amp; Sustainable Campuses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(Regulators &amp; HEIs)</w:t>
            </w:r>
          </w:p>
        </w:tc>
        <w:tc>
          <w:tcPr>
            <w:tcW w:type="dxa" w:w="6860"/>
            <w:tcW w:w="6860" w:type="dxa"/>
          </w:tcPr>
          <w:p>
            <w:pPr>
              <w:jc w:val="left"/>
            </w:pPr>
            <w:r/>
            <w:r>
              <w:rPr>
                <w:rFonts w:ascii="Cambria" w:hAnsi="Cambria"/>
                <w:b w:val="0"/>
                <w:i w:val="0"/>
                <w:sz w:val="22"/>
              </w:rPr>
              <w:t>Mandate environmental improvement measures as part of accreditation benchmarks; Require HEIs to implement green campus initiatives (renewable energy, tree plantation, energy-efficient buildings); Establish waste segregation, recycling, and composting systems; Enforce rainwater harvesting and sewage treatment plants (STPs) in all campuses; Introduce annual sustainability/green audits tied to funding and ranking</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UGC Green Campus Guidelines (India); AICTE Environmental Audit Mandates; Arizona State University (USA): Global leader in sustainable campus practices; Times Higher Education Impact Rankings: Metrics on SDG-6 (Clean Water), SDG-7 (Clean Energy), SDG-13 (Climate Action)</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Reduced ecological footprint of HEIs; Strengthened sustainability culture on campuses; Integration of green skills in student learning; Contribution to national SDG-6, SDG-7, and SDG-13 targets simultaneously</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 of HEIs with functioning STPs and rainwater harvesting systems; % reduction in water/energy consumption per student; % of waste recycled/composted; Number of green audits conducted annually; Student participation in green campus programmes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Regulators (NAAC, NBA, UGC, AICTE): Define standards, mandate audits, link to accreditation/funding; HEIs: Implement infrastructure and sustainability practices; Government (MoE, State): Provide incentives and policy subsidies; NGOs/Industry: Partner in waste management and renewable energy solutions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(Institutional Values &amp; Best Practices) – Environmental Consciousness; NBA: Green infrastructure and sustainability requirements; NIRF: Improves Outreach &amp; Inclusivity and Teaching–Learning scores indirectly; QS/THE Impact Rankings: Higher visibility in SDG-linked sustainability</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hands-on skills in waste management, renewable energy, and water systems; Exposure to green jobs and sustainability careers; Development of eco-conscious leadership and project skills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Cleaner, healthier campuses and communities; Contribution to water security and waste reduction; Reduced carbon emissions through renewable energy adoption; HEIs serve as demonstration hubs for environmental sustainability</w:t>
            </w:r>
          </w:p>
        </w:tc>
      </w:tr>
    </w:tbl>
    <w:p>
      <w:pPr>
        <w:spacing w:before="240" w:after="120"/>
        <w:jc w:val="left"/>
      </w:pPr>
      <w:r>
        <w:rPr>
          <w:rFonts w:ascii="Cambria" w:hAnsi="Cambria"/>
          <w:b/>
          <w:color w:val="1F3A5F"/>
          <w:sz w:val="28"/>
        </w:rPr>
        <w:t>Policy–Action–Outcome Roadmap: Green &amp; Sustainable Campuses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NAAC, NBA, UGC, AICTE include green campus criteria as compulsory in accreditation frameworks.</w:t>
      </w:r>
    </w:p>
    <w:p>
      <w:pPr>
        <w:pStyle w:val="ListBullet"/>
        <w:ind w:left="357"/>
        <w:jc w:val="both"/>
      </w:pPr>
      <w:r>
        <w:rPr>
          <w:rFonts w:ascii="Cambria" w:hAnsi="Cambria"/>
          <w:sz w:val="22"/>
        </w:rPr>
        <w:t>Launch pilot grants for 50–100 HEIs to implement rainwater harvesting, STPs, and waste segregation.</w:t>
      </w:r>
    </w:p>
    <w:p>
      <w:pPr>
        <w:pStyle w:val="ListBullet"/>
        <w:ind w:left="357"/>
        <w:jc w:val="both"/>
      </w:pPr>
      <w:r>
        <w:rPr>
          <w:rFonts w:ascii="Cambria" w:hAnsi="Cambria"/>
          <w:sz w:val="22"/>
        </w:rPr>
        <w:t>Issue guidelines for annual sustainability audits.</w:t>
      </w:r>
    </w:p>
    <w:p>
      <w:pPr>
        <w:spacing w:after="120"/>
        <w:jc w:val="both"/>
      </w:pPr>
      <w:r>
        <w:rPr>
          <w:rFonts w:ascii="Cambria" w:hAnsi="Cambria"/>
          <w:b/>
          <w:i w:val="0"/>
          <w:sz w:val="22"/>
        </w:rPr>
        <w:t>Actions:</w:t>
      </w:r>
    </w:p>
    <w:p>
      <w:pPr>
        <w:pStyle w:val="ListBullet"/>
        <w:ind w:left="357"/>
        <w:jc w:val="both"/>
      </w:pPr>
      <w:r>
        <w:rPr>
          <w:rFonts w:ascii="Cambria" w:hAnsi="Cambria"/>
          <w:sz w:val="22"/>
        </w:rPr>
        <w:t>HEIs conduct baseline environmental audits (energy, water, waste).</w:t>
      </w:r>
    </w:p>
    <w:p>
      <w:pPr>
        <w:pStyle w:val="ListBullet"/>
        <w:ind w:left="357"/>
        <w:jc w:val="both"/>
      </w:pPr>
      <w:r>
        <w:rPr>
          <w:rFonts w:ascii="Cambria" w:hAnsi="Cambria"/>
          <w:sz w:val="22"/>
        </w:rPr>
        <w:t>Start waste segregation and recycling systems on campuses.</w:t>
      </w:r>
    </w:p>
    <w:p>
      <w:pPr>
        <w:pStyle w:val="ListBullet"/>
        <w:ind w:left="357"/>
        <w:jc w:val="both"/>
      </w:pPr>
      <w:r>
        <w:rPr>
          <w:rFonts w:ascii="Cambria" w:hAnsi="Cambria"/>
          <w:sz w:val="22"/>
        </w:rPr>
        <w:t>Install basic rainwater harvesting structures in new and existing buildings.</w:t>
      </w:r>
    </w:p>
    <w:p>
      <w:pPr>
        <w:pStyle w:val="ListBullet"/>
        <w:ind w:left="357"/>
        <w:jc w:val="both"/>
      </w:pPr>
      <w:r>
        <w:rPr>
          <w:rFonts w:ascii="Cambria" w:hAnsi="Cambria"/>
          <w:sz w:val="22"/>
        </w:rPr>
        <w:t>Organize student-led green clubs for awareness and monitoring.</w:t>
      </w:r>
    </w:p>
    <w:p>
      <w:pPr>
        <w:spacing w:after="120"/>
        <w:jc w:val="both"/>
      </w:pPr>
      <w:r>
        <w:rPr>
          <w:rFonts w:ascii="Cambria" w:hAnsi="Cambria"/>
          <w:b/>
          <w:i w:val="0"/>
          <w:sz w:val="22"/>
        </w:rPr>
        <w:t>Outcomes:</w:t>
      </w:r>
    </w:p>
    <w:p>
      <w:pPr>
        <w:pStyle w:val="ListBullet"/>
        <w:ind w:left="357"/>
        <w:jc w:val="both"/>
      </w:pPr>
      <w:r>
        <w:rPr>
          <w:rFonts w:ascii="Cambria" w:hAnsi="Cambria"/>
          <w:sz w:val="22"/>
        </w:rPr>
        <w:t>Initial compliance by leading HEIs.</w:t>
      </w:r>
    </w:p>
    <w:p>
      <w:pPr>
        <w:pStyle w:val="ListBullet"/>
        <w:ind w:left="357"/>
        <w:jc w:val="both"/>
      </w:pPr>
      <w:r>
        <w:rPr>
          <w:rFonts w:ascii="Cambria" w:hAnsi="Cambria"/>
          <w:sz w:val="22"/>
        </w:rPr>
        <w:t>Baseline data collected for benchmarking.</w:t>
      </w:r>
    </w:p>
    <w:p>
      <w:pPr>
        <w:pStyle w:val="ListBullet"/>
        <w:ind w:left="357"/>
        <w:jc w:val="both"/>
      </w:pPr>
      <w:r>
        <w:rPr>
          <w:rFonts w:ascii="Cambria" w:hAnsi="Cambria"/>
          <w:sz w:val="22"/>
        </w:rPr>
        <w:t>Students and faculty begin participating in sustainability initiatives.</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Accreditation tied to mandatory sustainability audits.</w:t>
      </w:r>
    </w:p>
    <w:p>
      <w:pPr>
        <w:pStyle w:val="ListBullet"/>
        <w:ind w:left="357"/>
        <w:jc w:val="both"/>
      </w:pPr>
      <w:r>
        <w:rPr>
          <w:rFonts w:ascii="Cambria" w:hAnsi="Cambria"/>
          <w:sz w:val="22"/>
        </w:rPr>
        <w:t>Establish a Green Campus Certification Scheme linked to NIRF scores and funding eligibility.</w:t>
      </w:r>
    </w:p>
    <w:p>
      <w:pPr>
        <w:pStyle w:val="ListBullet"/>
        <w:ind w:left="357"/>
        <w:jc w:val="both"/>
      </w:pPr>
      <w:r>
        <w:rPr>
          <w:rFonts w:ascii="Cambria" w:hAnsi="Cambria"/>
          <w:sz w:val="22"/>
        </w:rPr>
        <w:t>State governments incentivize renewable energy adoption in HEIs.</w:t>
      </w:r>
    </w:p>
    <w:p>
      <w:pPr>
        <w:spacing w:after="120"/>
        <w:jc w:val="both"/>
      </w:pPr>
      <w:r>
        <w:rPr>
          <w:rFonts w:ascii="Cambria" w:hAnsi="Cambria"/>
          <w:b/>
          <w:i w:val="0"/>
          <w:sz w:val="22"/>
        </w:rPr>
        <w:t>Actions:</w:t>
      </w:r>
    </w:p>
    <w:p>
      <w:pPr>
        <w:pStyle w:val="ListBullet"/>
        <w:ind w:left="357"/>
        <w:jc w:val="both"/>
      </w:pPr>
      <w:r>
        <w:rPr>
          <w:rFonts w:ascii="Cambria" w:hAnsi="Cambria"/>
          <w:sz w:val="22"/>
        </w:rPr>
        <w:t>Install solar panels, biogas units, and energy-efficient systems in HEIs.</w:t>
      </w:r>
    </w:p>
    <w:p>
      <w:pPr>
        <w:pStyle w:val="ListBullet"/>
        <w:ind w:left="357"/>
        <w:jc w:val="both"/>
      </w:pPr>
      <w:r>
        <w:rPr>
          <w:rFonts w:ascii="Cambria" w:hAnsi="Cambria"/>
          <w:sz w:val="22"/>
        </w:rPr>
        <w:t>Upgrade campuses with sewage treatment plants (STPs) and water recycling.</w:t>
      </w:r>
    </w:p>
    <w:p>
      <w:pPr>
        <w:pStyle w:val="ListBullet"/>
        <w:ind w:left="357"/>
        <w:jc w:val="both"/>
      </w:pPr>
      <w:r>
        <w:rPr>
          <w:rFonts w:ascii="Cambria" w:hAnsi="Cambria"/>
          <w:sz w:val="22"/>
        </w:rPr>
        <w:t>Scale up composting and waste-to-energy plants.</w:t>
      </w:r>
    </w:p>
    <w:p>
      <w:pPr>
        <w:pStyle w:val="ListBullet"/>
        <w:ind w:left="357"/>
        <w:jc w:val="both"/>
      </w:pPr>
      <w:r>
        <w:rPr>
          <w:rFonts w:ascii="Cambria" w:hAnsi="Cambria"/>
          <w:sz w:val="22"/>
        </w:rPr>
        <w:t>Organize annual inter-university green campus competitions.</w:t>
      </w:r>
    </w:p>
    <w:p>
      <w:pPr>
        <w:spacing w:after="120"/>
        <w:jc w:val="both"/>
      </w:pPr>
      <w:r>
        <w:rPr>
          <w:rFonts w:ascii="Cambria" w:hAnsi="Cambria"/>
          <w:b/>
          <w:i w:val="0"/>
          <w:sz w:val="22"/>
        </w:rPr>
        <w:t>Outcomes:</w:t>
      </w:r>
    </w:p>
    <w:p>
      <w:pPr>
        <w:pStyle w:val="ListBullet"/>
        <w:ind w:left="357"/>
        <w:jc w:val="both"/>
      </w:pPr>
      <w:r>
        <w:rPr>
          <w:rFonts w:ascii="Cambria" w:hAnsi="Cambria"/>
          <w:sz w:val="22"/>
        </w:rPr>
        <w:t>Significant reduction in carbon footprint of HEIs.</w:t>
      </w:r>
    </w:p>
    <w:p>
      <w:pPr>
        <w:pStyle w:val="ListBullet"/>
        <w:ind w:left="357"/>
        <w:jc w:val="both"/>
      </w:pPr>
      <w:r>
        <w:rPr>
          <w:rFonts w:ascii="Cambria" w:hAnsi="Cambria"/>
          <w:sz w:val="22"/>
        </w:rPr>
        <w:t>Broad adoption of renewable energy and waste management systems.</w:t>
      </w:r>
    </w:p>
    <w:p>
      <w:pPr>
        <w:pStyle w:val="ListBullet"/>
        <w:ind w:left="357"/>
        <w:jc w:val="both"/>
      </w:pPr>
      <w:r>
        <w:rPr>
          <w:rFonts w:ascii="Cambria" w:hAnsi="Cambria"/>
          <w:sz w:val="22"/>
        </w:rPr>
        <w:t>Students actively engaged in green innovation projects.</w:t>
      </w:r>
    </w:p>
    <w:p>
      <w:pPr>
        <w:pStyle w:val="ListBullet"/>
        <w:ind w:left="357"/>
        <w:jc w:val="both"/>
      </w:pPr>
      <w:r>
        <w:rPr>
          <w:rFonts w:ascii="Cambria" w:hAnsi="Cambria"/>
          <w:sz w:val="22"/>
        </w:rPr>
        <w:t>Improved accreditation grades through sustainability performance.</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Enact a National Green Campus Act making environmental measures legally binding.</w:t>
      </w:r>
    </w:p>
    <w:p>
      <w:pPr>
        <w:pStyle w:val="ListBullet"/>
        <w:ind w:left="357"/>
        <w:jc w:val="both"/>
      </w:pPr>
      <w:r>
        <w:rPr>
          <w:rFonts w:ascii="Cambria" w:hAnsi="Cambria"/>
          <w:sz w:val="22"/>
        </w:rPr>
        <w:t>Integrate HEIs' sustainability reports into India's national SDG reporting.</w:t>
      </w:r>
    </w:p>
    <w:p>
      <w:pPr>
        <w:pStyle w:val="ListBullet"/>
        <w:ind w:left="357"/>
        <w:jc w:val="both"/>
      </w:pPr>
      <w:r>
        <w:rPr>
          <w:rFonts w:ascii="Cambria" w:hAnsi="Cambria"/>
          <w:sz w:val="22"/>
        </w:rPr>
        <w:t>Build global partnerships (UNEP, UNESCO, EU Green Deal, Times Higher Education) to scale best practices.</w:t>
      </w:r>
    </w:p>
    <w:p>
      <w:pPr>
        <w:spacing w:after="120"/>
        <w:jc w:val="both"/>
      </w:pPr>
      <w:r>
        <w:rPr>
          <w:rFonts w:ascii="Cambria" w:hAnsi="Cambria"/>
          <w:b/>
          <w:i w:val="0"/>
          <w:sz w:val="22"/>
        </w:rPr>
        <w:t>Actions:</w:t>
      </w:r>
    </w:p>
    <w:p>
      <w:pPr>
        <w:pStyle w:val="ListBullet"/>
        <w:ind w:left="357"/>
        <w:jc w:val="both"/>
      </w:pPr>
      <w:r>
        <w:rPr>
          <w:rFonts w:ascii="Cambria" w:hAnsi="Cambria"/>
          <w:sz w:val="22"/>
        </w:rPr>
        <w:t>Achieve 100% renewable energy transition in major HEIs.</w:t>
      </w:r>
    </w:p>
    <w:p>
      <w:pPr>
        <w:pStyle w:val="ListBullet"/>
        <w:ind w:left="357"/>
        <w:jc w:val="both"/>
      </w:pPr>
      <w:r>
        <w:rPr>
          <w:rFonts w:ascii="Cambria" w:hAnsi="Cambria"/>
          <w:sz w:val="22"/>
        </w:rPr>
        <w:t>Ensure all HEIs are zero-waste campuses.</w:t>
      </w:r>
    </w:p>
    <w:p>
      <w:pPr>
        <w:pStyle w:val="ListBullet"/>
        <w:ind w:left="357"/>
        <w:jc w:val="both"/>
      </w:pPr>
      <w:r>
        <w:rPr>
          <w:rFonts w:ascii="Cambria" w:hAnsi="Cambria"/>
          <w:sz w:val="22"/>
        </w:rPr>
        <w:t>Deploy AI-driven water and energy management systems.</w:t>
      </w:r>
    </w:p>
    <w:p>
      <w:pPr>
        <w:pStyle w:val="ListBullet"/>
        <w:ind w:left="357"/>
        <w:jc w:val="both"/>
      </w:pPr>
      <w:r>
        <w:rPr>
          <w:rFonts w:ascii="Cambria" w:hAnsi="Cambria"/>
          <w:sz w:val="22"/>
        </w:rPr>
        <w:t>Host annual international green campus summits in India.</w:t>
      </w:r>
    </w:p>
    <w:p>
      <w:pPr>
        <w:spacing w:after="120"/>
        <w:jc w:val="both"/>
      </w:pPr>
      <w:r>
        <w:rPr>
          <w:rFonts w:ascii="Cambria" w:hAnsi="Cambria"/>
          <w:b/>
          <w:i w:val="0"/>
          <w:sz w:val="22"/>
        </w:rPr>
        <w:t>Outcomes:</w:t>
      </w:r>
    </w:p>
    <w:p>
      <w:pPr>
        <w:pStyle w:val="ListBullet"/>
        <w:ind w:left="357"/>
        <w:jc w:val="both"/>
      </w:pPr>
      <w:r>
        <w:rPr>
          <w:rFonts w:ascii="Cambria" w:hAnsi="Cambria"/>
          <w:sz w:val="22"/>
        </w:rPr>
        <w:t>Indian HEIs become global leaders in sustainable education ecosystems.</w:t>
      </w:r>
    </w:p>
    <w:p>
      <w:pPr>
        <w:pStyle w:val="ListBullet"/>
        <w:ind w:left="357"/>
        <w:jc w:val="both"/>
      </w:pPr>
      <w:r>
        <w:rPr>
          <w:rFonts w:ascii="Cambria" w:hAnsi="Cambria"/>
          <w:sz w:val="22"/>
        </w:rPr>
        <w:t>Contribution to India's Paris Agreement climate goals.</w:t>
      </w:r>
    </w:p>
    <w:p>
      <w:pPr>
        <w:pStyle w:val="ListBullet"/>
        <w:ind w:left="357"/>
        <w:jc w:val="both"/>
      </w:pPr>
      <w:r>
        <w:rPr>
          <w:rFonts w:ascii="Cambria" w:hAnsi="Cambria"/>
          <w:b/>
          <w:sz w:val="22"/>
        </w:rPr>
        <w:t xml:space="preserve">Long-term societal transformation: </w:t>
      </w:r>
      <w:r>
        <w:rPr>
          <w:rFonts w:ascii="Cambria" w:hAnsi="Cambria"/>
          <w:sz w:val="22"/>
        </w:rPr>
        <w:t>cleaner water, reduced waste, lower emissions.</w:t>
      </w:r>
    </w:p>
    <w:p>
      <w:pPr>
        <w:pStyle w:val="ListBullet"/>
        <w:ind w:left="357"/>
        <w:jc w:val="both"/>
      </w:pPr>
      <w:r>
        <w:rPr>
          <w:rFonts w:ascii="Cambria" w:hAnsi="Cambria"/>
          <w:sz w:val="22"/>
        </w:rPr>
        <w:t>Green campuses become living laboratories for sustainability education.</w:t>
      </w:r>
    </w:p>
    <w:p>
      <w:pPr>
        <w:spacing w:before="200" w:after="80"/>
        <w:jc w:val="left"/>
      </w:pPr>
      <w:r>
        <w:rPr>
          <w:rFonts w:ascii="Cambria" w:hAnsi="Cambria"/>
          <w:b/>
          <w:color w:val="1F3A5F"/>
          <w:sz w:val="25"/>
        </w:rPr>
        <w:t>Regulation &amp; Accreditation – Green &amp; Sustainable Campuses (Detail Table)</w:t>
      </w:r>
    </w:p>
    <w:p>
      <w:pPr>
        <w:spacing w:before="160" w:after="80"/>
      </w:pPr>
      <w:r>
        <w:rPr>
          <w:rFonts w:ascii="Cambria" w:hAnsi="Cambria"/>
          <w:b/>
          <w:color w:val="1F3A5F"/>
          <w:sz w:val="23"/>
        </w:rPr>
        <w:t>Regulation &amp; Accreditation – Green &amp; Sustainable Campuses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(Regulators &amp; HEIs)</w:t>
            </w:r>
          </w:p>
        </w:tc>
        <w:tc>
          <w:tcPr>
            <w:tcW w:type="dxa" w:w="6860"/>
            <w:tcW w:w="6860" w:type="dxa"/>
          </w:tcPr>
          <w:p>
            <w:pPr>
              <w:jc w:val="left"/>
            </w:pPr>
            <w:r/>
            <w:r>
              <w:rPr>
                <w:rFonts w:ascii="Cambria" w:hAnsi="Cambria"/>
                <w:b w:val="0"/>
                <w:i w:val="0"/>
                <w:sz w:val="22"/>
              </w:rPr>
              <w:t>Mandate environmental improvement measures as part of accreditation benchmarks; Require HEIs to implement green campus initiatives (renewable energy, tree plantation, energy-efficient buildings); Establish waste segregation, recycling, and composting systems; Enforce rainwater harvesting and sewage treatment plants (STPs) in all campuses; Introduce annual sustainability/green audits tied to funding and ranking</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UGC Green Campus Guidelines (India); AICTE Environmental Audit Mandates; Arizona State University (USA): Global leader in sustainable campus practices; Times Higher Education Impact Rankings: Metrics on SDG-6, SDG-7, SDG-13</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Reduced ecological footprint of HEIs; Strengthened sustainability culture on campuses; Integration of green skills in student learning; Contribution to national SDG-4, SDG-6, SDG-7, and SDG-13 targets simultaneously</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 of HEIs with functioning STPs and rainwater harvesting systems; % reduction in water/energy consumption per student; % of waste recycled/composted; Number of annual sustainability audits conducted; Student participation in green campus programmes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Regulators (NAAC, NBA, UGC, AICTE): Define standards, monitor compliance, link to accreditation/funding; HEIs: Implement infrastructure and sustainability practices; Government (MoE, State): Provide subsidies and policy incentives; NGOs/Industry: Partner in waste management and renewable energy solutions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(Institutional Values &amp; Best Practices) – Environmental Consciousness; NBA: Green infrastructure and sustainability requirements; NIRF: Improves Outreach &amp; Inclusivity and Teaching–Learning scores indirectly; QS/THE Impact Rankings: Higher visibility in SDG-linked sustainability</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hands-on skills in waste management, renewable energy, and water systems; Exposure to green jobs and sustainability careers; Development of eco-conscious leadership and project skills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Cleaner, healthier campuses and communities; Contribution to water security through rainwater harvesting; Reduced carbon emissions through renewable energy adoption; HEIs serve as demonstration hubs for environmental sustainability and climate action goals</w:t>
            </w:r>
          </w:p>
        </w:tc>
      </w:tr>
    </w:tbl>
    <w:p>
      <w:pPr>
        <w:spacing w:before="240" w:after="120"/>
        <w:jc w:val="left"/>
      </w:pPr>
      <w:r>
        <w:rPr>
          <w:rFonts w:ascii="Cambria" w:hAnsi="Cambria"/>
          <w:b/>
          <w:color w:val="1F3A5F"/>
          <w:sz w:val="28"/>
        </w:rPr>
        <w:t>Compliance &amp; Accreditation Checklist – Green &amp; Sustainable Campuses</w:t>
      </w:r>
    </w:p>
    <w:p>
      <w:pPr>
        <w:spacing w:after="120"/>
        <w:jc w:val="both"/>
      </w:pPr>
      <w:r>
        <w:rPr>
          <w:rFonts w:ascii="Cambria" w:hAnsi="Cambria"/>
          <w:b/>
          <w:i w:val="0"/>
          <w:sz w:val="22"/>
        </w:rPr>
        <w:t>1. Environmental Infrastructure</w:t>
      </w:r>
    </w:p>
    <w:p>
      <w:pPr>
        <w:pStyle w:val="ListBullet"/>
        <w:ind w:left="357"/>
        <w:jc w:val="both"/>
      </w:pPr>
      <w:r>
        <w:rPr>
          <w:rFonts w:ascii="Cambria" w:hAnsi="Cambria"/>
          <w:sz w:val="22"/>
        </w:rPr>
        <w:t>☐ Campus has a documented Green Campus Policy approved by governing body.</w:t>
      </w:r>
    </w:p>
    <w:p>
      <w:pPr>
        <w:pStyle w:val="ListBullet"/>
        <w:ind w:left="357"/>
        <w:jc w:val="both"/>
      </w:pPr>
      <w:r>
        <w:rPr>
          <w:rFonts w:ascii="Cambria" w:hAnsi="Cambria"/>
          <w:sz w:val="22"/>
        </w:rPr>
        <w:t>☐ Rainwater harvesting systems installed and functional.</w:t>
      </w:r>
    </w:p>
    <w:p>
      <w:pPr>
        <w:pStyle w:val="ListBullet"/>
        <w:ind w:left="357"/>
        <w:jc w:val="both"/>
      </w:pPr>
      <w:r>
        <w:rPr>
          <w:rFonts w:ascii="Cambria" w:hAnsi="Cambria"/>
          <w:sz w:val="22"/>
        </w:rPr>
        <w:t>☐ Sewage Treatment Plant (STP) established; treated water reused for gardening/maintenance.</w:t>
      </w:r>
    </w:p>
    <w:p>
      <w:pPr>
        <w:pStyle w:val="ListBullet"/>
        <w:ind w:left="357"/>
        <w:jc w:val="both"/>
      </w:pPr>
      <w:r>
        <w:rPr>
          <w:rFonts w:ascii="Cambria" w:hAnsi="Cambria"/>
          <w:sz w:val="22"/>
        </w:rPr>
        <w:t>☐ Solid waste management system (segregation, recycling, composting) operational.</w:t>
      </w:r>
    </w:p>
    <w:p>
      <w:pPr>
        <w:pStyle w:val="ListBullet"/>
        <w:ind w:left="357"/>
        <w:jc w:val="both"/>
      </w:pPr>
      <w:r>
        <w:rPr>
          <w:rFonts w:ascii="Cambria" w:hAnsi="Cambria"/>
          <w:sz w:val="22"/>
        </w:rPr>
        <w:t>☐ E-waste disposal system in compliance with government norms.</w:t>
      </w:r>
    </w:p>
    <w:p>
      <w:pPr>
        <w:pStyle w:val="ListBullet"/>
        <w:ind w:left="357"/>
        <w:jc w:val="both"/>
      </w:pPr>
      <w:r>
        <w:rPr>
          <w:rFonts w:ascii="Cambria" w:hAnsi="Cambria"/>
          <w:sz w:val="22"/>
        </w:rPr>
        <w:t>☐ Energy-efficient systems (LED, smart grids, HVAC efficiency, solar/biogas plants) implemented.</w:t>
      </w:r>
    </w:p>
    <w:p>
      <w:pPr>
        <w:spacing w:after="120"/>
        <w:jc w:val="both"/>
      </w:pPr>
      <w:r>
        <w:rPr>
          <w:rFonts w:ascii="Cambria" w:hAnsi="Cambria"/>
          <w:b/>
          <w:i w:val="0"/>
          <w:sz w:val="22"/>
        </w:rPr>
        <w:t>2. Audit &amp; Reporting</w:t>
      </w:r>
    </w:p>
    <w:p>
      <w:pPr>
        <w:pStyle w:val="ListBullet"/>
        <w:ind w:left="357"/>
        <w:jc w:val="both"/>
      </w:pPr>
      <w:r>
        <w:rPr>
          <w:rFonts w:ascii="Cambria" w:hAnsi="Cambria"/>
          <w:sz w:val="22"/>
        </w:rPr>
        <w:t>☐ Annual Green Audit conducted by certified third-party.</w:t>
      </w:r>
    </w:p>
    <w:p>
      <w:pPr>
        <w:pStyle w:val="ListBullet"/>
        <w:ind w:left="357"/>
        <w:jc w:val="both"/>
      </w:pPr>
      <w:r>
        <w:rPr>
          <w:rFonts w:ascii="Cambria" w:hAnsi="Cambria"/>
          <w:sz w:val="22"/>
        </w:rPr>
        <w:t>☐ Energy and Water Audit Reports available for past 3 years.</w:t>
      </w:r>
    </w:p>
    <w:p>
      <w:pPr>
        <w:pStyle w:val="ListBullet"/>
        <w:ind w:left="357"/>
        <w:jc w:val="both"/>
      </w:pPr>
      <w:r>
        <w:rPr>
          <w:rFonts w:ascii="Cambria" w:hAnsi="Cambria"/>
          <w:sz w:val="22"/>
        </w:rPr>
        <w:t>☐ Environmental performance indicators included in Annual Quality Assurance Report (AQAR).</w:t>
      </w:r>
    </w:p>
    <w:p>
      <w:pPr>
        <w:pStyle w:val="ListBullet"/>
        <w:ind w:left="357"/>
        <w:jc w:val="both"/>
      </w:pPr>
      <w:r>
        <w:rPr>
          <w:rFonts w:ascii="Cambria" w:hAnsi="Cambria"/>
          <w:sz w:val="22"/>
        </w:rPr>
        <w:t>☐ Carbon footprint report prepared and submitted to regulatory bodies.</w:t>
      </w:r>
    </w:p>
    <w:p>
      <w:pPr>
        <w:spacing w:after="120"/>
        <w:jc w:val="both"/>
      </w:pPr>
      <w:r>
        <w:rPr>
          <w:rFonts w:ascii="Cambria" w:hAnsi="Cambria"/>
          <w:b/>
          <w:i w:val="0"/>
          <w:sz w:val="22"/>
        </w:rPr>
        <w:t>3. Student &amp; Community Engagement</w:t>
      </w:r>
    </w:p>
    <w:p>
      <w:pPr>
        <w:pStyle w:val="ListBullet"/>
        <w:ind w:left="357"/>
        <w:jc w:val="both"/>
      </w:pPr>
      <w:r>
        <w:rPr>
          <w:rFonts w:ascii="Cambria" w:hAnsi="Cambria"/>
          <w:sz w:val="22"/>
        </w:rPr>
        <w:t>☐ Existence of student green clubs / eco-councils.</w:t>
      </w:r>
    </w:p>
    <w:p>
      <w:pPr>
        <w:pStyle w:val="ListBullet"/>
        <w:ind w:left="357"/>
        <w:jc w:val="both"/>
      </w:pPr>
      <w:r>
        <w:rPr>
          <w:rFonts w:ascii="Cambria" w:hAnsi="Cambria"/>
          <w:sz w:val="22"/>
        </w:rPr>
        <w:t>☐ At least 2 annual awareness drives on waste management, water conservation, or biodiversity.</w:t>
      </w:r>
    </w:p>
    <w:p>
      <w:pPr>
        <w:pStyle w:val="ListBullet"/>
        <w:ind w:left="357"/>
        <w:jc w:val="both"/>
      </w:pPr>
      <w:r>
        <w:rPr>
          <w:rFonts w:ascii="Cambria" w:hAnsi="Cambria"/>
          <w:sz w:val="22"/>
        </w:rPr>
        <w:t>☐ Students trained in green skills (renewable energy, recycling, sustainability).</w:t>
      </w:r>
    </w:p>
    <w:p>
      <w:pPr>
        <w:pStyle w:val="ListBullet"/>
        <w:ind w:left="357"/>
        <w:jc w:val="both"/>
      </w:pPr>
      <w:r>
        <w:rPr>
          <w:rFonts w:ascii="Cambria" w:hAnsi="Cambria"/>
          <w:sz w:val="22"/>
        </w:rPr>
        <w:t>☐ Community outreach projects on waste management / clean water / renewable energy documented.</w:t>
      </w:r>
    </w:p>
    <w:p>
      <w:pPr>
        <w:spacing w:after="120"/>
        <w:jc w:val="both"/>
      </w:pPr>
      <w:r>
        <w:rPr>
          <w:rFonts w:ascii="Cambria" w:hAnsi="Cambria"/>
          <w:b/>
          <w:i w:val="0"/>
          <w:sz w:val="22"/>
        </w:rPr>
        <w:t>4. Governance &amp; Policy Compliance</w:t>
      </w:r>
    </w:p>
    <w:p>
      <w:pPr>
        <w:pStyle w:val="ListBullet"/>
        <w:ind w:left="357"/>
        <w:jc w:val="both"/>
      </w:pPr>
      <w:r>
        <w:rPr>
          <w:rFonts w:ascii="Cambria" w:hAnsi="Cambria"/>
          <w:sz w:val="22"/>
        </w:rPr>
        <w:t>☐ Green campus initiatives integrated into Institutional Strategic Plan.</w:t>
      </w:r>
    </w:p>
    <w:p>
      <w:pPr>
        <w:pStyle w:val="ListBullet"/>
        <w:ind w:left="357"/>
        <w:jc w:val="both"/>
      </w:pPr>
      <w:r>
        <w:rPr>
          <w:rFonts w:ascii="Cambria" w:hAnsi="Cambria"/>
          <w:sz w:val="22"/>
        </w:rPr>
        <w:t>☐ Environment-related responsibilities assigned to IQAC / Sustainability Coordinator.</w:t>
      </w:r>
    </w:p>
    <w:p>
      <w:pPr>
        <w:pStyle w:val="ListBullet"/>
        <w:ind w:left="357"/>
        <w:jc w:val="both"/>
      </w:pPr>
      <w:r>
        <w:rPr>
          <w:rFonts w:ascii="Cambria" w:hAnsi="Cambria"/>
          <w:sz w:val="22"/>
        </w:rPr>
        <w:t>☐ Institution complies with local/state environmental laws (water, air, waste).</w:t>
      </w:r>
    </w:p>
    <w:p>
      <w:pPr>
        <w:pStyle w:val="ListBullet"/>
        <w:ind w:left="357"/>
        <w:jc w:val="both"/>
      </w:pPr>
      <w:r>
        <w:rPr>
          <w:rFonts w:ascii="Cambria" w:hAnsi="Cambria"/>
          <w:sz w:val="22"/>
        </w:rPr>
        <w:t>☐ Evidence of funding allocation (minimum 2–5% of annual budget) for sustainability projects.</w:t>
      </w:r>
    </w:p>
    <w:p>
      <w:pPr>
        <w:spacing w:after="120"/>
        <w:jc w:val="both"/>
      </w:pPr>
      <w:r>
        <w:rPr>
          <w:rFonts w:ascii="Cambria" w:hAnsi="Cambria"/>
          <w:b/>
          <w:i w:val="0"/>
          <w:sz w:val="22"/>
        </w:rPr>
        <w:t>5. Accreditation Mapping</w:t>
      </w:r>
    </w:p>
    <w:p>
      <w:pPr>
        <w:pStyle w:val="ListBullet"/>
        <w:ind w:left="357"/>
        <w:jc w:val="both"/>
      </w:pPr>
      <w:r>
        <w:rPr>
          <w:rFonts w:ascii="Cambria" w:hAnsi="Cambria"/>
          <w:b/>
          <w:sz w:val="22"/>
        </w:rPr>
        <w:t xml:space="preserve">NAAC: </w:t>
      </w:r>
      <w:r>
        <w:rPr>
          <w:rFonts w:ascii="Cambria" w:hAnsi="Cambria"/>
          <w:sz w:val="22"/>
        </w:rPr>
        <w:t>Criterion VII (Institutional Values &amp; Best Practices), AQAR Green Audit compliance.</w:t>
      </w:r>
    </w:p>
    <w:p>
      <w:pPr>
        <w:pStyle w:val="ListBullet"/>
        <w:ind w:left="357"/>
        <w:jc w:val="both"/>
      </w:pPr>
      <w:r>
        <w:rPr>
          <w:rFonts w:ascii="Cambria" w:hAnsi="Cambria"/>
          <w:b/>
          <w:sz w:val="22"/>
        </w:rPr>
        <w:t xml:space="preserve">NBA: </w:t>
      </w:r>
      <w:r>
        <w:rPr>
          <w:rFonts w:ascii="Cambria" w:hAnsi="Cambria"/>
          <w:sz w:val="22"/>
        </w:rPr>
        <w:t>Infrastructure quality benchmarks include environmental measures.</w:t>
      </w:r>
    </w:p>
    <w:p>
      <w:pPr>
        <w:pStyle w:val="ListBullet"/>
        <w:ind w:left="357"/>
        <w:jc w:val="both"/>
      </w:pPr>
      <w:r>
        <w:rPr>
          <w:rFonts w:ascii="Cambria" w:hAnsi="Cambria"/>
          <w:b/>
          <w:sz w:val="22"/>
        </w:rPr>
        <w:t xml:space="preserve">NIRF: </w:t>
      </w:r>
      <w:r>
        <w:rPr>
          <w:rFonts w:ascii="Cambria" w:hAnsi="Cambria"/>
          <w:sz w:val="22"/>
        </w:rPr>
        <w:t>Indirect contribution to Teaching–Learning (TL) and Outreach &amp; Inclusivity (OI) scores.</w:t>
      </w:r>
    </w:p>
    <w:p>
      <w:pPr>
        <w:pStyle w:val="ListBullet"/>
        <w:ind w:left="357"/>
        <w:jc w:val="both"/>
      </w:pPr>
      <w:r>
        <w:rPr>
          <w:rFonts w:ascii="Cambria" w:hAnsi="Cambria"/>
          <w:b/>
          <w:sz w:val="22"/>
        </w:rPr>
        <w:t xml:space="preserve">QS I-GAUGE: </w:t>
      </w:r>
      <w:r>
        <w:rPr>
          <w:rFonts w:ascii="Cambria" w:hAnsi="Cambria"/>
          <w:sz w:val="22"/>
        </w:rPr>
        <w:t>Environment &amp; Sustainability parameter compliance.</w:t>
      </w:r>
    </w:p>
    <w:p>
      <w:pPr>
        <w:pStyle w:val="ListBullet"/>
        <w:ind w:left="357"/>
        <w:jc w:val="both"/>
      </w:pPr>
      <w:r>
        <w:rPr>
          <w:rFonts w:ascii="Cambria" w:hAnsi="Cambria"/>
          <w:b/>
          <w:sz w:val="22"/>
        </w:rPr>
        <w:t xml:space="preserve">THE Impact Rankings: </w:t>
      </w:r>
      <w:r>
        <w:rPr>
          <w:rFonts w:ascii="Cambria" w:hAnsi="Cambria"/>
          <w:sz w:val="22"/>
        </w:rPr>
        <w:t>SDG-6, SDG-7, SDG-13 metrics directly addressed.</w:t>
      </w:r>
    </w:p>
    <w:p>
      <w:pPr>
        <w:spacing w:after="120"/>
        <w:jc w:val="both"/>
      </w:pPr>
      <w:r>
        <w:rPr>
          <w:rFonts w:ascii="Cambria" w:hAnsi="Cambria"/>
          <w:b/>
          <w:i w:val="0"/>
          <w:sz w:val="22"/>
        </w:rPr>
        <w:t>6. Key Performance Indicators (KPIs)</w:t>
      </w:r>
    </w:p>
    <w:p>
      <w:pPr>
        <w:pStyle w:val="ListBullet"/>
        <w:ind w:left="357"/>
        <w:jc w:val="both"/>
      </w:pPr>
      <w:r>
        <w:rPr>
          <w:rFonts w:ascii="Cambria" w:hAnsi="Cambria"/>
          <w:sz w:val="22"/>
        </w:rPr>
        <w:t>% reduction in water and energy consumption per student year-on-year.</w:t>
      </w:r>
    </w:p>
    <w:p>
      <w:pPr>
        <w:pStyle w:val="ListBullet"/>
        <w:ind w:left="357"/>
        <w:jc w:val="both"/>
      </w:pPr>
      <w:r>
        <w:rPr>
          <w:rFonts w:ascii="Cambria" w:hAnsi="Cambria"/>
          <w:sz w:val="22"/>
        </w:rPr>
        <w:t>% of waste recycled/composted annually.</w:t>
      </w:r>
    </w:p>
    <w:p>
      <w:pPr>
        <w:pStyle w:val="ListBullet"/>
        <w:ind w:left="357"/>
        <w:jc w:val="both"/>
      </w:pPr>
      <w:r>
        <w:rPr>
          <w:rFonts w:ascii="Cambria" w:hAnsi="Cambria"/>
          <w:sz w:val="22"/>
        </w:rPr>
        <w:t>Number of HEI-led sustainability projects (campus + community).</w:t>
      </w:r>
    </w:p>
    <w:p>
      <w:pPr>
        <w:pStyle w:val="ListBullet"/>
        <w:ind w:left="357"/>
        <w:jc w:val="both"/>
      </w:pPr>
      <w:r>
        <w:rPr>
          <w:rFonts w:ascii="Cambria" w:hAnsi="Cambria"/>
          <w:sz w:val="22"/>
        </w:rPr>
        <w:t>Student participation rate in eco-clubs and green initiatives.</w:t>
      </w:r>
    </w:p>
    <w:p>
      <w:pPr>
        <w:pStyle w:val="ListBullet"/>
        <w:ind w:left="357"/>
        <w:jc w:val="both"/>
      </w:pPr>
      <w:r>
        <w:rPr>
          <w:rFonts w:ascii="Cambria" w:hAnsi="Cambria"/>
          <w:sz w:val="22"/>
        </w:rPr>
        <w:t>Accreditation reports citing environmental compliance and innovations.</w:t>
      </w:r>
    </w:p>
    <w:p>
      <w:r>
        <w:br w:type="page"/>
      </w:r>
    </w:p>
    <w:p>
      <w:pPr>
        <w:spacing w:before="280" w:after="160"/>
        <w:jc w:val="left"/>
      </w:pPr>
      <w:r>
        <w:rPr>
          <w:rFonts w:ascii="Cambria" w:hAnsi="Cambria"/>
          <w:b/>
          <w:color w:val="1F3A5F"/>
          <w:sz w:val="32"/>
        </w:rPr>
        <w:t>20. Research Parks &amp; Knowledge Hubs for SDG-4</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Traditional HEIs often emphasize teaching and examinations, but to achieve SDG-4 (Quality Education), institutions must also act as innovation engines.</w:t>
      </w:r>
    </w:p>
    <w:p>
      <w:pPr>
        <w:pStyle w:val="ListBullet"/>
        <w:ind w:left="357"/>
        <w:jc w:val="both"/>
      </w:pPr>
      <w:r>
        <w:rPr>
          <w:rFonts w:ascii="Cambria" w:hAnsi="Cambria"/>
          <w:sz w:val="22"/>
        </w:rPr>
        <w:t>Research Parks / Knowledge Hubs provide the infrastructure and ecosystem for students, faculty, and industry partners to co-create solutions that address educational access, inclusivity, and quality.</w:t>
      </w:r>
    </w:p>
    <w:p>
      <w:pPr>
        <w:pStyle w:val="ListBullet"/>
        <w:ind w:left="357"/>
        <w:jc w:val="both"/>
      </w:pPr>
      <w:r>
        <w:rPr>
          <w:rFonts w:ascii="Cambria" w:hAnsi="Cambria"/>
          <w:sz w:val="22"/>
        </w:rPr>
        <w:t>Events like Anveshan (AIU) and Hackathons (AICTE) have already demonstrated how students can generate practical, low-cost, and scalable solutions to real-world problems. Research Parks can institutionalize and scale these efforts.</w:t>
      </w:r>
    </w:p>
    <w:p>
      <w:pPr>
        <w:spacing w:before="200" w:after="80"/>
        <w:jc w:val="left"/>
      </w:pPr>
      <w:r>
        <w:rPr>
          <w:rFonts w:ascii="Cambria" w:hAnsi="Cambria"/>
          <w:b/>
          <w:color w:val="1F3A5F"/>
          <w:sz w:val="25"/>
        </w:rPr>
        <w:t>2. Key Functions of Research Parks / Knowledge Hubs</w:t>
      </w:r>
    </w:p>
    <w:p>
      <w:pPr>
        <w:pStyle w:val="ListBullet"/>
        <w:ind w:left="357"/>
        <w:jc w:val="both"/>
      </w:pPr>
      <w:r>
        <w:rPr>
          <w:rFonts w:ascii="Cambria" w:hAnsi="Cambria"/>
          <w:b/>
          <w:sz w:val="22"/>
        </w:rPr>
        <w:t xml:space="preserve">Monitoring SDG-4 Outputs: </w:t>
      </w:r>
      <w:r>
        <w:rPr>
          <w:rFonts w:ascii="Cambria" w:hAnsi="Cambria"/>
          <w:sz w:val="22"/>
        </w:rPr>
        <w:t>Track progress in education, research, technology, and innovation using defined metrics (patents, publications, enrolment, inclusivity indices).</w:t>
      </w:r>
    </w:p>
    <w:p>
      <w:pPr>
        <w:pStyle w:val="ListBullet"/>
        <w:ind w:left="357"/>
        <w:jc w:val="both"/>
      </w:pPr>
      <w:r>
        <w:rPr>
          <w:rFonts w:ascii="Cambria" w:hAnsi="Cambria"/>
          <w:b/>
          <w:sz w:val="22"/>
        </w:rPr>
        <w:t xml:space="preserve">Innovation Ecosystems: </w:t>
      </w:r>
      <w:r>
        <w:rPr>
          <w:rFonts w:ascii="Cambria" w:hAnsi="Cambria"/>
          <w:sz w:val="22"/>
        </w:rPr>
        <w:t>Provide incubation support, maker spaces, and seed funding for student-led projects.</w:t>
      </w:r>
    </w:p>
    <w:p>
      <w:pPr>
        <w:pStyle w:val="ListBullet"/>
        <w:ind w:left="357"/>
        <w:jc w:val="both"/>
      </w:pPr>
      <w:r>
        <w:rPr>
          <w:rFonts w:ascii="Cambria" w:hAnsi="Cambria"/>
          <w:b/>
          <w:sz w:val="22"/>
        </w:rPr>
        <w:t xml:space="preserve">Skill Development: </w:t>
      </w:r>
      <w:r>
        <w:rPr>
          <w:rFonts w:ascii="Cambria" w:hAnsi="Cambria"/>
          <w:sz w:val="22"/>
        </w:rPr>
        <w:t>Train students in research methodologies, design thinking, and entrepreneurship.</w:t>
      </w:r>
    </w:p>
    <w:p>
      <w:pPr>
        <w:pStyle w:val="ListBullet"/>
        <w:ind w:left="357"/>
        <w:jc w:val="both"/>
      </w:pPr>
      <w:r>
        <w:rPr>
          <w:rFonts w:ascii="Cambria" w:hAnsi="Cambria"/>
          <w:b/>
          <w:sz w:val="22"/>
        </w:rPr>
        <w:t xml:space="preserve">Partnership Platforms: </w:t>
      </w:r>
      <w:r>
        <w:rPr>
          <w:rFonts w:ascii="Cambria" w:hAnsi="Cambria"/>
          <w:sz w:val="22"/>
        </w:rPr>
        <w:t>Connect academia, industry, government, and community stakeholders to solve SDG-related challenges.</w:t>
      </w:r>
    </w:p>
    <w:p>
      <w:pPr>
        <w:pStyle w:val="ListBullet"/>
        <w:ind w:left="357"/>
        <w:jc w:val="both"/>
      </w:pPr>
      <w:r>
        <w:rPr>
          <w:rFonts w:ascii="Cambria" w:hAnsi="Cambria"/>
          <w:b/>
          <w:sz w:val="22"/>
        </w:rPr>
        <w:t xml:space="preserve">Events &amp; Competitions: </w:t>
      </w:r>
      <w:r>
        <w:rPr>
          <w:rFonts w:ascii="Cambria" w:hAnsi="Cambria"/>
          <w:sz w:val="22"/>
        </w:rPr>
        <w:t>Host Anveshan, Hackathons, and SDG Innovation Challenges to channel student creativity into measurable outputs.</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IIT Madras Research Park (India): </w:t>
      </w:r>
      <w:r>
        <w:rPr>
          <w:rFonts w:ascii="Cambria" w:hAnsi="Cambria"/>
          <w:sz w:val="22"/>
        </w:rPr>
        <w:t>A flagship model that links industry and academia for R&amp;D and commercialization.</w:t>
      </w:r>
    </w:p>
    <w:p>
      <w:pPr>
        <w:pStyle w:val="ListBullet"/>
        <w:ind w:left="357"/>
        <w:jc w:val="both"/>
      </w:pPr>
      <w:r>
        <w:rPr>
          <w:rFonts w:ascii="Cambria" w:hAnsi="Cambria"/>
          <w:b/>
          <w:sz w:val="22"/>
        </w:rPr>
        <w:t xml:space="preserve">Stanford Research Park (USA): </w:t>
      </w:r>
      <w:r>
        <w:rPr>
          <w:rFonts w:ascii="Cambria" w:hAnsi="Cambria"/>
          <w:sz w:val="22"/>
        </w:rPr>
        <w:t>Catalyst for Silicon Valley's university–industry collaboration model.</w:t>
      </w:r>
    </w:p>
    <w:p>
      <w:pPr>
        <w:pStyle w:val="ListBullet"/>
        <w:ind w:left="357"/>
        <w:jc w:val="both"/>
      </w:pPr>
      <w:r>
        <w:rPr>
          <w:rFonts w:ascii="Cambria" w:hAnsi="Cambria"/>
          <w:b/>
          <w:sz w:val="22"/>
        </w:rPr>
        <w:t xml:space="preserve">Anveshan (AIU): </w:t>
      </w:r>
      <w:r>
        <w:rPr>
          <w:rFonts w:ascii="Cambria" w:hAnsi="Cambria"/>
          <w:sz w:val="22"/>
        </w:rPr>
        <w:t>Student research convention that nurtures grassroots-level innovation.</w:t>
      </w:r>
    </w:p>
    <w:p>
      <w:pPr>
        <w:pStyle w:val="ListBullet"/>
        <w:ind w:left="357"/>
        <w:jc w:val="both"/>
      </w:pPr>
      <w:r>
        <w:rPr>
          <w:rFonts w:ascii="Cambria" w:hAnsi="Cambria"/>
          <w:b/>
          <w:sz w:val="22"/>
        </w:rPr>
        <w:t xml:space="preserve">Smart India Hackathon (AICTE): </w:t>
      </w:r>
      <w:r>
        <w:rPr>
          <w:rFonts w:ascii="Cambria" w:hAnsi="Cambria"/>
          <w:sz w:val="22"/>
        </w:rPr>
        <w:t>Engages lakhs of students in solving real-world challenges posed by ministries and industries.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b/>
          <w:sz w:val="22"/>
        </w:rPr>
        <w:t xml:space="preserve">Enhanced Research Productivity: </w:t>
      </w:r>
      <w:r>
        <w:rPr>
          <w:rFonts w:ascii="Cambria" w:hAnsi="Cambria"/>
          <w:sz w:val="22"/>
        </w:rPr>
        <w:t>Increase in patents, publications, and start-ups emerging from HEIs.</w:t>
      </w:r>
    </w:p>
    <w:p>
      <w:pPr>
        <w:pStyle w:val="ListBullet"/>
        <w:ind w:left="357"/>
        <w:jc w:val="both"/>
      </w:pPr>
      <w:r>
        <w:rPr>
          <w:rFonts w:ascii="Cambria" w:hAnsi="Cambria"/>
          <w:b/>
          <w:sz w:val="22"/>
        </w:rPr>
        <w:t xml:space="preserve">Student Engagement: </w:t>
      </w:r>
      <w:r>
        <w:rPr>
          <w:rFonts w:ascii="Cambria" w:hAnsi="Cambria"/>
          <w:sz w:val="22"/>
        </w:rPr>
        <w:t>Greater participation of students in innovation, entrepreneurship, and problem-solving.</w:t>
      </w:r>
    </w:p>
    <w:p>
      <w:pPr>
        <w:pStyle w:val="ListBullet"/>
        <w:ind w:left="357"/>
        <w:jc w:val="both"/>
      </w:pPr>
      <w:r>
        <w:rPr>
          <w:rFonts w:ascii="Cambria" w:hAnsi="Cambria"/>
          <w:b/>
          <w:sz w:val="22"/>
        </w:rPr>
        <w:t xml:space="preserve">Knowledge Economy Growth: </w:t>
      </w:r>
      <w:r>
        <w:rPr>
          <w:rFonts w:ascii="Cambria" w:hAnsi="Cambria"/>
          <w:sz w:val="22"/>
        </w:rPr>
        <w:t>Research Parks act as hubs of knowledge transfer, strengthening India's innovation ecosystem.</w:t>
      </w:r>
    </w:p>
    <w:p>
      <w:pPr>
        <w:pStyle w:val="ListBullet"/>
        <w:ind w:left="357"/>
        <w:jc w:val="both"/>
      </w:pPr>
      <w:r>
        <w:rPr>
          <w:rFonts w:ascii="Cambria" w:hAnsi="Cambria"/>
          <w:b/>
          <w:sz w:val="22"/>
        </w:rPr>
        <w:t xml:space="preserve">Alignment with SDGs: </w:t>
      </w:r>
      <w:r>
        <w:rPr>
          <w:rFonts w:ascii="Cambria" w:hAnsi="Cambria"/>
          <w:sz w:val="22"/>
        </w:rPr>
        <w:t>Innovations directly target educational accessibility, literacy, inclusivity, and sustainability issues.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Number of Research Parks / Knowledge Hubs established.</w:t>
      </w:r>
    </w:p>
    <w:p>
      <w:pPr>
        <w:pStyle w:val="ListBullet"/>
        <w:ind w:left="357"/>
        <w:jc w:val="both"/>
      </w:pPr>
      <w:r>
        <w:rPr>
          <w:rFonts w:ascii="Cambria" w:hAnsi="Cambria"/>
          <w:sz w:val="22"/>
        </w:rPr>
        <w:t>Annual patents filed, publications, and prototypes developed.</w:t>
      </w:r>
    </w:p>
    <w:p>
      <w:pPr>
        <w:pStyle w:val="ListBullet"/>
        <w:ind w:left="357"/>
        <w:jc w:val="both"/>
      </w:pPr>
      <w:r>
        <w:rPr>
          <w:rFonts w:ascii="Cambria" w:hAnsi="Cambria"/>
          <w:sz w:val="22"/>
        </w:rPr>
        <w:t>Number of students participating in hackathons, Anveshan, and innovation challenges.</w:t>
      </w:r>
    </w:p>
    <w:p>
      <w:pPr>
        <w:pStyle w:val="ListBullet"/>
        <w:ind w:left="357"/>
        <w:jc w:val="both"/>
      </w:pPr>
      <w:r>
        <w:rPr>
          <w:rFonts w:ascii="Cambria" w:hAnsi="Cambria"/>
          <w:sz w:val="22"/>
        </w:rPr>
        <w:t>Amount of research and industry funding attracted.</w:t>
      </w:r>
    </w:p>
    <w:p>
      <w:pPr>
        <w:pStyle w:val="ListBullet"/>
        <w:ind w:left="357"/>
        <w:jc w:val="both"/>
      </w:pPr>
      <w:r>
        <w:rPr>
          <w:rFonts w:ascii="Cambria" w:hAnsi="Cambria"/>
          <w:sz w:val="22"/>
        </w:rPr>
        <w:t>Number of start-ups incubated and sustained beyond 3 years.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gain hands-on skills in research, innovation, and entrepreneurship.</w:t>
      </w:r>
    </w:p>
    <w:p>
      <w:pPr>
        <w:pStyle w:val="ListBullet"/>
        <w:ind w:left="357"/>
        <w:jc w:val="both"/>
      </w:pPr>
      <w:r>
        <w:rPr>
          <w:rFonts w:ascii="Cambria" w:hAnsi="Cambria"/>
          <w:sz w:val="22"/>
        </w:rPr>
        <w:t>Exposure to real-world problems enhances problem-solving capacity.</w:t>
      </w:r>
    </w:p>
    <w:p>
      <w:pPr>
        <w:pStyle w:val="ListBullet"/>
        <w:ind w:left="357"/>
        <w:jc w:val="both"/>
      </w:pPr>
      <w:r>
        <w:rPr>
          <w:rFonts w:ascii="Cambria" w:hAnsi="Cambria"/>
          <w:sz w:val="22"/>
        </w:rPr>
        <w:t>Direct pathways into start-up ventures, industry partnerships, and global research collaborations.</w:t>
      </w:r>
    </w:p>
    <w:p>
      <w:pPr>
        <w:pStyle w:val="ListBullet"/>
        <w:ind w:left="357"/>
        <w:jc w:val="both"/>
      </w:pPr>
      <w:r>
        <w:rPr>
          <w:rFonts w:ascii="Cambria" w:hAnsi="Cambria"/>
          <w:sz w:val="22"/>
        </w:rPr>
        <w:t>Development of leadership, teamwork, and digital skills.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Local and global communities benefit from low-cost, practical innovations in education, accessibility, and sustainability.</w:t>
      </w:r>
    </w:p>
    <w:p>
      <w:pPr>
        <w:pStyle w:val="ListBullet"/>
        <w:ind w:left="357"/>
        <w:jc w:val="both"/>
      </w:pPr>
      <w:r>
        <w:rPr>
          <w:rFonts w:ascii="Cambria" w:hAnsi="Cambria"/>
          <w:sz w:val="22"/>
        </w:rPr>
        <w:t>Strengthens India's higher education as a driver of knowledge economy.</w:t>
      </w:r>
    </w:p>
    <w:p>
      <w:pPr>
        <w:pStyle w:val="ListBullet"/>
        <w:ind w:left="357"/>
        <w:jc w:val="both"/>
      </w:pPr>
      <w:r>
        <w:rPr>
          <w:rFonts w:ascii="Cambria" w:hAnsi="Cambria"/>
          <w:sz w:val="22"/>
        </w:rPr>
        <w:t>Creates job opportunities and improves the innovation pipeline.</w:t>
      </w:r>
    </w:p>
    <w:p>
      <w:pPr>
        <w:pStyle w:val="ListBullet"/>
        <w:ind w:left="357"/>
        <w:jc w:val="both"/>
      </w:pPr>
      <w:r>
        <w:rPr>
          <w:rFonts w:ascii="Cambria" w:hAnsi="Cambria"/>
          <w:sz w:val="22"/>
        </w:rPr>
        <w:t>Promotes a culture of research-driven development within HEIs and beyond.</w:t>
      </w:r>
    </w:p>
    <w:p>
      <w:pPr>
        <w:spacing w:before="200" w:after="80"/>
        <w:jc w:val="left"/>
      </w:pPr>
      <w:r>
        <w:rPr>
          <w:rFonts w:ascii="Cambria" w:hAnsi="Cambria"/>
          <w:b/>
          <w:color w:val="1F3A5F"/>
          <w:sz w:val="25"/>
        </w:rPr>
        <w:t>Innovation &amp; Research – Research Parks and Knowledge Hubs</w:t>
      </w:r>
    </w:p>
    <w:p>
      <w:pPr>
        <w:spacing w:before="160" w:after="80"/>
      </w:pPr>
      <w:r>
        <w:rPr>
          <w:rFonts w:ascii="Cambria" w:hAnsi="Cambria"/>
          <w:b/>
          <w:color w:val="1F3A5F"/>
          <w:sz w:val="23"/>
        </w:rPr>
        <w:t>Innovation &amp; Research – Research Parks / Knowledge Hubs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Establish Research Parks / Knowledge Hubs in HEIs for SDG-4 monitoring and innovation; Track measured outputs in education, research, technology, and promoting innovation ecosystems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IIT Madras Research Park (India): Industry–academia hub for R&amp;D and innovation; Stanford Research Park (USA): Global leader in university-driven entrepreneurship; Anveshan (AIU): Student research convention promoting grassroots innovation</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Creation of knowledge hubs to foster SDG-driven innovation; Increased student engagement in research and entrepreneurship; Growth in patents, publications, prototypes, and start-ups; Strengthened HEI role</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Research Parks / Knowledge Hubs established; Number of patents, publications, and innovations incubated annually</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Establish and manage Research Parks and events; Regulators (UGC, AICTE, AIU, MoE): Provide policy support, grants, and innovation frameworks; Industry Partners: Provide funding, mentors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III (Research, Innovations, Extensions) strengthened; NBA: Innovation and entrepreneurship focus in programme outcomes; NIRF: Boosts Research &amp; Professional Practices score</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hands-on innovation, research, and entrepreneurship skills; Higher employability through participation in hackathons, research conventions, and start-up incubators; Students learn problem-solving aligned with SDGs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Local and global problems addressed via SDG-focused innovations; HEIs become regional knowledge hubs linking education with real-world change; Community benefits</w:t>
            </w:r>
          </w:p>
        </w:tc>
      </w:tr>
    </w:tbl>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Extend Research Park/Hub policy to all HEIs with NAAC A / NBA Tier-1 status.</w:t>
      </w:r>
    </w:p>
    <w:p>
      <w:pPr>
        <w:pStyle w:val="ListBullet"/>
        <w:ind w:left="357"/>
        <w:jc w:val="both"/>
      </w:pPr>
      <w:r>
        <w:rPr>
          <w:rFonts w:ascii="Cambria" w:hAnsi="Cambria"/>
          <w:sz w:val="22"/>
        </w:rPr>
        <w:t>Provide matching funds for HEIs that attract industry collaboration.</w:t>
      </w:r>
    </w:p>
    <w:p>
      <w:pPr>
        <w:pStyle w:val="ListBullet"/>
        <w:ind w:left="357"/>
        <w:jc w:val="both"/>
      </w:pPr>
      <w:r>
        <w:rPr>
          <w:rFonts w:ascii="Cambria" w:hAnsi="Cambria"/>
          <w:sz w:val="22"/>
        </w:rPr>
        <w:t>National Innovation Rankings introduced for HEIs to measure SDG-aligned outputs.</w:t>
      </w:r>
    </w:p>
    <w:p>
      <w:pPr>
        <w:spacing w:after="120"/>
        <w:jc w:val="both"/>
      </w:pPr>
      <w:r>
        <w:rPr>
          <w:rFonts w:ascii="Cambria" w:hAnsi="Cambria"/>
          <w:b/>
          <w:i w:val="0"/>
          <w:sz w:val="22"/>
        </w:rPr>
        <w:t>Actions:</w:t>
      </w:r>
    </w:p>
    <w:p>
      <w:pPr>
        <w:pStyle w:val="ListBullet"/>
        <w:ind w:left="357"/>
        <w:jc w:val="both"/>
      </w:pPr>
      <w:r>
        <w:rPr>
          <w:rFonts w:ascii="Cambria" w:hAnsi="Cambria"/>
          <w:sz w:val="22"/>
        </w:rPr>
        <w:t>Establish state/regional networks of Research Parks for collaboration.</w:t>
      </w:r>
    </w:p>
    <w:p>
      <w:pPr>
        <w:pStyle w:val="ListBullet"/>
        <w:ind w:left="357"/>
        <w:jc w:val="both"/>
      </w:pPr>
      <w:r>
        <w:rPr>
          <w:rFonts w:ascii="Cambria" w:hAnsi="Cambria"/>
          <w:sz w:val="22"/>
        </w:rPr>
        <w:t>Scale up incubation and seed funding programmes for student-led start-ups.</w:t>
      </w:r>
    </w:p>
    <w:p>
      <w:pPr>
        <w:pStyle w:val="ListBullet"/>
        <w:ind w:left="357"/>
        <w:jc w:val="both"/>
      </w:pPr>
      <w:r>
        <w:rPr>
          <w:rFonts w:ascii="Cambria" w:hAnsi="Cambria"/>
          <w:sz w:val="22"/>
        </w:rPr>
        <w:t>Expand events like Smart India Hackathon and Anveshan to include global participation.</w:t>
      </w:r>
    </w:p>
    <w:p>
      <w:pPr>
        <w:pStyle w:val="ListBullet"/>
        <w:ind w:left="357"/>
        <w:jc w:val="both"/>
      </w:pPr>
      <w:r>
        <w:rPr>
          <w:rFonts w:ascii="Cambria" w:hAnsi="Cambria"/>
          <w:sz w:val="22"/>
        </w:rPr>
        <w:t>Develop joint industry–academia research labs inside Research Parks.</w:t>
      </w:r>
    </w:p>
    <w:p>
      <w:pPr>
        <w:pStyle w:val="ListBullet"/>
        <w:ind w:left="357"/>
        <w:jc w:val="both"/>
      </w:pPr>
      <w:r>
        <w:rPr>
          <w:rFonts w:ascii="Cambria" w:hAnsi="Cambria"/>
          <w:sz w:val="22"/>
        </w:rPr>
        <w:t>Deploy digital dashboards to track patents, publications, start-ups, and community outreach.</w:t>
      </w:r>
    </w:p>
    <w:p>
      <w:pPr>
        <w:spacing w:after="120"/>
        <w:jc w:val="both"/>
      </w:pPr>
      <w:r>
        <w:rPr>
          <w:rFonts w:ascii="Cambria" w:hAnsi="Cambria"/>
          <w:b/>
          <w:i w:val="0"/>
          <w:sz w:val="22"/>
        </w:rPr>
        <w:t>Outcomes:</w:t>
      </w:r>
    </w:p>
    <w:p>
      <w:pPr>
        <w:pStyle w:val="ListBullet"/>
        <w:ind w:left="357"/>
        <w:jc w:val="both"/>
      </w:pPr>
      <w:r>
        <w:rPr>
          <w:rFonts w:ascii="Cambria" w:hAnsi="Cambria"/>
          <w:sz w:val="22"/>
        </w:rPr>
        <w:t>Significant increase in patents, prototypes, and start-ups emerging from HEIs.</w:t>
      </w:r>
    </w:p>
    <w:p>
      <w:pPr>
        <w:pStyle w:val="ListBullet"/>
        <w:ind w:left="357"/>
        <w:jc w:val="both"/>
      </w:pPr>
      <w:r>
        <w:rPr>
          <w:rFonts w:ascii="Cambria" w:hAnsi="Cambria"/>
          <w:sz w:val="22"/>
        </w:rPr>
        <w:t>Research Parks become regional knowledge hubs driving innovation.</w:t>
      </w:r>
    </w:p>
    <w:p>
      <w:pPr>
        <w:pStyle w:val="ListBullet"/>
        <w:ind w:left="357"/>
        <w:jc w:val="both"/>
      </w:pPr>
      <w:r>
        <w:rPr>
          <w:rFonts w:ascii="Cambria" w:hAnsi="Cambria"/>
          <w:sz w:val="22"/>
        </w:rPr>
        <w:t>Students get hands-on exposure to real-world challenges through hackathons and industry projects.</w:t>
      </w:r>
    </w:p>
    <w:p>
      <w:pPr>
        <w:pStyle w:val="ListBullet"/>
        <w:ind w:left="357"/>
        <w:jc w:val="both"/>
      </w:pPr>
      <w:r>
        <w:rPr>
          <w:rFonts w:ascii="Cambria" w:hAnsi="Cambria"/>
          <w:sz w:val="22"/>
        </w:rPr>
        <w:t>India's HEIs start contributing visibly to global SDG-4 benchmarks.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Research Parks institutionalized as mandatory in all universities.</w:t>
      </w:r>
    </w:p>
    <w:p>
      <w:pPr>
        <w:pStyle w:val="ListBullet"/>
        <w:ind w:left="357"/>
        <w:jc w:val="both"/>
      </w:pPr>
      <w:r>
        <w:rPr>
          <w:rFonts w:ascii="Cambria" w:hAnsi="Cambria"/>
          <w:sz w:val="22"/>
        </w:rPr>
        <w:t>Integration into National SDG Monitoring Framework and India's innovation policy.</w:t>
      </w:r>
    </w:p>
    <w:p>
      <w:pPr>
        <w:pStyle w:val="ListBullet"/>
        <w:ind w:left="357"/>
        <w:jc w:val="both"/>
      </w:pPr>
      <w:r>
        <w:rPr>
          <w:rFonts w:ascii="Cambria" w:hAnsi="Cambria"/>
          <w:sz w:val="22"/>
        </w:rPr>
        <w:t>Establish international partnerships (UNESCO, Erasmus+, World Bank) for Research Park networks.</w:t>
      </w:r>
    </w:p>
    <w:p>
      <w:pPr>
        <w:spacing w:after="120"/>
        <w:jc w:val="both"/>
      </w:pPr>
      <w:r>
        <w:rPr>
          <w:rFonts w:ascii="Cambria" w:hAnsi="Cambria"/>
          <w:b/>
          <w:i w:val="0"/>
          <w:sz w:val="22"/>
        </w:rPr>
        <w:t>Actions:</w:t>
      </w:r>
    </w:p>
    <w:p>
      <w:pPr>
        <w:pStyle w:val="ListBullet"/>
        <w:ind w:left="357"/>
        <w:jc w:val="both"/>
      </w:pPr>
      <w:r>
        <w:rPr>
          <w:rFonts w:ascii="Cambria" w:hAnsi="Cambria"/>
          <w:sz w:val="22"/>
        </w:rPr>
        <w:t>Research Parks evolve into Global Centres of Excellence for SDG-4 innovation.</w:t>
      </w:r>
    </w:p>
    <w:p>
      <w:pPr>
        <w:pStyle w:val="ListBullet"/>
        <w:ind w:left="357"/>
        <w:jc w:val="both"/>
      </w:pPr>
      <w:r>
        <w:rPr>
          <w:rFonts w:ascii="Cambria" w:hAnsi="Cambria"/>
          <w:sz w:val="22"/>
        </w:rPr>
        <w:t>Scale up to host annual global SDG Hackathons &amp; Anveshan conventions.</w:t>
      </w:r>
    </w:p>
    <w:p>
      <w:pPr>
        <w:pStyle w:val="ListBullet"/>
        <w:ind w:left="357"/>
        <w:jc w:val="both"/>
      </w:pPr>
      <w:r>
        <w:rPr>
          <w:rFonts w:ascii="Cambria" w:hAnsi="Cambria"/>
          <w:sz w:val="22"/>
        </w:rPr>
        <w:t>Create sustainable financing models via alumni endowments, CSR funds, and venture capital.</w:t>
      </w:r>
    </w:p>
    <w:p>
      <w:pPr>
        <w:pStyle w:val="ListBullet"/>
        <w:ind w:left="357"/>
        <w:jc w:val="both"/>
      </w:pPr>
      <w:r>
        <w:rPr>
          <w:rFonts w:ascii="Cambria" w:hAnsi="Cambria"/>
          <w:sz w:val="22"/>
        </w:rPr>
        <w:t>Link Research Parks with local communities to provide real-world educational solutions (literacy apps, low-cost devices, accessibility tools).</w:t>
      </w:r>
    </w:p>
    <w:p>
      <w:pPr>
        <w:spacing w:after="120"/>
        <w:jc w:val="both"/>
      </w:pPr>
      <w:r>
        <w:rPr>
          <w:rFonts w:ascii="Cambria" w:hAnsi="Cambria"/>
          <w:b/>
          <w:i w:val="0"/>
          <w:sz w:val="22"/>
        </w:rPr>
        <w:t>Outcomes:</w:t>
      </w:r>
    </w:p>
    <w:p>
      <w:pPr>
        <w:pStyle w:val="ListBullet"/>
        <w:ind w:left="357"/>
        <w:jc w:val="both"/>
      </w:pPr>
      <w:r>
        <w:rPr>
          <w:rFonts w:ascii="Cambria" w:hAnsi="Cambria"/>
          <w:sz w:val="22"/>
        </w:rPr>
        <w:t>India recognized as a global leader in education innovation ecosystems.</w:t>
      </w:r>
    </w:p>
    <w:p>
      <w:pPr>
        <w:pStyle w:val="ListBullet"/>
        <w:ind w:left="357"/>
        <w:jc w:val="both"/>
      </w:pPr>
      <w:r>
        <w:rPr>
          <w:rFonts w:ascii="Cambria" w:hAnsi="Cambria"/>
          <w:sz w:val="22"/>
        </w:rPr>
        <w:t>Continuous pipeline of graduates, start-ups, and innovations solving SDG-4 challenges.</w:t>
      </w:r>
    </w:p>
    <w:p>
      <w:pPr>
        <w:pStyle w:val="ListBullet"/>
        <w:ind w:left="357"/>
        <w:jc w:val="both"/>
      </w:pPr>
      <w:r>
        <w:rPr>
          <w:rFonts w:ascii="Cambria" w:hAnsi="Cambria"/>
          <w:sz w:val="22"/>
        </w:rPr>
        <w:t>Strong integration of higher education with national development goals.</w:t>
      </w:r>
    </w:p>
    <w:p>
      <w:pPr>
        <w:pStyle w:val="ListBullet"/>
        <w:ind w:left="357"/>
        <w:jc w:val="both"/>
      </w:pPr>
      <w:r>
        <w:rPr>
          <w:rFonts w:ascii="Cambria" w:hAnsi="Cambria"/>
          <w:sz w:val="22"/>
        </w:rPr>
        <w:t>Measurable improvements in literacy, inclusivity, and quality of education worldwide.</w:t>
      </w:r>
    </w:p>
    <w:p>
      <w:r>
        <w:br w:type="page"/>
      </w:r>
    </w:p>
    <w:p>
      <w:pPr>
        <w:spacing w:before="280" w:after="160"/>
        <w:jc w:val="left"/>
      </w:pPr>
      <w:r>
        <w:rPr>
          <w:rFonts w:ascii="Cambria" w:hAnsi="Cambria"/>
          <w:b/>
          <w:color w:val="1F3A5F"/>
          <w:sz w:val="32"/>
        </w:rPr>
        <w:t>21. Multidisciplinary Curriculum &amp; Indian Knowledge System (IKS) for SDG-4</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SDG-4 (Quality Education) emphasizes not only access but also the relevance and sustainability of education.</w:t>
      </w:r>
    </w:p>
    <w:p>
      <w:pPr>
        <w:pStyle w:val="ListBullet"/>
        <w:ind w:left="357"/>
        <w:jc w:val="both"/>
      </w:pPr>
      <w:r>
        <w:rPr>
          <w:rFonts w:ascii="Cambria" w:hAnsi="Cambria"/>
          <w:sz w:val="22"/>
        </w:rPr>
        <w:t>The National Education Policy (NEP 2020) identifies multidisciplinarity and holistic education as central reforms for Indian HEIs.</w:t>
      </w:r>
    </w:p>
    <w:p>
      <w:pPr>
        <w:pStyle w:val="ListBullet"/>
        <w:ind w:left="357"/>
        <w:jc w:val="both"/>
      </w:pPr>
      <w:r>
        <w:rPr>
          <w:rFonts w:ascii="Cambria" w:hAnsi="Cambria"/>
          <w:sz w:val="22"/>
        </w:rPr>
        <w:t>Incorporating the Indian Knowledge System (IKS) — Ayurveda, Yoga, water harvesting traditions, ecological ethics, and community-based learning — ensures that education is not only globally competitive but also locally rooted and environmentally conscious.</w:t>
      </w:r>
    </w:p>
    <w:p>
      <w:pPr>
        <w:pStyle w:val="ListBullet"/>
        <w:ind w:left="357"/>
        <w:jc w:val="both"/>
      </w:pPr>
      <w:r>
        <w:rPr>
          <w:rFonts w:ascii="Cambria" w:hAnsi="Cambria"/>
          <w:sz w:val="22"/>
        </w:rPr>
        <w:t>Promoting Indianness in education highlights India's civilizational strengths while embedding values of sustainability, harmony with nature, and social equity.</w:t>
      </w:r>
    </w:p>
    <w:p>
      <w:pPr>
        <w:spacing w:before="200" w:after="80"/>
        <w:jc w:val="left"/>
      </w:pPr>
      <w:r>
        <w:rPr>
          <w:rFonts w:ascii="Cambria" w:hAnsi="Cambria"/>
          <w:b/>
          <w:color w:val="1F3A5F"/>
          <w:sz w:val="25"/>
        </w:rPr>
        <w:t>2. Key Features of the Approach</w:t>
      </w:r>
    </w:p>
    <w:p>
      <w:pPr>
        <w:pStyle w:val="ListBullet"/>
        <w:ind w:left="357"/>
        <w:jc w:val="both"/>
      </w:pPr>
      <w:r>
        <w:rPr>
          <w:rFonts w:ascii="Cambria" w:hAnsi="Cambria"/>
          <w:sz w:val="22"/>
        </w:rPr>
        <w:t>Multidisciplinary &amp; Interdisciplinary Learning</w:t>
      </w:r>
    </w:p>
    <w:p>
      <w:pPr>
        <w:pStyle w:val="ListBullet2"/>
        <w:ind w:left="720"/>
        <w:jc w:val="both"/>
      </w:pPr>
      <w:r>
        <w:rPr>
          <w:rFonts w:ascii="Cambria" w:hAnsi="Cambria"/>
          <w:sz w:val="22"/>
        </w:rPr>
        <w:t>Students exposed to sciences, humanities, social sciences, and vocational knowledge.</w:t>
      </w:r>
    </w:p>
    <w:p>
      <w:pPr>
        <w:pStyle w:val="ListBullet2"/>
        <w:ind w:left="720"/>
        <w:jc w:val="both"/>
      </w:pPr>
      <w:r>
        <w:rPr>
          <w:rFonts w:ascii="Cambria" w:hAnsi="Cambria"/>
          <w:sz w:val="22"/>
        </w:rPr>
        <w:t>Encourages cross-domain problem-solving and innovation.</w:t>
      </w:r>
    </w:p>
    <w:p>
      <w:pPr>
        <w:pStyle w:val="ListBullet"/>
        <w:ind w:left="357"/>
        <w:jc w:val="both"/>
      </w:pPr>
      <w:r>
        <w:rPr>
          <w:rFonts w:ascii="Cambria" w:hAnsi="Cambria"/>
          <w:sz w:val="22"/>
        </w:rPr>
        <w:t>Integration of IKS</w:t>
      </w:r>
    </w:p>
    <w:p>
      <w:pPr>
        <w:pStyle w:val="ListBullet2"/>
        <w:ind w:left="720"/>
        <w:jc w:val="both"/>
      </w:pPr>
      <w:r>
        <w:rPr>
          <w:rFonts w:ascii="Cambria" w:hAnsi="Cambria"/>
          <w:sz w:val="22"/>
        </w:rPr>
        <w:t>Traditional practices like rainwater harvesting, Ayurveda, and Yoga embedded in curriculum.</w:t>
      </w:r>
    </w:p>
    <w:p>
      <w:pPr>
        <w:pStyle w:val="ListBullet2"/>
        <w:ind w:left="720"/>
        <w:jc w:val="both"/>
      </w:pPr>
      <w:r>
        <w:rPr>
          <w:rFonts w:ascii="Cambria" w:hAnsi="Cambria"/>
          <w:sz w:val="22"/>
        </w:rPr>
        <w:t>Research into sustainable technologies inspired by indigenous knowledge.</w:t>
      </w:r>
    </w:p>
    <w:p>
      <w:pPr>
        <w:pStyle w:val="ListBullet"/>
        <w:ind w:left="357"/>
        <w:jc w:val="both"/>
      </w:pPr>
      <w:r>
        <w:rPr>
          <w:rFonts w:ascii="Cambria" w:hAnsi="Cambria"/>
          <w:sz w:val="22"/>
        </w:rPr>
        <w:t>Indianness of Education</w:t>
      </w:r>
    </w:p>
    <w:p>
      <w:pPr>
        <w:pStyle w:val="ListBullet2"/>
        <w:ind w:left="720"/>
        <w:jc w:val="both"/>
      </w:pPr>
      <w:r>
        <w:rPr>
          <w:rFonts w:ascii="Cambria" w:hAnsi="Cambria"/>
          <w:sz w:val="22"/>
        </w:rPr>
        <w:t>Curriculum reflects ethics, heritage, cultural pride, and environmental stewardship.</w:t>
      </w:r>
    </w:p>
    <w:p>
      <w:pPr>
        <w:pStyle w:val="ListBullet2"/>
        <w:ind w:left="720"/>
        <w:jc w:val="both"/>
      </w:pPr>
      <w:r>
        <w:rPr>
          <w:rFonts w:ascii="Cambria" w:hAnsi="Cambria"/>
          <w:sz w:val="22"/>
        </w:rPr>
        <w:t>Combines modern STEM learning with value-based education rooted in Indian traditions.</w:t>
      </w:r>
    </w:p>
    <w:p>
      <w:pPr>
        <w:pStyle w:val="ListBullet"/>
        <w:ind w:left="357"/>
        <w:jc w:val="both"/>
      </w:pPr>
      <w:r>
        <w:rPr>
          <w:rFonts w:ascii="Cambria" w:hAnsi="Cambria"/>
          <w:sz w:val="22"/>
        </w:rPr>
        <w:t>Value-based &amp; Environmental Education</w:t>
      </w:r>
    </w:p>
    <w:p>
      <w:pPr>
        <w:pStyle w:val="ListBullet2"/>
        <w:ind w:left="720"/>
        <w:jc w:val="both"/>
      </w:pPr>
      <w:r>
        <w:rPr>
          <w:rFonts w:ascii="Cambria" w:hAnsi="Cambria"/>
          <w:sz w:val="22"/>
        </w:rPr>
        <w:t>Students learn to see education as a tool for sustainability, inclusivity, and environmental protection, not just career advancement.</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NEP 2020 (India): </w:t>
      </w:r>
      <w:r>
        <w:rPr>
          <w:rFonts w:ascii="Cambria" w:hAnsi="Cambria"/>
          <w:sz w:val="22"/>
        </w:rPr>
        <w:t>Advocates holistic, multidisciplinary education and revival of IKS.</w:t>
      </w:r>
    </w:p>
    <w:p>
      <w:pPr>
        <w:pStyle w:val="ListBullet"/>
        <w:ind w:left="357"/>
        <w:jc w:val="both"/>
      </w:pPr>
      <w:r>
        <w:rPr>
          <w:rFonts w:ascii="Cambria" w:hAnsi="Cambria"/>
          <w:b/>
          <w:sz w:val="22"/>
        </w:rPr>
        <w:t xml:space="preserve">Banaras Hindu University (BHU): </w:t>
      </w:r>
      <w:r>
        <w:rPr>
          <w:rFonts w:ascii="Cambria" w:hAnsi="Cambria"/>
          <w:sz w:val="22"/>
        </w:rPr>
        <w:t>Pioneering integration of Ayurveda, Sanskrit, and Yoga into higher learning.</w:t>
      </w:r>
    </w:p>
    <w:p>
      <w:pPr>
        <w:pStyle w:val="ListBullet"/>
        <w:ind w:left="357"/>
        <w:jc w:val="both"/>
      </w:pPr>
      <w:r>
        <w:rPr>
          <w:rFonts w:ascii="Cambria" w:hAnsi="Cambria"/>
          <w:b/>
          <w:sz w:val="22"/>
        </w:rPr>
        <w:t xml:space="preserve">IITs/IIMs: </w:t>
      </w:r>
      <w:r>
        <w:rPr>
          <w:rFonts w:ascii="Cambria" w:hAnsi="Cambria"/>
          <w:sz w:val="22"/>
        </w:rPr>
        <w:t>Offering interdisciplinary electives aligned with global sustainability standards.</w:t>
      </w:r>
    </w:p>
    <w:p>
      <w:pPr>
        <w:pStyle w:val="ListBullet"/>
        <w:ind w:left="357"/>
        <w:jc w:val="both"/>
      </w:pPr>
      <w:r>
        <w:rPr>
          <w:rFonts w:ascii="Cambria" w:hAnsi="Cambria"/>
          <w:b/>
          <w:sz w:val="22"/>
        </w:rPr>
        <w:t xml:space="preserve">Harvard Divinity School (USA): </w:t>
      </w:r>
      <w:r>
        <w:rPr>
          <w:rFonts w:ascii="Cambria" w:hAnsi="Cambria"/>
          <w:sz w:val="22"/>
        </w:rPr>
        <w:t>Example of embedding cultural and ethical education into mainstream curriculum.</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Holistic graduates capable of addressing complex challenges with both modern science and traditional wisdom.</w:t>
      </w:r>
    </w:p>
    <w:p>
      <w:pPr>
        <w:pStyle w:val="ListBullet"/>
        <w:ind w:left="357"/>
        <w:jc w:val="both"/>
      </w:pPr>
      <w:r>
        <w:rPr>
          <w:rFonts w:ascii="Cambria" w:hAnsi="Cambria"/>
          <w:sz w:val="22"/>
        </w:rPr>
        <w:t>Increased global recognition of India's contribution to sustainable knowledge systems.</w:t>
      </w:r>
    </w:p>
    <w:p>
      <w:pPr>
        <w:pStyle w:val="ListBullet"/>
        <w:ind w:left="357"/>
        <w:jc w:val="both"/>
      </w:pPr>
      <w:r>
        <w:rPr>
          <w:rFonts w:ascii="Cambria" w:hAnsi="Cambria"/>
          <w:sz w:val="22"/>
        </w:rPr>
        <w:t>Enhanced student career prospects through interdisciplinary skills and cultural competencies.</w:t>
      </w:r>
    </w:p>
    <w:p>
      <w:pPr>
        <w:pStyle w:val="ListBullet"/>
        <w:ind w:left="357"/>
        <w:jc w:val="both"/>
      </w:pPr>
      <w:r>
        <w:rPr>
          <w:rFonts w:ascii="Cambria" w:hAnsi="Cambria"/>
          <w:sz w:val="22"/>
        </w:rPr>
        <w:t>Strengthened environmental literacy across HEIs.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Number of HEIs adopting multidisciplinary curriculum frameworks.</w:t>
      </w:r>
    </w:p>
    <w:p>
      <w:pPr>
        <w:pStyle w:val="ListBullet"/>
        <w:ind w:left="357"/>
        <w:jc w:val="both"/>
      </w:pPr>
      <w:r>
        <w:rPr>
          <w:rFonts w:ascii="Cambria" w:hAnsi="Cambria"/>
          <w:sz w:val="22"/>
        </w:rPr>
        <w:t>Number of IKS-based courses and electives introduced.</w:t>
      </w:r>
    </w:p>
    <w:p>
      <w:pPr>
        <w:pStyle w:val="ListBullet"/>
        <w:ind w:left="357"/>
        <w:jc w:val="both"/>
      </w:pPr>
      <w:r>
        <w:rPr>
          <w:rFonts w:ascii="Cambria" w:hAnsi="Cambria"/>
          <w:sz w:val="22"/>
        </w:rPr>
        <w:t>Student enrolment in interdisciplinary/IKS modules.</w:t>
      </w:r>
    </w:p>
    <w:p>
      <w:pPr>
        <w:pStyle w:val="ListBullet"/>
        <w:ind w:left="357"/>
        <w:jc w:val="both"/>
      </w:pPr>
      <w:r>
        <w:rPr>
          <w:rFonts w:ascii="Cambria" w:hAnsi="Cambria"/>
          <w:sz w:val="22"/>
        </w:rPr>
        <w:t>Collaborations with IKS Centres (UGC/AICTE) and traditional knowledge institutions.</w:t>
      </w:r>
    </w:p>
    <w:p>
      <w:pPr>
        <w:pStyle w:val="ListBullet"/>
        <w:ind w:left="357"/>
        <w:jc w:val="both"/>
      </w:pPr>
      <w:r>
        <w:rPr>
          <w:rFonts w:ascii="Cambria" w:hAnsi="Cambria"/>
          <w:sz w:val="22"/>
        </w:rPr>
        <w:t>% improvement in environmental literacy and sustainability practices among students.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develop critical thinking, creativity, and problem-solving skills across disciplines.</w:t>
      </w:r>
    </w:p>
    <w:p>
      <w:pPr>
        <w:pStyle w:val="ListBullet"/>
        <w:ind w:left="357"/>
        <w:jc w:val="both"/>
      </w:pPr>
      <w:r>
        <w:rPr>
          <w:rFonts w:ascii="Cambria" w:hAnsi="Cambria"/>
          <w:sz w:val="22"/>
        </w:rPr>
        <w:t>Gain global career opportunities due to interdisciplinary expertise.</w:t>
      </w:r>
    </w:p>
    <w:p>
      <w:pPr>
        <w:pStyle w:val="ListBullet"/>
        <w:ind w:left="357"/>
        <w:jc w:val="both"/>
      </w:pPr>
      <w:r>
        <w:rPr>
          <w:rFonts w:ascii="Cambria" w:hAnsi="Cambria"/>
          <w:sz w:val="22"/>
        </w:rPr>
        <w:t>Exposure to IKS equips students for roles in sustainability, wellness, and cultural industries.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Preservation of India's traditional knowledge systems for future generations.</w:t>
      </w:r>
    </w:p>
    <w:p>
      <w:pPr>
        <w:pStyle w:val="ListBullet"/>
        <w:ind w:left="357"/>
        <w:jc w:val="both"/>
      </w:pPr>
      <w:r>
        <w:rPr>
          <w:rFonts w:ascii="Cambria" w:hAnsi="Cambria"/>
          <w:sz w:val="22"/>
        </w:rPr>
        <w:t>Contribution to environmental protection through curriculum-based awareness.</w:t>
      </w:r>
    </w:p>
    <w:p>
      <w:pPr>
        <w:pStyle w:val="ListBullet"/>
        <w:ind w:left="357"/>
        <w:jc w:val="both"/>
      </w:pPr>
      <w:r>
        <w:rPr>
          <w:rFonts w:ascii="Cambria" w:hAnsi="Cambria"/>
          <w:sz w:val="22"/>
        </w:rPr>
        <w:t>HEIs serve as custodians of cultural and ecological sustainability.</w:t>
      </w:r>
    </w:p>
    <w:p>
      <w:pPr>
        <w:pStyle w:val="ListBullet"/>
        <w:ind w:left="357"/>
        <w:jc w:val="both"/>
      </w:pPr>
      <w:r>
        <w:rPr>
          <w:rFonts w:ascii="Cambria" w:hAnsi="Cambria"/>
          <w:sz w:val="22"/>
        </w:rPr>
        <w:t>Communities benefit from solutions rooted in local knowledge and global science.</w:t>
      </w:r>
    </w:p>
    <w:p>
      <w:pPr>
        <w:spacing w:before="200" w:after="80"/>
        <w:jc w:val="left"/>
      </w:pPr>
      <w:r>
        <w:rPr>
          <w:rFonts w:ascii="Cambria" w:hAnsi="Cambria"/>
          <w:b/>
          <w:color w:val="1F3A5F"/>
          <w:sz w:val="25"/>
        </w:rPr>
        <w:t>Curriculum Reform – Multidisciplinary Approach &amp; Indian Knowledge System (IKS)</w:t>
      </w:r>
    </w:p>
    <w:p>
      <w:pPr>
        <w:spacing w:before="160" w:after="80"/>
      </w:pPr>
      <w:r>
        <w:rPr>
          <w:rFonts w:ascii="Cambria" w:hAnsi="Cambria"/>
          <w:b/>
          <w:color w:val="1F3A5F"/>
          <w:sz w:val="23"/>
        </w:rPr>
        <w:t>Curriculum Reform – Multidisciplinary &amp; IKS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Adopt a multidisciplinary and interdisciplinary approach in curriculum design; Integrate Indian Knowledge System (IKS), including traditional practices in sustainability, Ayurveda, Yoga, water conservation, and community-based learning; Promote Indianness of education by embedding cultural heritage, ethics, and environment-sensitive practices; Introduce value-based education that links modern science with traditional wisdom; Collaborate with IKS Centres under AICTE/UGC for structured implementation</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NEP 2020 (India): Advocates multidisciplinary education and integration of IKS; Banaras Hindu University (BHU): Programmes on Ayurveda, Sanskrit, and traditional sciences; IITs &amp; IIMs (India): Piloting interdisciplinary courses aligned with NEP 2020; Harvard Divinity School (USA): Example of embedding ethics and cultural knowledge in curricula</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Holistic and environment-conscious graduates who blend modern science with traditional wisdom; Increased global recognition of India's knowledge heritage; Broader academic and career pathways for students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HEIs adopting multidisciplinary curricula; Number of IKS-based courses, electives, and value education modules introduced; Student enrolment in interdisciplinary/IKS programmes; Number of collaborations with IKS Centres, Gurukuls, and research institutes; % improvement in environmental literacy among students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Design and deliver multidisciplinary/IKS curricula; Regulators (UGC, AICTE, MoE): Issue framework and accreditation guidelines; IKS Division (MoE/AICTE): Provide content and faculty development support; Accreditation Bodies: Include IKS and multidisciplinary integration in evaluation</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I (Curricular Aspects) – integration of multidisciplinary/IKS; NBA: Programme Outcomes linked to ethics, environment, and holistic education; NIRF: Teaching–Learning and Outreach parameters strengthened; QS/THE: Enhances visibility through cultural and interdisciplinary innovation</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holistic knowledge (science + ethics + sustainability); Higher employability due to interdisciplinary problem-solving skills; Recognition of India's knowledge systems at global academic platforms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Preservation and promotion of Indian heritage and sustainable practices; Strengthened community linkages through traditional knowledge-conscious methods; Contribution to environmental protection and cultural sustainability</w:t>
            </w:r>
          </w:p>
        </w:tc>
      </w:tr>
    </w:tbl>
    <w:p>
      <w:pPr>
        <w:spacing w:before="240" w:after="120"/>
        <w:jc w:val="left"/>
      </w:pPr>
      <w:r>
        <w:rPr>
          <w:rFonts w:ascii="Cambria" w:hAnsi="Cambria"/>
          <w:b/>
          <w:color w:val="1F3A5F"/>
          <w:sz w:val="28"/>
        </w:rPr>
        <w:t>Policy–Action–Outcome Roadmap: Multidisciplinary Curriculum &amp; IKS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 issue guidelines for multidisciplinary curricula under NEP 2020.</w:t>
      </w:r>
    </w:p>
    <w:p>
      <w:pPr>
        <w:pStyle w:val="ListBullet"/>
        <w:ind w:left="357"/>
        <w:jc w:val="both"/>
      </w:pPr>
      <w:r>
        <w:rPr>
          <w:rFonts w:ascii="Cambria" w:hAnsi="Cambria"/>
          <w:sz w:val="22"/>
        </w:rPr>
        <w:t>Establish IKS Centres in select universities for pilot integration.</w:t>
      </w:r>
    </w:p>
    <w:p>
      <w:pPr>
        <w:pStyle w:val="ListBullet"/>
        <w:ind w:left="357"/>
        <w:jc w:val="both"/>
      </w:pPr>
      <w:r>
        <w:rPr>
          <w:rFonts w:ascii="Cambria" w:hAnsi="Cambria"/>
          <w:sz w:val="22"/>
        </w:rPr>
        <w:t>Incentivize HEIs to introduce electives and certificate programmes on IKS (e.g., Yoga, Ayurveda, environmental ethics).</w:t>
      </w:r>
    </w:p>
    <w:p>
      <w:pPr>
        <w:spacing w:after="120"/>
        <w:jc w:val="both"/>
      </w:pPr>
      <w:r>
        <w:rPr>
          <w:rFonts w:ascii="Cambria" w:hAnsi="Cambria"/>
          <w:b/>
          <w:i w:val="0"/>
          <w:sz w:val="22"/>
        </w:rPr>
        <w:t>Actions:</w:t>
      </w:r>
    </w:p>
    <w:p>
      <w:pPr>
        <w:pStyle w:val="ListBullet"/>
        <w:ind w:left="357"/>
        <w:jc w:val="both"/>
      </w:pPr>
      <w:r>
        <w:rPr>
          <w:rFonts w:ascii="Cambria" w:hAnsi="Cambria"/>
          <w:sz w:val="22"/>
        </w:rPr>
        <w:t>Revise curriculum to include interdisciplinary core courses combining science, humanities, and social sciences.</w:t>
      </w:r>
    </w:p>
    <w:p>
      <w:pPr>
        <w:pStyle w:val="ListBullet"/>
        <w:ind w:left="357"/>
        <w:jc w:val="both"/>
      </w:pPr>
      <w:r>
        <w:rPr>
          <w:rFonts w:ascii="Cambria" w:hAnsi="Cambria"/>
          <w:sz w:val="22"/>
        </w:rPr>
        <w:t>Launch introductory modules on IKS and Indian heritage.</w:t>
      </w:r>
    </w:p>
    <w:p>
      <w:pPr>
        <w:pStyle w:val="ListBullet"/>
        <w:ind w:left="357"/>
        <w:jc w:val="both"/>
      </w:pPr>
      <w:r>
        <w:rPr>
          <w:rFonts w:ascii="Cambria" w:hAnsi="Cambria"/>
          <w:sz w:val="22"/>
        </w:rPr>
        <w:t>Organize faculty development programmes (FDPs) for teaching IKS alongside modern disciplines.</w:t>
      </w:r>
    </w:p>
    <w:p>
      <w:pPr>
        <w:pStyle w:val="ListBullet"/>
        <w:ind w:left="357"/>
        <w:jc w:val="both"/>
      </w:pPr>
      <w:r>
        <w:rPr>
          <w:rFonts w:ascii="Cambria" w:hAnsi="Cambria"/>
          <w:sz w:val="22"/>
        </w:rPr>
        <w:t>Conduct awareness campaigns highlighting Indianness in education and environmental values.</w:t>
      </w:r>
    </w:p>
    <w:p>
      <w:pPr>
        <w:spacing w:after="120"/>
        <w:jc w:val="both"/>
      </w:pPr>
      <w:r>
        <w:rPr>
          <w:rFonts w:ascii="Cambria" w:hAnsi="Cambria"/>
          <w:b/>
          <w:i w:val="0"/>
          <w:sz w:val="22"/>
        </w:rPr>
        <w:t>Outcomes:</w:t>
      </w:r>
    </w:p>
    <w:p>
      <w:pPr>
        <w:pStyle w:val="ListBullet"/>
        <w:ind w:left="357"/>
        <w:jc w:val="both"/>
      </w:pPr>
      <w:r>
        <w:rPr>
          <w:rFonts w:ascii="Cambria" w:hAnsi="Cambria"/>
          <w:sz w:val="22"/>
        </w:rPr>
        <w:t>Initial adoption of multidisciplinary frameworks in leading HEIs.</w:t>
      </w:r>
    </w:p>
    <w:p>
      <w:pPr>
        <w:pStyle w:val="ListBullet"/>
        <w:ind w:left="357"/>
        <w:jc w:val="both"/>
      </w:pPr>
      <w:r>
        <w:rPr>
          <w:rFonts w:ascii="Cambria" w:hAnsi="Cambria"/>
          <w:sz w:val="22"/>
        </w:rPr>
        <w:t>Increased student exposure to traditional knowledge practices.</w:t>
      </w:r>
    </w:p>
    <w:p>
      <w:pPr>
        <w:pStyle w:val="ListBullet"/>
        <w:ind w:left="357"/>
        <w:jc w:val="both"/>
      </w:pPr>
      <w:r>
        <w:rPr>
          <w:rFonts w:ascii="Cambria" w:hAnsi="Cambria"/>
          <w:sz w:val="22"/>
        </w:rPr>
        <w:t>Faculty trained in integrating IKS into teaching-learning.</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Multidisciplinary curriculum adoption becomes mandatory for NAAC/NBA accreditation.</w:t>
      </w:r>
    </w:p>
    <w:p>
      <w:pPr>
        <w:pStyle w:val="ListBullet"/>
        <w:ind w:left="357"/>
        <w:jc w:val="both"/>
      </w:pPr>
      <w:r>
        <w:rPr>
          <w:rFonts w:ascii="Cambria" w:hAnsi="Cambria"/>
          <w:sz w:val="22"/>
        </w:rPr>
        <w:t>IKS Division (MoE/AICTE) expands to coordinate nationwide implementation.</w:t>
      </w:r>
    </w:p>
    <w:p>
      <w:pPr>
        <w:pStyle w:val="ListBullet"/>
        <w:ind w:left="357"/>
        <w:jc w:val="both"/>
      </w:pPr>
      <w:r>
        <w:rPr>
          <w:rFonts w:ascii="Cambria" w:hAnsi="Cambria"/>
          <w:sz w:val="22"/>
        </w:rPr>
        <w:t>Funding linked to HEIs offering IKS-based interdisciplinary programmes.</w:t>
      </w:r>
    </w:p>
    <w:p>
      <w:pPr>
        <w:spacing w:after="120"/>
        <w:jc w:val="both"/>
      </w:pPr>
      <w:r>
        <w:rPr>
          <w:rFonts w:ascii="Cambria" w:hAnsi="Cambria"/>
          <w:b/>
          <w:i w:val="0"/>
          <w:sz w:val="22"/>
        </w:rPr>
        <w:t>Actions:</w:t>
      </w:r>
    </w:p>
    <w:p>
      <w:pPr>
        <w:pStyle w:val="ListBullet"/>
        <w:ind w:left="357"/>
        <w:jc w:val="both"/>
      </w:pPr>
      <w:r>
        <w:rPr>
          <w:rFonts w:ascii="Cambria" w:hAnsi="Cambria"/>
          <w:sz w:val="22"/>
        </w:rPr>
        <w:t>Establish School/Departments of Interdisciplinary Studies in universities.</w:t>
      </w:r>
    </w:p>
    <w:p>
      <w:pPr>
        <w:pStyle w:val="ListBullet"/>
        <w:ind w:left="357"/>
        <w:jc w:val="both"/>
      </w:pPr>
      <w:r>
        <w:rPr>
          <w:rFonts w:ascii="Cambria" w:hAnsi="Cambria"/>
          <w:sz w:val="22"/>
        </w:rPr>
        <w:t>Introduce full-fledged degree/diploma programmes combining IKS with STEM and social sciences (e.g., Sustainable Engineering with Ayurveda-based environmental solutions).</w:t>
      </w:r>
    </w:p>
    <w:p>
      <w:pPr>
        <w:pStyle w:val="ListBullet"/>
        <w:ind w:left="357"/>
        <w:jc w:val="both"/>
      </w:pPr>
      <w:r>
        <w:rPr>
          <w:rFonts w:ascii="Cambria" w:hAnsi="Cambria"/>
          <w:sz w:val="22"/>
        </w:rPr>
        <w:t>Expand collaboration with research institutions, Gurukuls, and cultural organizations.</w:t>
      </w:r>
    </w:p>
    <w:p>
      <w:pPr>
        <w:pStyle w:val="ListBullet"/>
        <w:ind w:left="357"/>
        <w:jc w:val="both"/>
      </w:pPr>
      <w:r>
        <w:rPr>
          <w:rFonts w:ascii="Cambria" w:hAnsi="Cambria"/>
          <w:sz w:val="22"/>
        </w:rPr>
        <w:t>Integrate environmental sustainability projects inspired by IKS (e.g., traditional water conservation, organic farming).</w:t>
      </w:r>
    </w:p>
    <w:p>
      <w:pPr>
        <w:spacing w:after="120"/>
        <w:jc w:val="both"/>
      </w:pPr>
      <w:r>
        <w:rPr>
          <w:rFonts w:ascii="Cambria" w:hAnsi="Cambria"/>
          <w:b/>
          <w:i w:val="0"/>
          <w:sz w:val="22"/>
        </w:rPr>
        <w:t>Outcomes:</w:t>
      </w:r>
    </w:p>
    <w:p>
      <w:pPr>
        <w:pStyle w:val="ListBullet"/>
        <w:ind w:left="357"/>
        <w:jc w:val="both"/>
      </w:pPr>
      <w:r>
        <w:rPr>
          <w:rFonts w:ascii="Cambria" w:hAnsi="Cambria"/>
          <w:sz w:val="22"/>
        </w:rPr>
        <w:t>Multidisciplinarity embedded in most HEIs.</w:t>
      </w:r>
    </w:p>
    <w:p>
      <w:pPr>
        <w:pStyle w:val="ListBullet"/>
        <w:ind w:left="357"/>
        <w:jc w:val="both"/>
      </w:pPr>
      <w:r>
        <w:rPr>
          <w:rFonts w:ascii="Cambria" w:hAnsi="Cambria"/>
          <w:sz w:val="22"/>
        </w:rPr>
        <w:t>Students participate in interdisciplinary projects addressing SDGs.</w:t>
      </w:r>
    </w:p>
    <w:p>
      <w:pPr>
        <w:pStyle w:val="ListBullet"/>
        <w:ind w:left="357"/>
        <w:jc w:val="both"/>
      </w:pPr>
      <w:r>
        <w:rPr>
          <w:rFonts w:ascii="Cambria" w:hAnsi="Cambria"/>
          <w:sz w:val="22"/>
        </w:rPr>
        <w:t>Growth in research outputs and publications blending modern science with traditional knowledge.</w:t>
      </w:r>
    </w:p>
    <w:p>
      <w:pPr>
        <w:pStyle w:val="ListBullet"/>
        <w:ind w:left="357"/>
        <w:jc w:val="both"/>
      </w:pPr>
      <w:r>
        <w:rPr>
          <w:rFonts w:ascii="Cambria" w:hAnsi="Cambria"/>
          <w:sz w:val="22"/>
        </w:rPr>
        <w:t>Broader recognition of India's knowledge heritage in global academic circles.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Enshrine multidisciplinary and IKS integration in higher education law/policy.</w:t>
      </w:r>
    </w:p>
    <w:p>
      <w:pPr>
        <w:pStyle w:val="ListBullet"/>
        <w:ind w:left="357"/>
        <w:jc w:val="both"/>
      </w:pPr>
      <w:r>
        <w:rPr>
          <w:rFonts w:ascii="Cambria" w:hAnsi="Cambria"/>
          <w:sz w:val="22"/>
        </w:rPr>
        <w:t>Establish National Consortium for IKS and Sustainable Education with global partnerships.</w:t>
      </w:r>
    </w:p>
    <w:p>
      <w:pPr>
        <w:pStyle w:val="ListBullet"/>
        <w:ind w:left="357"/>
        <w:jc w:val="both"/>
      </w:pPr>
      <w:r>
        <w:rPr>
          <w:rFonts w:ascii="Cambria" w:hAnsi="Cambria"/>
          <w:sz w:val="22"/>
        </w:rPr>
        <w:t>Recognize HEIs excelling in IKS with national and international awards.</w:t>
      </w:r>
    </w:p>
    <w:p>
      <w:pPr>
        <w:spacing w:after="120"/>
        <w:jc w:val="both"/>
      </w:pPr>
      <w:r>
        <w:rPr>
          <w:rFonts w:ascii="Cambria" w:hAnsi="Cambria"/>
          <w:b/>
          <w:i w:val="0"/>
          <w:sz w:val="22"/>
        </w:rPr>
        <w:t>Actions:</w:t>
      </w:r>
    </w:p>
    <w:p>
      <w:pPr>
        <w:pStyle w:val="ListBullet"/>
        <w:ind w:left="357"/>
        <w:jc w:val="both"/>
      </w:pPr>
      <w:r>
        <w:rPr>
          <w:rFonts w:ascii="Cambria" w:hAnsi="Cambria"/>
          <w:sz w:val="22"/>
        </w:rPr>
        <w:t>All universities adopt multidisciplinary models as standard practice.</w:t>
      </w:r>
    </w:p>
    <w:p>
      <w:pPr>
        <w:pStyle w:val="ListBullet"/>
        <w:ind w:left="357"/>
        <w:jc w:val="both"/>
      </w:pPr>
      <w:r>
        <w:rPr>
          <w:rFonts w:ascii="Cambria" w:hAnsi="Cambria"/>
          <w:sz w:val="22"/>
        </w:rPr>
        <w:t>Globalize IKS education through joint programmes with international universities.</w:t>
      </w:r>
    </w:p>
    <w:p>
      <w:pPr>
        <w:pStyle w:val="ListBullet"/>
        <w:ind w:left="357"/>
        <w:jc w:val="both"/>
      </w:pPr>
      <w:r>
        <w:rPr>
          <w:rFonts w:ascii="Cambria" w:hAnsi="Cambria"/>
          <w:sz w:val="22"/>
        </w:rPr>
        <w:t>Expand research into IKS-based innovations for climate change, health, and sustainable living.</w:t>
      </w:r>
    </w:p>
    <w:p>
      <w:pPr>
        <w:pStyle w:val="ListBullet"/>
        <w:ind w:left="357"/>
        <w:jc w:val="both"/>
      </w:pPr>
      <w:r>
        <w:rPr>
          <w:rFonts w:ascii="Cambria" w:hAnsi="Cambria"/>
          <w:sz w:val="22"/>
        </w:rPr>
        <w:t>Host annual Global Conferences on IKS and SDG-4 Education in India.</w:t>
      </w:r>
    </w:p>
    <w:p>
      <w:pPr>
        <w:spacing w:after="120"/>
        <w:jc w:val="both"/>
      </w:pPr>
      <w:r>
        <w:rPr>
          <w:rFonts w:ascii="Cambria" w:hAnsi="Cambria"/>
          <w:b/>
          <w:i w:val="0"/>
          <w:sz w:val="22"/>
        </w:rPr>
        <w:t>Outcomes:</w:t>
      </w:r>
    </w:p>
    <w:p>
      <w:pPr>
        <w:pStyle w:val="ListBullet"/>
        <w:ind w:left="357"/>
        <w:jc w:val="both"/>
      </w:pPr>
      <w:r>
        <w:rPr>
          <w:rFonts w:ascii="Cambria" w:hAnsi="Cambria"/>
          <w:sz w:val="22"/>
        </w:rPr>
        <w:t>India emerges as a global hub for holistic and sustainability-oriented higher education.</w:t>
      </w:r>
    </w:p>
    <w:p>
      <w:pPr>
        <w:pStyle w:val="ListBullet"/>
        <w:ind w:left="357"/>
        <w:jc w:val="both"/>
      </w:pPr>
      <w:r>
        <w:rPr>
          <w:rFonts w:ascii="Cambria" w:hAnsi="Cambria"/>
          <w:sz w:val="22"/>
        </w:rPr>
        <w:t>HEIs produce graduates equipped with modern skills and traditional wisdom.</w:t>
      </w:r>
    </w:p>
    <w:p>
      <w:pPr>
        <w:pStyle w:val="ListBullet"/>
        <w:ind w:left="357"/>
        <w:jc w:val="both"/>
      </w:pPr>
      <w:r>
        <w:rPr>
          <w:rFonts w:ascii="Cambria" w:hAnsi="Cambria"/>
          <w:sz w:val="22"/>
        </w:rPr>
        <w:t>Significant contribution to environmental protection, cultural preservation, and SDG-4 targets.</w:t>
      </w:r>
    </w:p>
    <w:p>
      <w:pPr>
        <w:pStyle w:val="ListBullet"/>
        <w:ind w:left="357"/>
        <w:jc w:val="both"/>
      </w:pPr>
      <w:r>
        <w:rPr>
          <w:rFonts w:ascii="Cambria" w:hAnsi="Cambria"/>
          <w:sz w:val="22"/>
        </w:rPr>
        <w:t>A resilient higher education system that balances Indianness with global competitiveness.</w:t>
      </w:r>
    </w:p>
    <w:p>
      <w:pPr>
        <w:spacing w:before="200" w:after="80"/>
        <w:jc w:val="left"/>
      </w:pPr>
      <w:r>
        <w:rPr>
          <w:rFonts w:ascii="Cambria" w:hAnsi="Cambria"/>
          <w:b/>
          <w:color w:val="1F3A5F"/>
          <w:sz w:val="25"/>
        </w:rPr>
        <w:t>Curriculum Reform – Multidisciplinary &amp; IKS (Detail Table)</w:t>
      </w:r>
    </w:p>
    <w:p>
      <w:pPr>
        <w:spacing w:before="160" w:after="80"/>
      </w:pPr>
      <w:r>
        <w:rPr>
          <w:rFonts w:ascii="Cambria" w:hAnsi="Cambria"/>
          <w:b/>
          <w:color w:val="1F3A5F"/>
          <w:sz w:val="23"/>
        </w:rPr>
        <w:t>Curriculum Reform – Multidisciplinary &amp; IKS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Adopt multidisciplinary and interdisciplinary curricula across UG, PG, and research programmes; Redesign curriculum, partner with IKS Centres, launch new IKS-integrated programmes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NEP 2020 (India): Multidisciplinarity &amp; IKS integration; Banaras Hindu University (BHU) and allied institutions continuing pioneering IKS integration</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Graduates with holistic, sustainability-driven education</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HEIs with multidisciplinary curriculum frameworks; Number of new interdisciplinary/IKS programmes launched</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Redesign curriculum, partner with IKS Centres, launch new programmes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I (Curricular Aspects) – interdisciplinary integration</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cross-disciplinary problem-solving skills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Preservation and promotion of Indian heritage</w:t>
            </w:r>
          </w:p>
        </w:tc>
      </w:tr>
    </w:tbl>
    <w:p>
      <w:r>
        <w:br w:type="page"/>
      </w:r>
    </w:p>
    <w:p>
      <w:pPr>
        <w:spacing w:before="280" w:after="160"/>
        <w:jc w:val="left"/>
      </w:pPr>
      <w:r>
        <w:rPr>
          <w:rFonts w:ascii="Cambria" w:hAnsi="Cambria"/>
          <w:b/>
          <w:color w:val="1F3A5F"/>
          <w:sz w:val="32"/>
        </w:rPr>
        <w:t>22. Multilingual SDG Education &amp; Mandatory Sustainability Courses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India's higher education system serves students from diverse linguistic backgrounds, with over 12 major regional languages and hundreds of dialects.</w:t>
      </w:r>
    </w:p>
    <w:p>
      <w:pPr>
        <w:pStyle w:val="ListBullet"/>
        <w:ind w:left="357"/>
        <w:jc w:val="both"/>
      </w:pPr>
      <w:r>
        <w:rPr>
          <w:rFonts w:ascii="Cambria" w:hAnsi="Cambria"/>
          <w:sz w:val="22"/>
        </w:rPr>
        <w:t>A large proportion of students, especially from rural and first-generation learner backgrounds, struggle to access high-quality course materials in English.</w:t>
      </w:r>
    </w:p>
    <w:p>
      <w:pPr>
        <w:pStyle w:val="ListBullet"/>
        <w:ind w:left="357"/>
        <w:jc w:val="both"/>
      </w:pPr>
      <w:r>
        <w:rPr>
          <w:rFonts w:ascii="Cambria" w:hAnsi="Cambria"/>
          <w:sz w:val="22"/>
        </w:rPr>
        <w:t>Translating SDG-related content into regional languages ensures equity and inclusivity, directly aligning with SDG-4 (Quality Education).</w:t>
      </w:r>
    </w:p>
    <w:p>
      <w:pPr>
        <w:pStyle w:val="ListBullet"/>
        <w:ind w:left="357"/>
        <w:jc w:val="both"/>
      </w:pPr>
      <w:r>
        <w:rPr>
          <w:rFonts w:ascii="Cambria" w:hAnsi="Cambria"/>
          <w:sz w:val="22"/>
        </w:rPr>
        <w:t>Making SDG and Environment courses mandatory for all degree programmes guarantees that every graduate leaves with a baseline understanding of sustainability, ethics, and social responsibility.</w:t>
      </w:r>
    </w:p>
    <w:p>
      <w:pPr>
        <w:spacing w:before="200" w:after="80"/>
        <w:jc w:val="left"/>
      </w:pPr>
      <w:r>
        <w:rPr>
          <w:rFonts w:ascii="Cambria" w:hAnsi="Cambria"/>
          <w:b/>
          <w:color w:val="1F3A5F"/>
          <w:sz w:val="25"/>
        </w:rPr>
        <w:t>2. Key Features of the Recommendation</w:t>
      </w:r>
    </w:p>
    <w:p>
      <w:pPr>
        <w:pStyle w:val="ListBullet"/>
        <w:ind w:left="357"/>
        <w:jc w:val="both"/>
      </w:pPr>
      <w:r>
        <w:rPr>
          <w:rFonts w:ascii="Cambria" w:hAnsi="Cambria"/>
          <w:sz w:val="22"/>
        </w:rPr>
        <w:t>Translation of Course Material</w:t>
      </w:r>
    </w:p>
    <w:p>
      <w:pPr>
        <w:pStyle w:val="ListBullet2"/>
        <w:ind w:left="720"/>
        <w:jc w:val="both"/>
      </w:pPr>
      <w:r>
        <w:rPr>
          <w:rFonts w:ascii="Cambria" w:hAnsi="Cambria"/>
          <w:sz w:val="22"/>
        </w:rPr>
        <w:t>Course books, textbooks, and e-resources on SDGs translated into 12 major Indian regional languages.</w:t>
      </w:r>
    </w:p>
    <w:p>
      <w:pPr>
        <w:pStyle w:val="ListBullet2"/>
        <w:ind w:left="720"/>
        <w:jc w:val="both"/>
      </w:pPr>
      <w:r>
        <w:rPr>
          <w:rFonts w:ascii="Cambria" w:hAnsi="Cambria"/>
          <w:sz w:val="22"/>
        </w:rPr>
        <w:t>Supported by National Translation Mission, UGC, and AICTE initiatives.</w:t>
      </w:r>
    </w:p>
    <w:p>
      <w:pPr>
        <w:pStyle w:val="ListBullet2"/>
        <w:ind w:left="720"/>
        <w:jc w:val="both"/>
      </w:pPr>
      <w:r>
        <w:rPr>
          <w:rFonts w:ascii="Cambria" w:hAnsi="Cambria"/>
          <w:sz w:val="22"/>
        </w:rPr>
        <w:t>Creation of digital multilingual repositories for easy student access.</w:t>
      </w:r>
    </w:p>
    <w:p>
      <w:pPr>
        <w:pStyle w:val="ListBullet"/>
        <w:ind w:left="357"/>
        <w:jc w:val="both"/>
      </w:pPr>
      <w:r>
        <w:rPr>
          <w:rFonts w:ascii="Cambria" w:hAnsi="Cambria"/>
          <w:sz w:val="22"/>
        </w:rPr>
        <w:t>Mandatory SDG &amp; Environment Courses</w:t>
      </w:r>
    </w:p>
    <w:p>
      <w:pPr>
        <w:pStyle w:val="ListBullet2"/>
        <w:ind w:left="720"/>
        <w:jc w:val="both"/>
      </w:pPr>
      <w:r>
        <w:rPr>
          <w:rFonts w:ascii="Cambria" w:hAnsi="Cambria"/>
          <w:sz w:val="22"/>
        </w:rPr>
        <w:t>All undergraduate and postgraduate students must complete a credit-bearing course on SDGs and Environment to qualify for graduation.</w:t>
      </w:r>
    </w:p>
    <w:p>
      <w:pPr>
        <w:pStyle w:val="ListBullet2"/>
        <w:ind w:left="720"/>
        <w:jc w:val="both"/>
      </w:pPr>
      <w:r>
        <w:rPr>
          <w:rFonts w:ascii="Cambria" w:hAnsi="Cambria"/>
          <w:sz w:val="22"/>
        </w:rPr>
        <w:t>Delivery through classroom teaching + MOOCs (SWAYAM, NPTEL, AICTE platforms).</w:t>
      </w:r>
    </w:p>
    <w:p>
      <w:pPr>
        <w:pStyle w:val="ListBullet2"/>
        <w:ind w:left="720"/>
        <w:jc w:val="both"/>
      </w:pPr>
      <w:r>
        <w:rPr>
          <w:rFonts w:ascii="Cambria" w:hAnsi="Cambria"/>
          <w:sz w:val="22"/>
        </w:rPr>
        <w:t>Content includes climate change, renewable energy, biodiversity, water conservation, and social equity.</w:t>
      </w:r>
    </w:p>
    <w:p>
      <w:pPr>
        <w:pStyle w:val="ListBullet"/>
        <w:ind w:left="357"/>
        <w:jc w:val="both"/>
      </w:pPr>
      <w:r>
        <w:rPr>
          <w:rFonts w:ascii="Cambria" w:hAnsi="Cambria"/>
          <w:sz w:val="22"/>
        </w:rPr>
        <w:t>Digital &amp; Local Integration</w:t>
      </w:r>
    </w:p>
    <w:p>
      <w:pPr>
        <w:pStyle w:val="ListBullet2"/>
        <w:ind w:left="720"/>
        <w:jc w:val="both"/>
      </w:pPr>
      <w:r>
        <w:rPr>
          <w:rFonts w:ascii="Cambria" w:hAnsi="Cambria"/>
          <w:sz w:val="22"/>
        </w:rPr>
        <w:t>MOOCs and e-learning modules offered in regional languages.</w:t>
      </w:r>
    </w:p>
    <w:p>
      <w:pPr>
        <w:pStyle w:val="ListBullet2"/>
        <w:ind w:left="720"/>
        <w:jc w:val="both"/>
      </w:pPr>
      <w:r>
        <w:rPr>
          <w:rFonts w:ascii="Cambria" w:hAnsi="Cambria"/>
          <w:sz w:val="22"/>
        </w:rPr>
        <w:t>Inclusion of local cultural practices and indigenous knowledge related to environment and sustainability.</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NEP 2020 (India): </w:t>
      </w:r>
      <w:r>
        <w:rPr>
          <w:rFonts w:ascii="Cambria" w:hAnsi="Cambria"/>
          <w:sz w:val="22"/>
        </w:rPr>
        <w:t>Emphasizes mother-tongue/regional language instruction and environmental awareness.</w:t>
      </w:r>
    </w:p>
    <w:p>
      <w:pPr>
        <w:pStyle w:val="ListBullet"/>
        <w:ind w:left="357"/>
        <w:jc w:val="both"/>
      </w:pPr>
      <w:r>
        <w:rPr>
          <w:rFonts w:ascii="Cambria" w:hAnsi="Cambria"/>
          <w:b/>
          <w:sz w:val="22"/>
        </w:rPr>
        <w:t xml:space="preserve">UNESCO SDG4 Global Framework: </w:t>
      </w:r>
      <w:r>
        <w:rPr>
          <w:rFonts w:ascii="Cambria" w:hAnsi="Cambria"/>
          <w:sz w:val="22"/>
        </w:rPr>
        <w:t>Calls for multilingual learning and universal access to education.</w:t>
      </w:r>
    </w:p>
    <w:p>
      <w:pPr>
        <w:pStyle w:val="ListBullet"/>
        <w:ind w:left="357"/>
        <w:jc w:val="both"/>
      </w:pPr>
      <w:r>
        <w:rPr>
          <w:rFonts w:ascii="Cambria" w:hAnsi="Cambria"/>
          <w:b/>
          <w:sz w:val="22"/>
        </w:rPr>
        <w:t xml:space="preserve">AICTE Translation Initiative: </w:t>
      </w:r>
      <w:r>
        <w:rPr>
          <w:rFonts w:ascii="Cambria" w:hAnsi="Cambria"/>
          <w:sz w:val="22"/>
        </w:rPr>
        <w:t>Translating engineering texts into Indian languages.</w:t>
      </w:r>
    </w:p>
    <w:p>
      <w:pPr>
        <w:pStyle w:val="ListBullet"/>
        <w:ind w:left="357"/>
        <w:jc w:val="both"/>
      </w:pPr>
      <w:r>
        <w:rPr>
          <w:rFonts w:ascii="Cambria" w:hAnsi="Cambria"/>
          <w:sz w:val="22"/>
        </w:rPr>
        <w:t>Erasmus+ (EU): Promotes inclusivity by offering translated courses in multilingual member states.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Students across all regions can access quality SDG education without language barriers.</w:t>
      </w:r>
    </w:p>
    <w:p>
      <w:pPr>
        <w:pStyle w:val="ListBullet"/>
        <w:ind w:left="357"/>
        <w:jc w:val="both"/>
      </w:pPr>
      <w:r>
        <w:rPr>
          <w:rFonts w:ascii="Cambria" w:hAnsi="Cambria"/>
          <w:sz w:val="22"/>
        </w:rPr>
        <w:t>Nationwide environmental literacy baseline established for all graduates.</w:t>
      </w:r>
    </w:p>
    <w:p>
      <w:pPr>
        <w:pStyle w:val="ListBullet"/>
        <w:ind w:left="357"/>
        <w:jc w:val="both"/>
      </w:pPr>
      <w:r>
        <w:rPr>
          <w:rFonts w:ascii="Cambria" w:hAnsi="Cambria"/>
          <w:sz w:val="22"/>
        </w:rPr>
        <w:t>Improved equity in education by supporting first-generation and rural learners.</w:t>
      </w:r>
    </w:p>
    <w:p>
      <w:pPr>
        <w:pStyle w:val="ListBullet"/>
        <w:ind w:left="357"/>
        <w:jc w:val="both"/>
      </w:pPr>
      <w:r>
        <w:rPr>
          <w:rFonts w:ascii="Cambria" w:hAnsi="Cambria"/>
          <w:sz w:val="22"/>
        </w:rPr>
        <w:t>A more sustainability-aware workforce contributing to India's development goals.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Number of SDG textbooks translated into 12 regional languages.</w:t>
      </w:r>
    </w:p>
    <w:p>
      <w:pPr>
        <w:pStyle w:val="ListBullet"/>
        <w:ind w:left="357"/>
        <w:jc w:val="both"/>
      </w:pPr>
      <w:r>
        <w:rPr>
          <w:rFonts w:ascii="Cambria" w:hAnsi="Cambria"/>
          <w:sz w:val="22"/>
        </w:rPr>
        <w:t>Number of MOOCs/e-learning modules available in regional languages.</w:t>
      </w:r>
    </w:p>
    <w:p>
      <w:pPr>
        <w:pStyle w:val="ListBullet"/>
        <w:ind w:left="357"/>
        <w:jc w:val="both"/>
      </w:pPr>
      <w:r>
        <w:rPr>
          <w:rFonts w:ascii="Cambria" w:hAnsi="Cambria"/>
          <w:sz w:val="22"/>
        </w:rPr>
        <w:t>% of students completing mandatory SDG/Environment courses.</w:t>
      </w:r>
    </w:p>
    <w:p>
      <w:pPr>
        <w:pStyle w:val="ListBullet"/>
        <w:ind w:left="357"/>
        <w:jc w:val="both"/>
      </w:pPr>
      <w:r>
        <w:rPr>
          <w:rFonts w:ascii="Cambria" w:hAnsi="Cambria"/>
          <w:sz w:val="22"/>
        </w:rPr>
        <w:t>% of HEIs adopting multilingual SDG course delivery.</w:t>
      </w:r>
    </w:p>
    <w:p>
      <w:pPr>
        <w:pStyle w:val="ListBullet"/>
        <w:ind w:left="357"/>
        <w:jc w:val="both"/>
      </w:pPr>
      <w:r>
        <w:rPr>
          <w:rFonts w:ascii="Cambria" w:hAnsi="Cambria"/>
          <w:sz w:val="22"/>
        </w:rPr>
        <w:t>Student satisfaction ratings on accessibility of content.</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gain essential knowledge of SDGs, sustainability, and environmental ethics.</w:t>
      </w:r>
    </w:p>
    <w:p>
      <w:pPr>
        <w:pStyle w:val="ListBullet"/>
        <w:ind w:left="357"/>
        <w:jc w:val="both"/>
      </w:pPr>
      <w:r>
        <w:rPr>
          <w:rFonts w:ascii="Cambria" w:hAnsi="Cambria"/>
          <w:sz w:val="22"/>
        </w:rPr>
        <w:t>Enhanced employability in green jobs, CSR, NGOs, and global sustainability sectors.</w:t>
      </w:r>
    </w:p>
    <w:p>
      <w:pPr>
        <w:pStyle w:val="ListBullet"/>
        <w:ind w:left="357"/>
        <w:jc w:val="both"/>
      </w:pPr>
      <w:r>
        <w:rPr>
          <w:rFonts w:ascii="Cambria" w:hAnsi="Cambria"/>
          <w:sz w:val="22"/>
        </w:rPr>
        <w:t>Equips graduates with problem-solving skills relevant to climate, health, and social equity challenges.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Promotes grassroots-level awareness of sustainability across India's diverse regions.</w:t>
      </w:r>
    </w:p>
    <w:p>
      <w:pPr>
        <w:pStyle w:val="ListBullet"/>
        <w:ind w:left="357"/>
        <w:jc w:val="both"/>
      </w:pPr>
      <w:r>
        <w:rPr>
          <w:rFonts w:ascii="Cambria" w:hAnsi="Cambria"/>
          <w:sz w:val="22"/>
        </w:rPr>
        <w:t>Encourages inclusive development by bridging rural–urban and linguistic divides.</w:t>
      </w:r>
    </w:p>
    <w:p>
      <w:pPr>
        <w:pStyle w:val="ListBullet"/>
        <w:ind w:left="357"/>
        <w:jc w:val="both"/>
      </w:pPr>
      <w:r>
        <w:rPr>
          <w:rFonts w:ascii="Cambria" w:hAnsi="Cambria"/>
          <w:sz w:val="22"/>
        </w:rPr>
        <w:t>Creates a generation of environmentally responsible graduates who act as change agents.</w:t>
      </w:r>
    </w:p>
    <w:p>
      <w:pPr>
        <w:pStyle w:val="ListBullet"/>
        <w:ind w:left="357"/>
        <w:jc w:val="both"/>
      </w:pPr>
      <w:r>
        <w:rPr>
          <w:rFonts w:ascii="Cambria" w:hAnsi="Cambria"/>
          <w:sz w:val="22"/>
        </w:rPr>
        <w:t>Contributes to India's progress on SDGs, Paris Agreement, and climate commitments.</w:t>
      </w:r>
    </w:p>
    <w:p>
      <w:pPr>
        <w:spacing w:before="200" w:after="80"/>
        <w:jc w:val="left"/>
      </w:pPr>
      <w:r>
        <w:rPr>
          <w:rFonts w:ascii="Cambria" w:hAnsi="Cambria"/>
          <w:b/>
          <w:color w:val="1F3A5F"/>
          <w:sz w:val="25"/>
        </w:rPr>
        <w:t>Curriculum Reform – SDG Courses &amp; Regional Language Access</w:t>
      </w:r>
    </w:p>
    <w:p>
      <w:pPr>
        <w:spacing w:before="160" w:after="80"/>
      </w:pPr>
      <w:r>
        <w:rPr>
          <w:rFonts w:ascii="Cambria" w:hAnsi="Cambria"/>
          <w:b/>
          <w:color w:val="1F3A5F"/>
          <w:sz w:val="23"/>
        </w:rPr>
        <w:t>Curriculum Reform – SDG Courses &amp; Regional Language Access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Translate SDG-related course books and materials into 12 Indian regional languages as medium of instruction; Make courses on SDGs and Environment mandatory for all undergraduate and postgraduate students as a graduation requirement; Develop MOOCs and e-learning modules in regional languages; Partner with National Translation Mission, UGC, and AICTE for standardized high-quality translations; Integrate local cultural and environmental knowledge in translated content</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NEP 2020 (India): Promotes mother-tongue/regional language as medium of instruction; UNESCO SDG4 Global Framework: Encourages multilingual learning access in higher education; AICTE Translation Initiative: Engineering books in regional languages; Erasmus+ (EU): Courses translated for inclusivity in multilingual regions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Increased accessibility and inclusivity in higher education; Wider student participation in SDG learning, especially first-generation and rural learners; Strengthened alignment of HEIs with national language and education policies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SDG textbooks translated into regional languages; Number of MOOCs/online courses available in regional languages; % of students completing mandatory SDG/Environment courses; Number of HEIs adopting multilingual SDG course delivery; Student feedback on accessibility of materials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Implement SDG/Environment courses, adopt translated content; Regulators (UGC, AICTE, MoE): Mandate SDG courses for graduation, fund translation projects; National Translation Mission / AICTE Translation Units: Lead translation and quality assurance; Accreditation Bodies (NAAC/NBA): Assess inclusion of SDG courses and language access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I (Curricular Aspects) – value-based/environmental education; NBA: Programme Outcomes on sustainability and ethics; NIRF: Improves Teaching–Learning (TL) scores; QS/THE Impact Rankings: Visibility in SDG-focused curriculum innovation</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universal exposure to SDGs regardless of language background; Enhanced employability through sustainability awareness and skills; Increased environmental literacy and sustainability-conscious skills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Promotes equity and inclusion by bridging language barriers; Strengthens local knowledge integration with global SDG frameworks; Creates a generation of environmentally responsible citizens across India; Contributes to grassroots awareness of sustainability</w:t>
            </w:r>
          </w:p>
        </w:tc>
      </w:tr>
    </w:tbl>
    <w:p>
      <w:pPr>
        <w:spacing w:before="240" w:after="120"/>
        <w:jc w:val="left"/>
      </w:pPr>
      <w:r>
        <w:rPr>
          <w:rFonts w:ascii="Cambria" w:hAnsi="Cambria"/>
          <w:b/>
          <w:color w:val="1F3A5F"/>
          <w:sz w:val="28"/>
        </w:rPr>
        <w:t>Policy–Action–Outcome Roadmap: SDG Courses &amp; Regional Language Access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Ministry of Education, UGC, and AICTE issue a mandate for compulsory SDG &amp; Environment courses in all HEIs.</w:t>
      </w:r>
    </w:p>
    <w:p>
      <w:pPr>
        <w:pStyle w:val="ListBullet"/>
        <w:ind w:left="357"/>
        <w:jc w:val="both"/>
      </w:pPr>
      <w:r>
        <w:rPr>
          <w:rFonts w:ascii="Cambria" w:hAnsi="Cambria"/>
          <w:sz w:val="22"/>
        </w:rPr>
        <w:t>National Translation Mission partners with HEIs to translate SDG textbooks and e-content into 12 regional languages.</w:t>
      </w:r>
    </w:p>
    <w:p>
      <w:pPr>
        <w:pStyle w:val="ListBullet"/>
        <w:ind w:left="357"/>
        <w:jc w:val="both"/>
      </w:pPr>
      <w:r>
        <w:rPr>
          <w:rFonts w:ascii="Cambria" w:hAnsi="Cambria"/>
          <w:sz w:val="22"/>
        </w:rPr>
        <w:t>Funding support for pilot multilingual courses under SWAYAM/NPTEL platforms.</w:t>
      </w:r>
    </w:p>
    <w:p>
      <w:pPr>
        <w:spacing w:after="120"/>
        <w:jc w:val="both"/>
      </w:pPr>
      <w:r>
        <w:rPr>
          <w:rFonts w:ascii="Cambria" w:hAnsi="Cambria"/>
          <w:b/>
          <w:i w:val="0"/>
          <w:sz w:val="22"/>
        </w:rPr>
        <w:t>Actions:</w:t>
      </w:r>
    </w:p>
    <w:p>
      <w:pPr>
        <w:pStyle w:val="ListBullet"/>
        <w:ind w:left="357"/>
        <w:jc w:val="both"/>
      </w:pPr>
      <w:r>
        <w:rPr>
          <w:rFonts w:ascii="Cambria" w:hAnsi="Cambria"/>
          <w:sz w:val="22"/>
        </w:rPr>
        <w:t>HEIs introduce one foundation-level mandatory course on SDGs and Environment at UG and PG levels.</w:t>
      </w:r>
    </w:p>
    <w:p>
      <w:pPr>
        <w:pStyle w:val="ListBullet"/>
        <w:ind w:left="357"/>
        <w:jc w:val="both"/>
      </w:pPr>
      <w:r>
        <w:rPr>
          <w:rFonts w:ascii="Cambria" w:hAnsi="Cambria"/>
          <w:sz w:val="22"/>
        </w:rPr>
        <w:t>Translate and publish at least 20 core textbooks/e-resources on SDGs in priority languages.</w:t>
      </w:r>
    </w:p>
    <w:p>
      <w:pPr>
        <w:pStyle w:val="ListBullet"/>
        <w:ind w:left="357"/>
        <w:jc w:val="both"/>
      </w:pPr>
      <w:r>
        <w:rPr>
          <w:rFonts w:ascii="Cambria" w:hAnsi="Cambria"/>
          <w:sz w:val="22"/>
        </w:rPr>
        <w:t>Train faculty in delivering SDG courses in bilingual or regional language formats.</w:t>
      </w:r>
    </w:p>
    <w:p>
      <w:pPr>
        <w:pStyle w:val="ListBullet"/>
        <w:ind w:left="357"/>
        <w:jc w:val="both"/>
      </w:pPr>
      <w:r>
        <w:rPr>
          <w:rFonts w:ascii="Cambria" w:hAnsi="Cambria"/>
          <w:sz w:val="22"/>
        </w:rPr>
        <w:t>Conduct student awareness campaigns on sustainability.</w:t>
      </w:r>
    </w:p>
    <w:p>
      <w:pPr>
        <w:spacing w:after="120"/>
        <w:jc w:val="both"/>
      </w:pPr>
      <w:r>
        <w:rPr>
          <w:rFonts w:ascii="Cambria" w:hAnsi="Cambria"/>
          <w:b/>
          <w:i w:val="0"/>
          <w:sz w:val="22"/>
        </w:rPr>
        <w:t>Outcomes:</w:t>
      </w:r>
    </w:p>
    <w:p>
      <w:pPr>
        <w:pStyle w:val="ListBullet"/>
        <w:ind w:left="357"/>
        <w:jc w:val="both"/>
      </w:pPr>
      <w:r>
        <w:rPr>
          <w:rFonts w:ascii="Cambria" w:hAnsi="Cambria"/>
          <w:sz w:val="22"/>
        </w:rPr>
        <w:t>First batch of students graduates with mandatory SDG/environment literacy.</w:t>
      </w:r>
    </w:p>
    <w:p>
      <w:pPr>
        <w:pStyle w:val="ListBullet"/>
        <w:ind w:left="357"/>
        <w:jc w:val="both"/>
      </w:pPr>
      <w:r>
        <w:rPr>
          <w:rFonts w:ascii="Cambria" w:hAnsi="Cambria"/>
          <w:sz w:val="22"/>
        </w:rPr>
        <w:t>Improved access for regional-language students and first-generation learners.</w:t>
      </w:r>
    </w:p>
    <w:p>
      <w:pPr>
        <w:pStyle w:val="ListBullet"/>
        <w:ind w:left="357"/>
        <w:jc w:val="both"/>
      </w:pPr>
      <w:r>
        <w:rPr>
          <w:rFonts w:ascii="Cambria" w:hAnsi="Cambria"/>
          <w:sz w:val="22"/>
        </w:rPr>
        <w:t>Initial repository of translated SDG materials created.</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Accreditation agencies (NAAC, NBA) include SDG/Environment course completion as a criterion for institutional evaluation.</w:t>
      </w:r>
    </w:p>
    <w:p>
      <w:pPr>
        <w:pStyle w:val="ListBullet"/>
        <w:ind w:left="357"/>
        <w:jc w:val="both"/>
      </w:pPr>
      <w:r>
        <w:rPr>
          <w:rFonts w:ascii="Cambria" w:hAnsi="Cambria"/>
          <w:sz w:val="22"/>
        </w:rPr>
        <w:t>Government expands funding for translation projects and multilingual MOOCs.</w:t>
      </w:r>
    </w:p>
    <w:p>
      <w:pPr>
        <w:pStyle w:val="ListBullet"/>
        <w:ind w:left="357"/>
        <w:jc w:val="both"/>
      </w:pPr>
      <w:r>
        <w:rPr>
          <w:rFonts w:ascii="Cambria" w:hAnsi="Cambria"/>
          <w:sz w:val="22"/>
        </w:rPr>
        <w:t>Introduce a National Repository of Multilingual SDG Resources.</w:t>
      </w:r>
    </w:p>
    <w:p>
      <w:pPr>
        <w:spacing w:after="120"/>
        <w:jc w:val="both"/>
      </w:pPr>
      <w:r>
        <w:rPr>
          <w:rFonts w:ascii="Cambria" w:hAnsi="Cambria"/>
          <w:b/>
          <w:i w:val="0"/>
          <w:sz w:val="22"/>
        </w:rPr>
        <w:t>Actions:</w:t>
      </w:r>
    </w:p>
    <w:p>
      <w:pPr>
        <w:pStyle w:val="ListBullet"/>
        <w:ind w:left="357"/>
        <w:jc w:val="both"/>
      </w:pPr>
      <w:r>
        <w:rPr>
          <w:rFonts w:ascii="Cambria" w:hAnsi="Cambria"/>
          <w:sz w:val="22"/>
        </w:rPr>
        <w:t>Translate all key SDG-related textbooks and modules into 12 regional languages.</w:t>
      </w:r>
    </w:p>
    <w:p>
      <w:pPr>
        <w:pStyle w:val="ListBullet"/>
        <w:ind w:left="357"/>
        <w:jc w:val="both"/>
      </w:pPr>
      <w:r>
        <w:rPr>
          <w:rFonts w:ascii="Cambria" w:hAnsi="Cambria"/>
          <w:sz w:val="22"/>
        </w:rPr>
        <w:t>Develop state-level SDG resource centres for monitoring translation quality and updates.</w:t>
      </w:r>
    </w:p>
    <w:p>
      <w:pPr>
        <w:pStyle w:val="ListBullet"/>
        <w:ind w:left="357"/>
        <w:jc w:val="both"/>
      </w:pPr>
      <w:r>
        <w:rPr>
          <w:rFonts w:ascii="Cambria" w:hAnsi="Cambria"/>
          <w:sz w:val="22"/>
        </w:rPr>
        <w:t>Expand mandatory courses into specializations/electives for advanced sustainability training.</w:t>
      </w:r>
    </w:p>
    <w:p>
      <w:pPr>
        <w:pStyle w:val="ListBullet"/>
        <w:ind w:left="357"/>
        <w:jc w:val="both"/>
      </w:pPr>
      <w:r>
        <w:rPr>
          <w:rFonts w:ascii="Cambria" w:hAnsi="Cambria"/>
          <w:sz w:val="22"/>
        </w:rPr>
        <w:t>Collaborate with NGOs, UN bodies, and global universities for curriculum benchmarking.</w:t>
      </w:r>
    </w:p>
    <w:p>
      <w:pPr>
        <w:spacing w:after="120"/>
        <w:jc w:val="both"/>
      </w:pPr>
      <w:r>
        <w:rPr>
          <w:rFonts w:ascii="Cambria" w:hAnsi="Cambria"/>
          <w:b/>
          <w:i w:val="0"/>
          <w:sz w:val="22"/>
        </w:rPr>
        <w:t>Outcomes:</w:t>
      </w:r>
    </w:p>
    <w:p>
      <w:pPr>
        <w:pStyle w:val="ListBullet"/>
        <w:ind w:left="357"/>
        <w:jc w:val="both"/>
      </w:pPr>
      <w:r>
        <w:rPr>
          <w:rFonts w:ascii="Cambria" w:hAnsi="Cambria"/>
          <w:sz w:val="22"/>
        </w:rPr>
        <w:t>All HEIs nationwide adopt SDG/Environment courses.</w:t>
      </w:r>
    </w:p>
    <w:p>
      <w:pPr>
        <w:pStyle w:val="ListBullet"/>
        <w:ind w:left="357"/>
        <w:jc w:val="both"/>
      </w:pPr>
      <w:r>
        <w:rPr>
          <w:rFonts w:ascii="Cambria" w:hAnsi="Cambria"/>
          <w:sz w:val="22"/>
        </w:rPr>
        <w:t>Students from regional backgrounds achieve equal learning outcomes as English-medium peers.</w:t>
      </w:r>
    </w:p>
    <w:p>
      <w:pPr>
        <w:pStyle w:val="ListBullet"/>
        <w:ind w:left="357"/>
        <w:jc w:val="both"/>
      </w:pPr>
      <w:r>
        <w:rPr>
          <w:rFonts w:ascii="Cambria" w:hAnsi="Cambria"/>
          <w:sz w:val="22"/>
        </w:rPr>
        <w:t>Multilingual MOOCs scale accessibility for millions of students.</w:t>
      </w:r>
    </w:p>
    <w:p>
      <w:pPr>
        <w:pStyle w:val="ListBullet"/>
        <w:ind w:left="357"/>
        <w:jc w:val="both"/>
      </w:pPr>
      <w:r>
        <w:rPr>
          <w:rFonts w:ascii="Cambria" w:hAnsi="Cambria"/>
          <w:sz w:val="22"/>
        </w:rPr>
        <w:t>Rise in student research and projects linked to SDGs.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Enshrine mandatory SDG/Environment education in higher education law.</w:t>
      </w:r>
    </w:p>
    <w:p>
      <w:pPr>
        <w:pStyle w:val="ListBullet"/>
        <w:ind w:left="357"/>
        <w:jc w:val="both"/>
      </w:pPr>
      <w:r>
        <w:rPr>
          <w:rFonts w:ascii="Cambria" w:hAnsi="Cambria"/>
          <w:sz w:val="22"/>
        </w:rPr>
        <w:t>Integrate multilingual SDG courses into global exchange programmes (Erasmus+, UNESCO collaborations).</w:t>
      </w:r>
    </w:p>
    <w:p>
      <w:pPr>
        <w:pStyle w:val="ListBullet"/>
        <w:ind w:left="357"/>
        <w:jc w:val="both"/>
      </w:pPr>
      <w:r>
        <w:rPr>
          <w:rFonts w:ascii="Cambria" w:hAnsi="Cambria"/>
          <w:sz w:val="22"/>
        </w:rPr>
        <w:t>Establish India as a global hub for sustainability education in multiple languages.</w:t>
      </w:r>
    </w:p>
    <w:p>
      <w:pPr>
        <w:spacing w:after="120"/>
        <w:jc w:val="both"/>
      </w:pPr>
      <w:r>
        <w:rPr>
          <w:rFonts w:ascii="Cambria" w:hAnsi="Cambria"/>
          <w:b/>
          <w:i w:val="0"/>
          <w:sz w:val="22"/>
        </w:rPr>
        <w:t>Actions:</w:t>
      </w:r>
    </w:p>
    <w:p>
      <w:pPr>
        <w:pStyle w:val="ListBullet"/>
        <w:ind w:left="357"/>
        <w:jc w:val="both"/>
      </w:pPr>
      <w:r>
        <w:rPr>
          <w:rFonts w:ascii="Cambria" w:hAnsi="Cambria"/>
          <w:sz w:val="22"/>
        </w:rPr>
        <w:t>All courses on SDGs available in digital + print form in 12 Indian languages.</w:t>
      </w:r>
    </w:p>
    <w:p>
      <w:pPr>
        <w:pStyle w:val="ListBullet"/>
        <w:ind w:left="357"/>
        <w:jc w:val="both"/>
      </w:pPr>
      <w:r>
        <w:rPr>
          <w:rFonts w:ascii="Cambria" w:hAnsi="Cambria"/>
          <w:sz w:val="22"/>
        </w:rPr>
        <w:t>Launch joint degree programmes with global universities focusing on SDG challenges.</w:t>
      </w:r>
    </w:p>
    <w:p>
      <w:pPr>
        <w:pStyle w:val="ListBullet"/>
        <w:ind w:left="357"/>
        <w:jc w:val="both"/>
      </w:pPr>
      <w:r>
        <w:rPr>
          <w:rFonts w:ascii="Cambria" w:hAnsi="Cambria"/>
          <w:sz w:val="22"/>
        </w:rPr>
        <w:t>Host annual Global SDG Education Summits in India.</w:t>
      </w:r>
    </w:p>
    <w:p>
      <w:pPr>
        <w:pStyle w:val="ListBullet"/>
        <w:ind w:left="357"/>
        <w:jc w:val="both"/>
      </w:pPr>
      <w:r>
        <w:rPr>
          <w:rFonts w:ascii="Cambria" w:hAnsi="Cambria"/>
          <w:sz w:val="22"/>
        </w:rPr>
        <w:t>Encourage HEIs to develop local case studies linking SDGs to Indian contexts.</w:t>
      </w:r>
    </w:p>
    <w:p>
      <w:pPr>
        <w:spacing w:after="120"/>
        <w:jc w:val="both"/>
      </w:pPr>
      <w:r>
        <w:rPr>
          <w:rFonts w:ascii="Cambria" w:hAnsi="Cambria"/>
          <w:b/>
          <w:i w:val="0"/>
          <w:sz w:val="22"/>
        </w:rPr>
        <w:t>Outcomes:</w:t>
      </w:r>
    </w:p>
    <w:p>
      <w:pPr>
        <w:pStyle w:val="ListBullet"/>
        <w:ind w:left="357"/>
        <w:jc w:val="both"/>
      </w:pPr>
      <w:r>
        <w:rPr>
          <w:rFonts w:ascii="Cambria" w:hAnsi="Cambria"/>
          <w:sz w:val="22"/>
        </w:rPr>
        <w:t>Every graduate in India has sustainability literacy as a baseline competency.</w:t>
      </w:r>
    </w:p>
    <w:p>
      <w:pPr>
        <w:pStyle w:val="ListBullet"/>
        <w:ind w:left="357"/>
        <w:jc w:val="both"/>
      </w:pPr>
      <w:r>
        <w:rPr>
          <w:rFonts w:ascii="Cambria" w:hAnsi="Cambria"/>
          <w:sz w:val="22"/>
        </w:rPr>
        <w:t>Equitable access achieved through regional language education.</w:t>
      </w:r>
    </w:p>
    <w:p>
      <w:pPr>
        <w:pStyle w:val="ListBullet"/>
        <w:ind w:left="357"/>
        <w:jc w:val="both"/>
      </w:pPr>
      <w:r>
        <w:rPr>
          <w:rFonts w:ascii="Cambria" w:hAnsi="Cambria"/>
          <w:sz w:val="22"/>
        </w:rPr>
        <w:t>India becomes a world leader in multilingual sustainability education.</w:t>
      </w:r>
    </w:p>
    <w:p>
      <w:pPr>
        <w:pStyle w:val="ListBullet"/>
        <w:ind w:left="357"/>
        <w:jc w:val="both"/>
      </w:pPr>
      <w:r>
        <w:rPr>
          <w:rFonts w:ascii="Cambria" w:hAnsi="Cambria"/>
          <w:sz w:val="22"/>
        </w:rPr>
        <w:t>Tangible societal transformation in environmental awareness and practices.</w:t>
      </w:r>
    </w:p>
    <w:p>
      <w:r>
        <w:br w:type="page"/>
      </w:r>
    </w:p>
    <w:p>
      <w:pPr>
        <w:spacing w:before="280" w:after="160"/>
        <w:jc w:val="left"/>
      </w:pPr>
      <w:r>
        <w:rPr>
          <w:rFonts w:ascii="Cambria" w:hAnsi="Cambria"/>
          <w:b/>
          <w:color w:val="1F3A5F"/>
          <w:sz w:val="32"/>
        </w:rPr>
        <w:t>23. Flexibility, Dynamism &amp; Synergy in HEIs for SDGs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To achieve SDG-4 (Quality Education) and related sustainability goals (SDG-6: Clean Water, SDG-7: Clean Energy, SDG-13: Climate Action), HEIs cannot remain rigid in governance and operations.</w:t>
      </w:r>
    </w:p>
    <w:p>
      <w:pPr>
        <w:pStyle w:val="ListBullet"/>
        <w:ind w:left="357"/>
        <w:jc w:val="both"/>
      </w:pPr>
      <w:r>
        <w:rPr>
          <w:rFonts w:ascii="Cambria" w:hAnsi="Cambria"/>
          <w:sz w:val="22"/>
        </w:rPr>
        <w:t>Flexibility allows institutions to experiment with new sustainability models, pilot projects, and innovative practices without bureaucratic delays.</w:t>
      </w:r>
    </w:p>
    <w:p>
      <w:pPr>
        <w:pStyle w:val="ListBullet"/>
        <w:ind w:left="357"/>
        <w:jc w:val="both"/>
      </w:pPr>
      <w:r>
        <w:rPr>
          <w:rFonts w:ascii="Cambria" w:hAnsi="Cambria"/>
          <w:sz w:val="22"/>
        </w:rPr>
        <w:t>Dynamism ensures that HEIs remain responsive to global challenges (climate change, energy crisis, waste management) while aligning with national frameworks like NEP 2020.</w:t>
      </w:r>
    </w:p>
    <w:p>
      <w:pPr>
        <w:pStyle w:val="ListBullet"/>
        <w:ind w:left="357"/>
        <w:jc w:val="both"/>
      </w:pPr>
      <w:r>
        <w:rPr>
          <w:rFonts w:ascii="Cambria" w:hAnsi="Cambria"/>
          <w:sz w:val="22"/>
        </w:rPr>
        <w:t>Synergy between staff and students creates a participatory culture where sustainability is not limited to policy but becomes a lived practice on campus.</w:t>
      </w:r>
    </w:p>
    <w:p>
      <w:pPr>
        <w:spacing w:before="200" w:after="80"/>
        <w:jc w:val="left"/>
      </w:pPr>
      <w:r>
        <w:rPr>
          <w:rFonts w:ascii="Cambria" w:hAnsi="Cambria"/>
          <w:b/>
          <w:color w:val="1F3A5F"/>
          <w:sz w:val="25"/>
        </w:rPr>
        <w:t>2. Key Features of the Recommendation</w:t>
      </w:r>
    </w:p>
    <w:p>
      <w:pPr>
        <w:pStyle w:val="ListBullet"/>
        <w:ind w:left="357"/>
        <w:jc w:val="both"/>
      </w:pPr>
      <w:r>
        <w:rPr>
          <w:rFonts w:ascii="Cambria" w:hAnsi="Cambria"/>
          <w:sz w:val="22"/>
        </w:rPr>
        <w:t>Institutional Flexibility</w:t>
      </w:r>
    </w:p>
    <w:p>
      <w:pPr>
        <w:pStyle w:val="ListBullet2"/>
        <w:ind w:left="720"/>
        <w:jc w:val="both"/>
      </w:pPr>
      <w:r>
        <w:rPr>
          <w:rFonts w:ascii="Cambria" w:hAnsi="Cambria"/>
          <w:sz w:val="22"/>
        </w:rPr>
        <w:t>HEIs given autonomy to design and pilot sustainability projects.</w:t>
      </w:r>
    </w:p>
    <w:p>
      <w:pPr>
        <w:pStyle w:val="ListBullet2"/>
        <w:ind w:left="720"/>
        <w:jc w:val="both"/>
      </w:pPr>
      <w:r>
        <w:rPr>
          <w:rFonts w:ascii="Cambria" w:hAnsi="Cambria"/>
          <w:sz w:val="22"/>
        </w:rPr>
        <w:t>Governance systems support innovation beyond rigid compliance models.</w:t>
      </w:r>
    </w:p>
    <w:p>
      <w:pPr>
        <w:pStyle w:val="ListBullet"/>
        <w:ind w:left="357"/>
        <w:jc w:val="both"/>
      </w:pPr>
      <w:r>
        <w:rPr>
          <w:rFonts w:ascii="Cambria" w:hAnsi="Cambria"/>
          <w:sz w:val="22"/>
        </w:rPr>
        <w:t>Dynamic Approach</w:t>
      </w:r>
    </w:p>
    <w:p>
      <w:pPr>
        <w:pStyle w:val="ListBullet2"/>
        <w:ind w:left="720"/>
        <w:jc w:val="both"/>
      </w:pPr>
      <w:r>
        <w:rPr>
          <w:rFonts w:ascii="Cambria" w:hAnsi="Cambria"/>
          <w:sz w:val="22"/>
        </w:rPr>
        <w:t>Ability to adapt curricula, infrastructure, and policies quickly in response to sustainability needs.</w:t>
      </w:r>
    </w:p>
    <w:p>
      <w:pPr>
        <w:pStyle w:val="ListBullet2"/>
        <w:ind w:left="720"/>
        <w:jc w:val="both"/>
      </w:pPr>
      <w:r>
        <w:rPr>
          <w:rFonts w:ascii="Cambria" w:hAnsi="Cambria"/>
          <w:sz w:val="22"/>
        </w:rPr>
        <w:t>Integration of technology, green audits, and student-driven projects.</w:t>
      </w:r>
    </w:p>
    <w:p>
      <w:pPr>
        <w:pStyle w:val="ListBullet"/>
        <w:ind w:left="357"/>
        <w:jc w:val="both"/>
      </w:pPr>
      <w:r>
        <w:rPr>
          <w:rFonts w:ascii="Cambria" w:hAnsi="Cambria"/>
          <w:sz w:val="22"/>
        </w:rPr>
        <w:t>Staff–Student Synergy</w:t>
      </w:r>
    </w:p>
    <w:p>
      <w:pPr>
        <w:pStyle w:val="ListBullet2"/>
        <w:ind w:left="720"/>
        <w:jc w:val="both"/>
      </w:pPr>
      <w:r>
        <w:rPr>
          <w:rFonts w:ascii="Cambria" w:hAnsi="Cambria"/>
          <w:sz w:val="22"/>
        </w:rPr>
        <w:t>Joint leadership of sustainability projects (eco-clubs, renewable energy management, waste-to-energy systems).</w:t>
      </w:r>
    </w:p>
    <w:p>
      <w:pPr>
        <w:pStyle w:val="ListBullet2"/>
        <w:ind w:left="720"/>
        <w:jc w:val="both"/>
      </w:pPr>
      <w:r>
        <w:rPr>
          <w:rFonts w:ascii="Cambria" w:hAnsi="Cambria"/>
          <w:sz w:val="22"/>
        </w:rPr>
        <w:t>Co-creation of campus as a living laboratory for SDGs.</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MIT Green Labs (USA): </w:t>
      </w:r>
      <w:r>
        <w:rPr>
          <w:rFonts w:ascii="Cambria" w:hAnsi="Cambria"/>
          <w:sz w:val="22"/>
        </w:rPr>
        <w:t>Students and staff collaborate to reduce campus carbon footprint.</w:t>
      </w:r>
    </w:p>
    <w:p>
      <w:pPr>
        <w:pStyle w:val="ListBullet"/>
        <w:ind w:left="357"/>
        <w:jc w:val="both"/>
      </w:pPr>
      <w:r>
        <w:rPr>
          <w:rFonts w:ascii="Cambria" w:hAnsi="Cambria"/>
          <w:b/>
          <w:sz w:val="22"/>
        </w:rPr>
        <w:t xml:space="preserve">Arizona State University (USA): </w:t>
      </w:r>
      <w:r>
        <w:rPr>
          <w:rFonts w:ascii="Cambria" w:hAnsi="Cambria"/>
          <w:sz w:val="22"/>
        </w:rPr>
        <w:t>Known for its dynamic, experimental sustainability practices.</w:t>
      </w:r>
    </w:p>
    <w:p>
      <w:pPr>
        <w:pStyle w:val="ListBullet"/>
        <w:ind w:left="357"/>
        <w:jc w:val="both"/>
      </w:pPr>
      <w:r>
        <w:rPr>
          <w:rFonts w:ascii="Cambria" w:hAnsi="Cambria"/>
          <w:b/>
          <w:sz w:val="22"/>
        </w:rPr>
        <w:t xml:space="preserve">IISc Bengaluru (India): </w:t>
      </w:r>
      <w:r>
        <w:rPr>
          <w:rFonts w:ascii="Cambria" w:hAnsi="Cambria"/>
          <w:sz w:val="22"/>
        </w:rPr>
        <w:t>Implemented rainwater harvesting and zero-waste campus projects with faculty–student synergy.</w:t>
      </w:r>
    </w:p>
    <w:p>
      <w:pPr>
        <w:pStyle w:val="ListBullet"/>
        <w:ind w:left="357"/>
        <w:jc w:val="both"/>
      </w:pPr>
      <w:r>
        <w:rPr>
          <w:rFonts w:ascii="Cambria" w:hAnsi="Cambria"/>
          <w:b/>
          <w:sz w:val="22"/>
        </w:rPr>
        <w:t xml:space="preserve">University of Cape Town (South Africa): </w:t>
      </w:r>
      <w:r>
        <w:rPr>
          <w:rFonts w:ascii="Cambria" w:hAnsi="Cambria"/>
          <w:sz w:val="22"/>
        </w:rPr>
        <w:t>Campus sustainability office engages students and staff in co-governance.</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Enhanced innovation culture in HEIs through flexible governance.</w:t>
      </w:r>
    </w:p>
    <w:p>
      <w:pPr>
        <w:pStyle w:val="ListBullet"/>
        <w:ind w:left="357"/>
        <w:jc w:val="both"/>
      </w:pPr>
      <w:r>
        <w:rPr>
          <w:rFonts w:ascii="Cambria" w:hAnsi="Cambria"/>
          <w:sz w:val="22"/>
        </w:rPr>
        <w:t>Active participation of staff and students in sustainability practices.</w:t>
      </w:r>
    </w:p>
    <w:p>
      <w:pPr>
        <w:pStyle w:val="ListBullet"/>
        <w:ind w:left="357"/>
        <w:jc w:val="both"/>
      </w:pPr>
      <w:r>
        <w:rPr>
          <w:rFonts w:ascii="Cambria" w:hAnsi="Cambria"/>
          <w:sz w:val="22"/>
        </w:rPr>
        <w:t>Campus sustainability becomes a part of pedagogy and not just infrastructure.</w:t>
      </w:r>
    </w:p>
    <w:p>
      <w:pPr>
        <w:pStyle w:val="ListBullet"/>
        <w:ind w:left="357"/>
        <w:jc w:val="both"/>
      </w:pPr>
      <w:r>
        <w:rPr>
          <w:rFonts w:ascii="Cambria" w:hAnsi="Cambria"/>
          <w:sz w:val="22"/>
        </w:rPr>
        <w:t>HEIs evolve as demonstration hubs for community-based sustainability practices.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Number of student/staff-led sustainability projects initiated annually.</w:t>
      </w:r>
    </w:p>
    <w:p>
      <w:pPr>
        <w:pStyle w:val="ListBullet"/>
        <w:ind w:left="357"/>
        <w:jc w:val="both"/>
      </w:pPr>
      <w:r>
        <w:rPr>
          <w:rFonts w:ascii="Cambria" w:hAnsi="Cambria"/>
          <w:sz w:val="22"/>
        </w:rPr>
        <w:t>% of renewable energy adoption on campus.</w:t>
      </w:r>
    </w:p>
    <w:p>
      <w:pPr>
        <w:pStyle w:val="ListBullet"/>
        <w:ind w:left="357"/>
        <w:jc w:val="both"/>
      </w:pPr>
      <w:r>
        <w:rPr>
          <w:rFonts w:ascii="Cambria" w:hAnsi="Cambria"/>
          <w:sz w:val="22"/>
        </w:rPr>
        <w:t>% of waste recycled or composted through student-led activities.</w:t>
      </w:r>
    </w:p>
    <w:p>
      <w:pPr>
        <w:pStyle w:val="ListBullet"/>
        <w:ind w:left="357"/>
        <w:jc w:val="both"/>
      </w:pPr>
      <w:r>
        <w:rPr>
          <w:rFonts w:ascii="Cambria" w:hAnsi="Cambria"/>
          <w:sz w:val="22"/>
        </w:rPr>
        <w:t>Student participation rate in eco-clubs, green audits, and campus projects.</w:t>
      </w:r>
    </w:p>
    <w:p>
      <w:pPr>
        <w:pStyle w:val="ListBullet"/>
        <w:ind w:left="357"/>
        <w:jc w:val="both"/>
      </w:pPr>
      <w:r>
        <w:rPr>
          <w:rFonts w:ascii="Cambria" w:hAnsi="Cambria"/>
          <w:sz w:val="22"/>
        </w:rPr>
        <w:t>Number of cross-departmental sustainability initiatives (e.g., engineering + social sciences).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gain hands-on exposure to real-world sustainability challenges.</w:t>
      </w:r>
    </w:p>
    <w:p>
      <w:pPr>
        <w:pStyle w:val="ListBullet"/>
        <w:ind w:left="357"/>
        <w:jc w:val="both"/>
      </w:pPr>
      <w:r>
        <w:rPr>
          <w:rFonts w:ascii="Cambria" w:hAnsi="Cambria"/>
          <w:sz w:val="22"/>
        </w:rPr>
        <w:t>Higher employability in green industries, energy, environment, and CSR sectors.</w:t>
      </w:r>
    </w:p>
    <w:p>
      <w:pPr>
        <w:pStyle w:val="ListBullet"/>
        <w:ind w:left="357"/>
        <w:jc w:val="both"/>
      </w:pPr>
      <w:r>
        <w:rPr>
          <w:rFonts w:ascii="Cambria" w:hAnsi="Cambria"/>
          <w:sz w:val="22"/>
        </w:rPr>
        <w:t>Leadership and teamwork skills strengthened through staff–student collaboration.</w:t>
      </w:r>
    </w:p>
    <w:p>
      <w:pPr>
        <w:spacing w:before="200" w:after="80"/>
        <w:jc w:val="left"/>
      </w:pPr>
      <w:r>
        <w:rPr>
          <w:rFonts w:ascii="Cambria" w:hAnsi="Cambria"/>
          <w:b/>
          <w:color w:val="1F3A5F"/>
          <w:sz w:val="25"/>
        </w:rPr>
        <w:t>7. Societal Benefit</w:t>
      </w:r>
    </w:p>
    <w:p>
      <w:pPr>
        <w:pStyle w:val="ListBullet"/>
        <w:ind w:left="357"/>
        <w:jc w:val="both"/>
      </w:pPr>
      <w:r>
        <w:rPr>
          <w:rFonts w:ascii="Cambria" w:hAnsi="Cambria"/>
          <w:sz w:val="22"/>
        </w:rPr>
        <w:t>Campuses become role models for sustainable living in their surrounding communities.</w:t>
      </w:r>
    </w:p>
    <w:p>
      <w:pPr>
        <w:pStyle w:val="ListBullet"/>
        <w:ind w:left="357"/>
        <w:jc w:val="both"/>
      </w:pPr>
      <w:r>
        <w:rPr>
          <w:rFonts w:ascii="Cambria" w:hAnsi="Cambria"/>
          <w:sz w:val="22"/>
        </w:rPr>
        <w:t>Increased awareness of eco-friendly practices among students, staff, and society.</w:t>
      </w:r>
    </w:p>
    <w:p>
      <w:pPr>
        <w:pStyle w:val="ListBullet"/>
        <w:ind w:left="357"/>
        <w:jc w:val="both"/>
      </w:pPr>
      <w:r>
        <w:rPr>
          <w:rFonts w:ascii="Cambria" w:hAnsi="Cambria"/>
          <w:sz w:val="22"/>
        </w:rPr>
        <w:t>Tangible contributions to India's climate action and renewable energy goals.</w:t>
      </w:r>
    </w:p>
    <w:p>
      <w:pPr>
        <w:spacing w:before="240" w:after="120"/>
        <w:jc w:val="left"/>
      </w:pPr>
      <w:r>
        <w:rPr>
          <w:rFonts w:ascii="Cambria" w:hAnsi="Cambria"/>
          <w:b/>
          <w:color w:val="1F3A5F"/>
          <w:sz w:val="28"/>
        </w:rPr>
        <w:t>Policy–Action–Outcome Roadmap: Flexibility, Dynamism &amp; Synergy for Sustainable Campuses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UGC/AICTE/NAAC issue guidelines for campus sustainability experiments as part of SDG-4 compliance.</w:t>
      </w:r>
    </w:p>
    <w:p>
      <w:pPr>
        <w:pStyle w:val="ListBullet"/>
        <w:ind w:left="357"/>
        <w:jc w:val="both"/>
      </w:pPr>
      <w:r>
        <w:rPr>
          <w:rFonts w:ascii="Cambria" w:hAnsi="Cambria"/>
          <w:sz w:val="22"/>
        </w:rPr>
        <w:t>HEIs encouraged to set up Sustainability Task Forces with student and staff representation.</w:t>
      </w:r>
    </w:p>
    <w:p>
      <w:pPr>
        <w:pStyle w:val="ListBullet"/>
        <w:ind w:left="357"/>
        <w:jc w:val="both"/>
      </w:pPr>
      <w:r>
        <w:rPr>
          <w:rFonts w:ascii="Cambria" w:hAnsi="Cambria"/>
          <w:sz w:val="22"/>
        </w:rPr>
        <w:t>Small seed funding schemes introduced for student/staff-led projects.</w:t>
      </w:r>
    </w:p>
    <w:p>
      <w:pPr>
        <w:spacing w:after="120"/>
        <w:jc w:val="both"/>
      </w:pPr>
      <w:r>
        <w:rPr>
          <w:rFonts w:ascii="Cambria" w:hAnsi="Cambria"/>
          <w:b/>
          <w:i w:val="0"/>
          <w:sz w:val="22"/>
        </w:rPr>
        <w:t>Actions:</w:t>
      </w:r>
    </w:p>
    <w:p>
      <w:pPr>
        <w:pStyle w:val="ListBullet"/>
        <w:ind w:left="357"/>
        <w:jc w:val="both"/>
      </w:pPr>
      <w:r>
        <w:rPr>
          <w:rFonts w:ascii="Cambria" w:hAnsi="Cambria"/>
          <w:sz w:val="22"/>
        </w:rPr>
        <w:t>Launch eco-clubs and green councils in HEIs.</w:t>
      </w:r>
    </w:p>
    <w:p>
      <w:pPr>
        <w:pStyle w:val="ListBullet"/>
        <w:ind w:left="357"/>
        <w:jc w:val="both"/>
      </w:pPr>
      <w:r>
        <w:rPr>
          <w:rFonts w:ascii="Cambria" w:hAnsi="Cambria"/>
          <w:b/>
          <w:sz w:val="22"/>
        </w:rPr>
        <w:t xml:space="preserve">Pilot projects: </w:t>
      </w:r>
      <w:r>
        <w:rPr>
          <w:rFonts w:ascii="Cambria" w:hAnsi="Cambria"/>
          <w:sz w:val="22"/>
        </w:rPr>
        <w:t>waste segregation, rooftop solar, rainwater harvesting, biodiversity gardens.</w:t>
      </w:r>
    </w:p>
    <w:p>
      <w:pPr>
        <w:pStyle w:val="ListBullet"/>
        <w:ind w:left="357"/>
        <w:jc w:val="both"/>
      </w:pPr>
      <w:r>
        <w:rPr>
          <w:rFonts w:ascii="Cambria" w:hAnsi="Cambria"/>
          <w:sz w:val="22"/>
        </w:rPr>
        <w:t>Conduct green audits with student participation.</w:t>
      </w:r>
    </w:p>
    <w:p>
      <w:pPr>
        <w:pStyle w:val="ListBullet"/>
        <w:ind w:left="357"/>
        <w:jc w:val="both"/>
      </w:pPr>
      <w:r>
        <w:rPr>
          <w:rFonts w:ascii="Cambria" w:hAnsi="Cambria"/>
          <w:sz w:val="22"/>
        </w:rPr>
        <w:t>Introduce interdisciplinary workshops linking curriculum to campus experiments.</w:t>
      </w:r>
    </w:p>
    <w:p>
      <w:pPr>
        <w:spacing w:after="120"/>
        <w:jc w:val="both"/>
      </w:pPr>
      <w:r>
        <w:rPr>
          <w:rFonts w:ascii="Cambria" w:hAnsi="Cambria"/>
          <w:b/>
          <w:i w:val="0"/>
          <w:sz w:val="22"/>
        </w:rPr>
        <w:t>Outcomes:</w:t>
      </w:r>
    </w:p>
    <w:p>
      <w:pPr>
        <w:pStyle w:val="ListBullet"/>
        <w:ind w:left="357"/>
        <w:jc w:val="both"/>
      </w:pPr>
      <w:r>
        <w:rPr>
          <w:rFonts w:ascii="Cambria" w:hAnsi="Cambria"/>
          <w:sz w:val="22"/>
        </w:rPr>
        <w:t>Campuses start functioning as living laboratories for sustainability.</w:t>
      </w:r>
    </w:p>
    <w:p>
      <w:pPr>
        <w:pStyle w:val="ListBullet"/>
        <w:ind w:left="357"/>
        <w:jc w:val="both"/>
      </w:pPr>
      <w:r>
        <w:rPr>
          <w:rFonts w:ascii="Cambria" w:hAnsi="Cambria"/>
          <w:sz w:val="22"/>
        </w:rPr>
        <w:t>Staff–student synergy established through project ownership.</w:t>
      </w:r>
    </w:p>
    <w:p>
      <w:pPr>
        <w:pStyle w:val="ListBullet"/>
        <w:ind w:left="357"/>
        <w:jc w:val="both"/>
      </w:pPr>
      <w:r>
        <w:rPr>
          <w:rFonts w:ascii="Cambria" w:hAnsi="Cambria"/>
          <w:sz w:val="22"/>
        </w:rPr>
        <w:t>Early improvement in waste management, water, and energy savings.</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NAAC and NBA integrate sustainability outcomes into accreditation metrics.</w:t>
      </w:r>
    </w:p>
    <w:p>
      <w:pPr>
        <w:pStyle w:val="ListBullet"/>
        <w:ind w:left="357"/>
        <w:jc w:val="both"/>
      </w:pPr>
      <w:r>
        <w:rPr>
          <w:rFonts w:ascii="Cambria" w:hAnsi="Cambria"/>
          <w:sz w:val="22"/>
        </w:rPr>
        <w:t>Government incentivizes HEIs adopting dynamic and experimental green campus models.</w:t>
      </w:r>
    </w:p>
    <w:p>
      <w:pPr>
        <w:pStyle w:val="ListBullet"/>
        <w:ind w:left="357"/>
        <w:jc w:val="both"/>
      </w:pPr>
      <w:r>
        <w:rPr>
          <w:rFonts w:ascii="Cambria" w:hAnsi="Cambria"/>
          <w:sz w:val="22"/>
        </w:rPr>
        <w:t>Creation of state-level networks of sustainable campuses to share practices.</w:t>
      </w:r>
    </w:p>
    <w:p>
      <w:pPr>
        <w:spacing w:after="120"/>
        <w:jc w:val="both"/>
      </w:pPr>
      <w:r>
        <w:rPr>
          <w:rFonts w:ascii="Cambria" w:hAnsi="Cambria"/>
          <w:b/>
          <w:i w:val="0"/>
          <w:sz w:val="22"/>
        </w:rPr>
        <w:t>Actions:</w:t>
      </w:r>
    </w:p>
    <w:p>
      <w:pPr>
        <w:pStyle w:val="ListBullet"/>
        <w:ind w:left="357"/>
        <w:jc w:val="both"/>
      </w:pPr>
      <w:r>
        <w:rPr>
          <w:rFonts w:ascii="Cambria" w:hAnsi="Cambria"/>
          <w:sz w:val="22"/>
        </w:rPr>
        <w:t>Scale successful pilot projects across all departments.</w:t>
      </w:r>
    </w:p>
    <w:p>
      <w:pPr>
        <w:pStyle w:val="ListBullet"/>
        <w:ind w:left="357"/>
        <w:jc w:val="both"/>
      </w:pPr>
      <w:r>
        <w:rPr>
          <w:rFonts w:ascii="Cambria" w:hAnsi="Cambria"/>
          <w:sz w:val="22"/>
        </w:rPr>
        <w:t>Launch interdisciplinary sustainability research hubs combining STEM, social sciences, and management.</w:t>
      </w:r>
    </w:p>
    <w:p>
      <w:pPr>
        <w:pStyle w:val="ListBullet"/>
        <w:ind w:left="357"/>
        <w:jc w:val="both"/>
      </w:pPr>
      <w:r>
        <w:rPr>
          <w:rFonts w:ascii="Cambria" w:hAnsi="Cambria"/>
          <w:sz w:val="22"/>
        </w:rPr>
        <w:t>Institutionalize student credits for participation in campus sustainability activities.</w:t>
      </w:r>
    </w:p>
    <w:p>
      <w:pPr>
        <w:pStyle w:val="ListBullet"/>
        <w:ind w:left="357"/>
        <w:jc w:val="both"/>
      </w:pPr>
      <w:r>
        <w:rPr>
          <w:rFonts w:ascii="Cambria" w:hAnsi="Cambria"/>
          <w:sz w:val="22"/>
        </w:rPr>
        <w:t>Host annual sustainability hackathons and innovation fairs involving students, staff, and industry.</w:t>
      </w:r>
    </w:p>
    <w:p>
      <w:pPr>
        <w:spacing w:after="120"/>
        <w:jc w:val="both"/>
      </w:pPr>
      <w:r>
        <w:rPr>
          <w:rFonts w:ascii="Cambria" w:hAnsi="Cambria"/>
          <w:b/>
          <w:i w:val="0"/>
          <w:sz w:val="22"/>
        </w:rPr>
        <w:t>Outcomes:</w:t>
      </w:r>
    </w:p>
    <w:p>
      <w:pPr>
        <w:pStyle w:val="ListBullet"/>
        <w:ind w:left="357"/>
        <w:jc w:val="both"/>
      </w:pPr>
      <w:r>
        <w:rPr>
          <w:rFonts w:ascii="Cambria" w:hAnsi="Cambria"/>
          <w:sz w:val="22"/>
        </w:rPr>
        <w:t>HEIs develop systematic sustainability ecosystems rather than isolated projects.</w:t>
      </w:r>
    </w:p>
    <w:p>
      <w:pPr>
        <w:pStyle w:val="ListBullet"/>
        <w:ind w:left="357"/>
        <w:jc w:val="both"/>
      </w:pPr>
      <w:r>
        <w:rPr>
          <w:rFonts w:ascii="Cambria" w:hAnsi="Cambria"/>
          <w:sz w:val="22"/>
        </w:rPr>
        <w:t>Staff and students gain recognition for their green innovations.</w:t>
      </w:r>
    </w:p>
    <w:p>
      <w:pPr>
        <w:pStyle w:val="ListBullet"/>
        <w:ind w:left="357"/>
        <w:jc w:val="both"/>
      </w:pPr>
      <w:r>
        <w:rPr>
          <w:rFonts w:ascii="Cambria" w:hAnsi="Cambria"/>
          <w:sz w:val="22"/>
        </w:rPr>
        <w:t>Tangible reduction in campus carbon and water footprints.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A National Green Campus Act enacted mandating sustainability integration into all HEIs.</w:t>
      </w:r>
    </w:p>
    <w:p>
      <w:pPr>
        <w:pStyle w:val="ListBullet"/>
        <w:ind w:left="357"/>
        <w:jc w:val="both"/>
      </w:pPr>
      <w:r>
        <w:rPr>
          <w:rFonts w:ascii="Cambria" w:hAnsi="Cambria"/>
          <w:sz w:val="22"/>
        </w:rPr>
        <w:t>Indian HEIs partner with global sustainability networks (UNESCO, UNEP, Times Higher Education Impact Rankings).</w:t>
      </w:r>
    </w:p>
    <w:p>
      <w:pPr>
        <w:pStyle w:val="ListBullet"/>
        <w:ind w:left="357"/>
        <w:jc w:val="both"/>
      </w:pPr>
      <w:r>
        <w:rPr>
          <w:rFonts w:ascii="Cambria" w:hAnsi="Cambria"/>
          <w:sz w:val="22"/>
        </w:rPr>
        <w:t>Green campus performance linked to funding, global rankings, and policy recognition.</w:t>
      </w:r>
    </w:p>
    <w:p>
      <w:pPr>
        <w:spacing w:after="120"/>
        <w:jc w:val="both"/>
      </w:pPr>
      <w:r>
        <w:rPr>
          <w:rFonts w:ascii="Cambria" w:hAnsi="Cambria"/>
          <w:b/>
          <w:i w:val="0"/>
          <w:sz w:val="22"/>
        </w:rPr>
        <w:t>Actions:</w:t>
      </w:r>
    </w:p>
    <w:p>
      <w:pPr>
        <w:pStyle w:val="ListBullet"/>
        <w:ind w:left="357"/>
        <w:jc w:val="both"/>
      </w:pPr>
      <w:r>
        <w:rPr>
          <w:rFonts w:ascii="Cambria" w:hAnsi="Cambria"/>
          <w:sz w:val="22"/>
        </w:rPr>
        <w:t>Achieve 100% renewable energy and zero-waste campuses.</w:t>
      </w:r>
    </w:p>
    <w:p>
      <w:pPr>
        <w:pStyle w:val="ListBullet"/>
        <w:ind w:left="357"/>
        <w:jc w:val="both"/>
      </w:pPr>
      <w:r>
        <w:rPr>
          <w:rFonts w:ascii="Cambria" w:hAnsi="Cambria"/>
          <w:sz w:val="22"/>
        </w:rPr>
        <w:t>Implement AI-driven energy, waste, and water monitoring systems managed by students/staff.</w:t>
      </w:r>
    </w:p>
    <w:p>
      <w:pPr>
        <w:pStyle w:val="ListBullet"/>
        <w:ind w:left="357"/>
        <w:jc w:val="both"/>
      </w:pPr>
      <w:r>
        <w:rPr>
          <w:rFonts w:ascii="Cambria" w:hAnsi="Cambria"/>
          <w:sz w:val="22"/>
        </w:rPr>
        <w:t>Position HEIs as regional sustainability mentors for schools and local communities.</w:t>
      </w:r>
    </w:p>
    <w:p>
      <w:pPr>
        <w:pStyle w:val="ListBullet"/>
        <w:ind w:left="357"/>
        <w:jc w:val="both"/>
      </w:pPr>
      <w:r>
        <w:rPr>
          <w:rFonts w:ascii="Cambria" w:hAnsi="Cambria"/>
          <w:sz w:val="22"/>
        </w:rPr>
        <w:t>Host international conferences and collaborations on sustainable campuses.</w:t>
      </w:r>
    </w:p>
    <w:p>
      <w:pPr>
        <w:spacing w:after="120"/>
        <w:jc w:val="both"/>
      </w:pPr>
      <w:r>
        <w:rPr>
          <w:rFonts w:ascii="Cambria" w:hAnsi="Cambria"/>
          <w:b/>
          <w:i w:val="0"/>
          <w:sz w:val="22"/>
        </w:rPr>
        <w:t>Outcomes:</w:t>
      </w:r>
    </w:p>
    <w:p>
      <w:pPr>
        <w:pStyle w:val="ListBullet"/>
        <w:ind w:left="357"/>
        <w:jc w:val="both"/>
      </w:pPr>
      <w:r>
        <w:rPr>
          <w:rFonts w:ascii="Cambria" w:hAnsi="Cambria"/>
          <w:sz w:val="22"/>
        </w:rPr>
        <w:t>Indian HEIs emerge as global leaders in sustainable higher education ecosystems.</w:t>
      </w:r>
    </w:p>
    <w:p>
      <w:pPr>
        <w:pStyle w:val="ListBullet"/>
        <w:ind w:left="357"/>
        <w:jc w:val="both"/>
      </w:pPr>
      <w:r>
        <w:rPr>
          <w:rFonts w:ascii="Cambria" w:hAnsi="Cambria"/>
          <w:sz w:val="22"/>
        </w:rPr>
        <w:t>Students graduate with applied sustainability skills demanded worldwide.</w:t>
      </w:r>
    </w:p>
    <w:p>
      <w:pPr>
        <w:pStyle w:val="ListBullet"/>
        <w:ind w:left="357"/>
        <w:jc w:val="both"/>
      </w:pPr>
      <w:r>
        <w:rPr>
          <w:rFonts w:ascii="Cambria" w:hAnsi="Cambria"/>
          <w:sz w:val="22"/>
        </w:rPr>
        <w:t>Long-term societal benefits in climate action, clean water, renewable energy adoption.</w:t>
      </w:r>
    </w:p>
    <w:p>
      <w:pPr>
        <w:spacing w:before="200" w:after="80"/>
        <w:jc w:val="left"/>
      </w:pPr>
      <w:r>
        <w:rPr>
          <w:rFonts w:ascii="Cambria" w:hAnsi="Cambria"/>
          <w:b/>
          <w:color w:val="1F3A5F"/>
          <w:sz w:val="25"/>
        </w:rPr>
        <w:t>Institutional Culture – Flexibility, Dynamism &amp; Campus Sustainability</w:t>
      </w:r>
    </w:p>
    <w:p>
      <w:pPr>
        <w:spacing w:before="160" w:after="80"/>
      </w:pPr>
      <w:r>
        <w:rPr>
          <w:rFonts w:ascii="Cambria" w:hAnsi="Cambria"/>
          <w:b/>
          <w:color w:val="1F3A5F"/>
          <w:sz w:val="23"/>
        </w:rPr>
        <w:t>Institutional Culture – Flexibility &amp; Dynamism for Sustainability</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Provide HEIs with flexibility to experiment with sustainable models (solar grids, waste-to-energy, green buildings, water harvesting); Encourage synergy of staff and students in sustainability initiatives (eco-clubs, green labs, community projects); Recognize innovation in sustainable campus management through awards and funding; Integrate campus as a living laboratory for SDGs; Promote interdepartmental collaboration (engineering, management, social sciences)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MIT Green Labs (USA): Students and staff co-create sustainable campus innovations; IISc Bengaluru (India): Rainwater harvesting and waste-to-energy plant managed with staff-student participation; University of Cape Town (South Africa): Campus sustainability office engaging students and staff in climate action; Arizona State University (USA): Known for experimental sustainability projects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Dynamic, experimental culture of sustainability across HEIs; Greater staff-student collaboration in campus operations; Campus sustainability becomes part of learning outcomes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HEIs with student/staff-led sustainability initiatives; Number of experimental green campus projects piloted annually; % of campus energy from renewable sources; Student participation rate in eco-clubs &amp; green projects; Number of cross-departmental sustainability projects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Encourage flexibility, fund pilot projects, engage students/staff; Regulators (UGC, AICTE, NAAC): Allow experimentation, document best practices; Faculty &amp; Students: Co-lead sustainability projects; NGOs/Industry Partners: Provide expertise, technology, and funding</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(Institutional Values &amp; Best Practices) – Environmental Consciousness; NBA: Sustainability and innovation reflected in programme outcomes; NIRF: Boosts Outreach &amp; Inclusivity and Teaching–Learning scores; QS/THE Impact Rankings: Strengthens SDG-6, SDG-7, SDG-13 performance</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hands-on experience in green technologies; Higher employability in sustainability sectors; Improved leadership, teamwork, and applied research skills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Campuses evolve as role models of sustainable living; Greater awareness of sustainable practices among society; Tangible contributions to climate action, clean energy, and water conservation</w:t>
            </w:r>
          </w:p>
        </w:tc>
      </w:tr>
    </w:tbl>
    <w:p>
      <w:r>
        <w:br w:type="page"/>
      </w:r>
    </w:p>
    <w:p>
      <w:pPr>
        <w:spacing w:before="280" w:after="160"/>
        <w:jc w:val="left"/>
      </w:pPr>
      <w:r>
        <w:rPr>
          <w:rFonts w:ascii="Cambria" w:hAnsi="Cambria"/>
          <w:b/>
          <w:color w:val="1F3A5F"/>
          <w:sz w:val="32"/>
        </w:rPr>
        <w:t>24. Clean &amp; Smart Campuses in HEIs</w:t>
      </w:r>
    </w:p>
    <w:p>
      <w:pPr>
        <w:spacing w:before="200" w:after="80"/>
        <w:jc w:val="left"/>
      </w:pPr>
      <w:r>
        <w:rPr>
          <w:rFonts w:ascii="Cambria" w:hAnsi="Cambria"/>
          <w:b/>
          <w:color w:val="1F3A5F"/>
          <w:sz w:val="25"/>
        </w:rPr>
        <w:t>1. Rationale</w:t>
      </w:r>
    </w:p>
    <w:p>
      <w:pPr>
        <w:pStyle w:val="ListBullet"/>
        <w:ind w:left="357"/>
        <w:jc w:val="both"/>
      </w:pPr>
      <w:r>
        <w:rPr>
          <w:rFonts w:ascii="Cambria" w:hAnsi="Cambria"/>
          <w:b/>
          <w:sz w:val="22"/>
        </w:rPr>
        <w:t xml:space="preserve">Campuses as role models: </w:t>
      </w:r>
      <w:r>
        <w:rPr>
          <w:rFonts w:ascii="Cambria" w:hAnsi="Cambria"/>
          <w:sz w:val="22"/>
        </w:rPr>
        <w:t>Higher Education Institutions (HEIs) are not just academic spaces but also living environments where students internalize values. A clean, well-managed campus sets the tone for lifelong habits of sustainability.</w:t>
      </w:r>
    </w:p>
    <w:p>
      <w:pPr>
        <w:pStyle w:val="ListBullet"/>
        <w:ind w:left="357"/>
        <w:jc w:val="both"/>
      </w:pPr>
      <w:r>
        <w:rPr>
          <w:rFonts w:ascii="Cambria" w:hAnsi="Cambria"/>
          <w:b/>
          <w:sz w:val="22"/>
        </w:rPr>
        <w:t xml:space="preserve">Link to SDGs: </w:t>
      </w:r>
      <w:r>
        <w:rPr>
          <w:rFonts w:ascii="Cambria" w:hAnsi="Cambria"/>
          <w:sz w:val="22"/>
        </w:rPr>
        <w:t>This initiative contributes directly to SDG-4 (Quality Education) by embedding sustainability in learning environments, while also aligning with SDG-6 (Clean Water &amp; Sanitation), SDG-7 (Affordable &amp; Clean Energy), and SDG-13 (Climate Action).</w:t>
      </w:r>
    </w:p>
    <w:p>
      <w:pPr>
        <w:pStyle w:val="ListBullet"/>
        <w:ind w:left="357"/>
        <w:jc w:val="both"/>
      </w:pPr>
      <w:r>
        <w:rPr>
          <w:rFonts w:ascii="Cambria" w:hAnsi="Cambria"/>
          <w:b/>
          <w:sz w:val="22"/>
        </w:rPr>
        <w:t xml:space="preserve">Health &amp; learning outcomes: </w:t>
      </w:r>
      <w:r>
        <w:rPr>
          <w:rFonts w:ascii="Cambria" w:hAnsi="Cambria"/>
          <w:sz w:val="22"/>
        </w:rPr>
        <w:t>Clean campuses reduce pollution, improve hygiene, and create healthier surroundings that support academic productivity.</w:t>
      </w:r>
    </w:p>
    <w:p>
      <w:pPr>
        <w:pStyle w:val="ListBullet"/>
        <w:ind w:left="357"/>
        <w:jc w:val="both"/>
      </w:pPr>
      <w:r>
        <w:rPr>
          <w:rFonts w:ascii="Cambria" w:hAnsi="Cambria"/>
          <w:b/>
          <w:sz w:val="22"/>
        </w:rPr>
        <w:t xml:space="preserve">Technology as an enabler: </w:t>
      </w:r>
      <w:r>
        <w:rPr>
          <w:rFonts w:ascii="Cambria" w:hAnsi="Cambria"/>
          <w:sz w:val="22"/>
        </w:rPr>
        <w:t>Smart campus solutions (IoT sensors, AI-driven monitoring, automated energy and waste systems) allow HEIs to move from symbolic actions to measurable and scalable sustainability practices.</w:t>
      </w:r>
    </w:p>
    <w:p>
      <w:pPr>
        <w:spacing w:before="200" w:after="80"/>
        <w:jc w:val="left"/>
      </w:pPr>
      <w:r>
        <w:rPr>
          <w:rFonts w:ascii="Cambria" w:hAnsi="Cambria"/>
          <w:b/>
          <w:color w:val="1F3A5F"/>
          <w:sz w:val="25"/>
        </w:rPr>
        <w:t>2. Key Features of the Recommendation</w:t>
      </w:r>
    </w:p>
    <w:p>
      <w:pPr>
        <w:pStyle w:val="ListBullet"/>
        <w:ind w:left="357"/>
        <w:jc w:val="both"/>
      </w:pPr>
      <w:r>
        <w:rPr>
          <w:rFonts w:ascii="Cambria" w:hAnsi="Cambria"/>
          <w:sz w:val="22"/>
        </w:rPr>
        <w:t>Clean Campus Initiatives</w:t>
      </w:r>
    </w:p>
    <w:p>
      <w:pPr>
        <w:pStyle w:val="ListBullet2"/>
        <w:ind w:left="720"/>
        <w:jc w:val="both"/>
      </w:pPr>
      <w:r>
        <w:rPr>
          <w:rFonts w:ascii="Cambria" w:hAnsi="Cambria"/>
          <w:sz w:val="22"/>
        </w:rPr>
        <w:t>Plastic-free campuses, e-waste recycling, composting systems.</w:t>
      </w:r>
    </w:p>
    <w:p>
      <w:pPr>
        <w:pStyle w:val="ListBullet2"/>
        <w:ind w:left="720"/>
        <w:jc w:val="both"/>
      </w:pPr>
      <w:r>
        <w:rPr>
          <w:rFonts w:ascii="Cambria" w:hAnsi="Cambria"/>
          <w:sz w:val="22"/>
        </w:rPr>
        <w:t>Student-led eco-clubs conducting regular awareness drives and audits.</w:t>
      </w:r>
    </w:p>
    <w:p>
      <w:pPr>
        <w:pStyle w:val="ListBullet2"/>
        <w:ind w:left="720"/>
        <w:jc w:val="both"/>
      </w:pPr>
      <w:r>
        <w:rPr>
          <w:rFonts w:ascii="Cambria" w:hAnsi="Cambria"/>
          <w:sz w:val="22"/>
        </w:rPr>
        <w:t>Annual participation in Swachh Bharat Abhiyan and Green Campus Ranking initiatives.</w:t>
      </w:r>
    </w:p>
    <w:p>
      <w:pPr>
        <w:pStyle w:val="ListBullet"/>
        <w:ind w:left="357"/>
        <w:jc w:val="both"/>
      </w:pPr>
      <w:r>
        <w:rPr>
          <w:rFonts w:ascii="Cambria" w:hAnsi="Cambria"/>
          <w:sz w:val="22"/>
        </w:rPr>
        <w:t>Smart Campus Solutions</w:t>
      </w:r>
    </w:p>
    <w:p>
      <w:pPr>
        <w:pStyle w:val="ListBullet2"/>
        <w:ind w:left="720"/>
        <w:jc w:val="both"/>
      </w:pPr>
      <w:r>
        <w:rPr>
          <w:rFonts w:ascii="Cambria" w:hAnsi="Cambria"/>
          <w:sz w:val="22"/>
        </w:rPr>
        <w:t>IoT-enabled waste bins that monitor fill levels.</w:t>
      </w:r>
    </w:p>
    <w:p>
      <w:pPr>
        <w:pStyle w:val="ListBullet2"/>
        <w:ind w:left="720"/>
        <w:jc w:val="both"/>
      </w:pPr>
      <w:r>
        <w:rPr>
          <w:rFonts w:ascii="Cambria" w:hAnsi="Cambria"/>
          <w:sz w:val="22"/>
        </w:rPr>
        <w:t>AI-driven water/energy monitoring systems to reduce consumption.</w:t>
      </w:r>
    </w:p>
    <w:p>
      <w:pPr>
        <w:pStyle w:val="ListBullet2"/>
        <w:ind w:left="720"/>
        <w:jc w:val="both"/>
      </w:pPr>
      <w:r>
        <w:rPr>
          <w:rFonts w:ascii="Cambria" w:hAnsi="Cambria"/>
          <w:sz w:val="22"/>
        </w:rPr>
        <w:t>Smart grids and renewable energy installations (solar, biogas).</w:t>
      </w:r>
    </w:p>
    <w:p>
      <w:pPr>
        <w:pStyle w:val="ListBullet2"/>
        <w:ind w:left="720"/>
        <w:jc w:val="both"/>
      </w:pPr>
      <w:r>
        <w:rPr>
          <w:rFonts w:ascii="Cambria" w:hAnsi="Cambria"/>
          <w:sz w:val="22"/>
        </w:rPr>
        <w:t>Paperless administration and digital platforms to reduce waste.</w:t>
      </w:r>
    </w:p>
    <w:p>
      <w:pPr>
        <w:pStyle w:val="ListBullet"/>
        <w:ind w:left="357"/>
        <w:jc w:val="both"/>
      </w:pPr>
      <w:r>
        <w:rPr>
          <w:rFonts w:ascii="Cambria" w:hAnsi="Cambria"/>
          <w:sz w:val="22"/>
        </w:rPr>
        <w:t>Synergy with Students &amp; Staff</w:t>
      </w:r>
    </w:p>
    <w:p>
      <w:pPr>
        <w:pStyle w:val="ListBullet2"/>
        <w:ind w:left="720"/>
        <w:jc w:val="both"/>
      </w:pPr>
      <w:r>
        <w:rPr>
          <w:rFonts w:ascii="Cambria" w:hAnsi="Cambria"/>
          <w:sz w:val="22"/>
        </w:rPr>
        <w:t>Treating the campus as a "living laboratory" where students co-design sustainability projects.</w:t>
      </w:r>
    </w:p>
    <w:p>
      <w:pPr>
        <w:pStyle w:val="ListBullet2"/>
        <w:ind w:left="720"/>
        <w:jc w:val="both"/>
      </w:pPr>
      <w:r>
        <w:rPr>
          <w:rFonts w:ascii="Cambria" w:hAnsi="Cambria"/>
          <w:sz w:val="22"/>
        </w:rPr>
        <w:t>Interdisciplinary collaboration between engineering, management, and environmental sciences to develop smart city prototypes on campus.</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Swachh Campus Ranking (India): </w:t>
      </w:r>
      <w:r>
        <w:rPr>
          <w:rFonts w:ascii="Cambria" w:hAnsi="Cambria"/>
          <w:sz w:val="22"/>
        </w:rPr>
        <w:t>Ministry of Education's annual initiative encouraging HEIs to compete for cleanliness and sustainability awards.</w:t>
      </w:r>
    </w:p>
    <w:p>
      <w:pPr>
        <w:pStyle w:val="ListBullet"/>
        <w:ind w:left="357"/>
        <w:jc w:val="both"/>
      </w:pPr>
      <w:r>
        <w:rPr>
          <w:rFonts w:ascii="Cambria" w:hAnsi="Cambria"/>
          <w:b/>
          <w:sz w:val="22"/>
        </w:rPr>
        <w:t xml:space="preserve">IIT Roorkee (India): </w:t>
      </w:r>
      <w:r>
        <w:rPr>
          <w:rFonts w:ascii="Cambria" w:hAnsi="Cambria"/>
          <w:sz w:val="22"/>
        </w:rPr>
        <w:t>Smart campus programme with IoT-based energy and water monitoring.</w:t>
      </w:r>
    </w:p>
    <w:p>
      <w:pPr>
        <w:pStyle w:val="ListBullet"/>
        <w:ind w:left="357"/>
        <w:jc w:val="both"/>
      </w:pPr>
      <w:r>
        <w:rPr>
          <w:rFonts w:ascii="Cambria" w:hAnsi="Cambria"/>
          <w:b/>
          <w:sz w:val="22"/>
        </w:rPr>
        <w:t xml:space="preserve">Nanyang Technological University (Singapore): </w:t>
      </w:r>
      <w:r>
        <w:rPr>
          <w:rFonts w:ascii="Cambria" w:hAnsi="Cambria"/>
          <w:sz w:val="22"/>
        </w:rPr>
        <w:t>World's first eco-campus with AI-enabled sustainability management.</w:t>
      </w:r>
    </w:p>
    <w:p>
      <w:pPr>
        <w:pStyle w:val="ListBullet"/>
        <w:ind w:left="357"/>
        <w:jc w:val="both"/>
      </w:pPr>
      <w:r>
        <w:rPr>
          <w:rFonts w:ascii="Cambria" w:hAnsi="Cambria"/>
          <w:b/>
          <w:sz w:val="22"/>
        </w:rPr>
        <w:t xml:space="preserve">University of British Columbia (Canada): </w:t>
      </w:r>
      <w:r>
        <w:rPr>
          <w:rFonts w:ascii="Cambria" w:hAnsi="Cambria"/>
          <w:sz w:val="22"/>
        </w:rPr>
        <w:t>Integrates clean campus policies with community engagement and research-driven sustainability.</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Students become champions of cleanliness and sustainability, taking these values into their workplaces and communities.</w:t>
      </w:r>
    </w:p>
    <w:p>
      <w:pPr>
        <w:pStyle w:val="ListBullet"/>
        <w:ind w:left="357"/>
        <w:jc w:val="both"/>
      </w:pPr>
      <w:r>
        <w:rPr>
          <w:rFonts w:ascii="Cambria" w:hAnsi="Cambria"/>
          <w:sz w:val="22"/>
        </w:rPr>
        <w:t>Campuses evolve into demonstration hubs for smart city and green technology adoption.</w:t>
      </w:r>
    </w:p>
    <w:p>
      <w:pPr>
        <w:pStyle w:val="ListBullet"/>
        <w:ind w:left="357"/>
        <w:jc w:val="both"/>
      </w:pPr>
      <w:r>
        <w:rPr>
          <w:rFonts w:ascii="Cambria" w:hAnsi="Cambria"/>
          <w:sz w:val="22"/>
        </w:rPr>
        <w:t>Tangible improvements in waste reduction, energy efficiency, water conservation, and air quality.</w:t>
      </w:r>
    </w:p>
    <w:p>
      <w:pPr>
        <w:pStyle w:val="ListBullet"/>
        <w:ind w:left="357"/>
        <w:jc w:val="both"/>
      </w:pPr>
      <w:r>
        <w:rPr>
          <w:rFonts w:ascii="Cambria" w:hAnsi="Cambria"/>
          <w:sz w:val="22"/>
        </w:rPr>
        <w:t>Contribution to national policies like Swachh Bharat and Smart Cities Mission.</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 reduction in campus waste and single-use plastics.</w:t>
      </w:r>
    </w:p>
    <w:p>
      <w:pPr>
        <w:pStyle w:val="ListBullet"/>
        <w:ind w:left="357"/>
        <w:jc w:val="both"/>
      </w:pPr>
      <w:r>
        <w:rPr>
          <w:rFonts w:ascii="Cambria" w:hAnsi="Cambria"/>
          <w:sz w:val="22"/>
        </w:rPr>
        <w:t>Number of HEIs adopting IoT/AI smart campus systems.</w:t>
      </w:r>
    </w:p>
    <w:p>
      <w:pPr>
        <w:pStyle w:val="ListBullet"/>
        <w:ind w:left="357"/>
        <w:jc w:val="both"/>
      </w:pPr>
      <w:r>
        <w:rPr>
          <w:rFonts w:ascii="Cambria" w:hAnsi="Cambria"/>
          <w:sz w:val="22"/>
        </w:rPr>
        <w:t>Student participation rate in eco-clubs and audits.</w:t>
      </w:r>
    </w:p>
    <w:p>
      <w:pPr>
        <w:pStyle w:val="ListBullet"/>
        <w:ind w:left="357"/>
        <w:jc w:val="both"/>
      </w:pPr>
      <w:r>
        <w:rPr>
          <w:rFonts w:ascii="Cambria" w:hAnsi="Cambria"/>
          <w:sz w:val="22"/>
        </w:rPr>
        <w:t>% of campus energy from renewable sources.</w:t>
      </w:r>
    </w:p>
    <w:p>
      <w:pPr>
        <w:pStyle w:val="ListBullet"/>
        <w:ind w:left="357"/>
        <w:jc w:val="both"/>
      </w:pPr>
      <w:r>
        <w:rPr>
          <w:rFonts w:ascii="Cambria" w:hAnsi="Cambria"/>
          <w:sz w:val="22"/>
        </w:rPr>
        <w:t>Improvement in national Swachh Campus rankings year-on-year.</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Hands-on exposure to green technologies, smart systems, and sustainability audits.</w:t>
      </w:r>
    </w:p>
    <w:p>
      <w:pPr>
        <w:pStyle w:val="ListBullet"/>
        <w:ind w:left="357"/>
        <w:jc w:val="both"/>
      </w:pPr>
      <w:r>
        <w:rPr>
          <w:rFonts w:ascii="Cambria" w:hAnsi="Cambria"/>
          <w:sz w:val="22"/>
        </w:rPr>
        <w:t>Enhanced employability in sustainability, IoT, renewable energy, and smart city sectors.</w:t>
      </w:r>
    </w:p>
    <w:p>
      <w:pPr>
        <w:pStyle w:val="ListBullet"/>
        <w:ind w:left="357"/>
        <w:jc w:val="both"/>
      </w:pPr>
      <w:r>
        <w:rPr>
          <w:rFonts w:ascii="Cambria" w:hAnsi="Cambria"/>
          <w:sz w:val="22"/>
        </w:rPr>
        <w:t>Cultivation of leadership, teamwork, and innovation skills through real-life campus projects.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HEIs inspire surrounding communities to adopt cleanliness and waste management practices.</w:t>
      </w:r>
    </w:p>
    <w:p>
      <w:pPr>
        <w:pStyle w:val="ListBullet"/>
        <w:ind w:left="357"/>
        <w:jc w:val="both"/>
      </w:pPr>
      <w:r>
        <w:rPr>
          <w:rFonts w:ascii="Cambria" w:hAnsi="Cambria"/>
          <w:sz w:val="22"/>
        </w:rPr>
        <w:t>Contribution to public health improvements through reduced pollution and better sanitation.</w:t>
      </w:r>
    </w:p>
    <w:p>
      <w:pPr>
        <w:pStyle w:val="ListBullet"/>
        <w:ind w:left="357"/>
        <w:jc w:val="both"/>
      </w:pPr>
      <w:r>
        <w:rPr>
          <w:rFonts w:ascii="Cambria" w:hAnsi="Cambria"/>
          <w:sz w:val="22"/>
        </w:rPr>
        <w:t>Local adoption of smart and sustainable technologies piloted on campuses.</w:t>
      </w:r>
    </w:p>
    <w:p>
      <w:pPr>
        <w:pStyle w:val="ListBullet"/>
        <w:ind w:left="357"/>
        <w:jc w:val="both"/>
      </w:pPr>
      <w:r>
        <w:rPr>
          <w:rFonts w:ascii="Cambria" w:hAnsi="Cambria"/>
          <w:sz w:val="22"/>
        </w:rPr>
        <w:t>Strengthened contribution to India's climate commitments and SDG performance.</w:t>
      </w:r>
    </w:p>
    <w:p>
      <w:pPr>
        <w:spacing w:before="240" w:after="120"/>
        <w:jc w:val="left"/>
      </w:pPr>
      <w:r>
        <w:rPr>
          <w:rFonts w:ascii="Cambria" w:hAnsi="Cambria"/>
          <w:b/>
          <w:color w:val="1F3A5F"/>
          <w:sz w:val="28"/>
        </w:rPr>
        <w:t>Policy–Action–Outcome Roadmap: Clean &amp; Smart Campuses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UGC/AICTE/MoE mandate clean campus guidelines under NAAC/NBA accreditation.</w:t>
      </w:r>
    </w:p>
    <w:p>
      <w:pPr>
        <w:pStyle w:val="ListBullet"/>
        <w:ind w:left="357"/>
        <w:jc w:val="both"/>
      </w:pPr>
      <w:r>
        <w:rPr>
          <w:rFonts w:ascii="Cambria" w:hAnsi="Cambria"/>
          <w:sz w:val="22"/>
        </w:rPr>
        <w:t>Launch Swachh Campus Challenge with recognition and small grants.</w:t>
      </w:r>
    </w:p>
    <w:p>
      <w:pPr>
        <w:pStyle w:val="ListBullet"/>
        <w:ind w:left="357"/>
        <w:jc w:val="both"/>
      </w:pPr>
      <w:r>
        <w:rPr>
          <w:rFonts w:ascii="Cambria" w:hAnsi="Cambria"/>
          <w:sz w:val="22"/>
        </w:rPr>
        <w:t>Encourage HEIs to include cleanliness drives and eco-clubs in their annual plans.</w:t>
      </w:r>
    </w:p>
    <w:p>
      <w:pPr>
        <w:spacing w:after="120"/>
        <w:jc w:val="both"/>
      </w:pPr>
      <w:r>
        <w:rPr>
          <w:rFonts w:ascii="Cambria" w:hAnsi="Cambria"/>
          <w:b/>
          <w:i w:val="0"/>
          <w:sz w:val="22"/>
        </w:rPr>
        <w:t>Actions:</w:t>
      </w:r>
    </w:p>
    <w:p>
      <w:pPr>
        <w:pStyle w:val="ListBullet"/>
        <w:ind w:left="357"/>
        <w:jc w:val="both"/>
      </w:pPr>
      <w:r>
        <w:rPr>
          <w:rFonts w:ascii="Cambria" w:hAnsi="Cambria"/>
          <w:sz w:val="22"/>
        </w:rPr>
        <w:t>Implement plastic-free campus policies and e-waste collection drives.</w:t>
      </w:r>
    </w:p>
    <w:p>
      <w:pPr>
        <w:pStyle w:val="ListBullet"/>
        <w:ind w:left="357"/>
        <w:jc w:val="both"/>
      </w:pPr>
      <w:r>
        <w:rPr>
          <w:rFonts w:ascii="Cambria" w:hAnsi="Cambria"/>
          <w:sz w:val="22"/>
        </w:rPr>
        <w:t>Create student-led eco-clubs responsible for audits and awareness campaigns.</w:t>
      </w:r>
    </w:p>
    <w:p>
      <w:pPr>
        <w:pStyle w:val="ListBullet"/>
        <w:ind w:left="357"/>
        <w:jc w:val="both"/>
      </w:pPr>
      <w:r>
        <w:rPr>
          <w:rFonts w:ascii="Cambria" w:hAnsi="Cambria"/>
          <w:sz w:val="22"/>
        </w:rPr>
        <w:t>Begin waste segregation at source and composting.</w:t>
      </w:r>
    </w:p>
    <w:p>
      <w:pPr>
        <w:pStyle w:val="ListBullet"/>
        <w:ind w:left="357"/>
        <w:jc w:val="both"/>
      </w:pPr>
      <w:r>
        <w:rPr>
          <w:rFonts w:ascii="Cambria" w:hAnsi="Cambria"/>
          <w:sz w:val="22"/>
        </w:rPr>
        <w:t>Pilot IoT-enabled bins or solar lights in selected HEIs.</w:t>
      </w:r>
    </w:p>
    <w:p>
      <w:pPr>
        <w:spacing w:after="120"/>
        <w:jc w:val="both"/>
      </w:pPr>
      <w:r>
        <w:rPr>
          <w:rFonts w:ascii="Cambria" w:hAnsi="Cambria"/>
          <w:b/>
          <w:i w:val="0"/>
          <w:sz w:val="22"/>
        </w:rPr>
        <w:t>Outcomes:</w:t>
      </w:r>
    </w:p>
    <w:p>
      <w:pPr>
        <w:pStyle w:val="ListBullet"/>
        <w:ind w:left="357"/>
        <w:jc w:val="both"/>
      </w:pPr>
      <w:r>
        <w:rPr>
          <w:rFonts w:ascii="Cambria" w:hAnsi="Cambria"/>
          <w:sz w:val="22"/>
        </w:rPr>
        <w:t>Visible improvement in campus hygiene.</w:t>
      </w:r>
    </w:p>
    <w:p>
      <w:pPr>
        <w:pStyle w:val="ListBullet"/>
        <w:ind w:left="357"/>
        <w:jc w:val="both"/>
      </w:pPr>
      <w:r>
        <w:rPr>
          <w:rFonts w:ascii="Cambria" w:hAnsi="Cambria"/>
          <w:sz w:val="22"/>
        </w:rPr>
        <w:t>Early adoption of smart sustainability practices.</w:t>
      </w:r>
    </w:p>
    <w:p>
      <w:pPr>
        <w:pStyle w:val="ListBullet"/>
        <w:ind w:left="357"/>
        <w:jc w:val="both"/>
      </w:pPr>
      <w:r>
        <w:rPr>
          <w:rFonts w:ascii="Cambria" w:hAnsi="Cambria"/>
          <w:sz w:val="22"/>
        </w:rPr>
        <w:t>Student ownership in eco-clubs and campus audits.</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NAAC/NBA integrate clean and smart campus compliance into evaluation.</w:t>
      </w:r>
    </w:p>
    <w:p>
      <w:pPr>
        <w:pStyle w:val="ListBullet"/>
        <w:ind w:left="357"/>
        <w:jc w:val="both"/>
      </w:pPr>
      <w:r>
        <w:rPr>
          <w:rFonts w:ascii="Cambria" w:hAnsi="Cambria"/>
          <w:sz w:val="22"/>
        </w:rPr>
        <w:t>Funding linked to measurable improvements in waste reduction and smart systems adoption.</w:t>
      </w:r>
    </w:p>
    <w:p>
      <w:pPr>
        <w:pStyle w:val="ListBullet"/>
        <w:ind w:left="357"/>
        <w:jc w:val="both"/>
      </w:pPr>
      <w:r>
        <w:rPr>
          <w:rFonts w:ascii="Cambria" w:hAnsi="Cambria"/>
          <w:sz w:val="22"/>
        </w:rPr>
        <w:t>Government partners with industry to co-fund smart campus technologies.</w:t>
      </w:r>
    </w:p>
    <w:p>
      <w:pPr>
        <w:spacing w:after="120"/>
        <w:jc w:val="both"/>
      </w:pPr>
      <w:r>
        <w:rPr>
          <w:rFonts w:ascii="Cambria" w:hAnsi="Cambria"/>
          <w:b/>
          <w:i w:val="0"/>
          <w:sz w:val="22"/>
        </w:rPr>
        <w:t>Actions:</w:t>
      </w:r>
    </w:p>
    <w:p>
      <w:pPr>
        <w:pStyle w:val="ListBullet"/>
        <w:ind w:left="357"/>
        <w:jc w:val="both"/>
      </w:pPr>
      <w:r>
        <w:rPr>
          <w:rFonts w:ascii="Cambria" w:hAnsi="Cambria"/>
          <w:sz w:val="22"/>
        </w:rPr>
        <w:t>Scale up IoT and AI-enabled systems for waste, water, and energy monitoring.</w:t>
      </w:r>
    </w:p>
    <w:p>
      <w:pPr>
        <w:pStyle w:val="ListBullet"/>
        <w:ind w:left="357"/>
        <w:jc w:val="both"/>
      </w:pPr>
      <w:r>
        <w:rPr>
          <w:rFonts w:ascii="Cambria" w:hAnsi="Cambria"/>
          <w:sz w:val="22"/>
        </w:rPr>
        <w:t>Introduce smart grids and renewable energy (solar, biogas) at institutional level.</w:t>
      </w:r>
    </w:p>
    <w:p>
      <w:pPr>
        <w:pStyle w:val="ListBullet"/>
        <w:ind w:left="357"/>
        <w:jc w:val="both"/>
      </w:pPr>
      <w:r>
        <w:rPr>
          <w:rFonts w:ascii="Cambria" w:hAnsi="Cambria"/>
          <w:sz w:val="22"/>
        </w:rPr>
        <w:t>Conduct annual smart campus competitions at regional and national level.</w:t>
      </w:r>
    </w:p>
    <w:p>
      <w:pPr>
        <w:pStyle w:val="ListBullet"/>
        <w:ind w:left="357"/>
        <w:jc w:val="both"/>
      </w:pPr>
      <w:r>
        <w:rPr>
          <w:rFonts w:ascii="Cambria" w:hAnsi="Cambria"/>
          <w:sz w:val="22"/>
        </w:rPr>
        <w:t>Expand training programmes for staff and students in smart technologies and sustainability audits.</w:t>
      </w:r>
    </w:p>
    <w:p>
      <w:pPr>
        <w:spacing w:after="120"/>
        <w:jc w:val="both"/>
      </w:pPr>
      <w:r>
        <w:rPr>
          <w:rFonts w:ascii="Cambria" w:hAnsi="Cambria"/>
          <w:b/>
          <w:i w:val="0"/>
          <w:sz w:val="22"/>
        </w:rPr>
        <w:t>Outcomes:</w:t>
      </w:r>
    </w:p>
    <w:p>
      <w:pPr>
        <w:pStyle w:val="ListBullet"/>
        <w:ind w:left="357"/>
        <w:jc w:val="both"/>
      </w:pPr>
      <w:r>
        <w:rPr>
          <w:rFonts w:ascii="Cambria" w:hAnsi="Cambria"/>
          <w:sz w:val="22"/>
        </w:rPr>
        <w:t>Most HEIs adopt integrated smart campus systems.</w:t>
      </w:r>
    </w:p>
    <w:p>
      <w:pPr>
        <w:pStyle w:val="ListBullet"/>
        <w:ind w:left="357"/>
        <w:jc w:val="both"/>
      </w:pPr>
      <w:r>
        <w:rPr>
          <w:rFonts w:ascii="Cambria" w:hAnsi="Cambria"/>
          <w:sz w:val="22"/>
        </w:rPr>
        <w:t>Tangible reductions in waste, carbon emissions, and energy use.</w:t>
      </w:r>
    </w:p>
    <w:p>
      <w:pPr>
        <w:pStyle w:val="ListBullet"/>
        <w:ind w:left="357"/>
        <w:jc w:val="both"/>
      </w:pPr>
      <w:r>
        <w:rPr>
          <w:rFonts w:ascii="Cambria" w:hAnsi="Cambria"/>
          <w:sz w:val="22"/>
        </w:rPr>
        <w:t>Campuses become demonstration models for smart cities.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Enact a National Clean &amp; Smart Campus Act mandating sustainable campus operations.</w:t>
      </w:r>
    </w:p>
    <w:p>
      <w:pPr>
        <w:pStyle w:val="ListBullet"/>
        <w:ind w:left="357"/>
        <w:jc w:val="both"/>
      </w:pPr>
      <w:r>
        <w:rPr>
          <w:rFonts w:ascii="Cambria" w:hAnsi="Cambria"/>
          <w:sz w:val="22"/>
        </w:rPr>
        <w:t>Indian HEIs partner with global networks (UNESCO, THE Impact Rankings, UNEP Smart Campus Alliances).</w:t>
      </w:r>
    </w:p>
    <w:p>
      <w:pPr>
        <w:pStyle w:val="ListBullet"/>
        <w:ind w:left="357"/>
        <w:jc w:val="both"/>
      </w:pPr>
      <w:r>
        <w:rPr>
          <w:rFonts w:ascii="Cambria" w:hAnsi="Cambria"/>
          <w:sz w:val="22"/>
        </w:rPr>
        <w:t>Link smart campus outcomes with national climate reporting and SDG targets.</w:t>
      </w:r>
    </w:p>
    <w:p>
      <w:pPr>
        <w:spacing w:after="120"/>
        <w:jc w:val="both"/>
      </w:pPr>
      <w:r>
        <w:rPr>
          <w:rFonts w:ascii="Cambria" w:hAnsi="Cambria"/>
          <w:b/>
          <w:i w:val="0"/>
          <w:sz w:val="22"/>
        </w:rPr>
        <w:t>Actions:</w:t>
      </w:r>
    </w:p>
    <w:p>
      <w:pPr>
        <w:pStyle w:val="ListBullet"/>
        <w:ind w:left="357"/>
        <w:jc w:val="both"/>
      </w:pPr>
      <w:r>
        <w:rPr>
          <w:rFonts w:ascii="Cambria" w:hAnsi="Cambria"/>
          <w:sz w:val="22"/>
        </w:rPr>
        <w:t>Achieve 100% renewable energy and zero-waste campuses.</w:t>
      </w:r>
    </w:p>
    <w:p>
      <w:pPr>
        <w:pStyle w:val="ListBullet"/>
        <w:ind w:left="357"/>
        <w:jc w:val="both"/>
      </w:pPr>
      <w:r>
        <w:rPr>
          <w:rFonts w:ascii="Cambria" w:hAnsi="Cambria"/>
          <w:sz w:val="22"/>
        </w:rPr>
        <w:t>Fully digitized campus management systems powered by AI.</w:t>
      </w:r>
    </w:p>
    <w:p>
      <w:pPr>
        <w:pStyle w:val="ListBullet"/>
        <w:ind w:left="357"/>
        <w:jc w:val="both"/>
      </w:pPr>
      <w:r>
        <w:rPr>
          <w:rFonts w:ascii="Cambria" w:hAnsi="Cambria"/>
          <w:sz w:val="22"/>
        </w:rPr>
        <w:t>HEIs serve as mentors to schools and communities in sustainability practices.</w:t>
      </w:r>
    </w:p>
    <w:p>
      <w:pPr>
        <w:pStyle w:val="ListBullet"/>
        <w:ind w:left="357"/>
        <w:jc w:val="both"/>
      </w:pPr>
      <w:r>
        <w:rPr>
          <w:rFonts w:ascii="Cambria" w:hAnsi="Cambria"/>
          <w:sz w:val="22"/>
        </w:rPr>
        <w:t>Host global summits on clean and smart campuses.</w:t>
      </w:r>
    </w:p>
    <w:p>
      <w:pPr>
        <w:spacing w:after="120"/>
        <w:jc w:val="both"/>
      </w:pPr>
      <w:r>
        <w:rPr>
          <w:rFonts w:ascii="Cambria" w:hAnsi="Cambria"/>
          <w:b/>
          <w:i w:val="0"/>
          <w:sz w:val="22"/>
        </w:rPr>
        <w:t>Outcomes:</w:t>
      </w:r>
    </w:p>
    <w:p>
      <w:pPr>
        <w:pStyle w:val="ListBullet"/>
        <w:ind w:left="357"/>
        <w:jc w:val="both"/>
      </w:pPr>
      <w:r>
        <w:rPr>
          <w:rFonts w:ascii="Cambria" w:hAnsi="Cambria"/>
          <w:sz w:val="22"/>
        </w:rPr>
        <w:t>India recognized as a global leader in smart, sustainable education ecosystems.</w:t>
      </w:r>
    </w:p>
    <w:p>
      <w:pPr>
        <w:pStyle w:val="ListBullet"/>
        <w:ind w:left="357"/>
        <w:jc w:val="both"/>
      </w:pPr>
      <w:r>
        <w:rPr>
          <w:rFonts w:ascii="Cambria" w:hAnsi="Cambria"/>
          <w:sz w:val="22"/>
        </w:rPr>
        <w:t>Every graduate experiences sustainability as part of daily learning.</w:t>
      </w:r>
    </w:p>
    <w:p>
      <w:pPr>
        <w:pStyle w:val="ListBullet"/>
        <w:ind w:left="357"/>
        <w:jc w:val="both"/>
      </w:pPr>
      <w:r>
        <w:rPr>
          <w:rFonts w:ascii="Cambria" w:hAnsi="Cambria"/>
          <w:sz w:val="22"/>
        </w:rPr>
        <w:t>Campuses drive community-wide transformation in cleanliness, smart living, and environmental responsibility.</w:t>
      </w:r>
    </w:p>
    <w:p>
      <w:pPr>
        <w:spacing w:before="200" w:after="80"/>
        <w:jc w:val="left"/>
      </w:pPr>
      <w:r>
        <w:rPr>
          <w:rFonts w:ascii="Cambria" w:hAnsi="Cambria"/>
          <w:b/>
          <w:color w:val="1F3A5F"/>
          <w:sz w:val="25"/>
        </w:rPr>
        <w:t>Campus Development – Clean &amp; Smart Campuses</w:t>
      </w:r>
    </w:p>
    <w:p>
      <w:pPr>
        <w:spacing w:before="160" w:after="80"/>
      </w:pPr>
      <w:r>
        <w:rPr>
          <w:rFonts w:ascii="Cambria" w:hAnsi="Cambria"/>
          <w:b/>
          <w:color w:val="1F3A5F"/>
          <w:sz w:val="23"/>
        </w:rPr>
        <w:t>Campus Development – Clean &amp; Smart Campuses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Mandate clean, green, and smart campus initiatives across all HEIs; Introduce digital campus management systems (IoT-based waste bins, smart grids, AI-powered water/energy monitoring); Establish eco-clubs and awareness drives led by students; Implement plastic-free policies, e-waste recycling, and clean campus audits; Link cleanliness campaigns with Swachh Bharat Abhiyan &amp; SDG-6/SDG-13</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Swachh Campus Ranking (MHRD, India): Promotes clean campus competition among HEIs; IIT Roorkee (India): Smart campus with IoT-enabled energy monitoring; Nanyang Technological University (Singapore): Smart eco-campus with AI-driven water/waste systems; University of British Columbia (Canada): Campus sustainability office managing clean/green solutions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HEIs evolve into role models of environmental cleanliness; Students trained to see cleanliness as a social responsibility; Improved health, hygiene, and learning environments; Technology-driven smart campuses reduce wastage and pollution</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HEIs implementing clean campus policies; % reduction in campus waste and plastic use; % of energy/water managed via smart technologies; Number of student-led eco-initiatives and audits; Improvement in national Swachh Campus rankings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Implement clean campus drives, adopt smart systems, engage students; Government (MoE, MHRD, State): Link funding and awards to cleanliness and annual audits; Regulators (UGC, AICTE, NAAC): Mandate clean campus compliance and sustainability initiative mandates; Students &amp; Staff: Lead eco-clubs, monitor outcomes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(Institutional Values &amp; Best Practices) – Environmental Consciousness; NBA: Encourages inclusion of sustainability projects in student outcomes; NIRF: Clean campus indirectly boosts Outreach &amp; Inclusivity scores; QS/THE Impact Rankings: Enhances HEIs' global visibility in SDG-related impact</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hands-on experience in smart city, IoT, and sustainability sectors; Stronger value-based education linking cleanliness with nation-building</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Healthier, cleaner, and smarter local environments; Community engagement in waste management and cleanliness; Reduced pollution and better resource management; Contribution to national and global climate goals</w:t>
            </w:r>
          </w:p>
        </w:tc>
      </w:tr>
    </w:tbl>
    <w:p>
      <w:r>
        <w:br w:type="page"/>
      </w:r>
    </w:p>
    <w:p>
      <w:pPr>
        <w:spacing w:before="280" w:after="160"/>
        <w:jc w:val="left"/>
      </w:pPr>
      <w:r>
        <w:rPr>
          <w:rFonts w:ascii="Cambria" w:hAnsi="Cambria"/>
          <w:b/>
          <w:color w:val="1F3A5F"/>
          <w:sz w:val="32"/>
        </w:rPr>
        <w:t>25. Promoting Sustainable Lifestyles in HEIs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Sustainable lifestyles are central to achieving SDG-4 (Quality Education) and SDG-12 (Responsible Consumption and Production).</w:t>
      </w:r>
    </w:p>
    <w:p>
      <w:pPr>
        <w:pStyle w:val="ListBullet"/>
        <w:ind w:left="357"/>
        <w:jc w:val="both"/>
      </w:pPr>
      <w:r>
        <w:rPr>
          <w:rFonts w:ascii="Cambria" w:hAnsi="Cambria"/>
          <w:sz w:val="22"/>
        </w:rPr>
        <w:t>Students spend their formative years in HEIs, where values and behaviors are shaped. Campuses that integrate sustainability into both learning and living can transform students into lifelong practitioners of eco-conscious behavior.</w:t>
      </w:r>
    </w:p>
    <w:p>
      <w:pPr>
        <w:pStyle w:val="ListBullet"/>
        <w:ind w:left="357"/>
        <w:jc w:val="both"/>
      </w:pPr>
      <w:r>
        <w:rPr>
          <w:rFonts w:ascii="Cambria" w:hAnsi="Cambria"/>
          <w:sz w:val="22"/>
        </w:rPr>
        <w:t>India's LiFE (Lifestyles for Environment) Mission emphasizes individual and institutional responsibility for environmental action — HEIs are ideal platforms to operationalize this vision.</w:t>
      </w:r>
    </w:p>
    <w:p>
      <w:pPr>
        <w:spacing w:before="200" w:after="80"/>
        <w:jc w:val="left"/>
      </w:pPr>
      <w:r>
        <w:rPr>
          <w:rFonts w:ascii="Cambria" w:hAnsi="Cambria"/>
          <w:b/>
          <w:color w:val="1F3A5F"/>
          <w:sz w:val="25"/>
        </w:rPr>
        <w:t>2. Key Components of the Recommendation</w:t>
      </w:r>
    </w:p>
    <w:p>
      <w:pPr>
        <w:pStyle w:val="ListBullet"/>
        <w:ind w:left="357"/>
        <w:jc w:val="both"/>
      </w:pPr>
      <w:r>
        <w:rPr>
          <w:rFonts w:ascii="Cambria" w:hAnsi="Cambria"/>
          <w:sz w:val="22"/>
        </w:rPr>
        <w:t>Curriculum Integration</w:t>
      </w:r>
    </w:p>
    <w:p>
      <w:pPr>
        <w:pStyle w:val="ListBullet2"/>
        <w:ind w:left="720"/>
        <w:jc w:val="both"/>
      </w:pPr>
      <w:r>
        <w:rPr>
          <w:rFonts w:ascii="Cambria" w:hAnsi="Cambria"/>
          <w:sz w:val="22"/>
        </w:rPr>
        <w:t>Introduce mandatory courses or modules on sustainable living, climate change, waste reduction, renewable energy, and circular economy.</w:t>
      </w:r>
    </w:p>
    <w:p>
      <w:pPr>
        <w:pStyle w:val="ListBullet2"/>
        <w:ind w:left="720"/>
        <w:jc w:val="both"/>
      </w:pPr>
      <w:r>
        <w:rPr>
          <w:rFonts w:ascii="Cambria" w:hAnsi="Cambria"/>
          <w:sz w:val="22"/>
        </w:rPr>
        <w:t>Infuse sustainability across disciplines — not just environmental science, but also engineering, economics, management, and humanities.</w:t>
      </w:r>
    </w:p>
    <w:p>
      <w:pPr>
        <w:pStyle w:val="ListBullet"/>
        <w:ind w:left="357"/>
        <w:jc w:val="both"/>
      </w:pPr>
      <w:r>
        <w:rPr>
          <w:rFonts w:ascii="Cambria" w:hAnsi="Cambria"/>
          <w:sz w:val="22"/>
        </w:rPr>
        <w:t>Co-Curricular Activities</w:t>
      </w:r>
    </w:p>
    <w:p>
      <w:pPr>
        <w:pStyle w:val="ListBullet2"/>
        <w:ind w:left="720"/>
        <w:jc w:val="both"/>
      </w:pPr>
      <w:r>
        <w:rPr>
          <w:rFonts w:ascii="Cambria" w:hAnsi="Cambria"/>
          <w:sz w:val="22"/>
        </w:rPr>
        <w:t>Establish eco-clubs, green drives, and student ambassador programmes.</w:t>
      </w:r>
    </w:p>
    <w:p>
      <w:pPr>
        <w:pStyle w:val="ListBullet2"/>
        <w:ind w:left="720"/>
        <w:jc w:val="both"/>
      </w:pPr>
      <w:r>
        <w:rPr>
          <w:rFonts w:ascii="Cambria" w:hAnsi="Cambria"/>
          <w:b/>
          <w:sz w:val="22"/>
        </w:rPr>
        <w:t xml:space="preserve">Regular activities: </w:t>
      </w:r>
      <w:r>
        <w:rPr>
          <w:rFonts w:ascii="Cambria" w:hAnsi="Cambria"/>
          <w:sz w:val="22"/>
        </w:rPr>
        <w:t>clean campus drives, repair &amp; reuse workshops, plastic-free campaigns, and tree plantation.</w:t>
      </w:r>
    </w:p>
    <w:p>
      <w:pPr>
        <w:pStyle w:val="ListBullet2"/>
        <w:ind w:left="720"/>
        <w:jc w:val="both"/>
      </w:pPr>
      <w:r>
        <w:rPr>
          <w:rFonts w:ascii="Cambria" w:hAnsi="Cambria"/>
          <w:sz w:val="22"/>
        </w:rPr>
        <w:t>Encourage creative formats such as street plays, hackathons, and competitions to raise awareness.</w:t>
      </w:r>
    </w:p>
    <w:p>
      <w:pPr>
        <w:pStyle w:val="ListBullet"/>
        <w:ind w:left="357"/>
        <w:jc w:val="both"/>
      </w:pPr>
      <w:r>
        <w:rPr>
          <w:rFonts w:ascii="Cambria" w:hAnsi="Cambria"/>
          <w:sz w:val="22"/>
        </w:rPr>
        <w:t>Research &amp; Innovation</w:t>
      </w:r>
    </w:p>
    <w:p>
      <w:pPr>
        <w:pStyle w:val="ListBullet2"/>
        <w:ind w:left="720"/>
        <w:jc w:val="both"/>
      </w:pPr>
      <w:r>
        <w:rPr>
          <w:rFonts w:ascii="Cambria" w:hAnsi="Cambria"/>
          <w:sz w:val="22"/>
        </w:rPr>
        <w:t>Promote student-led research on sustainable technologies, low-cost environmental solutions, and behavioral change models.</w:t>
      </w:r>
    </w:p>
    <w:p>
      <w:pPr>
        <w:pStyle w:val="ListBullet2"/>
        <w:ind w:left="720"/>
        <w:jc w:val="both"/>
      </w:pPr>
      <w:r>
        <w:rPr>
          <w:rFonts w:ascii="Cambria" w:hAnsi="Cambria"/>
          <w:sz w:val="22"/>
        </w:rPr>
        <w:t>Provide seed grants for projects on waste-to-energy, eco-commuting, water management, and smart sustainability.</w:t>
      </w:r>
    </w:p>
    <w:p>
      <w:pPr>
        <w:pStyle w:val="ListBullet"/>
        <w:ind w:left="357"/>
        <w:jc w:val="both"/>
      </w:pPr>
      <w:r>
        <w:rPr>
          <w:rFonts w:ascii="Cambria" w:hAnsi="Cambria"/>
          <w:sz w:val="22"/>
        </w:rPr>
        <w:t>Student Engagement</w:t>
      </w:r>
    </w:p>
    <w:p>
      <w:pPr>
        <w:pStyle w:val="ListBullet2"/>
        <w:ind w:left="720"/>
        <w:jc w:val="both"/>
      </w:pPr>
      <w:r>
        <w:rPr>
          <w:rFonts w:ascii="Cambria" w:hAnsi="Cambria"/>
          <w:sz w:val="22"/>
        </w:rPr>
        <w:t>Encourage peer-to-peer campaigns where students influence lifestyle changes on and beyond campus.</w:t>
      </w:r>
    </w:p>
    <w:p>
      <w:pPr>
        <w:pStyle w:val="ListBullet2"/>
        <w:ind w:left="720"/>
        <w:jc w:val="both"/>
      </w:pPr>
      <w:r>
        <w:rPr>
          <w:rFonts w:ascii="Cambria" w:hAnsi="Cambria"/>
          <w:sz w:val="22"/>
        </w:rPr>
        <w:t>Create living laboratories, where the entire campus becomes a space to test sustainability solutions.</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UNESCO's Education for Sustainable Development (ESD): </w:t>
      </w:r>
      <w:r>
        <w:rPr>
          <w:rFonts w:ascii="Cambria" w:hAnsi="Cambria"/>
          <w:sz w:val="22"/>
        </w:rPr>
        <w:t>Calls for embedding sustainability into curricula, pedagogy, and campus practices.</w:t>
      </w:r>
    </w:p>
    <w:p>
      <w:pPr>
        <w:pStyle w:val="ListBullet"/>
        <w:ind w:left="357"/>
        <w:jc w:val="both"/>
      </w:pPr>
      <w:r>
        <w:rPr>
          <w:rFonts w:ascii="Cambria" w:hAnsi="Cambria"/>
          <w:b/>
          <w:sz w:val="22"/>
        </w:rPr>
        <w:t xml:space="preserve">LiFE Mission (India): </w:t>
      </w:r>
      <w:r>
        <w:rPr>
          <w:rFonts w:ascii="Cambria" w:hAnsi="Cambria"/>
          <w:sz w:val="22"/>
        </w:rPr>
        <w:t>Focuses on shifting behavior towards "pro-planet" choices.</w:t>
      </w:r>
    </w:p>
    <w:p>
      <w:pPr>
        <w:pStyle w:val="ListBullet"/>
        <w:ind w:left="357"/>
        <w:jc w:val="both"/>
      </w:pPr>
      <w:r>
        <w:rPr>
          <w:rFonts w:ascii="Cambria" w:hAnsi="Cambria"/>
          <w:b/>
          <w:sz w:val="22"/>
        </w:rPr>
        <w:t xml:space="preserve">Stanford Doerr School of Sustainability (USA): </w:t>
      </w:r>
      <w:r>
        <w:rPr>
          <w:rFonts w:ascii="Cambria" w:hAnsi="Cambria"/>
          <w:sz w:val="22"/>
        </w:rPr>
        <w:t>Blends education, research, and action to promote sustainability as a way of life.</w:t>
      </w:r>
    </w:p>
    <w:p>
      <w:pPr>
        <w:pStyle w:val="ListBullet"/>
        <w:ind w:left="357"/>
        <w:jc w:val="both"/>
      </w:pPr>
      <w:r>
        <w:rPr>
          <w:rFonts w:ascii="Cambria" w:hAnsi="Cambria"/>
          <w:b/>
          <w:sz w:val="22"/>
        </w:rPr>
        <w:t xml:space="preserve">University of Tokyo (Japan): </w:t>
      </w:r>
      <w:r>
        <w:rPr>
          <w:rFonts w:ascii="Cambria" w:hAnsi="Cambria"/>
          <w:sz w:val="22"/>
        </w:rPr>
        <w:t>Student-led lifestyle reforms on campus — cycling, zero-waste campaigns, and energy-saving drives.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Students graduate as environmentally responsible citizens.</w:t>
      </w:r>
    </w:p>
    <w:p>
      <w:pPr>
        <w:pStyle w:val="ListBullet"/>
        <w:ind w:left="357"/>
        <w:jc w:val="both"/>
      </w:pPr>
      <w:r>
        <w:rPr>
          <w:rFonts w:ascii="Cambria" w:hAnsi="Cambria"/>
          <w:sz w:val="22"/>
        </w:rPr>
        <w:t>A campus culture of sustainability becomes the norm — influencing staff, students, and communities.</w:t>
      </w:r>
    </w:p>
    <w:p>
      <w:pPr>
        <w:pStyle w:val="ListBullet"/>
        <w:ind w:left="357"/>
        <w:jc w:val="both"/>
      </w:pPr>
      <w:r>
        <w:rPr>
          <w:rFonts w:ascii="Cambria" w:hAnsi="Cambria"/>
          <w:sz w:val="22"/>
        </w:rPr>
        <w:t>Rise in student-led innovations for sustainable consumption and production.</w:t>
      </w:r>
    </w:p>
    <w:p>
      <w:pPr>
        <w:pStyle w:val="ListBullet"/>
        <w:ind w:left="357"/>
        <w:jc w:val="both"/>
      </w:pPr>
      <w:r>
        <w:rPr>
          <w:rFonts w:ascii="Cambria" w:hAnsi="Cambria"/>
          <w:sz w:val="22"/>
        </w:rPr>
        <w:t>Tangible improvements in resource use efficiency (waste, water, energy).</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Number of HEIs offering sustainable lifestyle courses.</w:t>
      </w:r>
    </w:p>
    <w:p>
      <w:pPr>
        <w:pStyle w:val="ListBullet"/>
        <w:ind w:left="357"/>
        <w:jc w:val="both"/>
      </w:pPr>
      <w:r>
        <w:rPr>
          <w:rFonts w:ascii="Cambria" w:hAnsi="Cambria"/>
          <w:sz w:val="22"/>
        </w:rPr>
        <w:t>% of students engaged in eco-clubs, campaigns, and awareness drives.</w:t>
      </w:r>
    </w:p>
    <w:p>
      <w:pPr>
        <w:pStyle w:val="ListBullet"/>
        <w:ind w:left="357"/>
        <w:jc w:val="both"/>
      </w:pPr>
      <w:r>
        <w:rPr>
          <w:rFonts w:ascii="Cambria" w:hAnsi="Cambria"/>
          <w:sz w:val="22"/>
        </w:rPr>
        <w:t>Number of student research projects on sustainable lifestyles.</w:t>
      </w:r>
    </w:p>
    <w:p>
      <w:pPr>
        <w:pStyle w:val="ListBullet"/>
        <w:ind w:left="357"/>
        <w:jc w:val="both"/>
      </w:pPr>
      <w:r>
        <w:rPr>
          <w:rFonts w:ascii="Cambria" w:hAnsi="Cambria"/>
          <w:sz w:val="22"/>
        </w:rPr>
        <w:t>Reduction in campus plastic, energy, and water consumption.</w:t>
      </w:r>
    </w:p>
    <w:p>
      <w:pPr>
        <w:pStyle w:val="ListBullet"/>
        <w:ind w:left="357"/>
        <w:jc w:val="both"/>
      </w:pPr>
      <w:r>
        <w:rPr>
          <w:rFonts w:ascii="Cambria" w:hAnsi="Cambria"/>
          <w:sz w:val="22"/>
        </w:rPr>
        <w:t>Participation of HEIs in national/global initiatives (e.g., LiFE, UNESCO ESD, SDG hackathons).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Hands-on experience with sustainability practices and technologies.</w:t>
      </w:r>
    </w:p>
    <w:p>
      <w:pPr>
        <w:pStyle w:val="ListBullet"/>
        <w:ind w:left="357"/>
        <w:jc w:val="both"/>
      </w:pPr>
      <w:r>
        <w:rPr>
          <w:rFonts w:ascii="Cambria" w:hAnsi="Cambria"/>
          <w:sz w:val="22"/>
        </w:rPr>
        <w:t>Skills for careers in green jobs, CSR, NGOs, consulting, and global sustainability roles.</w:t>
      </w:r>
    </w:p>
    <w:p>
      <w:pPr>
        <w:pStyle w:val="ListBullet"/>
        <w:ind w:left="357"/>
        <w:jc w:val="both"/>
      </w:pPr>
      <w:r>
        <w:rPr>
          <w:rFonts w:ascii="Cambria" w:hAnsi="Cambria"/>
          <w:sz w:val="22"/>
        </w:rPr>
        <w:t>Development of soft skills like leadership, teamwork, and advocacy.</w:t>
      </w:r>
    </w:p>
    <w:p>
      <w:pPr>
        <w:pStyle w:val="ListBullet"/>
        <w:ind w:left="357"/>
        <w:jc w:val="both"/>
      </w:pPr>
      <w:r>
        <w:rPr>
          <w:rFonts w:ascii="Cambria" w:hAnsi="Cambria"/>
          <w:sz w:val="22"/>
        </w:rPr>
        <w:t>Emergence of students as ambassadors of sustainable living in society.</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b/>
          <w:sz w:val="22"/>
        </w:rPr>
        <w:t xml:space="preserve">Spillover effect: </w:t>
      </w:r>
      <w:r>
        <w:rPr>
          <w:rFonts w:ascii="Cambria" w:hAnsi="Cambria"/>
          <w:sz w:val="22"/>
        </w:rPr>
        <w:t>Students transfer sustainable practices to families, workplaces, and communities.</w:t>
      </w:r>
    </w:p>
    <w:p>
      <w:pPr>
        <w:pStyle w:val="ListBullet"/>
        <w:ind w:left="357"/>
        <w:jc w:val="both"/>
      </w:pPr>
      <w:r>
        <w:rPr>
          <w:rFonts w:ascii="Cambria" w:hAnsi="Cambria"/>
          <w:sz w:val="22"/>
        </w:rPr>
        <w:t>HEIs act as role models for responsible consumption, influencing local communities.</w:t>
      </w:r>
    </w:p>
    <w:p>
      <w:pPr>
        <w:pStyle w:val="ListBullet"/>
        <w:ind w:left="357"/>
        <w:jc w:val="both"/>
      </w:pPr>
      <w:r>
        <w:rPr>
          <w:rFonts w:ascii="Cambria" w:hAnsi="Cambria"/>
          <w:sz w:val="22"/>
        </w:rPr>
        <w:t>Tangible reductions in environmental footprint at institutional and community levels.</w:t>
      </w:r>
    </w:p>
    <w:p>
      <w:pPr>
        <w:pStyle w:val="ListBullet"/>
        <w:ind w:left="357"/>
        <w:jc w:val="both"/>
      </w:pPr>
      <w:r>
        <w:rPr>
          <w:rFonts w:ascii="Cambria" w:hAnsi="Cambria"/>
          <w:sz w:val="22"/>
        </w:rPr>
        <w:t>Supports India's commitments under the Paris Agreement, SDGs, and LiFE Mission.</w:t>
      </w:r>
    </w:p>
    <w:p>
      <w:pPr>
        <w:spacing w:before="240" w:after="120"/>
        <w:jc w:val="left"/>
      </w:pPr>
      <w:r>
        <w:rPr>
          <w:rFonts w:ascii="Cambria" w:hAnsi="Cambria"/>
          <w:b/>
          <w:color w:val="1F3A5F"/>
          <w:sz w:val="28"/>
        </w:rPr>
        <w:t>Policy–Action–Outcome Roadmap: Promoting Sustainable Lifestyles in HEIs</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UGC/AICTE/NAAC issue guidelines to integrate sustainable lifestyle awareness modules into curricula.</w:t>
      </w:r>
    </w:p>
    <w:p>
      <w:pPr>
        <w:pStyle w:val="ListBullet"/>
        <w:ind w:left="357"/>
        <w:jc w:val="both"/>
      </w:pPr>
      <w:r>
        <w:rPr>
          <w:rFonts w:ascii="Cambria" w:hAnsi="Cambria"/>
          <w:sz w:val="22"/>
        </w:rPr>
        <w:t>HEIs required to establish eco-clubs and organize at least 2–3 annual sustainability campaigns.</w:t>
      </w:r>
    </w:p>
    <w:p>
      <w:pPr>
        <w:pStyle w:val="ListBullet"/>
        <w:ind w:left="357"/>
        <w:jc w:val="both"/>
      </w:pPr>
      <w:r>
        <w:rPr>
          <w:rFonts w:ascii="Cambria" w:hAnsi="Cambria"/>
          <w:sz w:val="22"/>
        </w:rPr>
        <w:t>Launch pilot student research funding schemes for sustainability-related projects.</w:t>
      </w:r>
    </w:p>
    <w:p>
      <w:pPr>
        <w:spacing w:after="120"/>
        <w:jc w:val="both"/>
      </w:pPr>
      <w:r>
        <w:rPr>
          <w:rFonts w:ascii="Cambria" w:hAnsi="Cambria"/>
          <w:b/>
          <w:i w:val="0"/>
          <w:sz w:val="22"/>
        </w:rPr>
        <w:t>Actions:</w:t>
      </w:r>
    </w:p>
    <w:p>
      <w:pPr>
        <w:pStyle w:val="ListBullet"/>
        <w:ind w:left="357"/>
        <w:jc w:val="both"/>
      </w:pPr>
      <w:r>
        <w:rPr>
          <w:rFonts w:ascii="Cambria" w:hAnsi="Cambria"/>
          <w:sz w:val="22"/>
        </w:rPr>
        <w:t>Introduce foundation courses or electives on SDGs, responsible consumption, waste management, and renewable energy.</w:t>
      </w:r>
    </w:p>
    <w:p>
      <w:pPr>
        <w:pStyle w:val="ListBullet"/>
        <w:ind w:left="357"/>
        <w:jc w:val="both"/>
      </w:pPr>
      <w:r>
        <w:rPr>
          <w:rFonts w:ascii="Cambria" w:hAnsi="Cambria"/>
          <w:sz w:val="22"/>
        </w:rPr>
        <w:t>Conduct campus campaigns (plastic-free, clean campus, repair &amp; reuse workshops).</w:t>
      </w:r>
    </w:p>
    <w:p>
      <w:pPr>
        <w:pStyle w:val="ListBullet"/>
        <w:ind w:left="357"/>
        <w:jc w:val="both"/>
      </w:pPr>
      <w:r>
        <w:rPr>
          <w:rFonts w:ascii="Cambria" w:hAnsi="Cambria"/>
          <w:sz w:val="22"/>
        </w:rPr>
        <w:t>Establish student ambassador programmes for peer-to-peer awareness.</w:t>
      </w:r>
    </w:p>
    <w:p>
      <w:pPr>
        <w:pStyle w:val="ListBullet"/>
        <w:ind w:left="357"/>
        <w:jc w:val="both"/>
      </w:pPr>
      <w:r>
        <w:rPr>
          <w:rFonts w:ascii="Cambria" w:hAnsi="Cambria"/>
          <w:sz w:val="22"/>
        </w:rPr>
        <w:t>Initiate faculty training workshops on teaching sustainability.</w:t>
      </w:r>
    </w:p>
    <w:p>
      <w:pPr>
        <w:spacing w:after="120"/>
        <w:jc w:val="both"/>
      </w:pPr>
      <w:r>
        <w:rPr>
          <w:rFonts w:ascii="Cambria" w:hAnsi="Cambria"/>
          <w:b/>
          <w:i w:val="0"/>
          <w:sz w:val="22"/>
        </w:rPr>
        <w:t>Outcomes:</w:t>
      </w:r>
    </w:p>
    <w:p>
      <w:pPr>
        <w:pStyle w:val="ListBullet"/>
        <w:ind w:left="357"/>
        <w:jc w:val="both"/>
      </w:pPr>
      <w:r>
        <w:rPr>
          <w:rFonts w:ascii="Cambria" w:hAnsi="Cambria"/>
          <w:sz w:val="22"/>
        </w:rPr>
        <w:t>First wave of students graduate with sustainability literacy.</w:t>
      </w:r>
    </w:p>
    <w:p>
      <w:pPr>
        <w:pStyle w:val="ListBullet"/>
        <w:ind w:left="357"/>
        <w:jc w:val="both"/>
      </w:pPr>
      <w:r>
        <w:rPr>
          <w:rFonts w:ascii="Cambria" w:hAnsi="Cambria"/>
          <w:sz w:val="22"/>
        </w:rPr>
        <w:t>Visible cultural shift on campus towards eco-conscious practices.</w:t>
      </w:r>
    </w:p>
    <w:p>
      <w:pPr>
        <w:pStyle w:val="ListBullet"/>
        <w:ind w:left="357"/>
        <w:jc w:val="both"/>
      </w:pPr>
      <w:r>
        <w:rPr>
          <w:rFonts w:ascii="Cambria" w:hAnsi="Cambria"/>
          <w:sz w:val="22"/>
        </w:rPr>
        <w:t>Increased student participation in green projects and competitions.</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Make sustainability courses mandatory for all UG/PG degrees across HEIs.</w:t>
      </w:r>
    </w:p>
    <w:p>
      <w:pPr>
        <w:pStyle w:val="ListBullet"/>
        <w:ind w:left="357"/>
        <w:jc w:val="both"/>
      </w:pPr>
      <w:r>
        <w:rPr>
          <w:rFonts w:ascii="Cambria" w:hAnsi="Cambria"/>
          <w:sz w:val="22"/>
        </w:rPr>
        <w:t>NAAC/NBA introduce sustainability indicators into accreditation frameworks.</w:t>
      </w:r>
    </w:p>
    <w:p>
      <w:pPr>
        <w:pStyle w:val="ListBullet"/>
        <w:ind w:left="357"/>
        <w:jc w:val="both"/>
      </w:pPr>
      <w:r>
        <w:rPr>
          <w:rFonts w:ascii="Cambria" w:hAnsi="Cambria"/>
          <w:sz w:val="22"/>
        </w:rPr>
        <w:t>Create regional sustainability hubs where HEIs share best practices and resources.</w:t>
      </w:r>
    </w:p>
    <w:p>
      <w:pPr>
        <w:spacing w:after="120"/>
        <w:jc w:val="both"/>
      </w:pPr>
      <w:r>
        <w:rPr>
          <w:rFonts w:ascii="Cambria" w:hAnsi="Cambria"/>
          <w:b/>
          <w:i w:val="0"/>
          <w:sz w:val="22"/>
        </w:rPr>
        <w:t>Actions:</w:t>
      </w:r>
    </w:p>
    <w:p>
      <w:pPr>
        <w:pStyle w:val="ListBullet"/>
        <w:ind w:left="357"/>
        <w:jc w:val="both"/>
      </w:pPr>
      <w:r>
        <w:rPr>
          <w:rFonts w:ascii="Cambria" w:hAnsi="Cambria"/>
          <w:sz w:val="22"/>
        </w:rPr>
        <w:t>Scale up student-led sustainability projects into interdisciplinary research programmes.</w:t>
      </w:r>
    </w:p>
    <w:p>
      <w:pPr>
        <w:pStyle w:val="ListBullet"/>
        <w:ind w:left="357"/>
        <w:jc w:val="both"/>
      </w:pPr>
      <w:r>
        <w:rPr>
          <w:rFonts w:ascii="Cambria" w:hAnsi="Cambria"/>
          <w:sz w:val="22"/>
        </w:rPr>
        <w:t>Host annual inter-university sustainability hackathons focused on lifestyle and consumption issues.</w:t>
      </w:r>
    </w:p>
    <w:p>
      <w:pPr>
        <w:pStyle w:val="ListBullet"/>
        <w:ind w:left="357"/>
        <w:jc w:val="both"/>
      </w:pPr>
      <w:r>
        <w:rPr>
          <w:rFonts w:ascii="Cambria" w:hAnsi="Cambria"/>
          <w:sz w:val="22"/>
        </w:rPr>
        <w:t>Partner with LiFE Mission, NGOs, and industry for outreach campaigns.</w:t>
      </w:r>
    </w:p>
    <w:p>
      <w:pPr>
        <w:pStyle w:val="ListBullet"/>
        <w:ind w:left="357"/>
        <w:jc w:val="both"/>
      </w:pPr>
      <w:r>
        <w:rPr>
          <w:rFonts w:ascii="Cambria" w:hAnsi="Cambria"/>
          <w:sz w:val="22"/>
        </w:rPr>
        <w:t>Expand MOOCs and e-learning courses on sustainable lifestyles in regional languages.</w:t>
      </w:r>
    </w:p>
    <w:p>
      <w:pPr>
        <w:spacing w:after="120"/>
        <w:jc w:val="both"/>
      </w:pPr>
      <w:r>
        <w:rPr>
          <w:rFonts w:ascii="Cambria" w:hAnsi="Cambria"/>
          <w:b/>
          <w:i w:val="0"/>
          <w:sz w:val="22"/>
        </w:rPr>
        <w:t>Outcomes:</w:t>
      </w:r>
    </w:p>
    <w:p>
      <w:pPr>
        <w:pStyle w:val="ListBullet"/>
        <w:ind w:left="357"/>
        <w:jc w:val="both"/>
      </w:pPr>
      <w:r>
        <w:rPr>
          <w:rFonts w:ascii="Cambria" w:hAnsi="Cambria"/>
          <w:sz w:val="22"/>
        </w:rPr>
        <w:t>Sustainability becomes a core part of student life and academic culture.</w:t>
      </w:r>
    </w:p>
    <w:p>
      <w:pPr>
        <w:pStyle w:val="ListBullet"/>
        <w:ind w:left="357"/>
        <w:jc w:val="both"/>
      </w:pPr>
      <w:r>
        <w:rPr>
          <w:rFonts w:ascii="Cambria" w:hAnsi="Cambria"/>
          <w:sz w:val="22"/>
        </w:rPr>
        <w:t>Rise in research outputs, case studies, and innovations in sustainable living.</w:t>
      </w:r>
    </w:p>
    <w:p>
      <w:pPr>
        <w:pStyle w:val="ListBullet"/>
        <w:ind w:left="357"/>
        <w:jc w:val="both"/>
      </w:pPr>
      <w:r>
        <w:rPr>
          <w:rFonts w:ascii="Cambria" w:hAnsi="Cambria"/>
          <w:sz w:val="22"/>
        </w:rPr>
        <w:t>Greater visibility of HEIs in national sustainability rankings and competitions.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Enshrine sustainable lifestyle education in higher education law and policy.</w:t>
      </w:r>
    </w:p>
    <w:p>
      <w:pPr>
        <w:pStyle w:val="ListBullet"/>
        <w:ind w:left="357"/>
        <w:jc w:val="both"/>
      </w:pPr>
      <w:r>
        <w:rPr>
          <w:rFonts w:ascii="Cambria" w:hAnsi="Cambria"/>
          <w:sz w:val="22"/>
        </w:rPr>
        <w:t>HEIs recognized as global leaders in promoting sustainable behavior through education.</w:t>
      </w:r>
    </w:p>
    <w:p>
      <w:pPr>
        <w:pStyle w:val="ListBullet"/>
        <w:ind w:left="357"/>
        <w:jc w:val="both"/>
      </w:pPr>
      <w:r>
        <w:rPr>
          <w:rFonts w:ascii="Cambria" w:hAnsi="Cambria"/>
          <w:sz w:val="22"/>
        </w:rPr>
        <w:t>Link sustainable lifestyle outcomes to global sustainability networks (UNESCO, UNEP, THE Impact Rankings).</w:t>
      </w:r>
    </w:p>
    <w:p>
      <w:pPr>
        <w:spacing w:after="120"/>
        <w:jc w:val="both"/>
      </w:pPr>
      <w:r>
        <w:rPr>
          <w:rFonts w:ascii="Cambria" w:hAnsi="Cambria"/>
          <w:b/>
          <w:i w:val="0"/>
          <w:sz w:val="22"/>
        </w:rPr>
        <w:t>Actions:</w:t>
      </w:r>
    </w:p>
    <w:p>
      <w:pPr>
        <w:pStyle w:val="ListBullet"/>
        <w:ind w:left="357"/>
        <w:jc w:val="both"/>
      </w:pPr>
      <w:r>
        <w:rPr>
          <w:rFonts w:ascii="Cambria" w:hAnsi="Cambria"/>
          <w:sz w:val="22"/>
        </w:rPr>
        <w:t>Achieve 100% student participation in sustainability programmes.</w:t>
      </w:r>
    </w:p>
    <w:p>
      <w:pPr>
        <w:pStyle w:val="ListBullet"/>
        <w:ind w:left="357"/>
        <w:jc w:val="both"/>
      </w:pPr>
      <w:r>
        <w:rPr>
          <w:rFonts w:ascii="Cambria" w:hAnsi="Cambria"/>
          <w:sz w:val="22"/>
        </w:rPr>
        <w:t>Institutionalize campuses as living laboratories for waste-to-energy, renewable energy, and circular economy models.</w:t>
      </w:r>
    </w:p>
    <w:p>
      <w:pPr>
        <w:pStyle w:val="ListBullet"/>
        <w:ind w:left="357"/>
        <w:jc w:val="both"/>
      </w:pPr>
      <w:r>
        <w:rPr>
          <w:rFonts w:ascii="Cambria" w:hAnsi="Cambria"/>
          <w:sz w:val="22"/>
        </w:rPr>
        <w:t>Host global conferences on sustainability in higher education.</w:t>
      </w:r>
    </w:p>
    <w:p>
      <w:pPr>
        <w:pStyle w:val="ListBullet"/>
        <w:ind w:left="357"/>
        <w:jc w:val="both"/>
      </w:pPr>
      <w:r>
        <w:rPr>
          <w:rFonts w:ascii="Cambria" w:hAnsi="Cambria"/>
          <w:sz w:val="22"/>
        </w:rPr>
        <w:t>Develop a national repository of lifestyle innovations created by students.</w:t>
      </w:r>
    </w:p>
    <w:p>
      <w:pPr>
        <w:spacing w:after="120"/>
        <w:jc w:val="both"/>
      </w:pPr>
      <w:r>
        <w:rPr>
          <w:rFonts w:ascii="Cambria" w:hAnsi="Cambria"/>
          <w:b/>
          <w:i w:val="0"/>
          <w:sz w:val="22"/>
        </w:rPr>
        <w:t>Outcomes:</w:t>
      </w:r>
    </w:p>
    <w:p>
      <w:pPr>
        <w:pStyle w:val="ListBullet"/>
        <w:ind w:left="357"/>
        <w:jc w:val="both"/>
      </w:pPr>
      <w:r>
        <w:rPr>
          <w:rFonts w:ascii="Cambria" w:hAnsi="Cambria"/>
          <w:sz w:val="22"/>
        </w:rPr>
        <w:t>Every graduate in India leaves HEIs as an environmentally responsible citizen.</w:t>
      </w:r>
    </w:p>
    <w:p>
      <w:pPr>
        <w:pStyle w:val="ListBullet"/>
        <w:ind w:left="357"/>
        <w:jc w:val="both"/>
      </w:pPr>
      <w:r>
        <w:rPr>
          <w:rFonts w:ascii="Cambria" w:hAnsi="Cambria"/>
          <w:sz w:val="22"/>
        </w:rPr>
        <w:t>HEIs become change agents for community-wide lifestyle transformations.</w:t>
      </w:r>
    </w:p>
    <w:p>
      <w:pPr>
        <w:pStyle w:val="ListBullet"/>
        <w:ind w:left="357"/>
        <w:jc w:val="both"/>
      </w:pPr>
      <w:r>
        <w:rPr>
          <w:rFonts w:ascii="Cambria" w:hAnsi="Cambria"/>
          <w:sz w:val="22"/>
        </w:rPr>
        <w:t>Tangible contribution to India's LiFE Mission, SDG-4, and SDG-12 targets.</w:t>
      </w:r>
    </w:p>
    <w:p>
      <w:pPr>
        <w:pStyle w:val="ListBullet"/>
        <w:ind w:left="357"/>
        <w:jc w:val="both"/>
      </w:pPr>
      <w:r>
        <w:rPr>
          <w:rFonts w:ascii="Cambria" w:hAnsi="Cambria"/>
          <w:sz w:val="22"/>
        </w:rPr>
        <w:t>Recognition of India as a global hub for sustainability education and pro-planet lifestyles.</w:t>
      </w:r>
    </w:p>
    <w:p>
      <w:pPr>
        <w:spacing w:before="200" w:after="80"/>
        <w:jc w:val="left"/>
      </w:pPr>
      <w:r>
        <w:rPr>
          <w:rFonts w:ascii="Cambria" w:hAnsi="Cambria"/>
          <w:b/>
          <w:color w:val="1F3A5F"/>
          <w:sz w:val="25"/>
        </w:rPr>
        <w:t>Curriculum &amp; Student Life – Sustainable Lifestyles</w:t>
      </w:r>
    </w:p>
    <w:p>
      <w:pPr>
        <w:spacing w:before="160" w:after="80"/>
      </w:pPr>
      <w:r>
        <w:rPr>
          <w:rFonts w:ascii="Cambria" w:hAnsi="Cambria"/>
          <w:b/>
          <w:color w:val="1F3A5F"/>
          <w:sz w:val="23"/>
        </w:rPr>
        <w:t>Curriculum &amp; Student Life – Sustainable Lifestyles</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Integrate sustainable lifestyle modules into the academic syllabus (climate change, waste reduction, circular economy); Promote eco-conscious co-curricular activities (eco-clubs, clean campus drives, reuse workshops); Encourage student research projects on sustainable living and technologies; Launch student-led sustainability campaigns (plastic-free, eco-commuting, energy saving); Partner with NGOs/industry for awareness drives and innovation projects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UNESCO Education for Sustainable Development (ESD): Embeds sustainability into curricula; LiFE Mission (India): Promotes pro-planet behaviors; Stanford Doerr School of Sustainability (USA): Curriculum-driven sustainability focus; University of Tokyo (Japan): Student-driven lifestyle reforms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Students adopt sustainable lifestyles and eco-conscious values; HEIs develop a campus culture of sustainability; Increase in student-led sustainable innovations; Tangible reductions in energy, waste, and resource use</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HEIs integrating sustainable lifestyle courses; % of students engaged in eco-clubs and campaigns; Number of research projects/publications on sustainability; % reduction in single-use plastics, water, and energy usage; Student participation in national/global sustainability initiatives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Integrate sustainability into curriculum &amp; campus activities; Regulators (UGC, AICTE, NAAC): Mandate sustainability ethics; Students: Lead campaigns and research; NGOs/Industry: Provide partnerships and outreach support</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(Environmental Consciousness); NBA: Programme outcomes tied to sustainability ethics; NIRF: Improves Teaching–Learning and Outreach metrics; QS/THE Impact Rankings: Strongly contributes to SDG-12 (Responsible Consumption and Production)</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hands-on sustainability skills; Leadership and advocacy skills nurtured; Employability in green jobs, CSR, sustainability consulting, and NGO/UN roles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Communities adopt sustainable lifestyles inspired by HEIs; Measurable improvements in resource use and efficiency; Strengthens India's alignment with LiFE Mission and SDG-12 targets</w:t>
            </w:r>
          </w:p>
        </w:tc>
      </w:tr>
    </w:tbl>
    <w:p>
      <w:r>
        <w:br w:type="page"/>
      </w:r>
    </w:p>
    <w:p>
      <w:pPr>
        <w:spacing w:before="280" w:after="160"/>
        <w:jc w:val="left"/>
      </w:pPr>
      <w:r>
        <w:rPr>
          <w:rFonts w:ascii="Cambria" w:hAnsi="Cambria"/>
          <w:b/>
          <w:color w:val="1F3A5F"/>
          <w:sz w:val="32"/>
        </w:rPr>
        <w:t>26. Equity &amp; Access through Employment, Training &amp; Regulation in HEIs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Equity and access are core principles of SDG-4 (Quality Education), ensuring no one is left behind due to gender, disability, socio-economic background, or regional disparity.</w:t>
      </w:r>
    </w:p>
    <w:p>
      <w:pPr>
        <w:pStyle w:val="ListBullet"/>
        <w:ind w:left="357"/>
        <w:jc w:val="both"/>
      </w:pPr>
      <w:r>
        <w:rPr>
          <w:rFonts w:ascii="Cambria" w:hAnsi="Cambria"/>
          <w:sz w:val="22"/>
        </w:rPr>
        <w:t>While HEIs have policies for recruitment, training, and governance, they are often not explicitly linked to equity targets.</w:t>
      </w:r>
    </w:p>
    <w:p>
      <w:pPr>
        <w:pStyle w:val="ListBullet"/>
        <w:ind w:left="357"/>
        <w:jc w:val="both"/>
      </w:pPr>
      <w:r>
        <w:rPr>
          <w:rFonts w:ascii="Cambria" w:hAnsi="Cambria"/>
          <w:sz w:val="22"/>
        </w:rPr>
        <w:t>By aligning employment policies (faculty hiring), training programmes (students and staff capacity-building), and regulatory frameworks (UGC/AICTE/NAAC) with equity goals, institutions can ensure fairness, inclusivity, and accountability.</w:t>
      </w:r>
    </w:p>
    <w:p>
      <w:pPr>
        <w:spacing w:before="200" w:after="80"/>
        <w:jc w:val="left"/>
      </w:pPr>
      <w:r>
        <w:rPr>
          <w:rFonts w:ascii="Cambria" w:hAnsi="Cambria"/>
          <w:b/>
          <w:color w:val="1F3A5F"/>
          <w:sz w:val="25"/>
        </w:rPr>
        <w:t>2. Key Elements of the Recommendation</w:t>
      </w:r>
    </w:p>
    <w:p>
      <w:pPr>
        <w:pStyle w:val="ListBullet"/>
        <w:ind w:left="357"/>
        <w:jc w:val="both"/>
      </w:pPr>
      <w:r>
        <w:rPr>
          <w:rFonts w:ascii="Cambria" w:hAnsi="Cambria"/>
          <w:sz w:val="22"/>
        </w:rPr>
        <w:t>Employment Policies</w:t>
      </w:r>
    </w:p>
    <w:p>
      <w:pPr>
        <w:pStyle w:val="ListBullet2"/>
        <w:ind w:left="720"/>
        <w:jc w:val="both"/>
      </w:pPr>
      <w:r>
        <w:rPr>
          <w:rFonts w:ascii="Cambria" w:hAnsi="Cambria"/>
          <w:sz w:val="22"/>
        </w:rPr>
        <w:t>Recruitment strategies must encourage diversity in faculty and staff composition.</w:t>
      </w:r>
    </w:p>
    <w:p>
      <w:pPr>
        <w:pStyle w:val="ListBullet2"/>
        <w:ind w:left="720"/>
        <w:jc w:val="both"/>
      </w:pPr>
      <w:r>
        <w:rPr>
          <w:rFonts w:ascii="Cambria" w:hAnsi="Cambria"/>
          <w:sz w:val="22"/>
        </w:rPr>
        <w:t>Reservation norms, equal opportunity cells, and gender balance policies must be enforced and regularly monitored.</w:t>
      </w:r>
    </w:p>
    <w:p>
      <w:pPr>
        <w:pStyle w:val="ListBullet"/>
        <w:ind w:left="357"/>
        <w:jc w:val="both"/>
      </w:pPr>
      <w:r>
        <w:rPr>
          <w:rFonts w:ascii="Cambria" w:hAnsi="Cambria"/>
          <w:sz w:val="22"/>
        </w:rPr>
        <w:t>Training Programmes</w:t>
      </w:r>
    </w:p>
    <w:p>
      <w:pPr>
        <w:pStyle w:val="ListBullet2"/>
        <w:ind w:left="720"/>
        <w:jc w:val="both"/>
      </w:pPr>
      <w:r>
        <w:rPr>
          <w:rFonts w:ascii="Cambria" w:hAnsi="Cambria"/>
          <w:sz w:val="22"/>
        </w:rPr>
        <w:t>Special training, internships, and mentorship for marginalized groups, women, and persons with disabilities.</w:t>
      </w:r>
    </w:p>
    <w:p>
      <w:pPr>
        <w:pStyle w:val="ListBullet2"/>
        <w:ind w:left="720"/>
        <w:jc w:val="both"/>
      </w:pPr>
      <w:r>
        <w:rPr>
          <w:rFonts w:ascii="Cambria" w:hAnsi="Cambria"/>
          <w:sz w:val="22"/>
        </w:rPr>
        <w:t>Faculty sensitization programmes on inclusive pedagogy and handling diverse classrooms.</w:t>
      </w:r>
    </w:p>
    <w:p>
      <w:pPr>
        <w:pStyle w:val="ListBullet"/>
        <w:ind w:left="357"/>
        <w:jc w:val="both"/>
      </w:pPr>
      <w:r>
        <w:rPr>
          <w:rFonts w:ascii="Cambria" w:hAnsi="Cambria"/>
          <w:sz w:val="22"/>
        </w:rPr>
        <w:t>Regulatory Alignment</w:t>
      </w:r>
    </w:p>
    <w:p>
      <w:pPr>
        <w:pStyle w:val="ListBullet2"/>
        <w:ind w:left="720"/>
        <w:jc w:val="both"/>
      </w:pPr>
      <w:r>
        <w:rPr>
          <w:rFonts w:ascii="Cambria" w:hAnsi="Cambria"/>
          <w:sz w:val="22"/>
        </w:rPr>
        <w:t>UGC, AICTE, NAAC, and NBA should mandate annual equity audits and reporting.</w:t>
      </w:r>
    </w:p>
    <w:p>
      <w:pPr>
        <w:pStyle w:val="ListBullet2"/>
        <w:ind w:left="720"/>
        <w:jc w:val="both"/>
      </w:pPr>
      <w:r>
        <w:rPr>
          <w:rFonts w:ascii="Cambria" w:hAnsi="Cambria"/>
          <w:sz w:val="22"/>
        </w:rPr>
        <w:t>Accreditation linked to measurable equity indicators (enrolment diversity, faculty diversity, student support).</w:t>
      </w:r>
    </w:p>
    <w:p>
      <w:pPr>
        <w:pStyle w:val="ListBullet2"/>
        <w:ind w:left="720"/>
        <w:jc w:val="both"/>
      </w:pPr>
      <w:r>
        <w:rPr>
          <w:rFonts w:ascii="Cambria" w:hAnsi="Cambria"/>
          <w:sz w:val="22"/>
        </w:rPr>
        <w:t>National databases should track progress on inclusion and social mobility outcomes.</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Equal Opportunity Cells (UGC, India): </w:t>
      </w:r>
      <w:r>
        <w:rPr>
          <w:rFonts w:ascii="Cambria" w:hAnsi="Cambria"/>
          <w:sz w:val="22"/>
        </w:rPr>
        <w:t>Established to safeguard the interests of disadvantaged groups.</w:t>
      </w:r>
    </w:p>
    <w:p>
      <w:pPr>
        <w:pStyle w:val="ListBullet"/>
        <w:ind w:left="357"/>
        <w:jc w:val="both"/>
      </w:pPr>
      <w:r>
        <w:rPr>
          <w:rFonts w:ascii="Cambria" w:hAnsi="Cambria"/>
          <w:b/>
          <w:sz w:val="22"/>
        </w:rPr>
        <w:t xml:space="preserve">University of Cape Town (South Africa): </w:t>
      </w:r>
      <w:r>
        <w:rPr>
          <w:rFonts w:ascii="Cambria" w:hAnsi="Cambria"/>
          <w:sz w:val="22"/>
        </w:rPr>
        <w:t>Institutional diversity office monitors inclusive recruitment and training.</w:t>
      </w:r>
    </w:p>
    <w:p>
      <w:pPr>
        <w:pStyle w:val="ListBullet"/>
        <w:ind w:left="357"/>
        <w:jc w:val="both"/>
      </w:pPr>
      <w:r>
        <w:rPr>
          <w:rFonts w:ascii="Cambria" w:hAnsi="Cambria"/>
          <w:b/>
          <w:sz w:val="22"/>
        </w:rPr>
        <w:t xml:space="preserve">Harvard Kennedy School (USA): </w:t>
      </w:r>
      <w:r>
        <w:rPr>
          <w:rFonts w:ascii="Cambria" w:hAnsi="Cambria"/>
          <w:sz w:val="22"/>
        </w:rPr>
        <w:t>Offers leadership programmes explicitly designed for equity and access.</w:t>
      </w:r>
    </w:p>
    <w:p>
      <w:pPr>
        <w:pStyle w:val="ListBullet"/>
        <w:ind w:left="357"/>
        <w:jc w:val="both"/>
      </w:pPr>
      <w:r>
        <w:rPr>
          <w:rFonts w:ascii="Cambria" w:hAnsi="Cambria"/>
          <w:b/>
          <w:sz w:val="22"/>
        </w:rPr>
        <w:t xml:space="preserve">UNESCO GEM Report (Global Education Monitoring): </w:t>
      </w:r>
      <w:r>
        <w:rPr>
          <w:rFonts w:ascii="Cambria" w:hAnsi="Cambria"/>
          <w:sz w:val="22"/>
        </w:rPr>
        <w:t>Recommends equity-focused employment and regulatory reforms in higher education.</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Greater diversity in faculty and student body, making HEIs more representative of society.</w:t>
      </w:r>
    </w:p>
    <w:p>
      <w:pPr>
        <w:pStyle w:val="ListBullet"/>
        <w:ind w:left="357"/>
        <w:jc w:val="both"/>
      </w:pPr>
      <w:r>
        <w:rPr>
          <w:rFonts w:ascii="Cambria" w:hAnsi="Cambria"/>
          <w:sz w:val="22"/>
        </w:rPr>
        <w:t>Increased employment opportunities for disadvantaged students through targeted training and internships.</w:t>
      </w:r>
    </w:p>
    <w:p>
      <w:pPr>
        <w:pStyle w:val="ListBullet"/>
        <w:ind w:left="357"/>
        <w:jc w:val="both"/>
      </w:pPr>
      <w:r>
        <w:rPr>
          <w:rFonts w:ascii="Cambria" w:hAnsi="Cambria"/>
          <w:sz w:val="22"/>
        </w:rPr>
        <w:t>Improved compliance with national constitutional mandates and SDG targets.</w:t>
      </w:r>
    </w:p>
    <w:p>
      <w:pPr>
        <w:pStyle w:val="ListBullet"/>
        <w:ind w:left="357"/>
        <w:jc w:val="both"/>
      </w:pPr>
      <w:r>
        <w:rPr>
          <w:rFonts w:ascii="Cambria" w:hAnsi="Cambria"/>
          <w:sz w:val="22"/>
        </w:rPr>
        <w:t>Higher institutional accountability through annual equity reports and audits.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 of faculty and staff from disadvantaged or underrepresented groups.</w:t>
      </w:r>
    </w:p>
    <w:p>
      <w:pPr>
        <w:pStyle w:val="ListBullet"/>
        <w:ind w:left="357"/>
        <w:jc w:val="both"/>
      </w:pPr>
      <w:r>
        <w:rPr>
          <w:rFonts w:ascii="Cambria" w:hAnsi="Cambria"/>
          <w:sz w:val="22"/>
        </w:rPr>
        <w:t>% of students from marginalized communities receiving scholarships, mentorship, and training.</w:t>
      </w:r>
    </w:p>
    <w:p>
      <w:pPr>
        <w:pStyle w:val="ListBullet"/>
        <w:ind w:left="357"/>
        <w:jc w:val="both"/>
      </w:pPr>
      <w:r>
        <w:rPr>
          <w:rFonts w:ascii="Cambria" w:hAnsi="Cambria"/>
          <w:sz w:val="22"/>
        </w:rPr>
        <w:t>Number of inclusive internships and career placement opportunities offered annually.</w:t>
      </w:r>
    </w:p>
    <w:p>
      <w:pPr>
        <w:pStyle w:val="ListBullet"/>
        <w:ind w:left="357"/>
        <w:jc w:val="both"/>
      </w:pPr>
      <w:r>
        <w:rPr>
          <w:rFonts w:ascii="Cambria" w:hAnsi="Cambria"/>
          <w:sz w:val="22"/>
        </w:rPr>
        <w:t>Existence and publication of an annual equity and access report.</w:t>
      </w:r>
    </w:p>
    <w:p>
      <w:pPr>
        <w:pStyle w:val="ListBullet"/>
        <w:ind w:left="357"/>
        <w:jc w:val="both"/>
      </w:pPr>
      <w:r>
        <w:rPr>
          <w:rFonts w:ascii="Cambria" w:hAnsi="Cambria"/>
          <w:sz w:val="22"/>
        </w:rPr>
        <w:t>Accreditation grades linked to inclusivity and diversity benchmarks.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from marginalized backgrounds receive better preparation and fairer opportunities for jobs.</w:t>
      </w:r>
    </w:p>
    <w:p>
      <w:pPr>
        <w:pStyle w:val="ListBullet"/>
        <w:ind w:left="357"/>
        <w:jc w:val="both"/>
      </w:pPr>
      <w:r>
        <w:rPr>
          <w:rFonts w:ascii="Cambria" w:hAnsi="Cambria"/>
          <w:sz w:val="22"/>
        </w:rPr>
        <w:t>Training programmes build confidence, skills, and leadership among underrepresented groups.</w:t>
      </w:r>
    </w:p>
    <w:p>
      <w:pPr>
        <w:pStyle w:val="ListBullet"/>
        <w:ind w:left="357"/>
        <w:jc w:val="both"/>
      </w:pPr>
      <w:r>
        <w:rPr>
          <w:rFonts w:ascii="Cambria" w:hAnsi="Cambria"/>
          <w:sz w:val="22"/>
        </w:rPr>
        <w:t>Diverse and inclusive campuses create peer learning environments that benefit all students.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Reduction in educational and employment inequalities.</w:t>
      </w:r>
    </w:p>
    <w:p>
      <w:pPr>
        <w:pStyle w:val="ListBullet"/>
        <w:ind w:left="357"/>
        <w:jc w:val="both"/>
      </w:pPr>
      <w:r>
        <w:rPr>
          <w:rFonts w:ascii="Cambria" w:hAnsi="Cambria"/>
          <w:sz w:val="22"/>
        </w:rPr>
        <w:t>Strengthened trust in HEIs as engines of social mobility and empowerment.</w:t>
      </w:r>
    </w:p>
    <w:p>
      <w:pPr>
        <w:pStyle w:val="ListBullet"/>
        <w:ind w:left="357"/>
        <w:jc w:val="both"/>
      </w:pPr>
      <w:r>
        <w:rPr>
          <w:rFonts w:ascii="Cambria" w:hAnsi="Cambria"/>
          <w:sz w:val="22"/>
        </w:rPr>
        <w:t>Contribution to India's commitments under SDG-4, SDG-5 (Gender Equality), and SDG-10 (Reduced Inequalities).</w:t>
      </w:r>
    </w:p>
    <w:p>
      <w:pPr>
        <w:pStyle w:val="ListBullet"/>
        <w:ind w:left="357"/>
        <w:jc w:val="both"/>
      </w:pPr>
      <w:r>
        <w:rPr>
          <w:rFonts w:ascii="Cambria" w:hAnsi="Cambria"/>
          <w:sz w:val="22"/>
        </w:rPr>
        <w:t>Long-term societal transformation by creating a diverse, skilled, and inclusive workforce.</w:t>
      </w:r>
    </w:p>
    <w:p>
      <w:pPr>
        <w:spacing w:before="240" w:after="120"/>
        <w:jc w:val="left"/>
      </w:pPr>
      <w:r>
        <w:rPr>
          <w:rFonts w:ascii="Cambria" w:hAnsi="Cambria"/>
          <w:b/>
          <w:color w:val="1F3A5F"/>
          <w:sz w:val="28"/>
        </w:rPr>
        <w:t>Policy–Action–Outcome Roadmap: Equity &amp; Access through Employment, Training &amp; Regulation</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 mandate equity and inclusion guidelines for HEIs' recruitment, training, and student support policies.</w:t>
      </w:r>
    </w:p>
    <w:p>
      <w:pPr>
        <w:pStyle w:val="ListBullet"/>
        <w:ind w:left="357"/>
        <w:jc w:val="both"/>
      </w:pPr>
      <w:r>
        <w:rPr>
          <w:rFonts w:ascii="Cambria" w:hAnsi="Cambria"/>
          <w:sz w:val="22"/>
        </w:rPr>
        <w:t>NAAC/NBA introduce equity indicators into institutional evaluation.</w:t>
      </w:r>
    </w:p>
    <w:p>
      <w:pPr>
        <w:pStyle w:val="ListBullet"/>
        <w:ind w:left="357"/>
        <w:jc w:val="both"/>
      </w:pPr>
      <w:r>
        <w:rPr>
          <w:rFonts w:ascii="Cambria" w:hAnsi="Cambria"/>
          <w:sz w:val="22"/>
        </w:rPr>
        <w:t>MoE establishes funding schemes for student training and faculty diversity initiatives.</w:t>
      </w:r>
    </w:p>
    <w:p>
      <w:pPr>
        <w:spacing w:after="120"/>
        <w:jc w:val="both"/>
      </w:pPr>
      <w:r>
        <w:rPr>
          <w:rFonts w:ascii="Cambria" w:hAnsi="Cambria"/>
          <w:b/>
          <w:i w:val="0"/>
          <w:sz w:val="22"/>
        </w:rPr>
        <w:t>Actions:</w:t>
      </w:r>
    </w:p>
    <w:p>
      <w:pPr>
        <w:pStyle w:val="ListBullet"/>
        <w:ind w:left="357"/>
        <w:jc w:val="both"/>
      </w:pPr>
      <w:r>
        <w:rPr>
          <w:rFonts w:ascii="Cambria" w:hAnsi="Cambria"/>
          <w:sz w:val="22"/>
        </w:rPr>
        <w:t>Set up Equal Opportunity Cells in all HEIs (if not already present).</w:t>
      </w:r>
    </w:p>
    <w:p>
      <w:pPr>
        <w:pStyle w:val="ListBullet"/>
        <w:ind w:left="357"/>
        <w:jc w:val="both"/>
      </w:pPr>
      <w:r>
        <w:rPr>
          <w:rFonts w:ascii="Cambria" w:hAnsi="Cambria"/>
          <w:sz w:val="22"/>
        </w:rPr>
        <w:t>Conduct baseline equity and access audits on faculty diversity, student enrolment, and training opportunities.</w:t>
      </w:r>
    </w:p>
    <w:p>
      <w:pPr>
        <w:pStyle w:val="ListBullet"/>
        <w:ind w:left="357"/>
        <w:jc w:val="both"/>
      </w:pPr>
      <w:r>
        <w:rPr>
          <w:rFonts w:ascii="Cambria" w:hAnsi="Cambria"/>
          <w:sz w:val="22"/>
        </w:rPr>
        <w:t>Launch targeted training and internship programmes for disadvantaged groups.</w:t>
      </w:r>
    </w:p>
    <w:p>
      <w:pPr>
        <w:pStyle w:val="ListBullet"/>
        <w:ind w:left="357"/>
        <w:jc w:val="both"/>
      </w:pPr>
      <w:r>
        <w:rPr>
          <w:rFonts w:ascii="Cambria" w:hAnsi="Cambria"/>
          <w:sz w:val="22"/>
        </w:rPr>
        <w:t>Initiate faculty development workshops on inclusive pedagogy and handling diverse classrooms.</w:t>
      </w:r>
    </w:p>
    <w:p>
      <w:pPr>
        <w:spacing w:after="120"/>
        <w:jc w:val="both"/>
      </w:pPr>
      <w:r>
        <w:rPr>
          <w:rFonts w:ascii="Cambria" w:hAnsi="Cambria"/>
          <w:b/>
          <w:i w:val="0"/>
          <w:sz w:val="22"/>
        </w:rPr>
        <w:t>Outcomes:</w:t>
      </w:r>
    </w:p>
    <w:p>
      <w:pPr>
        <w:pStyle w:val="ListBullet"/>
        <w:ind w:left="357"/>
        <w:jc w:val="both"/>
      </w:pPr>
      <w:r>
        <w:rPr>
          <w:rFonts w:ascii="Cambria" w:hAnsi="Cambria"/>
          <w:sz w:val="22"/>
        </w:rPr>
        <w:t>First generation of HEIs adopting structured equity-aligned employment and training policies.</w:t>
      </w:r>
    </w:p>
    <w:p>
      <w:pPr>
        <w:pStyle w:val="ListBullet"/>
        <w:ind w:left="357"/>
        <w:jc w:val="both"/>
      </w:pPr>
      <w:r>
        <w:rPr>
          <w:rFonts w:ascii="Cambria" w:hAnsi="Cambria"/>
          <w:sz w:val="22"/>
        </w:rPr>
        <w:t>Better access to training for students from marginalized communities.</w:t>
      </w:r>
    </w:p>
    <w:p>
      <w:pPr>
        <w:pStyle w:val="ListBullet"/>
        <w:ind w:left="357"/>
        <w:jc w:val="both"/>
      </w:pPr>
      <w:r>
        <w:rPr>
          <w:rFonts w:ascii="Cambria" w:hAnsi="Cambria"/>
          <w:sz w:val="22"/>
        </w:rPr>
        <w:t>Faculty sensitization to inclusivity improves classroom engagement.</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Accreditation bodies tie funding and ranking benefits to equity and inclusion outcomes.</w:t>
      </w:r>
    </w:p>
    <w:p>
      <w:pPr>
        <w:pStyle w:val="ListBullet"/>
        <w:ind w:left="357"/>
        <w:jc w:val="both"/>
      </w:pPr>
      <w:r>
        <w:rPr>
          <w:rFonts w:ascii="Cambria" w:hAnsi="Cambria"/>
          <w:sz w:val="22"/>
        </w:rPr>
        <w:t>Mandate annual equity and access reports from all HEIs.</w:t>
      </w:r>
    </w:p>
    <w:p>
      <w:pPr>
        <w:pStyle w:val="ListBullet"/>
        <w:ind w:left="357"/>
        <w:jc w:val="both"/>
      </w:pPr>
      <w:r>
        <w:rPr>
          <w:rFonts w:ascii="Cambria" w:hAnsi="Cambria"/>
          <w:sz w:val="22"/>
        </w:rPr>
        <w:t>National and state governments expand scholarship and mentorship schemes linked to HEIs.</w:t>
      </w:r>
    </w:p>
    <w:p>
      <w:pPr>
        <w:spacing w:after="120"/>
        <w:jc w:val="both"/>
      </w:pPr>
      <w:r>
        <w:rPr>
          <w:rFonts w:ascii="Cambria" w:hAnsi="Cambria"/>
          <w:b/>
          <w:i w:val="0"/>
          <w:sz w:val="22"/>
        </w:rPr>
        <w:t>Actions:</w:t>
      </w:r>
    </w:p>
    <w:p>
      <w:pPr>
        <w:pStyle w:val="ListBullet"/>
        <w:ind w:left="357"/>
        <w:jc w:val="both"/>
      </w:pPr>
      <w:r>
        <w:rPr>
          <w:rFonts w:ascii="Cambria" w:hAnsi="Cambria"/>
          <w:sz w:val="22"/>
        </w:rPr>
        <w:t>Scale up equity-focused hiring and student training programmes across institutions.</w:t>
      </w:r>
    </w:p>
    <w:p>
      <w:pPr>
        <w:pStyle w:val="ListBullet"/>
        <w:ind w:left="357"/>
        <w:jc w:val="both"/>
      </w:pPr>
      <w:r>
        <w:rPr>
          <w:rFonts w:ascii="Cambria" w:hAnsi="Cambria"/>
          <w:sz w:val="22"/>
        </w:rPr>
        <w:t>Build state-level networks of HEIs to share best practices in equity implementation.</w:t>
      </w:r>
    </w:p>
    <w:p>
      <w:pPr>
        <w:pStyle w:val="ListBullet"/>
        <w:ind w:left="357"/>
        <w:jc w:val="both"/>
      </w:pPr>
      <w:r>
        <w:rPr>
          <w:rFonts w:ascii="Cambria" w:hAnsi="Cambria"/>
          <w:sz w:val="22"/>
        </w:rPr>
        <w:t>Establish regional equity resource centres to support HEIs in policy design and monitoring.</w:t>
      </w:r>
    </w:p>
    <w:p>
      <w:pPr>
        <w:pStyle w:val="ListBullet"/>
        <w:ind w:left="357"/>
        <w:jc w:val="both"/>
      </w:pPr>
      <w:r>
        <w:rPr>
          <w:rFonts w:ascii="Cambria" w:hAnsi="Cambria"/>
          <w:sz w:val="22"/>
        </w:rPr>
        <w:t>Encourage industry partnerships for inclusive internships and placements.</w:t>
      </w:r>
    </w:p>
    <w:p>
      <w:pPr>
        <w:spacing w:after="120"/>
        <w:jc w:val="both"/>
      </w:pPr>
      <w:r>
        <w:rPr>
          <w:rFonts w:ascii="Cambria" w:hAnsi="Cambria"/>
          <w:b/>
          <w:i w:val="0"/>
          <w:sz w:val="22"/>
        </w:rPr>
        <w:t>Outcomes:</w:t>
      </w:r>
    </w:p>
    <w:p>
      <w:pPr>
        <w:pStyle w:val="ListBullet"/>
        <w:ind w:left="357"/>
        <w:jc w:val="both"/>
      </w:pPr>
      <w:r>
        <w:rPr>
          <w:rFonts w:ascii="Cambria" w:hAnsi="Cambria"/>
          <w:sz w:val="22"/>
        </w:rPr>
        <w:t>Greater representation of disadvantaged groups in faculty and student populations.</w:t>
      </w:r>
    </w:p>
    <w:p>
      <w:pPr>
        <w:pStyle w:val="ListBullet"/>
        <w:ind w:left="357"/>
        <w:jc w:val="both"/>
      </w:pPr>
      <w:r>
        <w:rPr>
          <w:rFonts w:ascii="Cambria" w:hAnsi="Cambria"/>
          <w:sz w:val="22"/>
        </w:rPr>
        <w:t>Widespread adoption of mentorship and scholarship models.</w:t>
      </w:r>
    </w:p>
    <w:p>
      <w:pPr>
        <w:pStyle w:val="ListBullet"/>
        <w:ind w:left="357"/>
        <w:jc w:val="both"/>
      </w:pPr>
      <w:r>
        <w:rPr>
          <w:rFonts w:ascii="Cambria" w:hAnsi="Cambria"/>
          <w:sz w:val="22"/>
        </w:rPr>
        <w:t>Improved NIRF inclusivity scores and global impact ranking performance.</w:t>
      </w:r>
    </w:p>
    <w:p>
      <w:pPr>
        <w:pStyle w:val="ListBullet"/>
        <w:ind w:left="357"/>
        <w:jc w:val="both"/>
      </w:pPr>
      <w:r>
        <w:rPr>
          <w:rFonts w:ascii="Cambria" w:hAnsi="Cambria"/>
          <w:sz w:val="22"/>
        </w:rPr>
        <w:t>A culture of accountability through published annual equity audits.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Enact a National Equity &amp; Access in Higher Education Act, making inclusion legally binding.</w:t>
      </w:r>
    </w:p>
    <w:p>
      <w:pPr>
        <w:pStyle w:val="ListBullet"/>
        <w:ind w:left="357"/>
        <w:jc w:val="both"/>
      </w:pPr>
      <w:r>
        <w:rPr>
          <w:rFonts w:ascii="Cambria" w:hAnsi="Cambria"/>
          <w:sz w:val="22"/>
        </w:rPr>
        <w:t>Integrate HEI equity outcomes into India's SDG reporting and national education policies.</w:t>
      </w:r>
    </w:p>
    <w:p>
      <w:pPr>
        <w:pStyle w:val="ListBullet"/>
        <w:ind w:left="357"/>
        <w:jc w:val="both"/>
      </w:pPr>
      <w:r>
        <w:rPr>
          <w:rFonts w:ascii="Cambria" w:hAnsi="Cambria"/>
          <w:sz w:val="22"/>
        </w:rPr>
        <w:t>Establish global partnerships (UNESCO, World Bank, QS Impact Rankings) for benchmarking equity practices.</w:t>
      </w:r>
    </w:p>
    <w:p>
      <w:pPr>
        <w:spacing w:after="120"/>
        <w:jc w:val="both"/>
      </w:pPr>
      <w:r>
        <w:rPr>
          <w:rFonts w:ascii="Cambria" w:hAnsi="Cambria"/>
          <w:b/>
          <w:i w:val="0"/>
          <w:sz w:val="22"/>
        </w:rPr>
        <w:t>Actions:</w:t>
      </w:r>
    </w:p>
    <w:p>
      <w:pPr>
        <w:pStyle w:val="ListBullet"/>
        <w:ind w:left="357"/>
        <w:jc w:val="both"/>
      </w:pPr>
      <w:r>
        <w:rPr>
          <w:rFonts w:ascii="Cambria" w:hAnsi="Cambria"/>
          <w:sz w:val="22"/>
        </w:rPr>
        <w:t>Achieve parity in representation of women, marginalized groups, and persons with disabilities in HEIs.</w:t>
      </w:r>
    </w:p>
    <w:p>
      <w:pPr>
        <w:pStyle w:val="ListBullet"/>
        <w:ind w:left="357"/>
        <w:jc w:val="both"/>
      </w:pPr>
      <w:r>
        <w:rPr>
          <w:rFonts w:ascii="Cambria" w:hAnsi="Cambria"/>
          <w:sz w:val="22"/>
        </w:rPr>
        <w:t>Institutionalize long-term career pipelines (faculty recruitment, leadership roles) for disadvantaged groups.</w:t>
      </w:r>
    </w:p>
    <w:p>
      <w:pPr>
        <w:pStyle w:val="ListBullet"/>
        <w:ind w:left="357"/>
        <w:jc w:val="both"/>
      </w:pPr>
      <w:r>
        <w:rPr>
          <w:rFonts w:ascii="Cambria" w:hAnsi="Cambria"/>
          <w:sz w:val="22"/>
        </w:rPr>
        <w:t>HEIs publish internationally recognized equity impact reports.</w:t>
      </w:r>
    </w:p>
    <w:p>
      <w:pPr>
        <w:pStyle w:val="ListBullet"/>
        <w:ind w:left="357"/>
        <w:jc w:val="both"/>
      </w:pPr>
      <w:r>
        <w:rPr>
          <w:rFonts w:ascii="Cambria" w:hAnsi="Cambria"/>
          <w:sz w:val="22"/>
        </w:rPr>
        <w:t>Host global summits on equity and access in higher education.</w:t>
      </w:r>
    </w:p>
    <w:p>
      <w:pPr>
        <w:spacing w:after="120"/>
        <w:jc w:val="both"/>
      </w:pPr>
      <w:r>
        <w:rPr>
          <w:rFonts w:ascii="Cambria" w:hAnsi="Cambria"/>
          <w:b/>
          <w:i w:val="0"/>
          <w:sz w:val="22"/>
        </w:rPr>
        <w:t>Outcomes:</w:t>
      </w:r>
    </w:p>
    <w:p>
      <w:pPr>
        <w:pStyle w:val="ListBullet"/>
        <w:ind w:left="357"/>
        <w:jc w:val="both"/>
      </w:pPr>
      <w:r>
        <w:rPr>
          <w:rFonts w:ascii="Cambria" w:hAnsi="Cambria"/>
          <w:sz w:val="22"/>
        </w:rPr>
        <w:t>Indian HEIs recognized as leaders in equitable education systems.</w:t>
      </w:r>
    </w:p>
    <w:p>
      <w:pPr>
        <w:pStyle w:val="ListBullet"/>
        <w:ind w:left="357"/>
        <w:jc w:val="both"/>
      </w:pPr>
      <w:r>
        <w:rPr>
          <w:rFonts w:ascii="Cambria" w:hAnsi="Cambria"/>
          <w:sz w:val="22"/>
        </w:rPr>
        <w:t>Tangible reduction in inequalities of access, employment, and training.</w:t>
      </w:r>
    </w:p>
    <w:p>
      <w:pPr>
        <w:pStyle w:val="ListBullet"/>
        <w:ind w:left="357"/>
        <w:jc w:val="both"/>
      </w:pPr>
      <w:r>
        <w:rPr>
          <w:rFonts w:ascii="Cambria" w:hAnsi="Cambria"/>
          <w:sz w:val="22"/>
        </w:rPr>
        <w:t>HEIs become agents of social mobility and justice, directly advancing SDG-4, SDG-5, and SDG-10.</w:t>
      </w:r>
    </w:p>
    <w:p>
      <w:pPr>
        <w:pStyle w:val="ListBullet"/>
        <w:ind w:left="357"/>
        <w:jc w:val="both"/>
      </w:pPr>
      <w:r>
        <w:rPr>
          <w:rFonts w:ascii="Cambria" w:hAnsi="Cambria"/>
          <w:sz w:val="22"/>
        </w:rPr>
        <w:t>Sustainable, diverse, and inclusive campuses producing globally competitive graduates.</w:t>
      </w:r>
    </w:p>
    <w:p>
      <w:pPr>
        <w:spacing w:before="200" w:after="80"/>
        <w:jc w:val="left"/>
      </w:pPr>
      <w:r>
        <w:rPr>
          <w:rFonts w:ascii="Cambria" w:hAnsi="Cambria"/>
          <w:b/>
          <w:color w:val="1F3A5F"/>
          <w:sz w:val="25"/>
        </w:rPr>
        <w:t>Equity &amp; Access – Employment, Training &amp; Regulation Alignment</w:t>
      </w:r>
    </w:p>
    <w:p>
      <w:pPr>
        <w:spacing w:before="160" w:after="80"/>
      </w:pPr>
      <w:r>
        <w:rPr>
          <w:rFonts w:ascii="Cambria" w:hAnsi="Cambria"/>
          <w:b/>
          <w:color w:val="1F3A5F"/>
          <w:sz w:val="23"/>
        </w:rPr>
        <w:t>Equity &amp; Access – Employment, Training &amp; Regulation Alignment</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Align recruitment and faculty development policies with equity and inclusion goals; Introduce targeted training programmes for disadvantaged groups, women, and persons with disabilities; Ensure scholarships, mentorship, and internship policies promote equal access; Revise regulatory guidelines (UGC/AICTE/NAAC) to monitor inclusivity performance; Encourage HEIs to publish annual equity and access reports</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Equal Opportunity Cells (UGC, India): Institutional mechanisms for disadvantaged groups; UNESCO Global Education Monitoring Report: Recommends equity-focused employment and training; University of Cape Town (South Africa): Diversity and equity office overseeing hiring &amp; student support; Harvard Kennedy School (USA): Leadership programmes focusing on inclusion and access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Improved diversity in student body; Enhanced employability of marginalized groups through targeted training; Stronger compliance with national commitments and SDG-4 targets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 of faculty and staff from disadvantaged/vulnerable groups; % of students from marginalized groups enrolled in training/employment schemes; Number of equity-focused scholarships and internships offered annually; Existence of annual equity and access report; Accreditation ratings linked to inclusivity benchmarks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Redesign policies on recruitment, scholarships, and training opportunities; Regulators (UGC, AICTE, NAAC, NBA): Monitor compliance and issue guidelines; Government (MoE, State): Provide incentives for inclusive hiring and training; Industry Partners: Offer inclusive internship and recruitment opportunities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VII (Governance) – Student Support &amp; Inequality gaps; NBA: Programme Outcomes include equity in opportunities; NIRF: Improves Outreach &amp; Inclusivity scores; QS/THE Impact Rankings: Strengthens SDG-5 (Gender Equality) and SDG-10 (Reduced Inequalities)</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fair opportunities for employment and training; Development of a diverse and inclusive workforce; Students gain confidence through mentorship and equity-focused programmes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Strengthened community trust in HEIs as equitable institutions; Contribution to social mobility and empowerment; Alignment with India's constitutional vision of equality and access</w:t>
            </w:r>
          </w:p>
        </w:tc>
      </w:tr>
    </w:tbl>
    <w:p>
      <w:r>
        <w:br w:type="page"/>
      </w:r>
    </w:p>
    <w:p>
      <w:pPr>
        <w:spacing w:before="280" w:after="160"/>
        <w:jc w:val="left"/>
      </w:pPr>
      <w:r>
        <w:rPr>
          <w:rFonts w:ascii="Cambria" w:hAnsi="Cambria"/>
          <w:b/>
          <w:color w:val="1F3A5F"/>
          <w:sz w:val="32"/>
        </w:rPr>
        <w:t>27. Scholarships &amp; Financial Assistance in HEIs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Financial barriers are among the most common reasons for exclusion from higher education, particularly for students from economically weaker sections (EWS), rural backgrounds, and marginalized groups.</w:t>
      </w:r>
    </w:p>
    <w:p>
      <w:pPr>
        <w:pStyle w:val="ListBullet"/>
        <w:ind w:left="357"/>
        <w:jc w:val="both"/>
      </w:pPr>
      <w:r>
        <w:rPr>
          <w:rFonts w:ascii="Cambria" w:hAnsi="Cambria"/>
          <w:sz w:val="22"/>
        </w:rPr>
        <w:t>Scholarships and financial assistance directly advance SDG-4 (Quality Education) by ensuring equitable access, and SDG-10 (Reduced Inequalities) by breaking cycles of disadvantage.</w:t>
      </w:r>
    </w:p>
    <w:p>
      <w:pPr>
        <w:pStyle w:val="ListBullet"/>
        <w:ind w:left="357"/>
        <w:jc w:val="both"/>
      </w:pPr>
      <w:r>
        <w:rPr>
          <w:rFonts w:ascii="Cambria" w:hAnsi="Cambria"/>
          <w:sz w:val="22"/>
        </w:rPr>
        <w:t>Financial aid is not just about covering costs—it is about enabling persistence, reducing dropouts, and providing dignity to students who otherwise face exclusion.</w:t>
      </w:r>
    </w:p>
    <w:p>
      <w:pPr>
        <w:spacing w:before="200" w:after="80"/>
        <w:jc w:val="left"/>
      </w:pPr>
      <w:r>
        <w:rPr>
          <w:rFonts w:ascii="Cambria" w:hAnsi="Cambria"/>
          <w:b/>
          <w:color w:val="1F3A5F"/>
          <w:sz w:val="25"/>
        </w:rPr>
        <w:t>2. Key Elements of the Recommendation</w:t>
      </w:r>
    </w:p>
    <w:p>
      <w:pPr>
        <w:pStyle w:val="ListBullet"/>
        <w:ind w:left="357"/>
        <w:jc w:val="both"/>
      </w:pPr>
      <w:r>
        <w:rPr>
          <w:rFonts w:ascii="Cambria" w:hAnsi="Cambria"/>
          <w:sz w:val="22"/>
        </w:rPr>
        <w:t>Institutional Scholarships</w:t>
      </w:r>
    </w:p>
    <w:p>
      <w:pPr>
        <w:pStyle w:val="ListBullet2"/>
        <w:ind w:left="720"/>
        <w:jc w:val="both"/>
      </w:pPr>
      <w:r>
        <w:rPr>
          <w:rFonts w:ascii="Cambria" w:hAnsi="Cambria"/>
          <w:sz w:val="22"/>
        </w:rPr>
        <w:t>HEIs should establish need-based scholarships and fee waivers to supplement government schemes.</w:t>
      </w:r>
    </w:p>
    <w:p>
      <w:pPr>
        <w:pStyle w:val="ListBullet2"/>
        <w:ind w:left="720"/>
        <w:jc w:val="both"/>
      </w:pPr>
      <w:r>
        <w:rPr>
          <w:rFonts w:ascii="Cambria" w:hAnsi="Cambria"/>
          <w:sz w:val="22"/>
        </w:rPr>
        <w:t>Dedicated endowment funds can be created through alumni and CSR contributions.</w:t>
      </w:r>
    </w:p>
    <w:p>
      <w:pPr>
        <w:pStyle w:val="ListBullet"/>
        <w:ind w:left="357"/>
        <w:jc w:val="both"/>
      </w:pPr>
      <w:r>
        <w:rPr>
          <w:rFonts w:ascii="Cambria" w:hAnsi="Cambria"/>
          <w:sz w:val="22"/>
        </w:rPr>
        <w:t>Government &amp; Regulatory Support</w:t>
      </w:r>
    </w:p>
    <w:p>
      <w:pPr>
        <w:pStyle w:val="ListBullet2"/>
        <w:ind w:left="720"/>
        <w:jc w:val="both"/>
      </w:pPr>
      <w:r>
        <w:rPr>
          <w:rFonts w:ascii="Cambria" w:hAnsi="Cambria"/>
          <w:sz w:val="22"/>
        </w:rPr>
        <w:t>Ministries and state departments should expand targeted aid (e.g., for women, SC/ST, persons with disabilities).</w:t>
      </w:r>
    </w:p>
    <w:p>
      <w:pPr>
        <w:pStyle w:val="ListBullet2"/>
        <w:ind w:left="720"/>
        <w:jc w:val="both"/>
      </w:pPr>
      <w:r>
        <w:rPr>
          <w:rFonts w:ascii="Cambria" w:hAnsi="Cambria"/>
          <w:sz w:val="22"/>
        </w:rPr>
        <w:t>Regulatory bodies (UGC, NAAC, NBA) should monitor and mandate equity-linked financial support.</w:t>
      </w:r>
    </w:p>
    <w:p>
      <w:pPr>
        <w:pStyle w:val="ListBullet"/>
        <w:ind w:left="357"/>
        <w:jc w:val="both"/>
      </w:pPr>
      <w:r>
        <w:rPr>
          <w:rFonts w:ascii="Cambria" w:hAnsi="Cambria"/>
          <w:sz w:val="22"/>
        </w:rPr>
        <w:t>Transparent &amp; Accessible Processes</w:t>
      </w:r>
    </w:p>
    <w:p>
      <w:pPr>
        <w:pStyle w:val="ListBullet2"/>
        <w:ind w:left="720"/>
        <w:jc w:val="both"/>
      </w:pPr>
      <w:r>
        <w:rPr>
          <w:rFonts w:ascii="Cambria" w:hAnsi="Cambria"/>
          <w:sz w:val="22"/>
        </w:rPr>
        <w:t>Digital platforms (like India's National Scholarship Portal) should be adopted to minimize corruption and ensure inclusivity.</w:t>
      </w:r>
    </w:p>
    <w:p>
      <w:pPr>
        <w:pStyle w:val="ListBullet2"/>
        <w:ind w:left="720"/>
        <w:jc w:val="both"/>
      </w:pPr>
      <w:r>
        <w:rPr>
          <w:rFonts w:ascii="Cambria" w:hAnsi="Cambria"/>
          <w:sz w:val="22"/>
        </w:rPr>
        <w:t>Criteria must be clear, simple, and accessible, with multilingual application systems.</w:t>
      </w:r>
    </w:p>
    <w:p>
      <w:pPr>
        <w:pStyle w:val="ListBullet"/>
        <w:ind w:left="357"/>
        <w:jc w:val="both"/>
      </w:pPr>
      <w:r>
        <w:rPr>
          <w:rFonts w:ascii="Cambria" w:hAnsi="Cambria"/>
          <w:sz w:val="22"/>
        </w:rPr>
        <w:t>Linked Academic Support</w:t>
      </w:r>
    </w:p>
    <w:p>
      <w:pPr>
        <w:pStyle w:val="ListBullet2"/>
        <w:ind w:left="720"/>
        <w:jc w:val="both"/>
      </w:pPr>
      <w:r>
        <w:rPr>
          <w:rFonts w:ascii="Cambria" w:hAnsi="Cambria"/>
          <w:sz w:val="22"/>
        </w:rPr>
        <w:t>Financial assistance must be tied to mentorship, career counselling, and academic support, ensuring that funding translates into actual success and employability.</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Pell Grants (USA): </w:t>
      </w:r>
      <w:r>
        <w:rPr>
          <w:rFonts w:ascii="Cambria" w:hAnsi="Cambria"/>
          <w:sz w:val="22"/>
        </w:rPr>
        <w:t>Federal support that has enabled millions of low-income students to complete college.</w:t>
      </w:r>
    </w:p>
    <w:p>
      <w:pPr>
        <w:pStyle w:val="ListBullet"/>
        <w:ind w:left="357"/>
        <w:jc w:val="both"/>
      </w:pPr>
      <w:r>
        <w:rPr>
          <w:rFonts w:ascii="Cambria" w:hAnsi="Cambria"/>
          <w:sz w:val="22"/>
        </w:rPr>
        <w:t>Chevening (UK) &amp; Erasmus+ (EU): Provide financial assistance with international exposure.</w:t>
      </w:r>
    </w:p>
    <w:p>
      <w:pPr>
        <w:pStyle w:val="ListBullet"/>
        <w:ind w:left="357"/>
        <w:jc w:val="both"/>
      </w:pPr>
      <w:r>
        <w:rPr>
          <w:rFonts w:ascii="Cambria" w:hAnsi="Cambria"/>
          <w:b/>
          <w:sz w:val="22"/>
        </w:rPr>
        <w:t xml:space="preserve">National Scholarship Portal (India): </w:t>
      </w:r>
      <w:r>
        <w:rPr>
          <w:rFonts w:ascii="Cambria" w:hAnsi="Cambria"/>
          <w:sz w:val="22"/>
        </w:rPr>
        <w:t>Single-window platform that centralizes aid.</w:t>
      </w:r>
    </w:p>
    <w:p>
      <w:pPr>
        <w:pStyle w:val="ListBullet"/>
        <w:ind w:left="357"/>
        <w:jc w:val="both"/>
      </w:pPr>
      <w:r>
        <w:rPr>
          <w:rFonts w:ascii="Cambria" w:hAnsi="Cambria"/>
          <w:b/>
          <w:sz w:val="22"/>
        </w:rPr>
        <w:t xml:space="preserve">Alumni-funded scholarships: </w:t>
      </w:r>
      <w:r>
        <w:rPr>
          <w:rFonts w:ascii="Cambria" w:hAnsi="Cambria"/>
          <w:sz w:val="22"/>
        </w:rPr>
        <w:t>Widely adopted in US universities (Harvard, Stanford), ensuring financial aid sustainability.</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b/>
          <w:sz w:val="22"/>
        </w:rPr>
        <w:t xml:space="preserve">Improved access: </w:t>
      </w:r>
      <w:r>
        <w:rPr>
          <w:rFonts w:ascii="Cambria" w:hAnsi="Cambria"/>
          <w:sz w:val="22"/>
        </w:rPr>
        <w:t>More students from low-income families can enter higher education.</w:t>
      </w:r>
    </w:p>
    <w:p>
      <w:pPr>
        <w:pStyle w:val="ListBullet"/>
        <w:ind w:left="357"/>
        <w:jc w:val="both"/>
      </w:pPr>
      <w:r>
        <w:rPr>
          <w:rFonts w:ascii="Cambria" w:hAnsi="Cambria"/>
          <w:b/>
          <w:sz w:val="22"/>
        </w:rPr>
        <w:t xml:space="preserve">Reduced dropout rates: </w:t>
      </w:r>
      <w:r>
        <w:rPr>
          <w:rFonts w:ascii="Cambria" w:hAnsi="Cambria"/>
          <w:sz w:val="22"/>
        </w:rPr>
        <w:t>Students are less likely to discontinue studies due to financial pressures.</w:t>
      </w:r>
    </w:p>
    <w:p>
      <w:pPr>
        <w:pStyle w:val="ListBullet"/>
        <w:ind w:left="357"/>
        <w:jc w:val="both"/>
      </w:pPr>
      <w:r>
        <w:rPr>
          <w:rFonts w:ascii="Cambria" w:hAnsi="Cambria"/>
          <w:b/>
          <w:sz w:val="22"/>
        </w:rPr>
        <w:t xml:space="preserve">Enhanced performance: </w:t>
      </w:r>
      <w:r>
        <w:rPr>
          <w:rFonts w:ascii="Cambria" w:hAnsi="Cambria"/>
          <w:sz w:val="22"/>
        </w:rPr>
        <w:t>Financial security allows students to focus on academics and skill development.</w:t>
      </w:r>
    </w:p>
    <w:p>
      <w:pPr>
        <w:pStyle w:val="ListBullet"/>
        <w:ind w:left="357"/>
        <w:jc w:val="both"/>
      </w:pPr>
      <w:r>
        <w:rPr>
          <w:rFonts w:ascii="Cambria" w:hAnsi="Cambria"/>
          <w:b/>
          <w:sz w:val="22"/>
        </w:rPr>
        <w:t xml:space="preserve">Stronger inclusivity: </w:t>
      </w:r>
      <w:r>
        <w:rPr>
          <w:rFonts w:ascii="Cambria" w:hAnsi="Cambria"/>
          <w:sz w:val="22"/>
        </w:rPr>
        <w:t>Institutions become more representative of diverse socio-economic groups.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 of students receiving scholarships or fee waivers.</w:t>
      </w:r>
    </w:p>
    <w:p>
      <w:pPr>
        <w:pStyle w:val="ListBullet"/>
        <w:ind w:left="357"/>
        <w:jc w:val="both"/>
      </w:pPr>
      <w:r>
        <w:rPr>
          <w:rFonts w:ascii="Cambria" w:hAnsi="Cambria"/>
          <w:sz w:val="22"/>
        </w:rPr>
        <w:t>% reduction in dropout/withdrawal rates due to financial hardship.</w:t>
      </w:r>
    </w:p>
    <w:p>
      <w:pPr>
        <w:pStyle w:val="ListBullet"/>
        <w:ind w:left="357"/>
        <w:jc w:val="both"/>
      </w:pPr>
      <w:r>
        <w:rPr>
          <w:rFonts w:ascii="Cambria" w:hAnsi="Cambria"/>
          <w:sz w:val="22"/>
        </w:rPr>
        <w:t>Number of scholarship schemes launched annually by HEIs.</w:t>
      </w:r>
    </w:p>
    <w:p>
      <w:pPr>
        <w:pStyle w:val="ListBullet"/>
        <w:ind w:left="357"/>
        <w:jc w:val="both"/>
      </w:pPr>
      <w:r>
        <w:rPr>
          <w:rFonts w:ascii="Cambria" w:hAnsi="Cambria"/>
          <w:sz w:val="22"/>
        </w:rPr>
        <w:t>Total funds mobilized through endowment and alumni contributions.</w:t>
      </w:r>
    </w:p>
    <w:p>
      <w:pPr>
        <w:pStyle w:val="ListBullet"/>
        <w:ind w:left="357"/>
        <w:jc w:val="both"/>
      </w:pPr>
      <w:r>
        <w:rPr>
          <w:rFonts w:ascii="Cambria" w:hAnsi="Cambria"/>
          <w:sz w:val="22"/>
        </w:rPr>
        <w:t>Student satisfaction ratings with financial aid transparency and adequacy.</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gain confidence and resilience when financial barriers are removed.</w:t>
      </w:r>
    </w:p>
    <w:p>
      <w:pPr>
        <w:pStyle w:val="ListBullet"/>
        <w:ind w:left="357"/>
        <w:jc w:val="both"/>
      </w:pPr>
      <w:r>
        <w:rPr>
          <w:rFonts w:ascii="Cambria" w:hAnsi="Cambria"/>
          <w:sz w:val="22"/>
        </w:rPr>
        <w:t>Scholarships open doors to internships, research, and global exposure opportunities.</w:t>
      </w:r>
    </w:p>
    <w:p>
      <w:pPr>
        <w:pStyle w:val="ListBullet"/>
        <w:ind w:left="357"/>
        <w:jc w:val="both"/>
      </w:pPr>
      <w:r>
        <w:rPr>
          <w:rFonts w:ascii="Cambria" w:hAnsi="Cambria"/>
          <w:sz w:val="22"/>
        </w:rPr>
        <w:t>Economically weaker students gain a level playing field for career competitiveness.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Scholarships help break cycles of poverty, enabling upward social mobility.</w:t>
      </w:r>
    </w:p>
    <w:p>
      <w:pPr>
        <w:pStyle w:val="ListBullet"/>
        <w:ind w:left="357"/>
        <w:jc w:val="both"/>
      </w:pPr>
      <w:r>
        <w:rPr>
          <w:rFonts w:ascii="Cambria" w:hAnsi="Cambria"/>
          <w:sz w:val="22"/>
        </w:rPr>
        <w:t>Communities benefit when first-generation learners complete higher education and secure stable careers.</w:t>
      </w:r>
    </w:p>
    <w:p>
      <w:pPr>
        <w:pStyle w:val="ListBullet"/>
        <w:ind w:left="357"/>
        <w:jc w:val="both"/>
      </w:pPr>
      <w:r>
        <w:rPr>
          <w:rFonts w:ascii="Cambria" w:hAnsi="Cambria"/>
          <w:sz w:val="22"/>
        </w:rPr>
        <w:t>HEIs gain trust and legitimacy as inclusive and socially responsible institutions.</w:t>
      </w:r>
    </w:p>
    <w:p>
      <w:pPr>
        <w:pStyle w:val="ListBullet"/>
        <w:ind w:left="357"/>
        <w:jc w:val="both"/>
      </w:pPr>
      <w:r>
        <w:rPr>
          <w:rFonts w:ascii="Cambria" w:hAnsi="Cambria"/>
          <w:b/>
          <w:sz w:val="22"/>
        </w:rPr>
        <w:t xml:space="preserve">Long-term national benefit: </w:t>
      </w:r>
      <w:r>
        <w:rPr>
          <w:rFonts w:ascii="Cambria" w:hAnsi="Cambria"/>
          <w:sz w:val="22"/>
        </w:rPr>
        <w:t>A more skilled and diverse workforce contributing to economic growth and SDG goals.</w:t>
      </w:r>
    </w:p>
    <w:p>
      <w:pPr>
        <w:spacing w:before="240" w:after="120"/>
        <w:jc w:val="left"/>
      </w:pPr>
      <w:r>
        <w:rPr>
          <w:rFonts w:ascii="Cambria" w:hAnsi="Cambria"/>
          <w:b/>
          <w:color w:val="1F3A5F"/>
          <w:sz w:val="28"/>
        </w:rPr>
        <w:t>Policy–Action–Outcome Roadmap: Scholarships &amp; Financial Assistance</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UGC/AICTE/NAAC mandate all HEIs to have need-based scholarships and fee waiver schemes in addition to government provisions.</w:t>
      </w:r>
    </w:p>
    <w:p>
      <w:pPr>
        <w:pStyle w:val="ListBullet"/>
        <w:ind w:left="357"/>
        <w:jc w:val="both"/>
      </w:pPr>
      <w:r>
        <w:rPr>
          <w:rFonts w:ascii="Cambria" w:hAnsi="Cambria"/>
          <w:sz w:val="22"/>
        </w:rPr>
        <w:t>Launch a central digital platform (linked to the National Scholarship Portal) to ensure transparency in applications.</w:t>
      </w:r>
    </w:p>
    <w:p>
      <w:pPr>
        <w:pStyle w:val="ListBullet"/>
        <w:ind w:left="357"/>
        <w:jc w:val="both"/>
      </w:pPr>
      <w:r>
        <w:rPr>
          <w:rFonts w:ascii="Cambria" w:hAnsi="Cambria"/>
          <w:sz w:val="22"/>
        </w:rPr>
        <w:t>Encourage alumni and corporate partners to contribute to institutional endowment funds.</w:t>
      </w:r>
    </w:p>
    <w:p>
      <w:pPr>
        <w:spacing w:after="120"/>
        <w:jc w:val="both"/>
      </w:pPr>
      <w:r>
        <w:rPr>
          <w:rFonts w:ascii="Cambria" w:hAnsi="Cambria"/>
          <w:b/>
          <w:i w:val="0"/>
          <w:sz w:val="22"/>
        </w:rPr>
        <w:t>Actions:</w:t>
      </w:r>
    </w:p>
    <w:p>
      <w:pPr>
        <w:pStyle w:val="ListBullet"/>
        <w:ind w:left="357"/>
        <w:jc w:val="both"/>
      </w:pPr>
      <w:r>
        <w:rPr>
          <w:rFonts w:ascii="Cambria" w:hAnsi="Cambria"/>
          <w:sz w:val="22"/>
        </w:rPr>
        <w:t>Conduct baseline studies to identify students most at risk of dropping out due to financial reasons.</w:t>
      </w:r>
    </w:p>
    <w:p>
      <w:pPr>
        <w:pStyle w:val="ListBullet"/>
        <w:ind w:left="357"/>
        <w:jc w:val="both"/>
      </w:pPr>
      <w:r>
        <w:rPr>
          <w:rFonts w:ascii="Cambria" w:hAnsi="Cambria"/>
          <w:sz w:val="22"/>
        </w:rPr>
        <w:t>Provide fee waivers, emergency aid, and flexible payment plans.</w:t>
      </w:r>
    </w:p>
    <w:p>
      <w:pPr>
        <w:pStyle w:val="ListBullet"/>
        <w:ind w:left="357"/>
        <w:jc w:val="both"/>
      </w:pPr>
      <w:r>
        <w:rPr>
          <w:rFonts w:ascii="Cambria" w:hAnsi="Cambria"/>
          <w:sz w:val="22"/>
        </w:rPr>
        <w:t>Start mentorship and academic support programmes tied to scholarships.</w:t>
      </w:r>
    </w:p>
    <w:p>
      <w:pPr>
        <w:pStyle w:val="ListBullet"/>
        <w:ind w:left="357"/>
        <w:jc w:val="both"/>
      </w:pPr>
      <w:r>
        <w:rPr>
          <w:rFonts w:ascii="Cambria" w:hAnsi="Cambria"/>
          <w:sz w:val="22"/>
        </w:rPr>
        <w:t>Run awareness campaigns so students know how to access available schemes.</w:t>
      </w:r>
    </w:p>
    <w:p>
      <w:pPr>
        <w:spacing w:after="120"/>
        <w:jc w:val="both"/>
      </w:pPr>
      <w:r>
        <w:rPr>
          <w:rFonts w:ascii="Cambria" w:hAnsi="Cambria"/>
          <w:b/>
          <w:i w:val="0"/>
          <w:sz w:val="22"/>
        </w:rPr>
        <w:t>Outcomes:</w:t>
      </w:r>
    </w:p>
    <w:p>
      <w:pPr>
        <w:pStyle w:val="ListBullet"/>
        <w:ind w:left="357"/>
        <w:jc w:val="both"/>
      </w:pPr>
      <w:r>
        <w:rPr>
          <w:rFonts w:ascii="Cambria" w:hAnsi="Cambria"/>
          <w:sz w:val="22"/>
        </w:rPr>
        <w:t>Immediate increase in access for economically weaker students.</w:t>
      </w:r>
    </w:p>
    <w:p>
      <w:pPr>
        <w:pStyle w:val="ListBullet"/>
        <w:ind w:left="357"/>
        <w:jc w:val="both"/>
      </w:pPr>
      <w:r>
        <w:rPr>
          <w:rFonts w:ascii="Cambria" w:hAnsi="Cambria"/>
          <w:sz w:val="22"/>
        </w:rPr>
        <w:t>Reduced financial stress and dropouts in early cohorts.</w:t>
      </w:r>
    </w:p>
    <w:p>
      <w:pPr>
        <w:pStyle w:val="ListBullet"/>
        <w:ind w:left="357"/>
        <w:jc w:val="both"/>
      </w:pPr>
      <w:r>
        <w:rPr>
          <w:rFonts w:ascii="Cambria" w:hAnsi="Cambria"/>
          <w:sz w:val="22"/>
        </w:rPr>
        <w:t>Transparent and efficient allocation of aid.</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Link scholarship outcomes (retention, graduation rates) to NAAC/NBA accreditation and NIRF Inclusivity scores.</w:t>
      </w:r>
    </w:p>
    <w:p>
      <w:pPr>
        <w:pStyle w:val="ListBullet"/>
        <w:ind w:left="357"/>
        <w:jc w:val="both"/>
      </w:pPr>
      <w:r>
        <w:rPr>
          <w:rFonts w:ascii="Cambria" w:hAnsi="Cambria"/>
          <w:sz w:val="22"/>
        </w:rPr>
        <w:t>Require HEIs to publish annual scholarship and financial aid reports.</w:t>
      </w:r>
    </w:p>
    <w:p>
      <w:pPr>
        <w:pStyle w:val="ListBullet"/>
        <w:ind w:left="357"/>
        <w:jc w:val="both"/>
      </w:pPr>
      <w:r>
        <w:rPr>
          <w:rFonts w:ascii="Cambria" w:hAnsi="Cambria"/>
          <w:sz w:val="22"/>
        </w:rPr>
        <w:t>Establish regional/state-level equity funds pooling resources from government, industry, and alumni.</w:t>
      </w:r>
    </w:p>
    <w:p>
      <w:pPr>
        <w:spacing w:after="120"/>
        <w:jc w:val="both"/>
      </w:pPr>
      <w:r>
        <w:rPr>
          <w:rFonts w:ascii="Cambria" w:hAnsi="Cambria"/>
          <w:b/>
          <w:i w:val="0"/>
          <w:sz w:val="22"/>
        </w:rPr>
        <w:t>Actions:</w:t>
      </w:r>
    </w:p>
    <w:p>
      <w:pPr>
        <w:pStyle w:val="ListBullet"/>
        <w:ind w:left="357"/>
        <w:jc w:val="both"/>
      </w:pPr>
      <w:r>
        <w:rPr>
          <w:rFonts w:ascii="Cambria" w:hAnsi="Cambria"/>
          <w:sz w:val="22"/>
        </w:rPr>
        <w:t>Expand institutional scholarship schemes beyond tuition—covering living expenses, internships, and international mobility.</w:t>
      </w:r>
    </w:p>
    <w:p>
      <w:pPr>
        <w:pStyle w:val="ListBullet"/>
        <w:ind w:left="357"/>
        <w:jc w:val="both"/>
      </w:pPr>
      <w:r>
        <w:rPr>
          <w:rFonts w:ascii="Cambria" w:hAnsi="Cambria"/>
          <w:sz w:val="22"/>
        </w:rPr>
        <w:t>Integrate scholarships with career development programmes (job training, placements, industry mentorship).</w:t>
      </w:r>
    </w:p>
    <w:p>
      <w:pPr>
        <w:pStyle w:val="ListBullet"/>
        <w:ind w:left="357"/>
        <w:jc w:val="both"/>
      </w:pPr>
      <w:r>
        <w:rPr>
          <w:rFonts w:ascii="Cambria" w:hAnsi="Cambria"/>
          <w:sz w:val="22"/>
        </w:rPr>
        <w:t>Introduce performance-linked scholarships that reward both academic achievement and social engagement.</w:t>
      </w:r>
    </w:p>
    <w:p>
      <w:pPr>
        <w:pStyle w:val="ListBullet"/>
        <w:ind w:left="357"/>
        <w:jc w:val="both"/>
      </w:pPr>
      <w:r>
        <w:rPr>
          <w:rFonts w:ascii="Cambria" w:hAnsi="Cambria"/>
          <w:sz w:val="22"/>
        </w:rPr>
        <w:t>Scale up alumni involvement through structured donor recognition and impact reporting.</w:t>
      </w:r>
    </w:p>
    <w:p>
      <w:pPr>
        <w:spacing w:after="120"/>
        <w:jc w:val="both"/>
      </w:pPr>
      <w:r>
        <w:rPr>
          <w:rFonts w:ascii="Cambria" w:hAnsi="Cambria"/>
          <w:b/>
          <w:i w:val="0"/>
          <w:sz w:val="22"/>
        </w:rPr>
        <w:t>Outcomes:</w:t>
      </w:r>
    </w:p>
    <w:p>
      <w:pPr>
        <w:pStyle w:val="ListBullet"/>
        <w:ind w:left="357"/>
        <w:jc w:val="both"/>
      </w:pPr>
      <w:r>
        <w:rPr>
          <w:rFonts w:ascii="Cambria" w:hAnsi="Cambria"/>
          <w:sz w:val="22"/>
        </w:rPr>
        <w:t>Scholarships evolve from short-term relief to long-term enablers of employability and equity.</w:t>
      </w:r>
    </w:p>
    <w:p>
      <w:pPr>
        <w:pStyle w:val="ListBullet"/>
        <w:ind w:left="357"/>
        <w:jc w:val="both"/>
      </w:pPr>
      <w:r>
        <w:rPr>
          <w:rFonts w:ascii="Cambria" w:hAnsi="Cambria"/>
          <w:sz w:val="22"/>
        </w:rPr>
        <w:t>Stronger alignment of HEIs with national and global SDG-4 and SDG-10 commitments.</w:t>
      </w:r>
    </w:p>
    <w:p>
      <w:pPr>
        <w:pStyle w:val="ListBullet"/>
        <w:ind w:left="357"/>
        <w:jc w:val="both"/>
      </w:pPr>
      <w:r>
        <w:rPr>
          <w:rFonts w:ascii="Cambria" w:hAnsi="Cambria"/>
          <w:sz w:val="22"/>
        </w:rPr>
        <w:t>Student retention and success rates significantly improved.</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Enact a National Higher Education Equity &amp; Scholarship Act to guarantee funding access for disadvantaged students.</w:t>
      </w:r>
    </w:p>
    <w:p>
      <w:pPr>
        <w:pStyle w:val="ListBullet"/>
        <w:ind w:left="357"/>
        <w:jc w:val="both"/>
      </w:pPr>
      <w:r>
        <w:rPr>
          <w:rFonts w:ascii="Cambria" w:hAnsi="Cambria"/>
          <w:sz w:val="22"/>
        </w:rPr>
        <w:t>Institutionalize endowment-based scholarship models across HEIs (modeled on US and UK systems).</w:t>
      </w:r>
    </w:p>
    <w:p>
      <w:pPr>
        <w:pStyle w:val="ListBullet"/>
        <w:ind w:left="357"/>
        <w:jc w:val="both"/>
      </w:pPr>
      <w:r>
        <w:rPr>
          <w:rFonts w:ascii="Cambria" w:hAnsi="Cambria"/>
          <w:sz w:val="22"/>
        </w:rPr>
        <w:t>Create international partnerships (UNESCO, World Bank, Erasmus+, Commonwealth) for cross-border scholarships and mobility.</w:t>
      </w:r>
    </w:p>
    <w:p>
      <w:pPr>
        <w:spacing w:after="120"/>
        <w:jc w:val="both"/>
      </w:pPr>
      <w:r>
        <w:rPr>
          <w:rFonts w:ascii="Cambria" w:hAnsi="Cambria"/>
          <w:b/>
          <w:i w:val="0"/>
          <w:sz w:val="22"/>
        </w:rPr>
        <w:t>Actions:</w:t>
      </w:r>
    </w:p>
    <w:p>
      <w:pPr>
        <w:pStyle w:val="ListBullet"/>
        <w:ind w:left="357"/>
        <w:jc w:val="both"/>
      </w:pPr>
      <w:r>
        <w:rPr>
          <w:rFonts w:ascii="Cambria" w:hAnsi="Cambria"/>
          <w:sz w:val="22"/>
        </w:rPr>
        <w:t>Ensure 100% digital integration of all scholarships at institutional, state, and national levels.</w:t>
      </w:r>
    </w:p>
    <w:p>
      <w:pPr>
        <w:pStyle w:val="ListBullet"/>
        <w:ind w:left="357"/>
        <w:jc w:val="both"/>
      </w:pPr>
      <w:r>
        <w:rPr>
          <w:rFonts w:ascii="Cambria" w:hAnsi="Cambria"/>
          <w:sz w:val="22"/>
        </w:rPr>
        <w:t>Develop global-scale scholarship exchange programmes with foreign universities.</w:t>
      </w:r>
    </w:p>
    <w:p>
      <w:pPr>
        <w:pStyle w:val="ListBullet"/>
        <w:ind w:left="357"/>
        <w:jc w:val="both"/>
      </w:pPr>
      <w:r>
        <w:rPr>
          <w:rFonts w:ascii="Cambria" w:hAnsi="Cambria"/>
          <w:sz w:val="22"/>
        </w:rPr>
        <w:t>Link financial assistance with community service or SDG projects, creating reciprocal value for society.</w:t>
      </w:r>
    </w:p>
    <w:p>
      <w:pPr>
        <w:pStyle w:val="ListBullet"/>
        <w:ind w:left="357"/>
        <w:jc w:val="both"/>
      </w:pPr>
      <w:r>
        <w:rPr>
          <w:rFonts w:ascii="Cambria" w:hAnsi="Cambria"/>
          <w:sz w:val="22"/>
        </w:rPr>
        <w:t>Regularly track graduate success of scholarship recipients to measure long-term impact.</w:t>
      </w:r>
    </w:p>
    <w:p>
      <w:pPr>
        <w:spacing w:after="120"/>
        <w:jc w:val="both"/>
      </w:pPr>
      <w:r>
        <w:rPr>
          <w:rFonts w:ascii="Cambria" w:hAnsi="Cambria"/>
          <w:b/>
          <w:i w:val="0"/>
          <w:sz w:val="22"/>
        </w:rPr>
        <w:t>Outcomes:</w:t>
      </w:r>
    </w:p>
    <w:p>
      <w:pPr>
        <w:pStyle w:val="ListBullet"/>
        <w:ind w:left="357"/>
        <w:jc w:val="both"/>
      </w:pPr>
      <w:r>
        <w:rPr>
          <w:rFonts w:ascii="Cambria" w:hAnsi="Cambria"/>
          <w:b/>
          <w:sz w:val="22"/>
        </w:rPr>
        <w:t xml:space="preserve">Universal access: </w:t>
      </w:r>
      <w:r>
        <w:rPr>
          <w:rFonts w:ascii="Cambria" w:hAnsi="Cambria"/>
          <w:sz w:val="22"/>
        </w:rPr>
        <w:t>No student excluded from higher education due to financial hardship.</w:t>
      </w:r>
    </w:p>
    <w:p>
      <w:pPr>
        <w:pStyle w:val="ListBullet"/>
        <w:ind w:left="357"/>
        <w:jc w:val="both"/>
      </w:pPr>
      <w:r>
        <w:rPr>
          <w:rFonts w:ascii="Cambria" w:hAnsi="Cambria"/>
          <w:sz w:val="22"/>
        </w:rPr>
        <w:t>Indian HEIs recognized globally as leaders in inclusive scholarship models.</w:t>
      </w:r>
    </w:p>
    <w:p>
      <w:pPr>
        <w:pStyle w:val="ListBullet"/>
        <w:ind w:left="357"/>
        <w:jc w:val="both"/>
      </w:pPr>
      <w:r>
        <w:rPr>
          <w:rFonts w:ascii="Cambria" w:hAnsi="Cambria"/>
          <w:sz w:val="22"/>
        </w:rPr>
        <w:t>Tangible contribution to poverty reduction, equity, and social mobility through education.</w:t>
      </w:r>
    </w:p>
    <w:p>
      <w:pPr>
        <w:pStyle w:val="ListBullet"/>
        <w:ind w:left="357"/>
        <w:jc w:val="both"/>
      </w:pPr>
      <w:r>
        <w:rPr>
          <w:rFonts w:ascii="Cambria" w:hAnsi="Cambria"/>
          <w:sz w:val="22"/>
        </w:rPr>
        <w:t>Creation of a sustainable funding ecosystem (alumni, government, CSR, global partners).</w:t>
      </w:r>
    </w:p>
    <w:p>
      <w:pPr>
        <w:spacing w:before="200" w:after="80"/>
        <w:jc w:val="left"/>
      </w:pPr>
      <w:r>
        <w:rPr>
          <w:rFonts w:ascii="Cambria" w:hAnsi="Cambria"/>
          <w:b/>
          <w:color w:val="1F3A5F"/>
          <w:sz w:val="25"/>
        </w:rPr>
        <w:t>Equity &amp; Access – Scholarships &amp; Financial Assistance</w:t>
      </w:r>
    </w:p>
    <w:p>
      <w:pPr>
        <w:spacing w:before="160" w:after="80"/>
      </w:pPr>
      <w:r>
        <w:rPr>
          <w:rFonts w:ascii="Cambria" w:hAnsi="Cambria"/>
          <w:b/>
          <w:color w:val="1F3A5F"/>
          <w:sz w:val="23"/>
        </w:rPr>
        <w:t>Equity &amp; Access – Scholarships &amp; Financial Assistance</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Establish need-based scholarships at institutional, state, and national levels; Provide fee waivers, subsidies, and flexible payment plans for economically weaker students; Strengthen endowment funds and alumni contributions for scholarships; Ensure transparent eligibility criteria and digital platforms for scholarship applications; Link financial aid to mentorship and academic support for maximum impact.</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National Scholarship Portal (India): Centralized digital access for government scholarships; Pell Grants (USA): Federal financial aid for low-income students; Chevening &amp; Erasmus+ (UK/EU): Merit-plus-need-based international scholarships; UNESCO &amp; Commonwealth scholarships: For equity and global mobility.</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Improved access to higher education for students from disadvantaged backgrounds; Reduction in dropout rates due to financial stress; Improved equity and inclusivity performance of HEIs; Enhanced global exposure through international scholarships.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 of students receiving scholarships or fee waivers; % reduction in dropout rates due to financial stress; Number of scholarship schemes offered annually by HEIs; Total funds mobilized through endowments/alumni; Student satisfaction ratings with financial assistance processes.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Create institutional scholarships, manage endowment funds; Government (MoE/States): Expand and monitor need-based aid; Regulators (UGC, NAAC, NBA): Mandate equity-linked scholarships; Alumni &amp; Industry: Contribute to financial aid programmes.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V (Student Support &amp; Progression) outcomes tied to support for diverse students; NBA: Programme Outcomes include equal opportunity to pursue higher education; NIRF: Improves Outreach &amp; Inclusivity (OI) scores; QS/THE Impact Rankings: Strengthens SDG-4 (Quality Education) and SDG-10 (Reduced Inequalities).</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from economically weaker backgrounds gain equal opportunity to pursue higher education; Lower financial stress enhances academic performance and employability; Students access international mobility opportunities through global scholarships.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Increased social mobility and equity in education; Breaking cycles of poverty through education access; Increased trust in HEIs as inclusive institutions; Contribution to national commitments under SDG-4 and SDG-10.</w:t>
            </w:r>
          </w:p>
        </w:tc>
      </w:tr>
    </w:tbl>
    <w:p>
      <w:r>
        <w:br w:type="page"/>
      </w:r>
    </w:p>
    <w:p>
      <w:pPr>
        <w:spacing w:before="280" w:after="160"/>
        <w:jc w:val="left"/>
      </w:pPr>
      <w:r>
        <w:rPr>
          <w:rFonts w:ascii="Cambria" w:hAnsi="Cambria"/>
          <w:b/>
          <w:color w:val="1F3A5F"/>
          <w:sz w:val="32"/>
        </w:rPr>
        <w:t>28. Supporting Creativity &amp; Innovation in HEIs</w:t>
      </w:r>
    </w:p>
    <w:p>
      <w:pPr>
        <w:spacing w:before="200" w:after="80"/>
        <w:jc w:val="left"/>
      </w:pPr>
      <w:r>
        <w:rPr>
          <w:rFonts w:ascii="Cambria" w:hAnsi="Cambria"/>
          <w:b/>
          <w:color w:val="1F3A5F"/>
          <w:sz w:val="25"/>
        </w:rPr>
        <w:t>1. Rationale</w:t>
      </w:r>
    </w:p>
    <w:p>
      <w:pPr>
        <w:pStyle w:val="ListBullet"/>
        <w:ind w:left="357"/>
        <w:jc w:val="both"/>
      </w:pPr>
      <w:r>
        <w:rPr>
          <w:rFonts w:ascii="Cambria" w:hAnsi="Cambria"/>
          <w:sz w:val="22"/>
        </w:rPr>
        <w:t>Creativity and innovation are critical for preparing students to solve complex global challenges, advancing knowledge, and driving economic growth.</w:t>
      </w:r>
    </w:p>
    <w:p>
      <w:pPr>
        <w:pStyle w:val="ListBullet"/>
        <w:ind w:left="357"/>
        <w:jc w:val="both"/>
      </w:pPr>
      <w:r>
        <w:rPr>
          <w:rFonts w:ascii="Cambria" w:hAnsi="Cambria"/>
          <w:sz w:val="22"/>
        </w:rPr>
        <w:t>Traditional HEIs often emphasize rote learning and risk avoidance, which discourages experimentation. To align with SDG-4 (Quality Education) and SDG-9 (Industry, Innovation &amp; Infrastructure), HEIs must redefine their culture to support risk-taking and experimentation.</w:t>
      </w:r>
    </w:p>
    <w:p>
      <w:pPr>
        <w:pStyle w:val="ListBullet"/>
        <w:ind w:left="357"/>
        <w:jc w:val="both"/>
      </w:pPr>
      <w:r>
        <w:rPr>
          <w:rFonts w:ascii="Cambria" w:hAnsi="Cambria"/>
          <w:sz w:val="22"/>
        </w:rPr>
        <w:t>A system that treats failure as learning encourages students and faculty to test ideas, iterate, and build real-world solutions.</w:t>
      </w:r>
    </w:p>
    <w:p>
      <w:pPr>
        <w:spacing w:before="200" w:after="80"/>
        <w:jc w:val="left"/>
      </w:pPr>
      <w:r>
        <w:rPr>
          <w:rFonts w:ascii="Cambria" w:hAnsi="Cambria"/>
          <w:b/>
          <w:color w:val="1F3A5F"/>
          <w:sz w:val="25"/>
        </w:rPr>
        <w:t>2. Key Components of the Recommendation</w:t>
      </w:r>
    </w:p>
    <w:p>
      <w:pPr>
        <w:pStyle w:val="ListBullet"/>
        <w:ind w:left="357"/>
        <w:jc w:val="both"/>
      </w:pPr>
      <w:r>
        <w:rPr>
          <w:rFonts w:ascii="Cambria" w:hAnsi="Cambria"/>
          <w:sz w:val="22"/>
        </w:rPr>
        <w:t>Culture of Acceptable Risk-Taking</w:t>
      </w:r>
    </w:p>
    <w:p>
      <w:pPr>
        <w:pStyle w:val="ListBullet2"/>
        <w:ind w:left="720"/>
        <w:jc w:val="both"/>
      </w:pPr>
      <w:r>
        <w:rPr>
          <w:rFonts w:ascii="Cambria" w:hAnsi="Cambria"/>
          <w:sz w:val="22"/>
        </w:rPr>
        <w:t>Redefine institutional policies so that failed projects are not penalized but recognized as part of innovation learning.</w:t>
      </w:r>
    </w:p>
    <w:p>
      <w:pPr>
        <w:pStyle w:val="ListBullet2"/>
        <w:ind w:left="720"/>
        <w:jc w:val="both"/>
      </w:pPr>
      <w:r>
        <w:rPr>
          <w:rFonts w:ascii="Cambria" w:hAnsi="Cambria"/>
          <w:sz w:val="22"/>
        </w:rPr>
        <w:t>Encourage student-led startups and prototypes through credit-linked projects.</w:t>
      </w:r>
    </w:p>
    <w:p>
      <w:pPr>
        <w:pStyle w:val="ListBullet"/>
        <w:ind w:left="357"/>
        <w:jc w:val="both"/>
      </w:pPr>
      <w:r>
        <w:rPr>
          <w:rFonts w:ascii="Cambria" w:hAnsi="Cambria"/>
          <w:sz w:val="22"/>
        </w:rPr>
        <w:t>Spaces &amp; Infrastructure</w:t>
      </w:r>
    </w:p>
    <w:p>
      <w:pPr>
        <w:pStyle w:val="ListBullet2"/>
        <w:ind w:left="720"/>
        <w:jc w:val="both"/>
      </w:pPr>
      <w:r>
        <w:rPr>
          <w:rFonts w:ascii="Cambria" w:hAnsi="Cambria"/>
          <w:sz w:val="22"/>
        </w:rPr>
        <w:t>Establish innovation hubs, maker spaces, and design labs where students and faculty can freely experiment.</w:t>
      </w:r>
    </w:p>
    <w:p>
      <w:pPr>
        <w:pStyle w:val="ListBullet2"/>
        <w:ind w:left="720"/>
        <w:jc w:val="both"/>
      </w:pPr>
      <w:r>
        <w:rPr>
          <w:rFonts w:ascii="Cambria" w:hAnsi="Cambria"/>
          <w:sz w:val="22"/>
        </w:rPr>
        <w:t>Provide access to tools, mentors, and seed funding for promising projects.</w:t>
      </w:r>
    </w:p>
    <w:p>
      <w:pPr>
        <w:pStyle w:val="ListBullet"/>
        <w:ind w:left="357"/>
        <w:jc w:val="both"/>
      </w:pPr>
      <w:r>
        <w:rPr>
          <w:rFonts w:ascii="Cambria" w:hAnsi="Cambria"/>
          <w:sz w:val="22"/>
        </w:rPr>
        <w:t>Processes &amp; Support Systems</w:t>
      </w:r>
    </w:p>
    <w:p>
      <w:pPr>
        <w:pStyle w:val="ListBullet2"/>
        <w:ind w:left="720"/>
        <w:jc w:val="both"/>
      </w:pPr>
      <w:r>
        <w:rPr>
          <w:rFonts w:ascii="Cambria" w:hAnsi="Cambria"/>
          <w:sz w:val="22"/>
        </w:rPr>
        <w:t>Create clear innovation pipelines (idea → prototype → mentorship → incubation → commercialization).</w:t>
      </w:r>
    </w:p>
    <w:p>
      <w:pPr>
        <w:pStyle w:val="ListBullet2"/>
        <w:ind w:left="720"/>
        <w:jc w:val="both"/>
      </w:pPr>
      <w:r>
        <w:rPr>
          <w:rFonts w:ascii="Cambria" w:hAnsi="Cambria"/>
          <w:sz w:val="22"/>
        </w:rPr>
        <w:t>Introduce IPR cells to help students/faculty protect and commercialize their ideas.</w:t>
      </w:r>
    </w:p>
    <w:p>
      <w:pPr>
        <w:pStyle w:val="ListBullet2"/>
        <w:ind w:left="720"/>
        <w:jc w:val="both"/>
      </w:pPr>
      <w:r>
        <w:rPr>
          <w:rFonts w:ascii="Cambria" w:hAnsi="Cambria"/>
          <w:sz w:val="22"/>
        </w:rPr>
        <w:t>Facilitate interdisciplinary collaboration, bringing together engineering, management, design, and social sciences.</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MIT Media Lab (USA): </w:t>
      </w:r>
      <w:r>
        <w:rPr>
          <w:rFonts w:ascii="Cambria" w:hAnsi="Cambria"/>
          <w:sz w:val="22"/>
        </w:rPr>
        <w:t>Promotes open experimentation where radical, high-risk ideas are encouraged.</w:t>
      </w:r>
    </w:p>
    <w:p>
      <w:pPr>
        <w:pStyle w:val="ListBullet"/>
        <w:ind w:left="357"/>
        <w:jc w:val="both"/>
      </w:pPr>
      <w:r>
        <w:rPr>
          <w:rFonts w:ascii="Cambria" w:hAnsi="Cambria"/>
          <w:b/>
          <w:sz w:val="22"/>
        </w:rPr>
        <w:t xml:space="preserve">Stanford d.school (USA): </w:t>
      </w:r>
      <w:r>
        <w:rPr>
          <w:rFonts w:ascii="Cambria" w:hAnsi="Cambria"/>
          <w:sz w:val="22"/>
        </w:rPr>
        <w:t>Uses design thinking to help students innovate across disciplines.</w:t>
      </w:r>
    </w:p>
    <w:p>
      <w:pPr>
        <w:pStyle w:val="ListBullet"/>
        <w:ind w:left="357"/>
        <w:jc w:val="both"/>
      </w:pPr>
      <w:r>
        <w:rPr>
          <w:rFonts w:ascii="Cambria" w:hAnsi="Cambria"/>
          <w:b/>
          <w:sz w:val="22"/>
        </w:rPr>
        <w:t xml:space="preserve">Atal Innovation Mission (India): </w:t>
      </w:r>
      <w:r>
        <w:rPr>
          <w:rFonts w:ascii="Cambria" w:hAnsi="Cambria"/>
          <w:sz w:val="22"/>
        </w:rPr>
        <w:t>Set up Atal Tinkering Labs and Incubation Centres to nurture young innovators.</w:t>
      </w:r>
    </w:p>
    <w:p>
      <w:pPr>
        <w:pStyle w:val="ListBullet"/>
        <w:ind w:left="357"/>
        <w:jc w:val="both"/>
      </w:pPr>
      <w:r>
        <w:rPr>
          <w:rFonts w:ascii="Cambria" w:hAnsi="Cambria"/>
          <w:b/>
          <w:sz w:val="22"/>
        </w:rPr>
        <w:t xml:space="preserve">NESTA (UK): </w:t>
      </w:r>
      <w:r>
        <w:rPr>
          <w:rFonts w:ascii="Cambria" w:hAnsi="Cambria"/>
          <w:sz w:val="22"/>
        </w:rPr>
        <w:t>Provides risk-friendly funding models for innovation projects.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HEIs evolve into innovation ecosystems, not just teaching institutions.</w:t>
      </w:r>
    </w:p>
    <w:p>
      <w:pPr>
        <w:pStyle w:val="ListBullet"/>
        <w:ind w:left="357"/>
        <w:jc w:val="both"/>
      </w:pPr>
      <w:r>
        <w:rPr>
          <w:rFonts w:ascii="Cambria" w:hAnsi="Cambria"/>
          <w:sz w:val="22"/>
        </w:rPr>
        <w:t>Students and faculty gain creativity, problem-solving, and entrepreneurship skills.</w:t>
      </w:r>
    </w:p>
    <w:p>
      <w:pPr>
        <w:pStyle w:val="ListBullet"/>
        <w:ind w:left="357"/>
        <w:jc w:val="both"/>
      </w:pPr>
      <w:r>
        <w:rPr>
          <w:rFonts w:ascii="Cambria" w:hAnsi="Cambria"/>
          <w:sz w:val="22"/>
        </w:rPr>
        <w:t>Increase in patents, prototypes, and startups emerging from HEIs.</w:t>
      </w:r>
    </w:p>
    <w:p>
      <w:pPr>
        <w:pStyle w:val="ListBullet"/>
        <w:ind w:left="357"/>
        <w:jc w:val="both"/>
      </w:pPr>
      <w:r>
        <w:rPr>
          <w:rFonts w:ascii="Cambria" w:hAnsi="Cambria"/>
          <w:sz w:val="22"/>
        </w:rPr>
        <w:t>HEIs contribute solutions to real-world challenges in communities and industries.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Number of innovation hubs, idea labs, and incubators established.</w:t>
      </w:r>
    </w:p>
    <w:p>
      <w:pPr>
        <w:pStyle w:val="ListBullet"/>
        <w:ind w:left="357"/>
        <w:jc w:val="both"/>
      </w:pPr>
      <w:r>
        <w:rPr>
          <w:rFonts w:ascii="Cambria" w:hAnsi="Cambria"/>
          <w:sz w:val="22"/>
        </w:rPr>
        <w:t>Number of student/faculty projects funded annually.</w:t>
      </w:r>
    </w:p>
    <w:p>
      <w:pPr>
        <w:pStyle w:val="ListBullet"/>
        <w:ind w:left="357"/>
        <w:jc w:val="both"/>
      </w:pPr>
      <w:r>
        <w:rPr>
          <w:rFonts w:ascii="Cambria" w:hAnsi="Cambria"/>
          <w:sz w:val="22"/>
        </w:rPr>
        <w:t>Number of patents filed, startups created, and prototypes developed.</w:t>
      </w:r>
    </w:p>
    <w:p>
      <w:pPr>
        <w:pStyle w:val="ListBullet"/>
        <w:ind w:left="357"/>
        <w:jc w:val="both"/>
      </w:pPr>
      <w:r>
        <w:rPr>
          <w:rFonts w:ascii="Cambria" w:hAnsi="Cambria"/>
          <w:sz w:val="22"/>
        </w:rPr>
        <w:t>% of students involved in interdisciplinary innovation projects.</w:t>
      </w:r>
    </w:p>
    <w:p>
      <w:pPr>
        <w:pStyle w:val="ListBullet"/>
        <w:ind w:left="357"/>
        <w:jc w:val="both"/>
      </w:pPr>
      <w:r>
        <w:rPr>
          <w:rFonts w:ascii="Cambria" w:hAnsi="Cambria"/>
          <w:sz w:val="22"/>
        </w:rPr>
        <w:t>Amount of seed funding mobilized for experimental projects.</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develop entrepreneurship, leadership, and innovation competencies.</w:t>
      </w:r>
    </w:p>
    <w:p>
      <w:pPr>
        <w:pStyle w:val="ListBullet"/>
        <w:ind w:left="357"/>
        <w:jc w:val="both"/>
      </w:pPr>
      <w:r>
        <w:rPr>
          <w:rFonts w:ascii="Cambria" w:hAnsi="Cambria"/>
          <w:sz w:val="22"/>
        </w:rPr>
        <w:t>Greater employability in startups, R&amp;D, design, and creative industries.</w:t>
      </w:r>
    </w:p>
    <w:p>
      <w:pPr>
        <w:pStyle w:val="ListBullet"/>
        <w:ind w:left="357"/>
        <w:jc w:val="both"/>
      </w:pPr>
      <w:r>
        <w:rPr>
          <w:rFonts w:ascii="Cambria" w:hAnsi="Cambria"/>
          <w:sz w:val="22"/>
        </w:rPr>
        <w:t>Exposure to risk-taking and experimentation nurtures resilience and adaptability.</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More student/faculty-led startups and social enterprises addressing community needs.</w:t>
      </w:r>
    </w:p>
    <w:p>
      <w:pPr>
        <w:pStyle w:val="ListBullet"/>
        <w:ind w:left="357"/>
        <w:jc w:val="both"/>
      </w:pPr>
      <w:r>
        <w:rPr>
          <w:rFonts w:ascii="Cambria" w:hAnsi="Cambria"/>
          <w:sz w:val="22"/>
        </w:rPr>
        <w:t>Community-level problem solving through innovation challenges and hackathons.</w:t>
      </w:r>
    </w:p>
    <w:p>
      <w:pPr>
        <w:pStyle w:val="ListBullet"/>
        <w:ind w:left="357"/>
        <w:jc w:val="both"/>
      </w:pPr>
      <w:r>
        <w:rPr>
          <w:rFonts w:ascii="Cambria" w:hAnsi="Cambria"/>
          <w:sz w:val="22"/>
        </w:rPr>
        <w:t>Tangible contributions to India's innovation ecosystem and knowledge economy.</w:t>
      </w:r>
    </w:p>
    <w:p>
      <w:pPr>
        <w:pStyle w:val="ListBullet"/>
        <w:ind w:left="357"/>
        <w:jc w:val="both"/>
      </w:pPr>
      <w:r>
        <w:rPr>
          <w:rFonts w:ascii="Cambria" w:hAnsi="Cambria"/>
          <w:b/>
          <w:sz w:val="22"/>
        </w:rPr>
        <w:t xml:space="preserve">Long-term national impact: </w:t>
      </w:r>
      <w:r>
        <w:rPr>
          <w:rFonts w:ascii="Cambria" w:hAnsi="Cambria"/>
          <w:sz w:val="22"/>
        </w:rPr>
        <w:t>positioning HEIs as drivers of innovation and growth.</w:t>
      </w:r>
    </w:p>
    <w:p>
      <w:pPr>
        <w:spacing w:before="240" w:after="120"/>
        <w:jc w:val="left"/>
      </w:pPr>
      <w:r>
        <w:rPr>
          <w:rFonts w:ascii="Cambria" w:hAnsi="Cambria"/>
          <w:b/>
          <w:color w:val="1F3A5F"/>
          <w:sz w:val="28"/>
        </w:rPr>
        <w:t>Short-, Medium-, Long-Term Roadmap</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 mandate HEIs to establish innovation hubs or idea labs.</w:t>
      </w:r>
    </w:p>
    <w:p>
      <w:pPr>
        <w:pStyle w:val="ListBullet"/>
        <w:ind w:left="357"/>
        <w:jc w:val="both"/>
      </w:pPr>
      <w:r>
        <w:rPr>
          <w:rFonts w:ascii="Cambria" w:hAnsi="Cambria"/>
          <w:sz w:val="22"/>
        </w:rPr>
        <w:t>Accreditation bodies (NAAC/NBA) include creativity and innovation indicators.</w:t>
      </w:r>
    </w:p>
    <w:p>
      <w:pPr>
        <w:pStyle w:val="ListBullet"/>
        <w:ind w:left="357"/>
        <w:jc w:val="both"/>
      </w:pPr>
      <w:r>
        <w:rPr>
          <w:rFonts w:ascii="Cambria" w:hAnsi="Cambria"/>
          <w:sz w:val="22"/>
        </w:rPr>
        <w:t>Government seed funds launched to encourage student/faculty startups.</w:t>
      </w:r>
    </w:p>
    <w:p>
      <w:pPr>
        <w:spacing w:after="120"/>
        <w:jc w:val="both"/>
      </w:pPr>
      <w:r>
        <w:rPr>
          <w:rFonts w:ascii="Cambria" w:hAnsi="Cambria"/>
          <w:b/>
          <w:i w:val="0"/>
          <w:sz w:val="22"/>
        </w:rPr>
        <w:t>Actions:</w:t>
      </w:r>
    </w:p>
    <w:p>
      <w:pPr>
        <w:pStyle w:val="ListBullet"/>
        <w:ind w:left="357"/>
        <w:jc w:val="both"/>
      </w:pPr>
      <w:r>
        <w:rPr>
          <w:rFonts w:ascii="Cambria" w:hAnsi="Cambria"/>
          <w:sz w:val="22"/>
        </w:rPr>
        <w:t>Set up maker spaces, design labs, hackathons, and student innovation clubs.</w:t>
      </w:r>
    </w:p>
    <w:p>
      <w:pPr>
        <w:pStyle w:val="ListBullet"/>
        <w:ind w:left="357"/>
        <w:jc w:val="both"/>
      </w:pPr>
      <w:r>
        <w:rPr>
          <w:rFonts w:ascii="Cambria" w:hAnsi="Cambria"/>
          <w:sz w:val="22"/>
        </w:rPr>
        <w:t>Provide mini-grants for student prototypes and projects.</w:t>
      </w:r>
    </w:p>
    <w:p>
      <w:pPr>
        <w:pStyle w:val="ListBullet"/>
        <w:ind w:left="357"/>
        <w:jc w:val="both"/>
      </w:pPr>
      <w:r>
        <w:rPr>
          <w:rFonts w:ascii="Cambria" w:hAnsi="Cambria"/>
          <w:sz w:val="22"/>
        </w:rPr>
        <w:t>Train faculty in design thinking and risk-friendly pedagogy.</w:t>
      </w:r>
    </w:p>
    <w:p>
      <w:pPr>
        <w:pStyle w:val="ListBullet"/>
        <w:ind w:left="357"/>
        <w:jc w:val="both"/>
      </w:pPr>
      <w:r>
        <w:rPr>
          <w:rFonts w:ascii="Cambria" w:hAnsi="Cambria"/>
          <w:sz w:val="22"/>
        </w:rPr>
        <w:t>Create interdisciplinary project teams with mentorship.</w:t>
      </w:r>
    </w:p>
    <w:p>
      <w:pPr>
        <w:spacing w:after="120"/>
        <w:jc w:val="both"/>
      </w:pPr>
      <w:r>
        <w:rPr>
          <w:rFonts w:ascii="Cambria" w:hAnsi="Cambria"/>
          <w:b/>
          <w:i w:val="0"/>
          <w:sz w:val="22"/>
        </w:rPr>
        <w:t>Outcomes:</w:t>
      </w:r>
    </w:p>
    <w:p>
      <w:pPr>
        <w:pStyle w:val="ListBullet"/>
        <w:ind w:left="357"/>
        <w:jc w:val="both"/>
      </w:pPr>
      <w:r>
        <w:rPr>
          <w:rFonts w:ascii="Cambria" w:hAnsi="Cambria"/>
          <w:sz w:val="22"/>
        </w:rPr>
        <w:t>Visible rise in student participation in innovation activities.</w:t>
      </w:r>
    </w:p>
    <w:p>
      <w:pPr>
        <w:pStyle w:val="ListBullet"/>
        <w:ind w:left="357"/>
        <w:jc w:val="both"/>
      </w:pPr>
      <w:r>
        <w:rPr>
          <w:rFonts w:ascii="Cambria" w:hAnsi="Cambria"/>
          <w:sz w:val="22"/>
        </w:rPr>
        <w:t>First wave of student-led prototypes/startups.</w:t>
      </w:r>
    </w:p>
    <w:p>
      <w:pPr>
        <w:pStyle w:val="ListBullet"/>
        <w:ind w:left="357"/>
        <w:jc w:val="both"/>
      </w:pPr>
      <w:r>
        <w:rPr>
          <w:rFonts w:ascii="Cambria" w:hAnsi="Cambria"/>
          <w:b/>
          <w:sz w:val="22"/>
        </w:rPr>
        <w:t xml:space="preserve">Culture shift: </w:t>
      </w:r>
      <w:r>
        <w:rPr>
          <w:rFonts w:ascii="Cambria" w:hAnsi="Cambria"/>
          <w:sz w:val="22"/>
        </w:rPr>
        <w:t>experimentation and risk-taking encouraged.</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Link funding and recognition to innovation outcomes (patents, startups, community solutions).</w:t>
      </w:r>
    </w:p>
    <w:p>
      <w:pPr>
        <w:pStyle w:val="ListBullet"/>
        <w:ind w:left="357"/>
        <w:jc w:val="both"/>
      </w:pPr>
      <w:r>
        <w:rPr>
          <w:rFonts w:ascii="Cambria" w:hAnsi="Cambria"/>
          <w:sz w:val="22"/>
        </w:rPr>
        <w:t>Establish regional innovation clusters connecting HEIs with industry and local communities.</w:t>
      </w:r>
    </w:p>
    <w:p>
      <w:pPr>
        <w:pStyle w:val="ListBullet"/>
        <w:ind w:left="357"/>
        <w:jc w:val="both"/>
      </w:pPr>
      <w:r>
        <w:rPr>
          <w:rFonts w:ascii="Cambria" w:hAnsi="Cambria"/>
          <w:sz w:val="22"/>
        </w:rPr>
        <w:t>Expand intellectual property and incubation support through Technology Transfer Offices.</w:t>
      </w:r>
    </w:p>
    <w:p>
      <w:pPr>
        <w:spacing w:after="120"/>
        <w:jc w:val="both"/>
      </w:pPr>
      <w:r>
        <w:rPr>
          <w:rFonts w:ascii="Cambria" w:hAnsi="Cambria"/>
          <w:b/>
          <w:i w:val="0"/>
          <w:sz w:val="22"/>
        </w:rPr>
        <w:t>Actions:</w:t>
      </w:r>
    </w:p>
    <w:p>
      <w:pPr>
        <w:pStyle w:val="ListBullet"/>
        <w:ind w:left="357"/>
        <w:jc w:val="both"/>
      </w:pPr>
      <w:r>
        <w:rPr>
          <w:rFonts w:ascii="Cambria" w:hAnsi="Cambria"/>
          <w:sz w:val="22"/>
        </w:rPr>
        <w:t>Scale up successful prototype labs into incubators.</w:t>
      </w:r>
    </w:p>
    <w:p>
      <w:pPr>
        <w:pStyle w:val="ListBullet"/>
        <w:ind w:left="357"/>
        <w:jc w:val="both"/>
      </w:pPr>
      <w:r>
        <w:rPr>
          <w:rFonts w:ascii="Cambria" w:hAnsi="Cambria"/>
          <w:sz w:val="22"/>
        </w:rPr>
        <w:t>Regular inter-university innovation competitions (national hackathons, design sprints).</w:t>
      </w:r>
    </w:p>
    <w:p>
      <w:pPr>
        <w:pStyle w:val="ListBullet"/>
        <w:ind w:left="357"/>
        <w:jc w:val="both"/>
      </w:pPr>
      <w:r>
        <w:rPr>
          <w:rFonts w:ascii="Cambria" w:hAnsi="Cambria"/>
          <w:sz w:val="22"/>
        </w:rPr>
        <w:t>Integrate innovation projects into curriculum credits.</w:t>
      </w:r>
    </w:p>
    <w:p>
      <w:pPr>
        <w:pStyle w:val="ListBullet"/>
        <w:ind w:left="357"/>
        <w:jc w:val="both"/>
      </w:pPr>
      <w:r>
        <w:rPr>
          <w:rFonts w:ascii="Cambria" w:hAnsi="Cambria"/>
          <w:sz w:val="22"/>
        </w:rPr>
        <w:t>Forge industry partnerships for funding and mentorship.</w:t>
      </w:r>
    </w:p>
    <w:p>
      <w:pPr>
        <w:spacing w:after="120"/>
        <w:jc w:val="both"/>
      </w:pPr>
      <w:r>
        <w:rPr>
          <w:rFonts w:ascii="Cambria" w:hAnsi="Cambria"/>
          <w:b/>
          <w:i w:val="0"/>
          <w:sz w:val="22"/>
        </w:rPr>
        <w:t>Outcomes:</w:t>
      </w:r>
    </w:p>
    <w:p>
      <w:pPr>
        <w:pStyle w:val="ListBullet"/>
        <w:ind w:left="357"/>
        <w:jc w:val="both"/>
      </w:pPr>
      <w:r>
        <w:rPr>
          <w:rFonts w:ascii="Cambria" w:hAnsi="Cambria"/>
          <w:sz w:val="22"/>
        </w:rPr>
        <w:t>Significant growth in patents, prototypes, and entrepreneurial ventures.</w:t>
      </w:r>
    </w:p>
    <w:p>
      <w:pPr>
        <w:pStyle w:val="ListBullet"/>
        <w:ind w:left="357"/>
        <w:jc w:val="both"/>
      </w:pPr>
      <w:r>
        <w:rPr>
          <w:rFonts w:ascii="Cambria" w:hAnsi="Cambria"/>
          <w:sz w:val="22"/>
        </w:rPr>
        <w:t>HEIs become recognized regional hubs of innovation and applied research.</w:t>
      </w:r>
    </w:p>
    <w:p>
      <w:pPr>
        <w:pStyle w:val="ListBullet"/>
        <w:ind w:left="357"/>
        <w:jc w:val="both"/>
      </w:pPr>
      <w:r>
        <w:rPr>
          <w:rFonts w:ascii="Cambria" w:hAnsi="Cambria"/>
          <w:sz w:val="22"/>
        </w:rPr>
        <w:t>Students gain practical experience aligned with industry and societal needs.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National-level policy for HEIs as innovation ecosystems.</w:t>
      </w:r>
    </w:p>
    <w:p>
      <w:pPr>
        <w:pStyle w:val="ListBullet"/>
        <w:ind w:left="357"/>
        <w:jc w:val="both"/>
      </w:pPr>
      <w:r>
        <w:rPr>
          <w:rFonts w:ascii="Cambria" w:hAnsi="Cambria"/>
          <w:sz w:val="22"/>
        </w:rPr>
        <w:t>Legal frameworks for university–industry co-innovation platforms.</w:t>
      </w:r>
    </w:p>
    <w:p>
      <w:pPr>
        <w:pStyle w:val="ListBullet"/>
        <w:ind w:left="357"/>
        <w:jc w:val="both"/>
      </w:pPr>
      <w:r>
        <w:rPr>
          <w:rFonts w:ascii="Cambria" w:hAnsi="Cambria"/>
          <w:sz w:val="22"/>
        </w:rPr>
        <w:t>Global partnerships (UNESCO, WIPO, World Bank) to benchmark innovation in HEIs.</w:t>
      </w:r>
    </w:p>
    <w:p>
      <w:pPr>
        <w:spacing w:after="120"/>
        <w:jc w:val="both"/>
      </w:pPr>
      <w:r>
        <w:rPr>
          <w:rFonts w:ascii="Cambria" w:hAnsi="Cambria"/>
          <w:b/>
          <w:i w:val="0"/>
          <w:sz w:val="22"/>
        </w:rPr>
        <w:t>Actions:</w:t>
      </w:r>
    </w:p>
    <w:p>
      <w:pPr>
        <w:pStyle w:val="ListBullet"/>
        <w:ind w:left="357"/>
        <w:jc w:val="both"/>
      </w:pPr>
      <w:r>
        <w:rPr>
          <w:rFonts w:ascii="Cambria" w:hAnsi="Cambria"/>
          <w:sz w:val="22"/>
        </w:rPr>
        <w:t>Achieve full-fledged research and innovation parks in HEIs.</w:t>
      </w:r>
    </w:p>
    <w:p>
      <w:pPr>
        <w:pStyle w:val="ListBullet"/>
        <w:ind w:left="357"/>
        <w:jc w:val="both"/>
      </w:pPr>
      <w:r>
        <w:rPr>
          <w:rFonts w:ascii="Cambria" w:hAnsi="Cambria"/>
          <w:sz w:val="22"/>
        </w:rPr>
        <w:t>Provide long-term venture funding and alumni-supported endowment models.</w:t>
      </w:r>
    </w:p>
    <w:p>
      <w:pPr>
        <w:pStyle w:val="ListBullet"/>
        <w:ind w:left="357"/>
        <w:jc w:val="both"/>
      </w:pPr>
      <w:r>
        <w:rPr>
          <w:rFonts w:ascii="Cambria" w:hAnsi="Cambria"/>
          <w:sz w:val="22"/>
        </w:rPr>
        <w:t>Institutionalize failure-tolerant research culture as part of higher education philosophy.</w:t>
      </w:r>
    </w:p>
    <w:p>
      <w:pPr>
        <w:pStyle w:val="ListBullet"/>
        <w:ind w:left="357"/>
        <w:jc w:val="both"/>
      </w:pPr>
      <w:r>
        <w:rPr>
          <w:rFonts w:ascii="Cambria" w:hAnsi="Cambria"/>
          <w:sz w:val="22"/>
        </w:rPr>
        <w:t>Host global innovation and entrepreneurship summits led by HEIs.</w:t>
      </w:r>
    </w:p>
    <w:p>
      <w:pPr>
        <w:spacing w:after="120"/>
        <w:jc w:val="both"/>
      </w:pPr>
      <w:r>
        <w:rPr>
          <w:rFonts w:ascii="Cambria" w:hAnsi="Cambria"/>
          <w:b/>
          <w:i w:val="0"/>
          <w:sz w:val="22"/>
        </w:rPr>
        <w:t>Outcomes:</w:t>
      </w:r>
    </w:p>
    <w:p>
      <w:pPr>
        <w:pStyle w:val="ListBullet"/>
        <w:ind w:left="357"/>
        <w:jc w:val="both"/>
      </w:pPr>
      <w:r>
        <w:rPr>
          <w:rFonts w:ascii="Cambria" w:hAnsi="Cambria"/>
          <w:sz w:val="22"/>
        </w:rPr>
        <w:t>Indian HEIs emerge as global leaders in innovation ecosystems.</w:t>
      </w:r>
    </w:p>
    <w:p>
      <w:pPr>
        <w:pStyle w:val="ListBullet"/>
        <w:ind w:left="357"/>
        <w:jc w:val="both"/>
      </w:pPr>
      <w:r>
        <w:rPr>
          <w:rFonts w:ascii="Cambria" w:hAnsi="Cambria"/>
          <w:sz w:val="22"/>
        </w:rPr>
        <w:t>Students graduate as risk-taking innovators, entrepreneurs, and problem-solvers.</w:t>
      </w:r>
    </w:p>
    <w:p>
      <w:pPr>
        <w:pStyle w:val="ListBullet"/>
        <w:ind w:left="357"/>
        <w:jc w:val="both"/>
      </w:pPr>
      <w:r>
        <w:rPr>
          <w:rFonts w:ascii="Cambria" w:hAnsi="Cambria"/>
          <w:sz w:val="22"/>
        </w:rPr>
        <w:t>Tangible contributions to knowledge economy, social innovation, and SDG achievement.</w:t>
      </w:r>
    </w:p>
    <w:p>
      <w:pPr>
        <w:spacing w:before="200" w:after="80"/>
        <w:jc w:val="left"/>
      </w:pPr>
      <w:r>
        <w:rPr>
          <w:rFonts w:ascii="Cambria" w:hAnsi="Cambria"/>
          <w:b/>
          <w:color w:val="1F3A5F"/>
          <w:sz w:val="25"/>
        </w:rPr>
        <w:t>Innovation &amp; Creativity – Risk-Taking &amp; Idea Incubation</w:t>
      </w:r>
    </w:p>
    <w:p>
      <w:pPr>
        <w:spacing w:before="160" w:after="80"/>
      </w:pPr>
      <w:r>
        <w:rPr>
          <w:rFonts w:ascii="Cambria" w:hAnsi="Cambria"/>
          <w:b/>
          <w:color w:val="1F3A5F"/>
          <w:sz w:val="23"/>
        </w:rPr>
        <w:t>Innovation &amp; Creativity – Risk-Taking &amp; Idea Incubation</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Encourage a culture of risk-taking in student/faculty research and projects; Create innovation hubs, maker spaces, and incubators to support experimentation; Provide seed funding, mentorship, and IP support for novel ideas; Revise policies to ensure failures are seen as learning opportunities; Promote interdisciplinary idea labs where students from different domains collaborate.</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MIT Media Lab (USA): Open experimentation culture for disruptive ideas; Stanford d.school (USA): Design thinking model encouraging risk-taking and prototyping; Atal Innovation Mission (India): Atal Tinkering Labs and incubation centres for students; NESTA (UK): Supports innovation through risk-friendly funding.</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Vibrant campus innovation ecosystems; Students develop creativity, entrepreneurship, and problem-solving skills; Increase in patents, startups, and research outputs; A shift from rote learning to applied education.</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Number of innovation hubs and labs established; Number of student/faculty projects funded annually; Number of patents, startups, and prototypes generated; % of students involved in interdisciplinary projects; Seed funding allocated for experimental projects.</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Provide space, funding, and mentorship for innovation; Regulators (UGC, AICTE, NAAC, NBA): Include innovation outcomes in accreditation; Government: Expand funding through national missions (AIM, Start-up India); Industry/Alumni: Partner in mentorship, funding, and incubation.</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III (Research, Innovation &amp; Extension); NBA: Programme Outcomes (creativity, innovation, entrepreneurship); NIRF: Improves Research &amp; Professional Practices ranking; QS/THE Impact Rankings: Supports SDG-8 (Decent Work &amp; Economic Growth) and SDG-9 (Industry, Innovation &amp; Infrastructure).</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gain entrepreneurship and innovation competencies; Higher employability in startups, R&amp;D, and creative industries; Risk-taking mindset nurtures future leaders and innovators.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Creation of student/faculty-led startups and social enterprises; Community solutions through design thinking and innovation challenges; Tangible contributions to local and national innovation ecosystems; Boosts India's transition to a knowledge-driven economy.</w:t>
            </w:r>
          </w:p>
        </w:tc>
      </w:tr>
    </w:tbl>
    <w:p>
      <w:r>
        <w:br w:type="page"/>
      </w:r>
    </w:p>
    <w:p>
      <w:pPr>
        <w:spacing w:before="280" w:after="160"/>
        <w:jc w:val="left"/>
      </w:pPr>
      <w:r>
        <w:rPr>
          <w:rFonts w:ascii="Cambria" w:hAnsi="Cambria"/>
          <w:b/>
          <w:color w:val="1F3A5F"/>
          <w:sz w:val="32"/>
        </w:rPr>
        <w:t>29. Monitoring Employment Outcomes &amp; Academic Workload Management</w:t>
      </w:r>
    </w:p>
    <w:p>
      <w:pPr>
        <w:spacing w:before="200" w:after="80"/>
        <w:jc w:val="left"/>
      </w:pPr>
      <w:r>
        <w:rPr>
          <w:rFonts w:ascii="Cambria" w:hAnsi="Cambria"/>
          <w:b/>
          <w:color w:val="1F3A5F"/>
          <w:sz w:val="25"/>
        </w:rPr>
        <w:t>1. Rationale</w:t>
      </w:r>
    </w:p>
    <w:p>
      <w:pPr>
        <w:spacing w:after="120"/>
        <w:jc w:val="both"/>
      </w:pPr>
      <w:r>
        <w:rPr>
          <w:rFonts w:ascii="Cambria" w:hAnsi="Cambria"/>
          <w:b/>
          <w:i w:val="0"/>
          <w:sz w:val="22"/>
        </w:rPr>
        <w:t>Employment Outcomes:</w:t>
      </w:r>
    </w:p>
    <w:p>
      <w:pPr>
        <w:pStyle w:val="ListBullet"/>
        <w:ind w:left="357"/>
        <w:jc w:val="both"/>
      </w:pPr>
      <w:r>
        <w:rPr>
          <w:rFonts w:ascii="Cambria" w:hAnsi="Cambria"/>
          <w:sz w:val="22"/>
        </w:rPr>
        <w:t>One of the key measures of quality education (SDG-4) is how well it prepares students for employment, higher education, or entrepreneurship.</w:t>
      </w:r>
    </w:p>
    <w:p>
      <w:pPr>
        <w:pStyle w:val="ListBullet"/>
        <w:ind w:left="357"/>
        <w:jc w:val="both"/>
      </w:pPr>
      <w:r>
        <w:rPr>
          <w:rFonts w:ascii="Cambria" w:hAnsi="Cambria"/>
          <w:sz w:val="22"/>
        </w:rPr>
        <w:t>Without systematic tracking, HEIs cannot identify skill gaps, revise curricula, or prove their impact on society.</w:t>
      </w:r>
    </w:p>
    <w:p>
      <w:pPr>
        <w:pStyle w:val="ListBullet"/>
        <w:ind w:left="357"/>
        <w:jc w:val="both"/>
      </w:pPr>
      <w:r>
        <w:rPr>
          <w:rFonts w:ascii="Cambria" w:hAnsi="Cambria"/>
          <w:sz w:val="22"/>
        </w:rPr>
        <w:t>Accreditation and ranking systems (NAAC, NIRF, QS, THE) increasingly require employment data as a benchmark of institutional performance.</w:t>
      </w:r>
    </w:p>
    <w:p>
      <w:pPr>
        <w:spacing w:after="120"/>
        <w:jc w:val="both"/>
      </w:pPr>
      <w:r>
        <w:rPr>
          <w:rFonts w:ascii="Cambria" w:hAnsi="Cambria"/>
          <w:b/>
          <w:i w:val="0"/>
          <w:sz w:val="22"/>
        </w:rPr>
        <w:t>Workload Management:</w:t>
      </w:r>
    </w:p>
    <w:p>
      <w:pPr>
        <w:pStyle w:val="ListBullet"/>
        <w:ind w:left="357"/>
        <w:jc w:val="both"/>
      </w:pPr>
      <w:r>
        <w:rPr>
          <w:rFonts w:ascii="Cambria" w:hAnsi="Cambria"/>
          <w:b/>
          <w:sz w:val="22"/>
        </w:rPr>
        <w:t xml:space="preserve">Faculty play multiple roles: </w:t>
      </w:r>
      <w:r>
        <w:rPr>
          <w:rFonts w:ascii="Cambria" w:hAnsi="Cambria"/>
          <w:sz w:val="22"/>
        </w:rPr>
        <w:t>teaching, research, administration, and extension activities.</w:t>
      </w:r>
    </w:p>
    <w:p>
      <w:pPr>
        <w:pStyle w:val="ListBullet"/>
        <w:ind w:left="357"/>
        <w:jc w:val="both"/>
      </w:pPr>
      <w:r>
        <w:rPr>
          <w:rFonts w:ascii="Cambria" w:hAnsi="Cambria"/>
          <w:sz w:val="22"/>
        </w:rPr>
        <w:t>Overburdened faculty may compromise teaching quality, while underutilized faculty reduce institutional efficiency.</w:t>
      </w:r>
    </w:p>
    <w:p>
      <w:pPr>
        <w:pStyle w:val="ListBullet"/>
        <w:ind w:left="357"/>
        <w:jc w:val="both"/>
      </w:pPr>
      <w:r>
        <w:rPr>
          <w:rFonts w:ascii="Cambria" w:hAnsi="Cambria"/>
          <w:sz w:val="22"/>
        </w:rPr>
        <w:t>Balanced workloads improve teaching outcomes, faculty wellbeing, and research productivity.</w:t>
      </w:r>
    </w:p>
    <w:p>
      <w:pPr>
        <w:spacing w:before="200" w:after="80"/>
        <w:jc w:val="left"/>
      </w:pPr>
      <w:r>
        <w:rPr>
          <w:rFonts w:ascii="Cambria" w:hAnsi="Cambria"/>
          <w:b/>
          <w:color w:val="1F3A5F"/>
          <w:sz w:val="25"/>
        </w:rPr>
        <w:t>2. Key Aspects of the Recommendation</w:t>
      </w:r>
    </w:p>
    <w:p>
      <w:pPr>
        <w:pStyle w:val="ListBullet"/>
        <w:ind w:left="357"/>
        <w:jc w:val="both"/>
      </w:pPr>
      <w:r>
        <w:rPr>
          <w:rFonts w:ascii="Cambria" w:hAnsi="Cambria"/>
          <w:sz w:val="22"/>
        </w:rPr>
        <w:t>Employment Tracking Systems</w:t>
      </w:r>
    </w:p>
    <w:p>
      <w:pPr>
        <w:pStyle w:val="ListBullet2"/>
        <w:ind w:left="720"/>
        <w:jc w:val="both"/>
      </w:pPr>
      <w:r>
        <w:rPr>
          <w:rFonts w:ascii="Cambria" w:hAnsi="Cambria"/>
          <w:sz w:val="22"/>
        </w:rPr>
        <w:t>Establish career services offices to collect employment data of graduates.</w:t>
      </w:r>
    </w:p>
    <w:p>
      <w:pPr>
        <w:pStyle w:val="ListBullet2"/>
        <w:ind w:left="720"/>
        <w:jc w:val="both"/>
      </w:pPr>
      <w:r>
        <w:rPr>
          <w:rFonts w:ascii="Cambria" w:hAnsi="Cambria"/>
          <w:sz w:val="22"/>
        </w:rPr>
        <w:t>Use digital dashboards to track placements, higher education enrolments, and entrepreneurship outcomes.</w:t>
      </w:r>
    </w:p>
    <w:p>
      <w:pPr>
        <w:pStyle w:val="ListBullet2"/>
        <w:ind w:left="720"/>
        <w:jc w:val="both"/>
      </w:pPr>
      <w:r>
        <w:rPr>
          <w:rFonts w:ascii="Cambria" w:hAnsi="Cambria"/>
          <w:sz w:val="22"/>
        </w:rPr>
        <w:t>Include employer and alumni feedback to inform curriculum redesign.</w:t>
      </w:r>
    </w:p>
    <w:p>
      <w:pPr>
        <w:pStyle w:val="ListBullet"/>
        <w:ind w:left="357"/>
        <w:jc w:val="both"/>
      </w:pPr>
      <w:r>
        <w:rPr>
          <w:rFonts w:ascii="Cambria" w:hAnsi="Cambria"/>
          <w:sz w:val="22"/>
        </w:rPr>
        <w:t>Curriculum–Employment Alignment</w:t>
      </w:r>
    </w:p>
    <w:p>
      <w:pPr>
        <w:pStyle w:val="ListBullet2"/>
        <w:ind w:left="720"/>
        <w:jc w:val="both"/>
      </w:pPr>
      <w:r>
        <w:rPr>
          <w:rFonts w:ascii="Cambria" w:hAnsi="Cambria"/>
          <w:sz w:val="22"/>
        </w:rPr>
        <w:t>Link employment outcome data with skill-gap analysis to ensure programmes match market needs.</w:t>
      </w:r>
    </w:p>
    <w:p>
      <w:pPr>
        <w:pStyle w:val="ListBullet2"/>
        <w:ind w:left="720"/>
        <w:jc w:val="both"/>
      </w:pPr>
      <w:r>
        <w:rPr>
          <w:rFonts w:ascii="Cambria" w:hAnsi="Cambria"/>
          <w:sz w:val="22"/>
        </w:rPr>
        <w:t>Adjust syllabi regularly to integrate industry-demanded skills (AI, sustainability, entrepreneurship).</w:t>
      </w:r>
    </w:p>
    <w:p>
      <w:pPr>
        <w:pStyle w:val="ListBullet"/>
        <w:ind w:left="357"/>
        <w:jc w:val="both"/>
      </w:pPr>
      <w:r>
        <w:rPr>
          <w:rFonts w:ascii="Cambria" w:hAnsi="Cambria"/>
          <w:sz w:val="22"/>
        </w:rPr>
        <w:t>Workload Audits</w:t>
      </w:r>
    </w:p>
    <w:p>
      <w:pPr>
        <w:pStyle w:val="ListBullet2"/>
        <w:ind w:left="720"/>
        <w:jc w:val="both"/>
      </w:pPr>
      <w:r>
        <w:rPr>
          <w:rFonts w:ascii="Cambria" w:hAnsi="Cambria"/>
          <w:sz w:val="22"/>
        </w:rPr>
        <w:t>Conduct periodic audits of faculty workload distribution (teaching vs. research vs. administrative tasks).</w:t>
      </w:r>
    </w:p>
    <w:p>
      <w:pPr>
        <w:pStyle w:val="ListBullet2"/>
        <w:ind w:left="720"/>
        <w:jc w:val="both"/>
      </w:pPr>
      <w:r>
        <w:rPr>
          <w:rFonts w:ascii="Cambria" w:hAnsi="Cambria"/>
          <w:sz w:val="22"/>
        </w:rPr>
        <w:t>Use digital tools to ensure equitable distribution and avoid burnout.</w:t>
      </w:r>
    </w:p>
    <w:p>
      <w:pPr>
        <w:pStyle w:val="ListBullet2"/>
        <w:ind w:left="720"/>
        <w:jc w:val="both"/>
      </w:pPr>
      <w:r>
        <w:rPr>
          <w:rFonts w:ascii="Cambria" w:hAnsi="Cambria"/>
          <w:sz w:val="22"/>
        </w:rPr>
        <w:t>Link workload policies to faculty evaluation and support mechanisms.</w:t>
      </w:r>
    </w:p>
    <w:p>
      <w:pPr>
        <w:spacing w:before="200" w:after="80"/>
        <w:jc w:val="left"/>
      </w:pPr>
      <w:r>
        <w:rPr>
          <w:rFonts w:ascii="Cambria" w:hAnsi="Cambria"/>
          <w:b/>
          <w:color w:val="1F3A5F"/>
          <w:sz w:val="25"/>
        </w:rPr>
        <w:t>3. Global &amp; National Best Practices</w:t>
      </w:r>
    </w:p>
    <w:p>
      <w:pPr>
        <w:pStyle w:val="ListBullet"/>
        <w:ind w:left="357"/>
        <w:jc w:val="both"/>
      </w:pPr>
      <w:r>
        <w:rPr>
          <w:rFonts w:ascii="Cambria" w:hAnsi="Cambria"/>
          <w:b/>
          <w:sz w:val="22"/>
        </w:rPr>
        <w:t xml:space="preserve">NIRF (India): </w:t>
      </w:r>
      <w:r>
        <w:rPr>
          <w:rFonts w:ascii="Cambria" w:hAnsi="Cambria"/>
          <w:sz w:val="22"/>
        </w:rPr>
        <w:t>Graduate employability is a key ranking metric.</w:t>
      </w:r>
    </w:p>
    <w:p>
      <w:pPr>
        <w:pStyle w:val="ListBullet"/>
        <w:ind w:left="357"/>
        <w:jc w:val="both"/>
      </w:pPr>
      <w:r>
        <w:rPr>
          <w:rFonts w:ascii="Cambria" w:hAnsi="Cambria"/>
          <w:b/>
          <w:sz w:val="22"/>
        </w:rPr>
        <w:t xml:space="preserve">QS Graduate Employability Rankings (Global): </w:t>
      </w:r>
      <w:r>
        <w:rPr>
          <w:rFonts w:ascii="Cambria" w:hAnsi="Cambria"/>
          <w:sz w:val="22"/>
        </w:rPr>
        <w:t>Evaluates institutions on employment outcomes and employer partnerships.</w:t>
      </w:r>
    </w:p>
    <w:p>
      <w:pPr>
        <w:pStyle w:val="ListBullet"/>
        <w:ind w:left="357"/>
        <w:jc w:val="both"/>
      </w:pPr>
      <w:r>
        <w:rPr>
          <w:rFonts w:ascii="Cambria" w:hAnsi="Cambria"/>
          <w:b/>
          <w:sz w:val="22"/>
        </w:rPr>
        <w:t xml:space="preserve">UK Teaching Excellence Framework (TEF): </w:t>
      </w:r>
      <w:r>
        <w:rPr>
          <w:rFonts w:ascii="Cambria" w:hAnsi="Cambria"/>
          <w:sz w:val="22"/>
        </w:rPr>
        <w:t>Includes employment outcomes and workload management.</w:t>
      </w:r>
    </w:p>
    <w:p>
      <w:pPr>
        <w:pStyle w:val="ListBullet"/>
        <w:ind w:left="357"/>
        <w:jc w:val="both"/>
      </w:pPr>
      <w:r>
        <w:rPr>
          <w:rFonts w:ascii="Cambria" w:hAnsi="Cambria"/>
          <w:b/>
          <w:sz w:val="22"/>
        </w:rPr>
        <w:t xml:space="preserve">Australian Graduate Outcomes Survey (GOS): </w:t>
      </w:r>
      <w:r>
        <w:rPr>
          <w:rFonts w:ascii="Cambria" w:hAnsi="Cambria"/>
          <w:sz w:val="22"/>
        </w:rPr>
        <w:t>Collects nationwide data on graduate employability.</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Improved alignment of higher education with job markets.</w:t>
      </w:r>
    </w:p>
    <w:p>
      <w:pPr>
        <w:pStyle w:val="ListBullet"/>
        <w:ind w:left="357"/>
        <w:jc w:val="both"/>
      </w:pPr>
      <w:r>
        <w:rPr>
          <w:rFonts w:ascii="Cambria" w:hAnsi="Cambria"/>
          <w:sz w:val="22"/>
        </w:rPr>
        <w:t>Stronger industry-academia partnerships due to reliable employability data.</w:t>
      </w:r>
    </w:p>
    <w:p>
      <w:pPr>
        <w:pStyle w:val="ListBullet"/>
        <w:ind w:left="357"/>
        <w:jc w:val="both"/>
      </w:pPr>
      <w:r>
        <w:rPr>
          <w:rFonts w:ascii="Cambria" w:hAnsi="Cambria"/>
          <w:sz w:val="22"/>
        </w:rPr>
        <w:t>Reduced graduate unemployment and underemployment.</w:t>
      </w:r>
    </w:p>
    <w:p>
      <w:pPr>
        <w:pStyle w:val="ListBullet"/>
        <w:ind w:left="357"/>
        <w:jc w:val="both"/>
      </w:pPr>
      <w:r>
        <w:rPr>
          <w:rFonts w:ascii="Cambria" w:hAnsi="Cambria"/>
          <w:sz w:val="22"/>
        </w:rPr>
        <w:t>More effective and efficient faculty performance through balanced workloads.</w:t>
      </w:r>
    </w:p>
    <w:p>
      <w:pPr>
        <w:pStyle w:val="ListBullet"/>
        <w:ind w:left="357"/>
        <w:jc w:val="both"/>
      </w:pPr>
      <w:r>
        <w:rPr>
          <w:rFonts w:ascii="Cambria" w:hAnsi="Cambria"/>
          <w:sz w:val="22"/>
        </w:rPr>
        <w:t>Greater transparency and accountability, building public trust in HEIs.</w:t>
      </w:r>
    </w:p>
    <w:p>
      <w:pPr>
        <w:spacing w:before="200" w:after="80"/>
        <w:jc w:val="left"/>
      </w:pPr>
      <w:r>
        <w:rPr>
          <w:rFonts w:ascii="Cambria" w:hAnsi="Cambria"/>
          <w:b/>
          <w:color w:val="1F3A5F"/>
          <w:sz w:val="25"/>
        </w:rPr>
        <w:t>5. Measurable Indicators (KPIs)</w:t>
      </w:r>
    </w:p>
    <w:p>
      <w:pPr>
        <w:pStyle w:val="ListBullet"/>
        <w:ind w:left="357"/>
        <w:jc w:val="both"/>
      </w:pPr>
      <w:r>
        <w:rPr>
          <w:rFonts w:ascii="Cambria" w:hAnsi="Cambria"/>
          <w:sz w:val="22"/>
        </w:rPr>
        <w:t>% of graduates employed, pursuing higher studies, or starting enterprises within 6–12 months.</w:t>
      </w:r>
    </w:p>
    <w:p>
      <w:pPr>
        <w:pStyle w:val="ListBullet"/>
        <w:ind w:left="357"/>
        <w:jc w:val="both"/>
      </w:pPr>
      <w:r>
        <w:rPr>
          <w:rFonts w:ascii="Cambria" w:hAnsi="Cambria"/>
          <w:sz w:val="22"/>
        </w:rPr>
        <w:t>Average time-to-first-job for graduates.</w:t>
      </w:r>
    </w:p>
    <w:p>
      <w:pPr>
        <w:pStyle w:val="ListBullet"/>
        <w:ind w:left="357"/>
        <w:jc w:val="both"/>
      </w:pPr>
      <w:r>
        <w:rPr>
          <w:rFonts w:ascii="Cambria" w:hAnsi="Cambria"/>
          <w:sz w:val="22"/>
        </w:rPr>
        <w:t>Employer satisfaction survey scores.</w:t>
      </w:r>
    </w:p>
    <w:p>
      <w:pPr>
        <w:pStyle w:val="ListBullet"/>
        <w:ind w:left="357"/>
        <w:jc w:val="both"/>
      </w:pPr>
      <w:r>
        <w:rPr>
          <w:rFonts w:ascii="Cambria" w:hAnsi="Cambria"/>
          <w:b/>
          <w:sz w:val="22"/>
        </w:rPr>
        <w:t xml:space="preserve">Faculty workload ratios (teaching : </w:t>
      </w:r>
      <w:r>
        <w:rPr>
          <w:rFonts w:ascii="Cambria" w:hAnsi="Cambria"/>
          <w:sz w:val="22"/>
        </w:rPr>
        <w:t>research : extension).</w:t>
      </w:r>
    </w:p>
    <w:p>
      <w:pPr>
        <w:pStyle w:val="ListBullet"/>
        <w:ind w:left="357"/>
        <w:jc w:val="both"/>
      </w:pPr>
      <w:r>
        <w:rPr>
          <w:rFonts w:ascii="Cambria" w:hAnsi="Cambria"/>
          <w:sz w:val="22"/>
        </w:rPr>
        <w:t>Number of workload and employability audits conducted annually.</w:t>
      </w:r>
    </w:p>
    <w:p>
      <w:pPr>
        <w:spacing w:before="200" w:after="80"/>
        <w:jc w:val="left"/>
      </w:pPr>
      <w:r>
        <w:rPr>
          <w:rFonts w:ascii="Cambria" w:hAnsi="Cambria"/>
          <w:b/>
          <w:color w:val="1F3A5F"/>
          <w:sz w:val="25"/>
        </w:rPr>
        <w:t>6. Student Growth &amp; Employability Impact</w:t>
      </w:r>
    </w:p>
    <w:p>
      <w:pPr>
        <w:pStyle w:val="ListBullet"/>
        <w:ind w:left="357"/>
        <w:jc w:val="both"/>
      </w:pPr>
      <w:r>
        <w:rPr>
          <w:rFonts w:ascii="Cambria" w:hAnsi="Cambria"/>
          <w:sz w:val="22"/>
        </w:rPr>
        <w:t>Students benefit from curricula revised based on real job market feedback.</w:t>
      </w:r>
    </w:p>
    <w:p>
      <w:pPr>
        <w:pStyle w:val="ListBullet"/>
        <w:ind w:left="357"/>
        <w:jc w:val="both"/>
      </w:pPr>
      <w:r>
        <w:rPr>
          <w:rFonts w:ascii="Cambria" w:hAnsi="Cambria"/>
          <w:sz w:val="22"/>
        </w:rPr>
        <w:t>Increased access to mentorship, internships, and career pathways.</w:t>
      </w:r>
    </w:p>
    <w:p>
      <w:pPr>
        <w:pStyle w:val="ListBullet"/>
        <w:ind w:left="357"/>
        <w:jc w:val="both"/>
      </w:pPr>
      <w:r>
        <w:rPr>
          <w:rFonts w:ascii="Cambria" w:hAnsi="Cambria"/>
          <w:sz w:val="22"/>
        </w:rPr>
        <w:t>Greater confidence in career readiness, reducing skill mismatches.</w:t>
      </w:r>
    </w:p>
    <w:p>
      <w:pPr>
        <w:spacing w:before="200" w:after="80"/>
        <w:jc w:val="left"/>
      </w:pPr>
      <w:r>
        <w:rPr>
          <w:rFonts w:ascii="Cambria" w:hAnsi="Cambria"/>
          <w:b/>
          <w:color w:val="1F3A5F"/>
          <w:sz w:val="25"/>
        </w:rPr>
        <w:t>7. Societal Benefits</w:t>
      </w:r>
    </w:p>
    <w:p>
      <w:pPr>
        <w:pStyle w:val="ListBullet"/>
        <w:ind w:left="357"/>
        <w:jc w:val="both"/>
      </w:pPr>
      <w:r>
        <w:rPr>
          <w:rFonts w:ascii="Cambria" w:hAnsi="Cambria"/>
          <w:sz w:val="22"/>
        </w:rPr>
        <w:t>HEIs produce a skilled, employable workforce, boosting national productivity.</w:t>
      </w:r>
    </w:p>
    <w:p>
      <w:pPr>
        <w:pStyle w:val="ListBullet"/>
        <w:ind w:left="357"/>
        <w:jc w:val="both"/>
      </w:pPr>
      <w:r>
        <w:rPr>
          <w:rFonts w:ascii="Cambria" w:hAnsi="Cambria"/>
          <w:sz w:val="22"/>
        </w:rPr>
        <w:t>Balanced faculty workloads improve research outputs, creating knowledge for society.</w:t>
      </w:r>
    </w:p>
    <w:p>
      <w:pPr>
        <w:pStyle w:val="ListBullet"/>
        <w:ind w:left="357"/>
        <w:jc w:val="both"/>
      </w:pPr>
      <w:r>
        <w:rPr>
          <w:rFonts w:ascii="Cambria" w:hAnsi="Cambria"/>
          <w:sz w:val="22"/>
        </w:rPr>
        <w:t>Reduces unemployment, underemployment, and brain drain by aligning education with national priorities.</w:t>
      </w:r>
    </w:p>
    <w:p>
      <w:pPr>
        <w:spacing w:before="240" w:after="120"/>
        <w:jc w:val="left"/>
      </w:pPr>
      <w:r>
        <w:rPr>
          <w:rFonts w:ascii="Cambria" w:hAnsi="Cambria"/>
          <w:b/>
          <w:color w:val="1F3A5F"/>
          <w:sz w:val="28"/>
        </w:rPr>
        <w:t>Policy–Action–Outcome Roadmap: Employment Outcomes &amp; Workload Management</w:t>
      </w:r>
    </w:p>
    <w:p>
      <w:pPr>
        <w:spacing w:after="120"/>
        <w:jc w:val="both"/>
      </w:pPr>
      <w:r>
        <w:rPr>
          <w:rFonts w:ascii="Cambria" w:hAnsi="Cambria"/>
          <w:b/>
          <w:i w:val="0"/>
          <w:sz w:val="22"/>
        </w:rPr>
        <w:t>Short Term (1–3 Years)</w:t>
      </w:r>
    </w:p>
    <w:p>
      <w:pPr>
        <w:spacing w:after="120"/>
        <w:jc w:val="both"/>
      </w:pPr>
      <w:r>
        <w:rPr>
          <w:rFonts w:ascii="Cambria" w:hAnsi="Cambria"/>
          <w:b/>
          <w:i w:val="0"/>
          <w:sz w:val="22"/>
        </w:rPr>
        <w:t>Policy:</w:t>
      </w:r>
    </w:p>
    <w:p>
      <w:pPr>
        <w:pStyle w:val="ListBullet"/>
        <w:ind w:left="357"/>
        <w:jc w:val="both"/>
      </w:pPr>
      <w:r>
        <w:rPr>
          <w:rFonts w:ascii="Cambria" w:hAnsi="Cambria"/>
          <w:sz w:val="22"/>
        </w:rPr>
        <w:t>UGC/AICTE/NAAC mandate graduate employment tracking as part of annual reporting.</w:t>
      </w:r>
    </w:p>
    <w:p>
      <w:pPr>
        <w:pStyle w:val="ListBullet"/>
        <w:ind w:left="357"/>
        <w:jc w:val="both"/>
      </w:pPr>
      <w:r>
        <w:rPr>
          <w:rFonts w:ascii="Cambria" w:hAnsi="Cambria"/>
          <w:sz w:val="22"/>
        </w:rPr>
        <w:t>Introduce guidelines for faculty workload audits (balanced distribution across teaching, research, administration).</w:t>
      </w:r>
    </w:p>
    <w:p>
      <w:pPr>
        <w:pStyle w:val="ListBullet"/>
        <w:ind w:left="357"/>
        <w:jc w:val="both"/>
      </w:pPr>
      <w:r>
        <w:rPr>
          <w:rFonts w:ascii="Cambria" w:hAnsi="Cambria"/>
          <w:sz w:val="22"/>
        </w:rPr>
        <w:t>Incentivize HEIs to set up Career Services &amp; Placement Cells with reporting responsibilities.</w:t>
      </w:r>
    </w:p>
    <w:p>
      <w:pPr>
        <w:spacing w:after="120"/>
        <w:jc w:val="both"/>
      </w:pPr>
      <w:r>
        <w:rPr>
          <w:rFonts w:ascii="Cambria" w:hAnsi="Cambria"/>
          <w:b/>
          <w:i w:val="0"/>
          <w:sz w:val="22"/>
        </w:rPr>
        <w:t>Actions:</w:t>
      </w:r>
    </w:p>
    <w:p>
      <w:pPr>
        <w:pStyle w:val="ListBullet"/>
        <w:ind w:left="357"/>
        <w:jc w:val="both"/>
      </w:pPr>
      <w:r>
        <w:rPr>
          <w:rFonts w:ascii="Cambria" w:hAnsi="Cambria"/>
          <w:sz w:val="22"/>
        </w:rPr>
        <w:t>Establish digital dashboards to track graduate employment, higher studies, and entrepreneurship outcomes.</w:t>
      </w:r>
    </w:p>
    <w:p>
      <w:pPr>
        <w:pStyle w:val="ListBullet"/>
        <w:ind w:left="357"/>
        <w:jc w:val="both"/>
      </w:pPr>
      <w:r>
        <w:rPr>
          <w:rFonts w:ascii="Cambria" w:hAnsi="Cambria"/>
          <w:sz w:val="22"/>
        </w:rPr>
        <w:t>Collect employer and alumni feedback on skill gaps.</w:t>
      </w:r>
    </w:p>
    <w:p>
      <w:pPr>
        <w:pStyle w:val="ListBullet"/>
        <w:ind w:left="357"/>
        <w:jc w:val="both"/>
      </w:pPr>
      <w:r>
        <w:rPr>
          <w:rFonts w:ascii="Cambria" w:hAnsi="Cambria"/>
          <w:sz w:val="22"/>
        </w:rPr>
        <w:t>Conduct baseline workload surveys to understand faculty distribution of duties.</w:t>
      </w:r>
    </w:p>
    <w:p>
      <w:pPr>
        <w:pStyle w:val="ListBullet"/>
        <w:ind w:left="357"/>
        <w:jc w:val="both"/>
      </w:pPr>
      <w:r>
        <w:rPr>
          <w:rFonts w:ascii="Cambria" w:hAnsi="Cambria"/>
          <w:sz w:val="22"/>
        </w:rPr>
        <w:t>Pilot workload management software in selected HEIs.</w:t>
      </w:r>
    </w:p>
    <w:p>
      <w:pPr>
        <w:spacing w:after="120"/>
        <w:jc w:val="both"/>
      </w:pPr>
      <w:r>
        <w:rPr>
          <w:rFonts w:ascii="Cambria" w:hAnsi="Cambria"/>
          <w:b/>
          <w:i w:val="0"/>
          <w:sz w:val="22"/>
        </w:rPr>
        <w:t>Outcomes:</w:t>
      </w:r>
    </w:p>
    <w:p>
      <w:pPr>
        <w:pStyle w:val="ListBullet"/>
        <w:ind w:left="357"/>
        <w:jc w:val="both"/>
      </w:pPr>
      <w:r>
        <w:rPr>
          <w:rFonts w:ascii="Cambria" w:hAnsi="Cambria"/>
          <w:sz w:val="22"/>
        </w:rPr>
        <w:t>First generation of systematic graduate outcome data available.</w:t>
      </w:r>
    </w:p>
    <w:p>
      <w:pPr>
        <w:pStyle w:val="ListBullet"/>
        <w:ind w:left="357"/>
        <w:jc w:val="both"/>
      </w:pPr>
      <w:r>
        <w:rPr>
          <w:rFonts w:ascii="Cambria" w:hAnsi="Cambria"/>
          <w:sz w:val="22"/>
        </w:rPr>
        <w:t>Faculty workload imbalances identified and adjustments initiated.</w:t>
      </w:r>
    </w:p>
    <w:p>
      <w:pPr>
        <w:pStyle w:val="ListBullet"/>
        <w:ind w:left="357"/>
        <w:jc w:val="both"/>
      </w:pPr>
      <w:r>
        <w:rPr>
          <w:rFonts w:ascii="Cambria" w:hAnsi="Cambria"/>
          <w:sz w:val="22"/>
        </w:rPr>
        <w:t>Enhanced accountability in placement and teaching quality.</w:t>
      </w:r>
    </w:p>
    <w:p>
      <w:pPr>
        <w:spacing w:after="120"/>
        <w:jc w:val="both"/>
      </w:pPr>
      <w:r>
        <w:rPr>
          <w:rFonts w:ascii="Cambria" w:hAnsi="Cambria"/>
          <w:b/>
          <w:i w:val="0"/>
          <w:sz w:val="22"/>
        </w:rPr>
        <w:t>Medium Term (3–7 Years)</w:t>
      </w:r>
    </w:p>
    <w:p>
      <w:pPr>
        <w:spacing w:after="120"/>
        <w:jc w:val="both"/>
      </w:pPr>
      <w:r>
        <w:rPr>
          <w:rFonts w:ascii="Cambria" w:hAnsi="Cambria"/>
          <w:b/>
          <w:i w:val="0"/>
          <w:sz w:val="22"/>
        </w:rPr>
        <w:t>Policy:</w:t>
      </w:r>
    </w:p>
    <w:p>
      <w:pPr>
        <w:pStyle w:val="ListBullet"/>
        <w:ind w:left="357"/>
        <w:jc w:val="both"/>
      </w:pPr>
      <w:r>
        <w:rPr>
          <w:rFonts w:ascii="Cambria" w:hAnsi="Cambria"/>
          <w:sz w:val="22"/>
        </w:rPr>
        <w:t>NAAC/NBA integrate employment outcomes and workload audits into accreditation metrics.</w:t>
      </w:r>
    </w:p>
    <w:p>
      <w:pPr>
        <w:pStyle w:val="ListBullet"/>
        <w:ind w:left="357"/>
        <w:jc w:val="both"/>
      </w:pPr>
      <w:r>
        <w:rPr>
          <w:rFonts w:ascii="Cambria" w:hAnsi="Cambria"/>
          <w:sz w:val="22"/>
        </w:rPr>
        <w:t>Link institutional funding and ranking benefits (NIRF, QS) to graduate employability indicators.</w:t>
      </w:r>
    </w:p>
    <w:p>
      <w:pPr>
        <w:pStyle w:val="ListBullet"/>
        <w:ind w:left="357"/>
        <w:jc w:val="both"/>
      </w:pPr>
      <w:r>
        <w:rPr>
          <w:rFonts w:ascii="Cambria" w:hAnsi="Cambria"/>
          <w:sz w:val="22"/>
        </w:rPr>
        <w:t>Develop national guidelines for workload norms (e.g., teaching:research ratio).</w:t>
      </w:r>
    </w:p>
    <w:p>
      <w:pPr>
        <w:spacing w:after="120"/>
        <w:jc w:val="both"/>
      </w:pPr>
      <w:r>
        <w:rPr>
          <w:rFonts w:ascii="Cambria" w:hAnsi="Cambria"/>
          <w:b/>
          <w:i w:val="0"/>
          <w:sz w:val="22"/>
        </w:rPr>
        <w:t>Actions:</w:t>
      </w:r>
    </w:p>
    <w:p>
      <w:pPr>
        <w:pStyle w:val="ListBullet"/>
        <w:ind w:left="357"/>
        <w:jc w:val="both"/>
      </w:pPr>
      <w:r>
        <w:rPr>
          <w:rFonts w:ascii="Cambria" w:hAnsi="Cambria"/>
          <w:sz w:val="22"/>
        </w:rPr>
        <w:t>Expand career tracking systems into alumni outcome surveys (5–10 years post-graduation).</w:t>
      </w:r>
    </w:p>
    <w:p>
      <w:pPr>
        <w:pStyle w:val="ListBullet"/>
        <w:ind w:left="357"/>
        <w:jc w:val="both"/>
      </w:pPr>
      <w:r>
        <w:rPr>
          <w:rFonts w:ascii="Cambria" w:hAnsi="Cambria"/>
          <w:sz w:val="22"/>
        </w:rPr>
        <w:t>Standardize workload audits across HEIs with benchmark ratios.</w:t>
      </w:r>
    </w:p>
    <w:p>
      <w:pPr>
        <w:pStyle w:val="ListBullet"/>
        <w:ind w:left="357"/>
        <w:jc w:val="both"/>
      </w:pPr>
      <w:r>
        <w:rPr>
          <w:rFonts w:ascii="Cambria" w:hAnsi="Cambria"/>
          <w:sz w:val="22"/>
        </w:rPr>
        <w:t>Use employment outcome data to revise curricula, integrating emerging skill requirements.</w:t>
      </w:r>
    </w:p>
    <w:p>
      <w:pPr>
        <w:pStyle w:val="ListBullet"/>
        <w:ind w:left="357"/>
        <w:jc w:val="both"/>
      </w:pPr>
      <w:r>
        <w:rPr>
          <w:rFonts w:ascii="Cambria" w:hAnsi="Cambria"/>
          <w:sz w:val="22"/>
        </w:rPr>
        <w:t>Develop industry partnerships for internships and placements based on data insights.</w:t>
      </w:r>
    </w:p>
    <w:p>
      <w:pPr>
        <w:spacing w:after="120"/>
        <w:jc w:val="both"/>
      </w:pPr>
      <w:r>
        <w:rPr>
          <w:rFonts w:ascii="Cambria" w:hAnsi="Cambria"/>
          <w:b/>
          <w:i w:val="0"/>
          <w:sz w:val="22"/>
        </w:rPr>
        <w:t>Outcomes:</w:t>
      </w:r>
    </w:p>
    <w:p>
      <w:pPr>
        <w:pStyle w:val="ListBullet"/>
        <w:ind w:left="357"/>
        <w:jc w:val="both"/>
      </w:pPr>
      <w:r>
        <w:rPr>
          <w:rFonts w:ascii="Cambria" w:hAnsi="Cambria"/>
          <w:sz w:val="22"/>
        </w:rPr>
        <w:t>Employment data informs curriculum reforms.</w:t>
      </w:r>
    </w:p>
    <w:p>
      <w:pPr>
        <w:pStyle w:val="ListBullet"/>
        <w:ind w:left="357"/>
        <w:jc w:val="both"/>
      </w:pPr>
      <w:r>
        <w:rPr>
          <w:rFonts w:ascii="Cambria" w:hAnsi="Cambria"/>
          <w:sz w:val="22"/>
        </w:rPr>
        <w:t>Faculty enjoy more balanced workloads, leading to improved research productivity.</w:t>
      </w:r>
    </w:p>
    <w:p>
      <w:pPr>
        <w:pStyle w:val="ListBullet"/>
        <w:ind w:left="357"/>
        <w:jc w:val="both"/>
      </w:pPr>
      <w:r>
        <w:rPr>
          <w:rFonts w:ascii="Cambria" w:hAnsi="Cambria"/>
          <w:sz w:val="22"/>
        </w:rPr>
        <w:t>National reporting system provides comparative employment outcomes across HEIs.</w:t>
      </w:r>
    </w:p>
    <w:p>
      <w:pPr>
        <w:spacing w:after="120"/>
        <w:jc w:val="both"/>
      </w:pPr>
      <w:r>
        <w:rPr>
          <w:rFonts w:ascii="Cambria" w:hAnsi="Cambria"/>
          <w:b/>
          <w:i w:val="0"/>
          <w:sz w:val="22"/>
        </w:rPr>
        <w:t>Long Term (7–15 Years)</w:t>
      </w:r>
    </w:p>
    <w:p>
      <w:pPr>
        <w:spacing w:after="120"/>
        <w:jc w:val="both"/>
      </w:pPr>
      <w:r>
        <w:rPr>
          <w:rFonts w:ascii="Cambria" w:hAnsi="Cambria"/>
          <w:b/>
          <w:i w:val="0"/>
          <w:sz w:val="22"/>
        </w:rPr>
        <w:t>Policy:</w:t>
      </w:r>
    </w:p>
    <w:p>
      <w:pPr>
        <w:pStyle w:val="ListBullet"/>
        <w:ind w:left="357"/>
        <w:jc w:val="both"/>
      </w:pPr>
      <w:r>
        <w:rPr>
          <w:rFonts w:ascii="Cambria" w:hAnsi="Cambria"/>
          <w:sz w:val="22"/>
        </w:rPr>
        <w:t>Enact a National Graduate Outcomes &amp; Workload Policy mandating transparency and reporting.</w:t>
      </w:r>
    </w:p>
    <w:p>
      <w:pPr>
        <w:pStyle w:val="ListBullet"/>
        <w:ind w:left="357"/>
        <w:jc w:val="both"/>
      </w:pPr>
      <w:r>
        <w:rPr>
          <w:rFonts w:ascii="Cambria" w:hAnsi="Cambria"/>
          <w:sz w:val="22"/>
        </w:rPr>
        <w:t>Integrate India's employment and workload databases with global benchmarks (OECD, QS, THE).</w:t>
      </w:r>
    </w:p>
    <w:p>
      <w:pPr>
        <w:pStyle w:val="ListBullet"/>
        <w:ind w:left="357"/>
        <w:jc w:val="both"/>
      </w:pPr>
      <w:r>
        <w:rPr>
          <w:rFonts w:ascii="Cambria" w:hAnsi="Cambria"/>
          <w:sz w:val="22"/>
        </w:rPr>
        <w:t>Establish legally binding workload standards to protect teaching and research quality.</w:t>
      </w:r>
    </w:p>
    <w:p>
      <w:pPr>
        <w:spacing w:after="120"/>
        <w:jc w:val="both"/>
      </w:pPr>
      <w:r>
        <w:rPr>
          <w:rFonts w:ascii="Cambria" w:hAnsi="Cambria"/>
          <w:b/>
          <w:i w:val="0"/>
          <w:sz w:val="22"/>
        </w:rPr>
        <w:t>Actions:</w:t>
      </w:r>
    </w:p>
    <w:p>
      <w:pPr>
        <w:pStyle w:val="ListBullet"/>
        <w:ind w:left="357"/>
        <w:jc w:val="both"/>
      </w:pPr>
      <w:r>
        <w:rPr>
          <w:rFonts w:ascii="Cambria" w:hAnsi="Cambria"/>
          <w:sz w:val="22"/>
        </w:rPr>
        <w:t>Develop AI-driven predictive analytics for workforce demand and graduate employability.</w:t>
      </w:r>
    </w:p>
    <w:p>
      <w:pPr>
        <w:pStyle w:val="ListBullet"/>
        <w:ind w:left="357"/>
        <w:jc w:val="both"/>
      </w:pPr>
      <w:r>
        <w:rPr>
          <w:rFonts w:ascii="Cambria" w:hAnsi="Cambria"/>
          <w:sz w:val="22"/>
        </w:rPr>
        <w:t>Institutionalize continuous feedback loops between industry, HEIs, and regulators.</w:t>
      </w:r>
    </w:p>
    <w:p>
      <w:pPr>
        <w:pStyle w:val="ListBullet"/>
        <w:ind w:left="357"/>
        <w:jc w:val="both"/>
      </w:pPr>
      <w:r>
        <w:rPr>
          <w:rFonts w:ascii="Cambria" w:hAnsi="Cambria"/>
          <w:sz w:val="22"/>
        </w:rPr>
        <w:t>Embed workload management in faculty appraisal and promotions.</w:t>
      </w:r>
    </w:p>
    <w:p>
      <w:pPr>
        <w:pStyle w:val="ListBullet"/>
        <w:ind w:left="357"/>
        <w:jc w:val="both"/>
      </w:pPr>
      <w:r>
        <w:rPr>
          <w:rFonts w:ascii="Cambria" w:hAnsi="Cambria"/>
          <w:sz w:val="22"/>
        </w:rPr>
        <w:t>Publish annual Graduate Employability Index and Workload Balance Index for Indian HEIs.</w:t>
      </w:r>
    </w:p>
    <w:p>
      <w:pPr>
        <w:spacing w:after="120"/>
        <w:jc w:val="both"/>
      </w:pPr>
      <w:r>
        <w:rPr>
          <w:rFonts w:ascii="Cambria" w:hAnsi="Cambria"/>
          <w:b/>
          <w:i w:val="0"/>
          <w:sz w:val="22"/>
        </w:rPr>
        <w:t>Outcomes:</w:t>
      </w:r>
    </w:p>
    <w:p>
      <w:pPr>
        <w:pStyle w:val="ListBullet"/>
        <w:ind w:left="357"/>
        <w:jc w:val="both"/>
      </w:pPr>
      <w:r>
        <w:rPr>
          <w:rFonts w:ascii="Cambria" w:hAnsi="Cambria"/>
          <w:sz w:val="22"/>
        </w:rPr>
        <w:t>Indian HEIs recognized as globally benchmarked institutions for employment outcomes.</w:t>
      </w:r>
    </w:p>
    <w:p>
      <w:pPr>
        <w:pStyle w:val="ListBullet"/>
        <w:ind w:left="357"/>
        <w:jc w:val="both"/>
      </w:pPr>
      <w:r>
        <w:rPr>
          <w:rFonts w:ascii="Cambria" w:hAnsi="Cambria"/>
          <w:sz w:val="22"/>
        </w:rPr>
        <w:t>Transparent, accountable systems strengthen public trust in HEIs.</w:t>
      </w:r>
    </w:p>
    <w:p>
      <w:pPr>
        <w:pStyle w:val="ListBullet"/>
        <w:ind w:left="357"/>
        <w:jc w:val="both"/>
      </w:pPr>
      <w:r>
        <w:rPr>
          <w:rFonts w:ascii="Cambria" w:hAnsi="Cambria"/>
          <w:sz w:val="22"/>
        </w:rPr>
        <w:t>Long-term reduction in graduate underemployment and unemployment.</w:t>
      </w:r>
    </w:p>
    <w:p>
      <w:pPr>
        <w:pStyle w:val="ListBullet"/>
        <w:ind w:left="357"/>
        <w:jc w:val="both"/>
      </w:pPr>
      <w:r>
        <w:rPr>
          <w:rFonts w:ascii="Cambria" w:hAnsi="Cambria"/>
          <w:sz w:val="22"/>
        </w:rPr>
        <w:t>Faculty achieve sustainable workloads, improving academic quality and wellbeing.</w:t>
      </w:r>
    </w:p>
    <w:p>
      <w:pPr>
        <w:spacing w:before="200" w:after="80"/>
        <w:jc w:val="left"/>
      </w:pPr>
      <w:r>
        <w:rPr>
          <w:rFonts w:ascii="Cambria" w:hAnsi="Cambria"/>
          <w:b/>
          <w:color w:val="1F3A5F"/>
          <w:sz w:val="25"/>
        </w:rPr>
        <w:t>Governance &amp; Accountability – Employment Outcomes &amp; Workload Management</w:t>
      </w:r>
    </w:p>
    <w:p>
      <w:pPr>
        <w:spacing w:before="160" w:after="80"/>
      </w:pPr>
      <w:r>
        <w:rPr>
          <w:rFonts w:ascii="Cambria" w:hAnsi="Cambria"/>
          <w:b/>
          <w:color w:val="1F3A5F"/>
          <w:sz w:val="23"/>
        </w:rPr>
        <w:t>Governance &amp; Accountability – Employment Outcomes &amp; Workload Management</w:t>
      </w:r>
    </w:p>
    <w:tbl>
      <w:tblPr>
        <w:tblW w:type="auto" w:w="0"/>
        <w:jc w:val="center"/>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left"/>
            </w:pPr>
            <w:r/>
            <w:r>
              <w:rPr>
                <w:rFonts w:ascii="Cambria" w:hAnsi="Cambria"/>
                <w:b/>
                <w:i w:val="0"/>
                <w:color w:val="FFFFFF"/>
                <w:sz w:val="22"/>
              </w:rPr>
              <w:t>Dimension</w:t>
            </w:r>
          </w:p>
        </w:tc>
        <w:tc>
          <w:tcPr>
            <w:tcW w:type="dxa" w:w="6860"/>
            <w:shd w:val="clear" w:color="auto" w:fill="1F3A5F"/>
            <w:tcW w:w="6860" w:type="dxa"/>
          </w:tcPr>
          <w:p>
            <w:pPr>
              <w:jc w:val="left"/>
            </w:pPr>
            <w:r/>
            <w:r>
              <w:rPr>
                <w:rFonts w:ascii="Cambria" w:hAnsi="Cambria"/>
                <w:b/>
                <w:i w:val="0"/>
                <w:color w:val="FFFFFF"/>
                <w:sz w:val="22"/>
              </w:rPr>
              <w:t>Details</w:t>
            </w:r>
          </w:p>
        </w:tc>
      </w:tr>
      <w:tr>
        <w:tc>
          <w:tcPr>
            <w:tcW w:type="dxa" w:w="2551"/>
            <w:tcW w:w="2551" w:type="dxa"/>
          </w:tcPr>
          <w:p>
            <w:pPr>
              <w:jc w:val="left"/>
            </w:pPr>
            <w:r/>
            <w:r>
              <w:rPr>
                <w:rFonts w:ascii="Cambria" w:hAnsi="Cambria"/>
                <w:b/>
                <w:i w:val="0"/>
                <w:sz w:val="22"/>
              </w:rPr>
              <w:t>Proposed Actions (HEIs &amp; Regulators)</w:t>
            </w:r>
          </w:p>
        </w:tc>
        <w:tc>
          <w:tcPr>
            <w:tcW w:type="dxa" w:w="6860"/>
            <w:tcW w:w="6860" w:type="dxa"/>
          </w:tcPr>
          <w:p>
            <w:pPr>
              <w:jc w:val="left"/>
            </w:pPr>
            <w:r/>
            <w:r>
              <w:rPr>
                <w:rFonts w:ascii="Cambria" w:hAnsi="Cambria"/>
                <w:b w:val="0"/>
                <w:i w:val="0"/>
                <w:sz w:val="22"/>
              </w:rPr>
              <w:t>Establish systems for tracking graduate employment outcomes (placements, higher studies, entrepreneurship); Link employment data with curriculum updates and skill-gap analysis; Mandate academic workload audits to ensure faculty balance between teaching, research, and extension activities; Use digital dashboards for transparent reporting of workload and placement outcomes; Integrate student feedback into curriculum employment alignment.</w:t>
            </w:r>
          </w:p>
        </w:tc>
      </w:tr>
      <w:tr>
        <w:tc>
          <w:tcPr>
            <w:tcW w:type="dxa" w:w="2551"/>
            <w:tcW w:w="2551" w:type="dxa"/>
            <w:shd w:val="clear" w:color="auto" w:fill="DCE6F1"/>
          </w:tcPr>
          <w:p>
            <w:pPr>
              <w:jc w:val="left"/>
            </w:pPr>
            <w:r/>
            <w:r>
              <w:rPr>
                <w:rFonts w:ascii="Cambria" w:hAnsi="Cambria"/>
                <w:b/>
                <w:i w:val="0"/>
                <w:sz w:val="22"/>
              </w:rPr>
              <w:t>Global/National Best Practices</w:t>
            </w:r>
          </w:p>
        </w:tc>
        <w:tc>
          <w:tcPr>
            <w:tcW w:type="dxa" w:w="6860"/>
            <w:tcW w:w="6860" w:type="dxa"/>
            <w:shd w:val="clear" w:color="auto" w:fill="DCE6F1"/>
          </w:tcPr>
          <w:p>
            <w:pPr>
              <w:jc w:val="left"/>
            </w:pPr>
            <w:r/>
            <w:r>
              <w:rPr>
                <w:rFonts w:ascii="Cambria" w:hAnsi="Cambria"/>
                <w:b w:val="0"/>
                <w:i w:val="0"/>
                <w:sz w:val="22"/>
              </w:rPr>
              <w:t>NIRF India: Tracks placement and higher education data as ranking criteria; QS Graduate Employability Rankings (Global): Emphasizes employment outcomes; UK Teaching Excellence Framework (TEF): Includes employment and workload as metrics; Australian Graduate Outcomes Survey (GOS): National data improving accountability and trust in HEIs.</w:t>
            </w:r>
          </w:p>
        </w:tc>
      </w:tr>
      <w:tr>
        <w:tc>
          <w:tcPr>
            <w:tcW w:type="dxa" w:w="2551"/>
            <w:tcW w:w="2551" w:type="dxa"/>
          </w:tcPr>
          <w:p>
            <w:pPr>
              <w:jc w:val="left"/>
            </w:pPr>
            <w:r/>
            <w:r>
              <w:rPr>
                <w:rFonts w:ascii="Cambria" w:hAnsi="Cambria"/>
                <w:b/>
                <w:i w:val="0"/>
                <w:sz w:val="22"/>
              </w:rPr>
              <w:t>Expected Outcomes</w:t>
            </w:r>
          </w:p>
        </w:tc>
        <w:tc>
          <w:tcPr>
            <w:tcW w:type="dxa" w:w="6860"/>
            <w:tcW w:w="6860" w:type="dxa"/>
          </w:tcPr>
          <w:p>
            <w:pPr>
              <w:jc w:val="left"/>
            </w:pPr>
            <w:r/>
            <w:r>
              <w:rPr>
                <w:rFonts w:ascii="Cambria" w:hAnsi="Cambria"/>
                <w:b w:val="0"/>
                <w:i w:val="0"/>
                <w:sz w:val="22"/>
              </w:rPr>
              <w:t>Better alignment of education with job markets; Improved faculty wellbeing through balanced workloads; Students benefit from revised curricula addressing skill gaps.</w:t>
            </w:r>
          </w:p>
        </w:tc>
      </w:tr>
      <w:tr>
        <w:tc>
          <w:tcPr>
            <w:tcW w:type="dxa" w:w="2551"/>
            <w:tcW w:w="2551" w:type="dxa"/>
            <w:shd w:val="clear" w:color="auto" w:fill="DCE6F1"/>
          </w:tcPr>
          <w:p>
            <w:pPr>
              <w:jc w:val="left"/>
            </w:pPr>
            <w:r/>
            <w:r>
              <w:rPr>
                <w:rFonts w:ascii="Cambria" w:hAnsi="Cambria"/>
                <w:b/>
                <w:i w:val="0"/>
                <w:sz w:val="22"/>
              </w:rPr>
              <w:t>KPIs</w:t>
            </w:r>
          </w:p>
        </w:tc>
        <w:tc>
          <w:tcPr>
            <w:tcW w:type="dxa" w:w="6860"/>
            <w:tcW w:w="6860" w:type="dxa"/>
            <w:shd w:val="clear" w:color="auto" w:fill="DCE6F1"/>
          </w:tcPr>
          <w:p>
            <w:pPr>
              <w:jc w:val="left"/>
            </w:pPr>
            <w:r/>
            <w:r>
              <w:rPr>
                <w:rFonts w:ascii="Cambria" w:hAnsi="Cambria"/>
                <w:b w:val="0"/>
                <w:i w:val="0"/>
                <w:sz w:val="22"/>
              </w:rPr>
              <w:t>% of graduates employed, pursuing higher education, or in entrepreneurship within 6–12 months; Average time to secure first job; Employer satisfaction scores with graduates; Faculty workload distribution ratios (teaching : research : extension); Number of workload and employability audits conducted annually.</w:t>
            </w:r>
          </w:p>
        </w:tc>
      </w:tr>
      <w:tr>
        <w:tc>
          <w:tcPr>
            <w:tcW w:type="dxa" w:w="2551"/>
            <w:tcW w:w="2551" w:type="dxa"/>
          </w:tcPr>
          <w:p>
            <w:pPr>
              <w:jc w:val="left"/>
            </w:pPr>
            <w:r/>
            <w:r>
              <w:rPr>
                <w:rFonts w:ascii="Cambria" w:hAnsi="Cambria"/>
                <w:b/>
                <w:i w:val="0"/>
                <w:sz w:val="22"/>
              </w:rPr>
              <w:t>Stakeholder Responsibility</w:t>
            </w:r>
          </w:p>
        </w:tc>
        <w:tc>
          <w:tcPr>
            <w:tcW w:type="dxa" w:w="6860"/>
            <w:tcW w:w="6860" w:type="dxa"/>
          </w:tcPr>
          <w:p>
            <w:pPr>
              <w:jc w:val="left"/>
            </w:pPr>
            <w:r/>
            <w:r>
              <w:rPr>
                <w:rFonts w:ascii="Cambria" w:hAnsi="Cambria"/>
                <w:b w:val="0"/>
                <w:i w:val="0"/>
                <w:sz w:val="22"/>
              </w:rPr>
              <w:t>HEIs: Track outcomes, manage workloads, publish reports; Regulators (UGC, AICTE, NAAC, NBA): Mandate audits, issue guidelines, integrate into accreditation; Industry Partners: Provide feedback on skill gaps and employability needs; Students/Alumni: Participate in surveys and feedback loops.</w:t>
            </w:r>
          </w:p>
        </w:tc>
      </w:tr>
      <w:tr>
        <w:tc>
          <w:tcPr>
            <w:tcW w:type="dxa" w:w="2551"/>
            <w:tcW w:w="2551" w:type="dxa"/>
            <w:shd w:val="clear" w:color="auto" w:fill="DCE6F1"/>
          </w:tcPr>
          <w:p>
            <w:pPr>
              <w:jc w:val="left"/>
            </w:pPr>
            <w:r/>
            <w:r>
              <w:rPr>
                <w:rFonts w:ascii="Cambria" w:hAnsi="Cambria"/>
                <w:b/>
                <w:i w:val="0"/>
                <w:sz w:val="22"/>
              </w:rPr>
              <w:t>Ranking &amp; Accreditation Impact</w:t>
            </w:r>
          </w:p>
        </w:tc>
        <w:tc>
          <w:tcPr>
            <w:tcW w:type="dxa" w:w="6860"/>
            <w:tcW w:w="6860" w:type="dxa"/>
            <w:shd w:val="clear" w:color="auto" w:fill="DCE6F1"/>
          </w:tcPr>
          <w:p>
            <w:pPr>
              <w:jc w:val="left"/>
            </w:pPr>
            <w:r/>
            <w:r>
              <w:rPr>
                <w:rFonts w:ascii="Cambria" w:hAnsi="Cambria"/>
                <w:b w:val="0"/>
                <w:i w:val="0"/>
                <w:sz w:val="22"/>
              </w:rPr>
              <w:t>NAAC: Criterion II (Teaching–Learning) and Criterion V (Student Support &amp; Progression); NBA: Graduate attributes linked to employability; NIRF: Strong weightage for placement outcomes; QS/THE Rankings: Graduate employability indicators.</w:t>
            </w:r>
          </w:p>
        </w:tc>
      </w:tr>
      <w:tr>
        <w:tc>
          <w:tcPr>
            <w:tcW w:type="dxa" w:w="2551"/>
            <w:tcW w:w="2551" w:type="dxa"/>
          </w:tcPr>
          <w:p>
            <w:pPr>
              <w:jc w:val="left"/>
            </w:pPr>
            <w:r/>
            <w:r>
              <w:rPr>
                <w:rFonts w:ascii="Cambria" w:hAnsi="Cambria"/>
                <w:b/>
                <w:i w:val="0"/>
                <w:sz w:val="22"/>
              </w:rPr>
              <w:t>Student Growth &amp; Employability Impact</w:t>
            </w:r>
          </w:p>
        </w:tc>
        <w:tc>
          <w:tcPr>
            <w:tcW w:type="dxa" w:w="6860"/>
            <w:tcW w:w="6860" w:type="dxa"/>
          </w:tcPr>
          <w:p>
            <w:pPr>
              <w:jc w:val="left"/>
            </w:pPr>
            <w:r/>
            <w:r>
              <w:rPr>
                <w:rFonts w:ascii="Cambria" w:hAnsi="Cambria"/>
                <w:b w:val="0"/>
                <w:i w:val="0"/>
                <w:sz w:val="22"/>
              </w:rPr>
              <w:t>Students prepare with job-ready skills and reduced mismatch between education and employment opportunities; Reduced stress and higher productivity for faculty due to balanced workload systems.</w:t>
            </w:r>
          </w:p>
        </w:tc>
      </w:tr>
      <w:tr>
        <w:tc>
          <w:tcPr>
            <w:tcW w:type="dxa" w:w="2551"/>
            <w:tcW w:w="2551" w:type="dxa"/>
            <w:shd w:val="clear" w:color="auto" w:fill="DCE6F1"/>
          </w:tcPr>
          <w:p>
            <w:pPr>
              <w:jc w:val="left"/>
            </w:pPr>
            <w:r/>
            <w:r>
              <w:rPr>
                <w:rFonts w:ascii="Cambria" w:hAnsi="Cambria"/>
                <w:b/>
                <w:i w:val="0"/>
                <w:sz w:val="22"/>
              </w:rPr>
              <w:t>Societal Benefit &amp; Community Impact</w:t>
            </w:r>
          </w:p>
        </w:tc>
        <w:tc>
          <w:tcPr>
            <w:tcW w:type="dxa" w:w="6860"/>
            <w:tcW w:w="6860" w:type="dxa"/>
            <w:shd w:val="clear" w:color="auto" w:fill="DCE6F1"/>
          </w:tcPr>
          <w:p>
            <w:pPr>
              <w:jc w:val="left"/>
            </w:pPr>
            <w:r/>
            <w:r>
              <w:rPr>
                <w:rFonts w:ascii="Cambria" w:hAnsi="Cambria"/>
                <w:b w:val="0"/>
                <w:i w:val="0"/>
                <w:sz w:val="22"/>
              </w:rPr>
              <w:t>Society benefits from a skilled, employable workforce; Strengthened public trust in HEIs as contributors to national development; Reduced unemployment and underemployment among graduates; Contribution to SDG-4 (Quality Education) and SDG-8 (Decent Work &amp; Economic Growth).</w:t>
            </w:r>
          </w:p>
        </w:tc>
      </w:tr>
    </w:tbl>
    <w:p>
      <w:r>
        <w:br w:type="page"/>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