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mbria" w:hAnsi="Cambria"/>
          <w:b/>
          <w:color w:val="FF0000"/>
          <w:sz w:val="56"/>
        </w:rPr>
        <w:t>SDG-5: Gender Equality</w:t>
      </w:r>
    </w:p>
    <w:p>
      <w:pPr>
        <w:spacing w:after="80"/>
        <w:jc w:val="center"/>
      </w:pPr>
      <w:r>
        <w:rPr>
          <w:rFonts w:ascii="Cambria" w:hAnsi="Cambria"/>
          <w:b/>
          <w:color w:val="FF0000"/>
          <w:sz w:val="56"/>
        </w:rPr>
        <w:t>in Higher Education</w:t>
      </w:r>
    </w:p>
    <w:p>
      <w:pPr>
        <w:spacing w:after="80"/>
        <w:jc w:val="center"/>
      </w:pPr>
      <w:r>
        <w:rPr>
          <w:rFonts w:ascii="Cambria" w:hAnsi="Cambria"/>
          <w:b/>
          <w:color w:val="FF0000"/>
          <w:sz w:val="56"/>
        </w:rPr>
        <w:t>Institutions</w:t>
      </w:r>
    </w:p>
    <w:p>
      <w:pPr>
        <w:spacing w:before="200" w:after="600"/>
        <w:jc w:val="center"/>
      </w:pPr>
      <w:r>
        <w:rPr>
          <w:rFonts w:ascii="Cambria" w:hAnsi="Cambria"/>
          <w:b/>
          <w:sz w:val="28"/>
        </w:rPr>
        <w:t>Aligning with NAAC, NIRF, NBA, and QS I-GAUGE Frameworks</w:t>
      </w:r>
    </w:p>
    <w:p/>
    <w:p/>
    <w:p/>
    <w:p/>
    <w:p>
      <w:pPr>
        <w:spacing w:after="40"/>
      </w:pPr>
      <w:r>
        <w:rPr>
          <w:rFonts w:ascii="Cambria" w:hAnsi="Cambria"/>
          <w:b/>
          <w:sz w:val="24"/>
        </w:rPr>
        <w:t>Dr Venkata Rama Krishna Tottempudi</w:t>
      </w:r>
    </w:p>
    <w:p>
      <w:pPr>
        <w:spacing w:after="40"/>
      </w:pPr>
      <w:r>
        <w:rPr>
          <w:rFonts w:ascii="Cambria" w:hAnsi="Cambria"/>
          <w:b/>
          <w:sz w:val="24"/>
        </w:rPr>
        <w:t>Professor, Avanthi Institute of Engineering &amp; Technology</w:t>
      </w:r>
    </w:p>
    <w:p/>
    <w:p>
      <w:pPr>
        <w:spacing w:after="40"/>
      </w:pPr>
      <w:r>
        <w:rPr>
          <w:rFonts w:ascii="Cambria" w:hAnsi="Cambria"/>
          <w:b/>
          <w:sz w:val="24"/>
        </w:rPr>
        <w:t>Sai Saran Tottempudi</w:t>
      </w:r>
    </w:p>
    <w:p>
      <w:pPr>
        <w:spacing w:after="40"/>
      </w:pPr>
      <w:r>
        <w:rPr>
          <w:rFonts w:ascii="Cambria" w:hAnsi="Cambria"/>
          <w:b/>
          <w:sz w:val="24"/>
        </w:rPr>
        <w:t>Lecturer, Avanthi Institute of Engineering &amp; Technology</w:t>
      </w:r>
    </w:p>
    <w:p/>
    <w:p>
      <w:r>
        <w:br w:type="page"/>
      </w:r>
    </w:p>
    <w:p>
      <w:pPr>
        <w:spacing w:before="280" w:after="160"/>
        <w:jc w:val="left"/>
      </w:pPr>
      <w:r>
        <w:rPr>
          <w:rFonts w:ascii="Cambria" w:hAnsi="Cambria"/>
          <w:b/>
          <w:color w:val="1F3A5F"/>
          <w:sz w:val="32"/>
        </w:rPr>
        <w:t>ACKNOWLEDGEMENT</w:t>
      </w:r>
    </w:p>
    <w:p>
      <w:pPr>
        <w:spacing w:after="120"/>
        <w:jc w:val="both"/>
      </w:pPr>
      <w:r>
        <w:rPr>
          <w:rFonts w:ascii="Cambria" w:hAnsi="Cambria"/>
          <w:b w:val="0"/>
          <w:i w:val="0"/>
          <w:sz w:val="22"/>
        </w:rPr>
        <w:t>The implementation of Sustainable Development Goal 5 (SDG-5): Gender Equality in Higher Education Institutions (HEIs) represents a transformative step toward ensuring inclusivity, fairness, and empowerment across all domains of academic life. Gender equality is not merely a human right but a cornerstone for social progress, academic innovation, and institutional excellence. HEIs serve as the foundation for shaping future leaders, policymakers, and innovators, and therefore bear the responsibility to eliminate all forms of gender discrimination while fostering an environment that promotes equity, leadership, and mutual respect.</w:t>
      </w:r>
    </w:p>
    <w:p>
      <w:pPr>
        <w:spacing w:after="120"/>
        <w:jc w:val="both"/>
      </w:pPr>
      <w:r>
        <w:rPr>
          <w:rFonts w:ascii="Cambria" w:hAnsi="Cambria"/>
          <w:b w:val="0"/>
          <w:i w:val="0"/>
          <w:sz w:val="22"/>
        </w:rPr>
        <w:t>The Government of India, through its various ministries and statutory bodies such as the University Grants Commission (UGC), All India Council for Technical Education (AICTE), and the National Assessment and Accreditation Council (NAAC), has emphasized the inclusion of gender-sensitive frameworks in policy, curriculum, and institutional governance. Schemes such as Beti Bachao Beti Padhao, Sukanya Samriddhi Yojana, Mahila Shakti Kendra, Janani Suraksha Yojana, and Pradhan Mantri Ujjwala Yojana exemplify the nation's efforts to strengthen women's empowerment through education, financial inclusion, and social welfare.</w:t>
      </w:r>
    </w:p>
    <w:p>
      <w:pPr>
        <w:spacing w:after="120"/>
        <w:jc w:val="both"/>
      </w:pPr>
      <w:r>
        <w:rPr>
          <w:rFonts w:ascii="Cambria" w:hAnsi="Cambria"/>
          <w:b w:val="0"/>
          <w:i w:val="0"/>
          <w:sz w:val="22"/>
        </w:rPr>
        <w:t>At the global level, organizations such as UNESCO, UN Women, and the United Nations Development Programme (UNDP) continue to highlight the need for gender equality in education, science, and culture as a key driver for achieving sustainable development. UNESCO's policy recommendations further encourage women's participation in science, technology, and innovation (STI), as well as their empowerment through access to education, leadership roles, and digital inclusion. These global frameworks, combined with national initiatives, offer a powerful roadmap for achieving gender equity within HEIs.</w:t>
      </w:r>
    </w:p>
    <w:p>
      <w:pPr>
        <w:spacing w:after="120"/>
        <w:jc w:val="both"/>
      </w:pPr>
      <w:r>
        <w:rPr>
          <w:rFonts w:ascii="Cambria" w:hAnsi="Cambria"/>
          <w:b w:val="0"/>
          <w:sz w:val="22"/>
        </w:rPr>
        <w:t xml:space="preserve">My heartfelt thanks to </w:t>
      </w:r>
      <w:r>
        <w:rPr>
          <w:rFonts w:ascii="Cambria" w:hAnsi="Cambria"/>
          <w:b/>
          <w:sz w:val="22"/>
        </w:rPr>
        <w:t>Smt. M. Gnaneshwari, Chairperson -AIET,</w:t>
      </w:r>
      <w:r>
        <w:rPr>
          <w:rFonts w:ascii="Cambria" w:hAnsi="Cambria"/>
          <w:b w:val="0"/>
          <w:sz w:val="22"/>
        </w:rPr>
        <w:t xml:space="preserve"> for his constant encouragement, and to </w:t>
      </w:r>
      <w:r>
        <w:rPr>
          <w:rFonts w:ascii="Cambria" w:hAnsi="Cambria"/>
          <w:b/>
          <w:sz w:val="22"/>
        </w:rPr>
        <w:t>Sri. M. Srinivasa Rao,</w:t>
      </w:r>
      <w:r>
        <w:rPr>
          <w:rFonts w:ascii="Cambria" w:hAnsi="Cambria"/>
          <w:b w:val="0"/>
          <w:sz w:val="22"/>
        </w:rPr>
        <w:t xml:space="preserve"> Ex Minister Govt. Of AP, Member of Legislative Assembly, Bheemili., for providing the necessary facilities and support to bring this book to completion.</w:t>
      </w:r>
    </w:p>
    <w:p>
      <w:pPr>
        <w:spacing w:after="120"/>
        <w:jc w:val="both"/>
      </w:pPr>
      <w:r>
        <w:rPr>
          <w:rFonts w:ascii="Cambria" w:hAnsi="Cambria"/>
          <w:b w:val="0"/>
          <w:sz w:val="22"/>
        </w:rPr>
        <w:t xml:space="preserve">In addition, I gratefully acknowledge the support of </w:t>
      </w:r>
      <w:r>
        <w:rPr>
          <w:rFonts w:ascii="Cambria" w:hAnsi="Cambria"/>
          <w:b/>
          <w:sz w:val="22"/>
        </w:rPr>
        <w:t>Dr. A.Chandra Sekhar and Dr.B.Murali Krishna</w:t>
      </w:r>
      <w:r>
        <w:rPr>
          <w:rFonts w:ascii="Cambria" w:hAnsi="Cambria"/>
          <w:b w:val="0"/>
          <w:sz w:val="22"/>
        </w:rPr>
        <w:t>, whose contributions have been invaluable.</w:t>
      </w:r>
    </w:p>
    <w:p>
      <w:pPr>
        <w:spacing w:after="120"/>
        <w:jc w:val="both"/>
      </w:pPr>
      <w:r>
        <w:rPr>
          <w:rFonts w:ascii="Cambria" w:hAnsi="Cambria"/>
          <w:b w:val="0"/>
          <w:sz w:val="22"/>
        </w:rPr>
        <w:t xml:space="preserve">Most importantly, I must thank my wife and best friend, </w:t>
      </w:r>
      <w:r>
        <w:rPr>
          <w:rFonts w:ascii="Cambria" w:hAnsi="Cambria"/>
          <w:b/>
          <w:sz w:val="22"/>
        </w:rPr>
        <w:t>Sailaja Tottempudi</w:t>
      </w:r>
      <w:r>
        <w:rPr>
          <w:rFonts w:ascii="Cambria" w:hAnsi="Cambria"/>
          <w:b w:val="0"/>
          <w:sz w:val="22"/>
        </w:rPr>
        <w:t>, for her unwavering support and strength through every phase of this journey.</w:t>
      </w:r>
    </w:p>
    <w:p>
      <w:pPr>
        <w:spacing w:after="120"/>
        <w:jc w:val="both"/>
      </w:pPr>
      <w:r>
        <w:rPr>
          <w:rFonts w:ascii="Cambria" w:hAnsi="Cambria"/>
          <w:b w:val="0"/>
          <w:i w:val="0"/>
          <w:sz w:val="22"/>
        </w:rPr>
        <w:t>Finally, I express my deep gratitude to my family and well-wishers for their continuous encouragement and moral support throughout this endeavor.</w:t>
      </w:r>
    </w:p>
    <w:p>
      <w:pPr>
        <w:spacing w:after="120"/>
        <w:jc w:val="both"/>
      </w:pPr>
      <w:r>
        <w:rPr>
          <w:rFonts w:ascii="Cambria" w:hAnsi="Cambria"/>
          <w:b w:val="0"/>
          <w:i w:val="0"/>
          <w:sz w:val="22"/>
        </w:rPr>
        <w:t>This book is a humble contribution toward building a more quality-conscious, outcome-oriented, and institutionally accountable higher education ecosystem in India.</w:t>
      </w:r>
    </w:p>
    <w:p/>
    <w:p>
      <w:r>
        <w:rPr>
          <w:rFonts w:ascii="Cambria" w:hAnsi="Cambria"/>
          <w:b/>
          <w:sz w:val="22"/>
        </w:rPr>
        <w:t>Dr. V. Rama Krishna Tottempudi</w:t>
      </w:r>
    </w:p>
    <w:p>
      <w:r>
        <w:rPr>
          <w:rFonts w:ascii="Cambria" w:hAnsi="Cambria"/>
          <w:b/>
          <w:sz w:val="22"/>
        </w:rPr>
        <w:t>Sai Saran Tottempudi</w:t>
      </w:r>
    </w:p>
    <w:p>
      <w:pPr>
        <w:spacing w:before="280" w:after="160"/>
        <w:jc w:val="left"/>
      </w:pPr>
      <w:r>
        <w:rPr>
          <w:rFonts w:ascii="Cambria" w:hAnsi="Cambria"/>
          <w:b/>
          <w:color w:val="1F3A5F"/>
          <w:sz w:val="32"/>
        </w:rPr>
        <w:t>About Dr. T. V. Rama Krishna</w:t>
      </w:r>
    </w:p>
    <w:p>
      <w:pPr>
        <w:spacing w:after="120"/>
        <w:jc w:val="both"/>
      </w:pPr>
      <w:r>
        <w:rPr>
          <w:rFonts w:ascii="Cambria" w:hAnsi="Cambria"/>
          <w:b w:val="0"/>
          <w:sz w:val="22"/>
        </w:rPr>
        <w:t xml:space="preserve">Dr. T. V. Rama Krishna is a distinguished academician, researcher, and administrator with </w:t>
      </w:r>
      <w:r>
        <w:rPr>
          <w:rFonts w:ascii="Cambria" w:hAnsi="Cambria"/>
          <w:b/>
          <w:sz w:val="22"/>
        </w:rPr>
        <w:t>25 years of teaching experience</w:t>
      </w:r>
      <w:r>
        <w:rPr>
          <w:rFonts w:ascii="Cambria" w:hAnsi="Cambria"/>
          <w:b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sz w:val="22"/>
        </w:rPr>
        <w:t xml:space="preserve">He has successfully </w:t>
      </w:r>
      <w:r>
        <w:rPr>
          <w:rFonts w:ascii="Cambria" w:hAnsi="Cambria"/>
          <w:b/>
          <w:sz w:val="22"/>
        </w:rPr>
        <w:t>guided 5 Ph.D. scholars</w:t>
      </w:r>
      <w:r>
        <w:rPr>
          <w:rFonts w:ascii="Cambria" w:hAnsi="Cambria"/>
          <w:b w:val="0"/>
          <w:sz w:val="22"/>
        </w:rPr>
        <w:t xml:space="preserve"> and continues to serve as a </w:t>
      </w:r>
      <w:r>
        <w:rPr>
          <w:rFonts w:ascii="Cambria" w:hAnsi="Cambria"/>
          <w:b/>
          <w:sz w:val="22"/>
        </w:rPr>
        <w:t>recognized research supervisor</w:t>
      </w:r>
      <w:r>
        <w:rPr>
          <w:rFonts w:ascii="Cambria" w:hAnsi="Cambria"/>
          <w:b w:val="0"/>
          <w:sz w:val="22"/>
        </w:rPr>
        <w:t xml:space="preserve"> at </w:t>
      </w:r>
      <w:r>
        <w:rPr>
          <w:rFonts w:ascii="Cambria" w:hAnsi="Cambria"/>
          <w:b/>
          <w:sz w:val="22"/>
        </w:rPr>
        <w:t>Andhra University</w:t>
      </w:r>
      <w:r>
        <w:rPr>
          <w:rFonts w:ascii="Cambria" w:hAnsi="Cambria"/>
          <w:b w:val="0"/>
          <w:sz w:val="22"/>
        </w:rPr>
        <w:t xml:space="preserve">, </w:t>
      </w:r>
      <w:r>
        <w:rPr>
          <w:rFonts w:ascii="Cambria" w:hAnsi="Cambria"/>
          <w:b/>
          <w:sz w:val="22"/>
        </w:rPr>
        <w:t>JNTU Ananthapuram</w:t>
      </w:r>
      <w:r>
        <w:rPr>
          <w:rFonts w:ascii="Cambria" w:hAnsi="Cambria"/>
          <w:b w:val="0"/>
          <w:sz w:val="22"/>
        </w:rPr>
        <w:t xml:space="preserve">, </w:t>
      </w:r>
      <w:r>
        <w:rPr>
          <w:rFonts w:ascii="Cambria" w:hAnsi="Cambria"/>
          <w:b/>
          <w:sz w:val="22"/>
        </w:rPr>
        <w:t>Koneru Lakshmaiah Education Foundation (KLEF) University</w:t>
      </w:r>
      <w:r>
        <w:rPr>
          <w:rFonts w:ascii="Cambria" w:hAnsi="Cambria"/>
          <w:b w:val="0"/>
          <w:sz w:val="22"/>
        </w:rPr>
        <w:t xml:space="preserve">, and </w:t>
      </w:r>
      <w:r>
        <w:rPr>
          <w:rFonts w:ascii="Cambria" w:hAnsi="Cambria"/>
          <w:b/>
          <w:sz w:val="22"/>
        </w:rPr>
        <w:t>Sri Chandrasekharendra Saraswathi Viswa Mahavidyalaya University</w:t>
      </w:r>
      <w:r>
        <w:rPr>
          <w:rFonts w:ascii="Cambria" w:hAnsi="Cambria"/>
          <w:b w:val="0"/>
          <w:sz w:val="22"/>
        </w:rPr>
        <w:t>. His supervision has fostered high-quality research outcomes in engineering, technology, and applied sciences.</w:t>
      </w:r>
    </w:p>
    <w:p>
      <w:pPr>
        <w:spacing w:after="120"/>
        <w:jc w:val="both"/>
      </w:pPr>
      <w:r>
        <w:rPr>
          <w:rFonts w:ascii="Cambria" w:hAnsi="Cambria"/>
          <w:b w:val="0"/>
          <w:sz w:val="22"/>
        </w:rPr>
        <w:t xml:space="preserve">Dr. Rama Krishna is a prolific researcher with an extensive publication record of </w:t>
      </w:r>
      <w:r>
        <w:rPr>
          <w:rFonts w:ascii="Cambria" w:hAnsi="Cambria"/>
          <w:b/>
          <w:sz w:val="22"/>
        </w:rPr>
        <w:t>97 research papers</w:t>
      </w:r>
      <w:r>
        <w:rPr>
          <w:rFonts w:ascii="Cambria" w:hAnsi="Cambria"/>
          <w:b w:val="0"/>
          <w:sz w:val="22"/>
        </w:rPr>
        <w:t xml:space="preserve">, including </w:t>
      </w:r>
      <w:r>
        <w:rPr>
          <w:rFonts w:ascii="Cambria" w:hAnsi="Cambria"/>
          <w:b/>
          <w:sz w:val="22"/>
        </w:rPr>
        <w:t>50 indexed in Scopus and 3 in SCI journals</w:t>
      </w:r>
      <w:r>
        <w:rPr>
          <w:rFonts w:ascii="Cambria" w:hAnsi="Cambria"/>
          <w:b w:val="0"/>
          <w:sz w:val="22"/>
        </w:rPr>
        <w:t>. His research expertise is widely recognized, and his profile can be accessed here: Scopus Author ID – 56397099300.</w:t>
      </w:r>
    </w:p>
    <w:p>
      <w:pPr>
        <w:spacing w:after="120"/>
        <w:jc w:val="both"/>
      </w:pPr>
      <w:r>
        <w:rPr>
          <w:rFonts w:ascii="Cambria" w:hAnsi="Cambria"/>
          <w:b w:val="0"/>
          <w:sz w:val="22"/>
        </w:rPr>
        <w:t xml:space="preserve">Dr. T. V. Rama Krishna has held several distinguished academic and administrative positions across reputed institutions in Andhra Pradesh and Telangana. At </w:t>
      </w:r>
      <w:r>
        <w:rPr>
          <w:rFonts w:ascii="Cambria" w:hAnsi="Cambria"/>
          <w:b/>
          <w:sz w:val="22"/>
        </w:rPr>
        <w:t>Sanketika Vidya Parishad Engineering College (SVPEC)</w:t>
      </w:r>
      <w:r>
        <w:rPr>
          <w:rFonts w:ascii="Cambria" w:hAnsi="Cambria"/>
          <w:b w:val="0"/>
          <w:sz w:val="22"/>
        </w:rPr>
        <w:t xml:space="preserve">, he served as the </w:t>
      </w:r>
      <w:r>
        <w:rPr>
          <w:rFonts w:ascii="Cambria" w:hAnsi="Cambria"/>
          <w:b/>
          <w:sz w:val="22"/>
        </w:rPr>
        <w:t>Ratified Principal from Andhra University</w:t>
      </w:r>
      <w:r>
        <w:rPr>
          <w:rFonts w:ascii="Cambria" w:hAnsi="Cambria"/>
          <w:b w:val="0"/>
          <w:sz w:val="22"/>
        </w:rPr>
        <w:t xml:space="preserve">, where he also took on responsibilities as </w:t>
      </w:r>
      <w:r>
        <w:rPr>
          <w:rFonts w:ascii="Cambria" w:hAnsi="Cambria"/>
          <w:b/>
          <w:sz w:val="22"/>
        </w:rPr>
        <w:t>Dean of Academics</w:t>
      </w:r>
      <w:r>
        <w:rPr>
          <w:rFonts w:ascii="Cambria" w:hAnsi="Cambria"/>
          <w:b w:val="0"/>
          <w:sz w:val="22"/>
        </w:rPr>
        <w:t xml:space="preserve">, </w:t>
      </w:r>
      <w:r>
        <w:rPr>
          <w:rFonts w:ascii="Cambria" w:hAnsi="Cambria"/>
          <w:b/>
          <w:sz w:val="22"/>
        </w:rPr>
        <w:t>Ratified Professor</w:t>
      </w:r>
      <w:r>
        <w:rPr>
          <w:rFonts w:ascii="Cambria" w:hAnsi="Cambria"/>
          <w:b w:val="0"/>
          <w:sz w:val="22"/>
        </w:rPr>
        <w:t xml:space="preserve">, and </w:t>
      </w:r>
      <w:r>
        <w:rPr>
          <w:rFonts w:ascii="Cambria" w:hAnsi="Cambria"/>
          <w:b/>
          <w:sz w:val="22"/>
        </w:rPr>
        <w:t>Member Secretary of the Governing Body</w:t>
      </w:r>
      <w:r>
        <w:rPr>
          <w:rFonts w:ascii="Cambria" w:hAnsi="Cambria"/>
          <w:b w:val="0"/>
          <w:sz w:val="22"/>
        </w:rPr>
        <w:t xml:space="preserve">, a statutory body under UGC. He later contributed as the </w:t>
      </w:r>
      <w:r>
        <w:rPr>
          <w:rFonts w:ascii="Cambria" w:hAnsi="Cambria"/>
          <w:b/>
          <w:sz w:val="22"/>
        </w:rPr>
        <w:t>Ratified Principal from JNTU, Hyderabad</w:t>
      </w:r>
      <w:r>
        <w:rPr>
          <w:rFonts w:ascii="Cambria" w:hAnsi="Cambria"/>
          <w:b w:val="0"/>
          <w:sz w:val="22"/>
        </w:rPr>
        <w:t xml:space="preserve"> at </w:t>
      </w:r>
      <w:r>
        <w:rPr>
          <w:rFonts w:ascii="Cambria" w:hAnsi="Cambria"/>
          <w:b/>
          <w:sz w:val="22"/>
        </w:rPr>
        <w:t>Bharat Institute of Engineering and Technology (BIET)</w:t>
      </w:r>
      <w:r>
        <w:rPr>
          <w:rFonts w:ascii="Cambria" w:hAnsi="Cambria"/>
          <w:b w:val="0"/>
          <w:sz w:val="22"/>
        </w:rPr>
        <w:t xml:space="preserve">, where his primary duties included serving as </w:t>
      </w:r>
      <w:r>
        <w:rPr>
          <w:rFonts w:ascii="Cambria" w:hAnsi="Cambria"/>
          <w:b/>
          <w:sz w:val="22"/>
        </w:rPr>
        <w:t>Dean of Academics</w:t>
      </w:r>
      <w:r>
        <w:rPr>
          <w:rFonts w:ascii="Cambria" w:hAnsi="Cambria"/>
          <w:b w:val="0"/>
          <w:sz w:val="22"/>
        </w:rPr>
        <w:t xml:space="preserve"> and </w:t>
      </w:r>
      <w:r>
        <w:rPr>
          <w:rFonts w:ascii="Cambria" w:hAnsi="Cambria"/>
          <w:b/>
          <w:sz w:val="22"/>
        </w:rPr>
        <w:t>Member Secretary of the Governing Body</w:t>
      </w:r>
      <w:r>
        <w:rPr>
          <w:rFonts w:ascii="Cambria" w:hAnsi="Cambria"/>
          <w:b w:val="0"/>
          <w:sz w:val="22"/>
        </w:rPr>
        <w:t>.</w:t>
      </w:r>
    </w:p>
    <w:p>
      <w:pPr>
        <w:spacing w:after="120"/>
        <w:jc w:val="both"/>
      </w:pPr>
      <w:r>
        <w:rPr>
          <w:rFonts w:ascii="Cambria" w:hAnsi="Cambria"/>
          <w:b w:val="0"/>
          <w:sz w:val="22"/>
        </w:rPr>
        <w:t xml:space="preserve">At </w:t>
      </w:r>
      <w:r>
        <w:rPr>
          <w:rFonts w:ascii="Cambria" w:hAnsi="Cambria"/>
          <w:b/>
          <w:sz w:val="22"/>
        </w:rPr>
        <w:t>Sasi Institute of Technology and Engineering (SITE)</w:t>
      </w:r>
      <w:r>
        <w:rPr>
          <w:rFonts w:ascii="Cambria" w:hAnsi="Cambria"/>
          <w:b w:val="0"/>
          <w:sz w:val="22"/>
        </w:rPr>
        <w:t xml:space="preserve">, he functioned as a </w:t>
      </w:r>
      <w:r>
        <w:rPr>
          <w:rFonts w:ascii="Cambria" w:hAnsi="Cambria"/>
          <w:b/>
          <w:sz w:val="22"/>
        </w:rPr>
        <w:t>Ratified Professor from JNTUK, Kakinada</w:t>
      </w:r>
      <w:r>
        <w:rPr>
          <w:rFonts w:ascii="Cambria" w:hAnsi="Cambria"/>
          <w:b w:val="0"/>
          <w:sz w:val="22"/>
        </w:rPr>
        <w:t xml:space="preserve">, while also serving as </w:t>
      </w:r>
      <w:r>
        <w:rPr>
          <w:rFonts w:ascii="Cambria" w:hAnsi="Cambria"/>
          <w:b/>
          <w:sz w:val="22"/>
        </w:rPr>
        <w:t>Principal</w:t>
      </w:r>
      <w:r>
        <w:rPr>
          <w:rFonts w:ascii="Cambria" w:hAnsi="Cambria"/>
          <w:b w:val="0"/>
          <w:sz w:val="22"/>
        </w:rPr>
        <w:t xml:space="preserve"> and </w:t>
      </w:r>
      <w:r>
        <w:rPr>
          <w:rFonts w:ascii="Cambria" w:hAnsi="Cambria"/>
          <w:b/>
          <w:sz w:val="22"/>
        </w:rPr>
        <w:t>Dean of Academics</w:t>
      </w:r>
      <w:r>
        <w:rPr>
          <w:rFonts w:ascii="Cambria" w:hAnsi="Cambria"/>
          <w:b w:val="0"/>
          <w:sz w:val="22"/>
        </w:rPr>
        <w:t xml:space="preserve">. His statutory and governance roles at SITE included </w:t>
      </w:r>
      <w:r>
        <w:rPr>
          <w:rFonts w:ascii="Cambria" w:hAnsi="Cambria"/>
          <w:b/>
          <w:sz w:val="22"/>
        </w:rPr>
        <w:t>Governing Body Member</w:t>
      </w:r>
      <w:r>
        <w:rPr>
          <w:rFonts w:ascii="Cambria" w:hAnsi="Cambria"/>
          <w:b w:val="0"/>
          <w:sz w:val="22"/>
        </w:rPr>
        <w:t xml:space="preserve">, </w:t>
      </w:r>
      <w:r>
        <w:rPr>
          <w:rFonts w:ascii="Cambria" w:hAnsi="Cambria"/>
          <w:b/>
          <w:sz w:val="22"/>
        </w:rPr>
        <w:t>Academic Council Member Secretary</w:t>
      </w:r>
      <w:r>
        <w:rPr>
          <w:rFonts w:ascii="Cambria" w:hAnsi="Cambria"/>
          <w:b w:val="0"/>
          <w:sz w:val="22"/>
        </w:rPr>
        <w:t xml:space="preserve">, </w:t>
      </w:r>
      <w:r>
        <w:rPr>
          <w:rFonts w:ascii="Cambria" w:hAnsi="Cambria"/>
          <w:b/>
          <w:sz w:val="22"/>
        </w:rPr>
        <w:t>BoS Member</w:t>
      </w:r>
      <w:r>
        <w:rPr>
          <w:rFonts w:ascii="Cambria" w:hAnsi="Cambria"/>
          <w:b w:val="0"/>
          <w:sz w:val="22"/>
        </w:rPr>
        <w:t xml:space="preserve">, </w:t>
      </w:r>
      <w:r>
        <w:rPr>
          <w:rFonts w:ascii="Cambria" w:hAnsi="Cambria"/>
          <w:b/>
          <w:sz w:val="22"/>
        </w:rPr>
        <w:t>Finance Committee Coordinator</w:t>
      </w:r>
      <w:r>
        <w:rPr>
          <w:rFonts w:ascii="Cambria" w:hAnsi="Cambria"/>
          <w:b w:val="0"/>
          <w:sz w:val="22"/>
        </w:rPr>
        <w:t xml:space="preserve">, </w:t>
      </w:r>
      <w:r>
        <w:rPr>
          <w:rFonts w:ascii="Cambria" w:hAnsi="Cambria"/>
          <w:b/>
          <w:sz w:val="22"/>
        </w:rPr>
        <w:t>Planning &amp; Development Committee Coordinator</w:t>
      </w:r>
      <w:r>
        <w:rPr>
          <w:rFonts w:ascii="Cambria" w:hAnsi="Cambria"/>
          <w:b w:val="0"/>
          <w:sz w:val="22"/>
        </w:rPr>
        <w:t xml:space="preserve">, </w:t>
      </w:r>
      <w:r>
        <w:rPr>
          <w:rFonts w:ascii="Cambria" w:hAnsi="Cambria"/>
          <w:b/>
          <w:sz w:val="22"/>
        </w:rPr>
        <w:t>NAAC Coordinator</w:t>
      </w:r>
      <w:r>
        <w:rPr>
          <w:rFonts w:ascii="Cambria" w:hAnsi="Cambria"/>
          <w:b w:val="0"/>
          <w:sz w:val="22"/>
        </w:rPr>
        <w:t xml:space="preserve">, </w:t>
      </w:r>
      <w:r>
        <w:rPr>
          <w:rFonts w:ascii="Cambria" w:hAnsi="Cambria"/>
          <w:b/>
          <w:sz w:val="22"/>
        </w:rPr>
        <w:t>IQAC Coordinator</w:t>
      </w:r>
      <w:r>
        <w:rPr>
          <w:rFonts w:ascii="Cambria" w:hAnsi="Cambria"/>
          <w:b w:val="0"/>
          <w:sz w:val="22"/>
        </w:rPr>
        <w:t xml:space="preserve">, and </w:t>
      </w:r>
      <w:r>
        <w:rPr>
          <w:rFonts w:ascii="Cambria" w:hAnsi="Cambria"/>
          <w:b/>
          <w:sz w:val="22"/>
        </w:rPr>
        <w:t>NBA Coordinator</w:t>
      </w:r>
      <w:r>
        <w:rPr>
          <w:rFonts w:ascii="Cambria" w:hAnsi="Cambria"/>
          <w:b w:val="0"/>
          <w:sz w:val="22"/>
        </w:rPr>
        <w:t>, reflecting his extensive expertise in quality assurance and institutional governance.</w:t>
      </w:r>
    </w:p>
    <w:p>
      <w:pPr>
        <w:spacing w:after="120"/>
        <w:jc w:val="both"/>
      </w:pPr>
      <w:r>
        <w:rPr>
          <w:rFonts w:ascii="Cambria" w:hAnsi="Cambria"/>
          <w:b w:val="0"/>
          <w:sz w:val="22"/>
        </w:rPr>
        <w:t xml:space="preserve">At </w:t>
      </w:r>
      <w:r>
        <w:rPr>
          <w:rFonts w:ascii="Cambria" w:hAnsi="Cambria"/>
          <w:b/>
          <w:sz w:val="22"/>
        </w:rPr>
        <w:t>Koneru Lakshmaiah College of Engineering (KLCE) / KLEF University</w:t>
      </w:r>
      <w:r>
        <w:rPr>
          <w:rFonts w:ascii="Cambria" w:hAnsi="Cambria"/>
          <w:b w:val="0"/>
          <w:sz w:val="22"/>
        </w:rPr>
        <w:t xml:space="preserve">, Dr. Rama Krishna contributed as a </w:t>
      </w:r>
      <w:r>
        <w:rPr>
          <w:rFonts w:ascii="Cambria" w:hAnsi="Cambria"/>
          <w:b/>
          <w:sz w:val="22"/>
        </w:rPr>
        <w:t>Ratified Professor</w:t>
      </w:r>
      <w:r>
        <w:rPr>
          <w:rFonts w:ascii="Cambria" w:hAnsi="Cambria"/>
          <w:b w:val="0"/>
          <w:sz w:val="22"/>
        </w:rPr>
        <w:t xml:space="preserve">, </w:t>
      </w:r>
      <w:r>
        <w:rPr>
          <w:rFonts w:ascii="Cambria" w:hAnsi="Cambria"/>
          <w:b/>
          <w:sz w:val="22"/>
        </w:rPr>
        <w:t>Director of e-Resources</w:t>
      </w:r>
      <w:r>
        <w:rPr>
          <w:rFonts w:ascii="Cambria" w:hAnsi="Cambria"/>
          <w:b w:val="0"/>
          <w:sz w:val="22"/>
        </w:rPr>
        <w:t xml:space="preserve">, </w:t>
      </w:r>
      <w:r>
        <w:rPr>
          <w:rFonts w:ascii="Cambria" w:hAnsi="Cambria"/>
          <w:b/>
          <w:sz w:val="22"/>
        </w:rPr>
        <w:t>Associate Dean of Academics</w:t>
      </w:r>
      <w:r>
        <w:rPr>
          <w:rFonts w:ascii="Cambria" w:hAnsi="Cambria"/>
          <w:b w:val="0"/>
          <w:sz w:val="22"/>
        </w:rPr>
        <w:t xml:space="preserve">, and </w:t>
      </w:r>
      <w:r>
        <w:rPr>
          <w:rFonts w:ascii="Cambria" w:hAnsi="Cambria"/>
          <w:b/>
          <w:sz w:val="22"/>
        </w:rPr>
        <w:t>Associate Dean of Library Resources &amp; Technical Services and Certificate Courses</w:t>
      </w:r>
      <w:r>
        <w:rPr>
          <w:rFonts w:ascii="Cambria" w:hAnsi="Cambria"/>
          <w:b w:val="0"/>
          <w:sz w:val="22"/>
        </w:rPr>
        <w:t xml:space="preserve">. Additionally, he served as </w:t>
      </w:r>
      <w:r>
        <w:rPr>
          <w:rFonts w:ascii="Cambria" w:hAnsi="Cambria"/>
          <w:b/>
          <w:sz w:val="22"/>
        </w:rPr>
        <w:t>Professor In-Charge of Certificate Courses and the Central Library</w:t>
      </w:r>
      <w:r>
        <w:rPr>
          <w:rFonts w:ascii="Cambria" w:hAnsi="Cambria"/>
          <w:b w:val="0"/>
          <w:sz w:val="22"/>
        </w:rPr>
        <w:t xml:space="preserve">, while also holding statutory roles as </w:t>
      </w:r>
      <w:r>
        <w:rPr>
          <w:rFonts w:ascii="Cambria" w:hAnsi="Cambria"/>
          <w:b/>
          <w:sz w:val="22"/>
        </w:rPr>
        <w:t>Academic Council Member</w:t>
      </w:r>
      <w:r>
        <w:rPr>
          <w:rFonts w:ascii="Cambria" w:hAnsi="Cambria"/>
          <w:b w:val="0"/>
          <w:sz w:val="22"/>
        </w:rPr>
        <w:t xml:space="preserve"> and </w:t>
      </w:r>
      <w:r>
        <w:rPr>
          <w:rFonts w:ascii="Cambria" w:hAnsi="Cambria"/>
          <w:b/>
          <w:sz w:val="22"/>
        </w:rPr>
        <w:t>BoS Member</w:t>
      </w:r>
      <w:r>
        <w:rPr>
          <w:rFonts w:ascii="Cambria" w:hAnsi="Cambria"/>
          <w:b w:val="0"/>
          <w:sz w:val="22"/>
        </w:rPr>
        <w:t xml:space="preserve"> under UGC guidelines.</w:t>
      </w:r>
    </w:p>
    <w:p>
      <w:pPr>
        <w:spacing w:after="120"/>
        <w:jc w:val="both"/>
      </w:pPr>
      <w:r>
        <w:rPr>
          <w:rFonts w:ascii="Cambria" w:hAnsi="Cambria"/>
          <w:b w:val="0"/>
          <w:sz w:val="22"/>
        </w:rPr>
        <w:t xml:space="preserve">Earlier in his career, at </w:t>
      </w:r>
      <w:r>
        <w:rPr>
          <w:rFonts w:ascii="Cambria" w:hAnsi="Cambria"/>
          <w:b/>
          <w:sz w:val="22"/>
        </w:rPr>
        <w:t>R.V.R. &amp; J.C. College of Engineering</w:t>
      </w:r>
      <w:r>
        <w:rPr>
          <w:rFonts w:ascii="Cambria" w:hAnsi="Cambria"/>
          <w:b w:val="0"/>
          <w:sz w:val="22"/>
        </w:rPr>
        <w:t xml:space="preserve">, he was ratified as an </w:t>
      </w:r>
      <w:r>
        <w:rPr>
          <w:rFonts w:ascii="Cambria" w:hAnsi="Cambria"/>
          <w:b/>
          <w:sz w:val="22"/>
        </w:rPr>
        <w:t>Assistant Professor</w:t>
      </w:r>
      <w:r>
        <w:rPr>
          <w:rFonts w:ascii="Cambria" w:hAnsi="Cambria"/>
          <w:b w:val="0"/>
          <w:sz w:val="22"/>
        </w:rPr>
        <w:t xml:space="preserve"> and subsequently promoted to </w:t>
      </w:r>
      <w:r>
        <w:rPr>
          <w:rFonts w:ascii="Cambria" w:hAnsi="Cambria"/>
          <w:b/>
          <w:sz w:val="22"/>
        </w:rPr>
        <w:t>Associate Professor</w:t>
      </w:r>
      <w:r>
        <w:rPr>
          <w:rFonts w:ascii="Cambria" w:hAnsi="Cambria"/>
          <w:b w:val="0"/>
          <w:sz w:val="22"/>
        </w:rPr>
        <w:t xml:space="preserve"> under Acharya Nagarjuna University. During this period, he also served as </w:t>
      </w:r>
      <w:r>
        <w:rPr>
          <w:rFonts w:ascii="Cambria" w:hAnsi="Cambria"/>
          <w:b/>
          <w:sz w:val="22"/>
        </w:rPr>
        <w:t>NBA Criterion 7 In-Charge</w:t>
      </w:r>
      <w:r>
        <w:rPr>
          <w:rFonts w:ascii="Cambria" w:hAnsi="Cambria"/>
          <w:b w:val="0"/>
          <w:sz w:val="22"/>
        </w:rPr>
        <w:t>, focusing on infrastructure, facilities, and sustainability in accreditation processes.</w:t>
      </w:r>
    </w:p>
    <w:p>
      <w:pPr>
        <w:spacing w:after="120"/>
        <w:jc w:val="both"/>
      </w:pPr>
      <w:r>
        <w:rPr>
          <w:rFonts w:ascii="Cambria" w:hAnsi="Cambria"/>
          <w:b w:val="0"/>
          <w:sz w:val="22"/>
        </w:rPr>
        <w:t xml:space="preserve">With his </w:t>
      </w:r>
      <w:r>
        <w:rPr>
          <w:rFonts w:ascii="Cambria" w:hAnsi="Cambria"/>
          <w:b/>
          <w:sz w:val="22"/>
        </w:rPr>
        <w:t>25 years of teaching</w:t>
      </w:r>
      <w:r>
        <w:rPr>
          <w:rFonts w:ascii="Cambria" w:hAnsi="Cambria"/>
          <w:b w:val="0"/>
          <w:sz w:val="22"/>
        </w:rPr>
        <w:t xml:space="preserve">, </w:t>
      </w:r>
      <w:r>
        <w:rPr>
          <w:rFonts w:ascii="Cambria" w:hAnsi="Cambria"/>
          <w:b/>
          <w:sz w:val="22"/>
        </w:rPr>
        <w:t>5 awarded Ph.D.s</w:t>
      </w:r>
      <w:r>
        <w:rPr>
          <w:rFonts w:ascii="Cambria" w:hAnsi="Cambria"/>
          <w:b w:val="0"/>
          <w:sz w:val="22"/>
        </w:rPr>
        <w:t xml:space="preserve">, </w:t>
      </w:r>
      <w:r>
        <w:rPr>
          <w:rFonts w:ascii="Cambria" w:hAnsi="Cambria"/>
          <w:b/>
          <w:sz w:val="22"/>
        </w:rPr>
        <w:t>97 publications</w:t>
      </w:r>
      <w:r>
        <w:rPr>
          <w:rFonts w:ascii="Cambria" w:hAnsi="Cambria"/>
          <w:b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jc w:val="both"/>
      </w:pPr>
      <w:r>
        <w:rPr>
          <w:rFonts w:ascii="Cambria" w:hAnsi="Cambria"/>
          <w:b w:val="0"/>
          <w:i w:val="0"/>
          <w:sz w:val="22"/>
        </w:rPr>
        <w:t>LinkedIn Profile: Dr. Tottempudi Venkata Rama Krishna</w:t>
      </w:r>
    </w:p>
    <w:p>
      <w:pPr>
        <w:spacing w:before="280" w:after="160"/>
        <w:jc w:val="left"/>
      </w:pPr>
      <w:r>
        <w:rPr>
          <w:rFonts w:ascii="Cambria" w:hAnsi="Cambria"/>
          <w:b/>
          <w:color w:val="1F3A5F"/>
          <w:sz w:val="32"/>
        </w:rPr>
        <w:t>Abstract</w:t>
      </w:r>
    </w:p>
    <w:p>
      <w:pPr>
        <w:spacing w:after="120"/>
        <w:jc w:val="both"/>
      </w:pPr>
      <w:r>
        <w:rPr>
          <w:rFonts w:ascii="Cambria" w:hAnsi="Cambria"/>
          <w:b w:val="0"/>
          <w:i w:val="0"/>
          <w:sz w:val="22"/>
        </w:rPr>
        <w:t>The pursuit of Sustainable Development Goal 5 (SDG-5): Gender Equality within Higher Education Institutions (HEIs) is central to achieving inclusive, equitable, and transformative education systems that empower women and men equally. This goal emphasizes eliminating all forms of discrimination and violence against women and girls, ensuring equal access to educational and leadership opportunities, and recognizing women's contributions to social, economic, and academic progress. In the context of higher education, SDG-5 calls for institutional reforms that promote gender parity in governance, teaching, research, and campus culture.</w:t>
      </w:r>
    </w:p>
    <w:p>
      <w:pPr>
        <w:spacing w:after="120"/>
        <w:jc w:val="both"/>
      </w:pPr>
      <w:r>
        <w:rPr>
          <w:rFonts w:ascii="Cambria" w:hAnsi="Cambria"/>
          <w:b w:val="0"/>
          <w:i w:val="0"/>
          <w:sz w:val="22"/>
        </w:rPr>
        <w:t>HEIs serve as pivotal agents for advancing gender equality through curriculum design, policy formulation, and the creation of gender-sensitive infrastructure and environments that encourage safety, participation, and leadership among women. National frameworks such as the University Grants Commission (UGC) and the All India Council for Technical Education (AICTE) have integrated gender equity into accreditation and policy guidelines, while government initiatives like Beti Bachao Beti Padhao, Sukanya Samriddhi Yojana, Mahila Shakti Kendra, and Pradhan Mantri Ujjwala Yojana strengthen the foundation for women's education, empowerment, and social protection.</w:t>
      </w:r>
    </w:p>
    <w:p>
      <w:pPr>
        <w:spacing w:after="120"/>
        <w:jc w:val="both"/>
      </w:pPr>
      <w:r>
        <w:rPr>
          <w:rFonts w:ascii="Cambria" w:hAnsi="Cambria"/>
          <w:b w:val="0"/>
          <w:i w:val="0"/>
          <w:sz w:val="22"/>
        </w:rPr>
        <w:t>At the international level, UNESCO plays a key role in promoting SDG-5 by advocating for women's empowerment through education, science, culture, and technology. Its policy recommendations support female participation in STEM fields, leadership development, and media representation, while encouraging nations to adopt legal and institutional frameworks that ensure gender justice and equal opportunity.</w:t>
      </w:r>
    </w:p>
    <w:p>
      <w:pPr>
        <w:spacing w:after="120"/>
        <w:jc w:val="both"/>
      </w:pPr>
      <w:r>
        <w:rPr>
          <w:rFonts w:ascii="Cambria" w:hAnsi="Cambria"/>
          <w:b w:val="0"/>
          <w:i w:val="0"/>
          <w:sz w:val="22"/>
        </w:rPr>
        <w:t>Embedding SDG-5 in HEIs requires a multidimensional approach—ranging from gender-inclusive policies and leadership representation to research advancement and gender-responsive budgeting. The creation of Internal Complaints Committees (ICCs), gender audit systems, and women empowerment cells has become integral to institutional accountability and sustainability.</w:t>
      </w:r>
    </w:p>
    <w:p>
      <w:pPr>
        <w:spacing w:after="120"/>
        <w:jc w:val="both"/>
      </w:pPr>
      <w:r>
        <w:rPr>
          <w:rFonts w:ascii="Cambria" w:hAnsi="Cambria"/>
          <w:b w:val="0"/>
          <w:i w:val="0"/>
          <w:sz w:val="22"/>
        </w:rPr>
        <w:t>In essence, SDG-5 in higher education is not confined to gender representation but extends to systemic transformation—where inclusivity, respect, and equity define academic excellence. By empowering women as learners, educators, leaders, and innovators, HEIs contribute significantly to the national and global vision of sustainable development. Thus, achieving gender equality in higher education is both a moral imperative and a strategic necessity for building a just, progressive, and knowledge-driven society aligned with the 2030 Agenda for Sustainable Development.</w:t>
      </w:r>
    </w:p>
    <w:p>
      <w:r>
        <w:br w:type="page"/>
      </w:r>
    </w:p>
    <w:p>
      <w:pPr>
        <w:spacing w:before="280" w:after="160"/>
        <w:jc w:val="left"/>
      </w:pPr>
      <w:r>
        <w:rPr>
          <w:rFonts w:ascii="Cambria" w:hAnsi="Cambria"/>
          <w:b/>
          <w:color w:val="1F3A5F"/>
          <w:sz w:val="32"/>
        </w:rPr>
        <w:t>Table of Contents</w:t>
      </w:r>
    </w:p>
    <w:tbl>
      <w:tblPr>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left"/>
            </w:pPr>
            <w:r/>
            <w:r>
              <w:rPr>
                <w:rFonts w:ascii="Cambria" w:hAnsi="Cambria"/>
                <w:b/>
                <w:i w:val="0"/>
                <w:color w:val="FFFFFF"/>
                <w:sz w:val="22"/>
              </w:rPr>
              <w:t>S. No</w:t>
            </w:r>
          </w:p>
        </w:tc>
        <w:tc>
          <w:tcPr>
            <w:tcW w:type="dxa" w:w="7540"/>
            <w:shd w:val="clear" w:color="auto" w:fill="1F3A5F"/>
            <w:tcW w:w="7541" w:type="dxa"/>
          </w:tcPr>
          <w:p>
            <w:pPr>
              <w:jc w:val="left"/>
            </w:pPr>
            <w:r/>
            <w:r>
              <w:rPr>
                <w:rFonts w:ascii="Cambria" w:hAnsi="Cambria"/>
                <w:b/>
                <w:i w:val="0"/>
                <w:color w:val="FFFFFF"/>
                <w:sz w:val="22"/>
              </w:rPr>
              <w:t>Content</w:t>
            </w:r>
          </w:p>
        </w:tc>
        <w:tc>
          <w:tcPr>
            <w:tcW w:type="dxa" w:w="1020"/>
            <w:shd w:val="clear" w:color="auto" w:fill="1F3A5F"/>
            <w:tcW w:w="1020" w:type="dxa"/>
          </w:tcPr>
          <w:p>
            <w:pPr>
              <w:jc w:val="left"/>
            </w:pPr>
            <w:r/>
            <w:r>
              <w:rPr>
                <w:rFonts w:ascii="Cambria" w:hAnsi="Cambria"/>
                <w:b/>
                <w:i w:val="0"/>
                <w:color w:val="FFFFFF"/>
                <w:sz w:val="22"/>
              </w:rPr>
              <w:t>Pg. No</w:t>
            </w:r>
          </w:p>
        </w:tc>
      </w:tr>
      <w:tr>
        <w:tc>
          <w:tcPr>
            <w:tcW w:type="dxa" w:w="850"/>
            <w:tcW w:w="850" w:type="dxa"/>
          </w:tcPr>
          <w:p>
            <w:pPr>
              <w:jc w:val="left"/>
            </w:pPr>
            <w:r/>
            <w:r>
              <w:rPr>
                <w:rFonts w:ascii="Cambria" w:hAnsi="Cambria"/>
                <w:b w:val="0"/>
                <w:i w:val="0"/>
                <w:sz w:val="22"/>
              </w:rPr>
              <w:t>1</w:t>
            </w:r>
          </w:p>
        </w:tc>
        <w:tc>
          <w:tcPr>
            <w:tcW w:type="dxa" w:w="7540"/>
            <w:tcW w:w="7541" w:type="dxa"/>
          </w:tcPr>
          <w:p>
            <w:pPr>
              <w:jc w:val="left"/>
            </w:pPr>
            <w:r/>
            <w:r>
              <w:rPr>
                <w:rFonts w:ascii="Cambria" w:hAnsi="Cambria"/>
                <w:b w:val="0"/>
                <w:i w:val="0"/>
                <w:sz w:val="22"/>
              </w:rPr>
              <w:t>SDG-5: Achieve Gender Equality and Empower all Women and Girls</w:t>
            </w:r>
          </w:p>
        </w:tc>
        <w:tc>
          <w:tcPr>
            <w:tcW w:type="dxa" w:w="1020"/>
            <w:tcW w:w="1020" w:type="dxa"/>
          </w:tcPr>
          <w:p>
            <w:pPr>
              <w:jc w:val="left"/>
            </w:pPr>
            <w:r/>
            <w:r>
              <w:rPr>
                <w:rFonts w:ascii="Cambria" w:hAnsi="Cambria"/>
                <w:b w:val="0"/>
                <w:i w:val="0"/>
                <w:sz w:val="22"/>
              </w:rPr>
              <w:t>001</w:t>
            </w:r>
          </w:p>
        </w:tc>
      </w:tr>
      <w:tr>
        <w:tc>
          <w:tcPr>
            <w:tcW w:type="dxa" w:w="850"/>
            <w:tcW w:w="850" w:type="dxa"/>
            <w:shd w:val="clear" w:color="auto" w:fill="DCE6F1"/>
          </w:tcPr>
          <w:p>
            <w:pPr>
              <w:jc w:val="left"/>
            </w:pPr>
            <w:r/>
            <w:r>
              <w:rPr>
                <w:rFonts w:ascii="Cambria" w:hAnsi="Cambria"/>
                <w:b w:val="0"/>
                <w:i w:val="0"/>
                <w:sz w:val="22"/>
              </w:rPr>
              <w:t>2</w:t>
            </w:r>
          </w:p>
        </w:tc>
        <w:tc>
          <w:tcPr>
            <w:tcW w:type="dxa" w:w="7540"/>
            <w:tcW w:w="7541" w:type="dxa"/>
            <w:shd w:val="clear" w:color="auto" w:fill="DCE6F1"/>
          </w:tcPr>
          <w:p>
            <w:pPr>
              <w:jc w:val="left"/>
            </w:pPr>
            <w:r/>
            <w:r>
              <w:rPr>
                <w:rFonts w:ascii="Cambria" w:hAnsi="Cambria"/>
                <w:b w:val="0"/>
                <w:i w:val="0"/>
                <w:sz w:val="22"/>
              </w:rPr>
              <w:t>SDG-5: Gender Equality — Targets and Indicators</w:t>
            </w:r>
          </w:p>
        </w:tc>
        <w:tc>
          <w:tcPr>
            <w:tcW w:type="dxa" w:w="1020"/>
            <w:tcW w:w="1020" w:type="dxa"/>
            <w:shd w:val="clear" w:color="auto" w:fill="DCE6F1"/>
          </w:tcPr>
          <w:p>
            <w:pPr>
              <w:jc w:val="left"/>
            </w:pPr>
            <w:r/>
            <w:r>
              <w:rPr>
                <w:rFonts w:ascii="Cambria" w:hAnsi="Cambria"/>
                <w:b w:val="0"/>
                <w:i w:val="0"/>
                <w:sz w:val="22"/>
              </w:rPr>
              <w:t>003</w:t>
            </w:r>
          </w:p>
        </w:tc>
      </w:tr>
      <w:tr>
        <w:tc>
          <w:tcPr>
            <w:tcW w:type="dxa" w:w="850"/>
            <w:tcW w:w="850" w:type="dxa"/>
          </w:tcPr>
          <w:p>
            <w:pPr>
              <w:jc w:val="left"/>
            </w:pPr>
            <w:r/>
            <w:r>
              <w:rPr>
                <w:rFonts w:ascii="Cambria" w:hAnsi="Cambria"/>
                <w:b w:val="0"/>
                <w:i w:val="0"/>
                <w:sz w:val="22"/>
              </w:rPr>
              <w:t>3</w:t>
            </w:r>
          </w:p>
        </w:tc>
        <w:tc>
          <w:tcPr>
            <w:tcW w:type="dxa" w:w="7540"/>
            <w:tcW w:w="7541" w:type="dxa"/>
          </w:tcPr>
          <w:p>
            <w:pPr>
              <w:jc w:val="left"/>
            </w:pPr>
            <w:r/>
            <w:r>
              <w:rPr>
                <w:rFonts w:ascii="Cambria" w:hAnsi="Cambria"/>
                <w:b w:val="0"/>
                <w:i w:val="0"/>
                <w:sz w:val="22"/>
              </w:rPr>
              <w:t>UNESCO Policy Recommendations on SDG-5: Achieving Gender Equality and Empowering All Women and Girls</w:t>
            </w:r>
          </w:p>
        </w:tc>
        <w:tc>
          <w:tcPr>
            <w:tcW w:type="dxa" w:w="1020"/>
            <w:tcW w:w="1020" w:type="dxa"/>
          </w:tcPr>
          <w:p>
            <w:pPr>
              <w:jc w:val="left"/>
            </w:pPr>
            <w:r/>
            <w:r>
              <w:rPr>
                <w:rFonts w:ascii="Cambria" w:hAnsi="Cambria"/>
                <w:b w:val="0"/>
                <w:i w:val="0"/>
                <w:sz w:val="22"/>
              </w:rPr>
              <w:t>007</w:t>
            </w:r>
          </w:p>
        </w:tc>
      </w:tr>
      <w:tr>
        <w:tc>
          <w:tcPr>
            <w:tcW w:type="dxa" w:w="850"/>
            <w:tcW w:w="850" w:type="dxa"/>
            <w:shd w:val="clear" w:color="auto" w:fill="DCE6F1"/>
          </w:tcPr>
          <w:p>
            <w:pPr>
              <w:jc w:val="left"/>
            </w:pPr>
            <w:r/>
            <w:r>
              <w:rPr>
                <w:rFonts w:ascii="Cambria" w:hAnsi="Cambria"/>
                <w:b w:val="0"/>
                <w:i w:val="0"/>
                <w:sz w:val="22"/>
              </w:rPr>
              <w:t>4</w:t>
            </w:r>
          </w:p>
        </w:tc>
        <w:tc>
          <w:tcPr>
            <w:tcW w:type="dxa" w:w="7540"/>
            <w:tcW w:w="7541" w:type="dxa"/>
            <w:shd w:val="clear" w:color="auto" w:fill="DCE6F1"/>
          </w:tcPr>
          <w:p>
            <w:pPr>
              <w:jc w:val="left"/>
            </w:pPr>
            <w:r/>
            <w:r>
              <w:rPr>
                <w:rFonts w:ascii="Cambria" w:hAnsi="Cambria"/>
                <w:b w:val="0"/>
                <w:i w:val="0"/>
                <w:sz w:val="22"/>
              </w:rPr>
              <w:t>Leadership Parity Goals</w:t>
            </w:r>
          </w:p>
        </w:tc>
        <w:tc>
          <w:tcPr>
            <w:tcW w:type="dxa" w:w="1020"/>
            <w:tcW w:w="1020" w:type="dxa"/>
            <w:shd w:val="clear" w:color="auto" w:fill="DCE6F1"/>
          </w:tcPr>
          <w:p>
            <w:pPr>
              <w:jc w:val="left"/>
            </w:pPr>
            <w:r/>
            <w:r>
              <w:rPr>
                <w:rFonts w:ascii="Cambria" w:hAnsi="Cambria"/>
                <w:b w:val="0"/>
                <w:i w:val="0"/>
                <w:sz w:val="22"/>
              </w:rPr>
              <w:t>010</w:t>
            </w:r>
          </w:p>
        </w:tc>
      </w:tr>
      <w:tr>
        <w:tc>
          <w:tcPr>
            <w:tcW w:type="dxa" w:w="850"/>
            <w:tcW w:w="850" w:type="dxa"/>
          </w:tcPr>
          <w:p>
            <w:pPr>
              <w:jc w:val="left"/>
            </w:pPr>
            <w:r/>
            <w:r>
              <w:rPr>
                <w:rFonts w:ascii="Cambria" w:hAnsi="Cambria"/>
                <w:b w:val="0"/>
                <w:i w:val="0"/>
                <w:sz w:val="22"/>
              </w:rPr>
              <w:t>5</w:t>
            </w:r>
          </w:p>
        </w:tc>
        <w:tc>
          <w:tcPr>
            <w:tcW w:type="dxa" w:w="7540"/>
            <w:tcW w:w="7541" w:type="dxa"/>
          </w:tcPr>
          <w:p>
            <w:pPr>
              <w:jc w:val="left"/>
            </w:pPr>
            <w:r/>
            <w:r>
              <w:rPr>
                <w:rFonts w:ascii="Cambria" w:hAnsi="Cambria"/>
                <w:b w:val="0"/>
                <w:i w:val="0"/>
                <w:sz w:val="22"/>
              </w:rPr>
              <w:t>Inclusive Campus Infrastructure for Gender Equality in HEIs</w:t>
            </w:r>
          </w:p>
        </w:tc>
        <w:tc>
          <w:tcPr>
            <w:tcW w:type="dxa" w:w="1020"/>
            <w:tcW w:w="1020" w:type="dxa"/>
          </w:tcPr>
          <w:p>
            <w:pPr>
              <w:jc w:val="left"/>
            </w:pPr>
            <w:r/>
            <w:r>
              <w:rPr>
                <w:rFonts w:ascii="Cambria" w:hAnsi="Cambria"/>
                <w:b w:val="0"/>
                <w:i w:val="0"/>
                <w:sz w:val="22"/>
              </w:rPr>
              <w:t>012</w:t>
            </w:r>
          </w:p>
        </w:tc>
      </w:tr>
      <w:tr>
        <w:tc>
          <w:tcPr>
            <w:tcW w:type="dxa" w:w="850"/>
            <w:tcW w:w="850" w:type="dxa"/>
            <w:shd w:val="clear" w:color="auto" w:fill="DCE6F1"/>
          </w:tcPr>
          <w:p>
            <w:pPr>
              <w:jc w:val="left"/>
            </w:pPr>
            <w:r/>
            <w:r>
              <w:rPr>
                <w:rFonts w:ascii="Cambria" w:hAnsi="Cambria"/>
                <w:b w:val="0"/>
                <w:i w:val="0"/>
                <w:sz w:val="22"/>
              </w:rPr>
              <w:t>6</w:t>
            </w:r>
          </w:p>
        </w:tc>
        <w:tc>
          <w:tcPr>
            <w:tcW w:type="dxa" w:w="7540"/>
            <w:tcW w:w="7541" w:type="dxa"/>
            <w:shd w:val="clear" w:color="auto" w:fill="DCE6F1"/>
          </w:tcPr>
          <w:p>
            <w:pPr>
              <w:jc w:val="left"/>
            </w:pPr>
            <w:r/>
            <w:r>
              <w:rPr>
                <w:rFonts w:ascii="Cambria" w:hAnsi="Cambria"/>
                <w:b w:val="0"/>
                <w:i w:val="0"/>
                <w:sz w:val="22"/>
              </w:rPr>
              <w:t>Workplace Time Flexibility for Women Employees in HEIs</w:t>
            </w:r>
          </w:p>
        </w:tc>
        <w:tc>
          <w:tcPr>
            <w:tcW w:type="dxa" w:w="1020"/>
            <w:tcW w:w="1020" w:type="dxa"/>
            <w:shd w:val="clear" w:color="auto" w:fill="DCE6F1"/>
          </w:tcPr>
          <w:p>
            <w:pPr>
              <w:jc w:val="left"/>
            </w:pPr>
            <w:r/>
            <w:r>
              <w:rPr>
                <w:rFonts w:ascii="Cambria" w:hAnsi="Cambria"/>
                <w:b w:val="0"/>
                <w:i w:val="0"/>
                <w:sz w:val="22"/>
              </w:rPr>
              <w:t>013</w:t>
            </w:r>
          </w:p>
        </w:tc>
      </w:tr>
      <w:tr>
        <w:tc>
          <w:tcPr>
            <w:tcW w:type="dxa" w:w="850"/>
            <w:tcW w:w="850" w:type="dxa"/>
          </w:tcPr>
          <w:p>
            <w:pPr>
              <w:jc w:val="left"/>
            </w:pPr>
            <w:r/>
            <w:r>
              <w:rPr>
                <w:rFonts w:ascii="Cambria" w:hAnsi="Cambria"/>
                <w:b w:val="0"/>
                <w:i w:val="0"/>
                <w:sz w:val="22"/>
              </w:rPr>
              <w:t>7</w:t>
            </w:r>
          </w:p>
        </w:tc>
        <w:tc>
          <w:tcPr>
            <w:tcW w:type="dxa" w:w="7540"/>
            <w:tcW w:w="7541" w:type="dxa"/>
          </w:tcPr>
          <w:p>
            <w:pPr>
              <w:jc w:val="left"/>
            </w:pPr>
            <w:r/>
            <w:r>
              <w:rPr>
                <w:rFonts w:ascii="Cambria" w:hAnsi="Cambria"/>
                <w:b w:val="0"/>
                <w:i w:val="0"/>
                <w:sz w:val="22"/>
              </w:rPr>
              <w:t>Women's Safety, Security, and Transport Facilities in HEIs</w:t>
            </w:r>
          </w:p>
        </w:tc>
        <w:tc>
          <w:tcPr>
            <w:tcW w:type="dxa" w:w="1020"/>
            <w:tcW w:w="1020" w:type="dxa"/>
          </w:tcPr>
          <w:p>
            <w:pPr>
              <w:jc w:val="left"/>
            </w:pPr>
            <w:r/>
            <w:r>
              <w:rPr>
                <w:rFonts w:ascii="Cambria" w:hAnsi="Cambria"/>
                <w:b w:val="0"/>
                <w:i w:val="0"/>
                <w:sz w:val="22"/>
              </w:rPr>
              <w:t>014</w:t>
            </w:r>
          </w:p>
        </w:tc>
      </w:tr>
      <w:tr>
        <w:tc>
          <w:tcPr>
            <w:tcW w:type="dxa" w:w="850"/>
            <w:tcW w:w="850" w:type="dxa"/>
            <w:shd w:val="clear" w:color="auto" w:fill="DCE6F1"/>
          </w:tcPr>
          <w:p>
            <w:pPr>
              <w:jc w:val="left"/>
            </w:pPr>
            <w:r/>
            <w:r>
              <w:rPr>
                <w:rFonts w:ascii="Cambria" w:hAnsi="Cambria"/>
                <w:b w:val="0"/>
                <w:i w:val="0"/>
                <w:sz w:val="22"/>
              </w:rPr>
              <w:t>8</w:t>
            </w:r>
          </w:p>
        </w:tc>
        <w:tc>
          <w:tcPr>
            <w:tcW w:type="dxa" w:w="7540"/>
            <w:tcW w:w="7541" w:type="dxa"/>
            <w:shd w:val="clear" w:color="auto" w:fill="DCE6F1"/>
          </w:tcPr>
          <w:p>
            <w:pPr>
              <w:jc w:val="left"/>
            </w:pPr>
            <w:r/>
            <w:r>
              <w:rPr>
                <w:rFonts w:ascii="Cambria" w:hAnsi="Cambria"/>
                <w:b w:val="0"/>
                <w:i w:val="0"/>
                <w:sz w:val="22"/>
              </w:rPr>
              <w:t>Implementation of POSH Act and Internal Complaints Committee (ICC) in HEIs</w:t>
            </w:r>
          </w:p>
        </w:tc>
        <w:tc>
          <w:tcPr>
            <w:tcW w:type="dxa" w:w="1020"/>
            <w:tcW w:w="1020" w:type="dxa"/>
            <w:shd w:val="clear" w:color="auto" w:fill="DCE6F1"/>
          </w:tcPr>
          <w:p>
            <w:pPr>
              <w:jc w:val="left"/>
            </w:pPr>
            <w:r/>
            <w:r>
              <w:rPr>
                <w:rFonts w:ascii="Cambria" w:hAnsi="Cambria"/>
                <w:b w:val="0"/>
                <w:i w:val="0"/>
                <w:sz w:val="22"/>
              </w:rPr>
              <w:t>016</w:t>
            </w:r>
          </w:p>
        </w:tc>
      </w:tr>
      <w:tr>
        <w:tc>
          <w:tcPr>
            <w:tcW w:type="dxa" w:w="850"/>
            <w:tcW w:w="850" w:type="dxa"/>
          </w:tcPr>
          <w:p>
            <w:pPr>
              <w:jc w:val="left"/>
            </w:pPr>
            <w:r/>
            <w:r>
              <w:rPr>
                <w:rFonts w:ascii="Cambria" w:hAnsi="Cambria"/>
                <w:b w:val="0"/>
                <w:i w:val="0"/>
                <w:sz w:val="22"/>
              </w:rPr>
              <w:t>9</w:t>
            </w:r>
          </w:p>
        </w:tc>
        <w:tc>
          <w:tcPr>
            <w:tcW w:type="dxa" w:w="7540"/>
            <w:tcW w:w="7541" w:type="dxa"/>
          </w:tcPr>
          <w:p>
            <w:pPr>
              <w:jc w:val="left"/>
            </w:pPr>
            <w:r/>
            <w:r>
              <w:rPr>
                <w:rFonts w:ascii="Cambria" w:hAnsi="Cambria"/>
                <w:b w:val="0"/>
                <w:i w:val="0"/>
                <w:sz w:val="22"/>
              </w:rPr>
              <w:t>Orientation and Training on POSH Act for Internal Complaints Committee (ICC) by Regulatory Bodies</w:t>
            </w:r>
          </w:p>
        </w:tc>
        <w:tc>
          <w:tcPr>
            <w:tcW w:type="dxa" w:w="1020"/>
            <w:tcW w:w="1020" w:type="dxa"/>
          </w:tcPr>
          <w:p>
            <w:pPr>
              <w:jc w:val="left"/>
            </w:pPr>
            <w:r/>
            <w:r>
              <w:rPr>
                <w:rFonts w:ascii="Cambria" w:hAnsi="Cambria"/>
                <w:b w:val="0"/>
                <w:i w:val="0"/>
                <w:sz w:val="22"/>
              </w:rPr>
              <w:t>018</w:t>
            </w:r>
          </w:p>
        </w:tc>
      </w:tr>
      <w:tr>
        <w:tc>
          <w:tcPr>
            <w:tcW w:type="dxa" w:w="850"/>
            <w:tcW w:w="850" w:type="dxa"/>
            <w:shd w:val="clear" w:color="auto" w:fill="DCE6F1"/>
          </w:tcPr>
          <w:p>
            <w:pPr>
              <w:jc w:val="left"/>
            </w:pPr>
            <w:r/>
            <w:r>
              <w:rPr>
                <w:rFonts w:ascii="Cambria" w:hAnsi="Cambria"/>
                <w:b w:val="0"/>
                <w:i w:val="0"/>
                <w:sz w:val="22"/>
              </w:rPr>
              <w:t>10</w:t>
            </w:r>
          </w:p>
        </w:tc>
        <w:tc>
          <w:tcPr>
            <w:tcW w:type="dxa" w:w="7540"/>
            <w:tcW w:w="7541" w:type="dxa"/>
            <w:shd w:val="clear" w:color="auto" w:fill="DCE6F1"/>
          </w:tcPr>
          <w:p>
            <w:pPr>
              <w:jc w:val="left"/>
            </w:pPr>
            <w:r/>
            <w:r>
              <w:rPr>
                <w:rFonts w:ascii="Cambria" w:hAnsi="Cambria"/>
                <w:b w:val="0"/>
                <w:i w:val="0"/>
                <w:sz w:val="22"/>
              </w:rPr>
              <w:t>Government Policies to Prevent Violence and Exploitation Against Women and Girls</w:t>
            </w:r>
          </w:p>
        </w:tc>
        <w:tc>
          <w:tcPr>
            <w:tcW w:type="dxa" w:w="1020"/>
            <w:tcW w:w="1020" w:type="dxa"/>
            <w:shd w:val="clear" w:color="auto" w:fill="DCE6F1"/>
          </w:tcPr>
          <w:p>
            <w:pPr>
              <w:jc w:val="left"/>
            </w:pPr>
            <w:r/>
            <w:r>
              <w:rPr>
                <w:rFonts w:ascii="Cambria" w:hAnsi="Cambria"/>
                <w:b w:val="0"/>
                <w:i w:val="0"/>
                <w:sz w:val="22"/>
              </w:rPr>
              <w:t>020</w:t>
            </w:r>
          </w:p>
        </w:tc>
      </w:tr>
      <w:tr>
        <w:tc>
          <w:tcPr>
            <w:tcW w:type="dxa" w:w="850"/>
            <w:tcW w:w="850" w:type="dxa"/>
          </w:tcPr>
          <w:p>
            <w:pPr>
              <w:jc w:val="left"/>
            </w:pPr>
            <w:r/>
            <w:r>
              <w:rPr>
                <w:rFonts w:ascii="Cambria" w:hAnsi="Cambria"/>
                <w:b w:val="0"/>
                <w:i w:val="0"/>
                <w:sz w:val="22"/>
              </w:rPr>
              <w:t>11</w:t>
            </w:r>
          </w:p>
        </w:tc>
        <w:tc>
          <w:tcPr>
            <w:tcW w:type="dxa" w:w="7540"/>
            <w:tcW w:w="7541" w:type="dxa"/>
          </w:tcPr>
          <w:p>
            <w:pPr>
              <w:jc w:val="left"/>
            </w:pPr>
            <w:r/>
            <w:r>
              <w:rPr>
                <w:rFonts w:ascii="Cambria" w:hAnsi="Cambria"/>
                <w:b w:val="0"/>
                <w:i w:val="0"/>
                <w:sz w:val="22"/>
              </w:rPr>
              <w:t>Orientation and Community Awareness on Women's Role and Protection Against Violence in HEIs</w:t>
            </w:r>
          </w:p>
        </w:tc>
        <w:tc>
          <w:tcPr>
            <w:tcW w:type="dxa" w:w="1020"/>
            <w:tcW w:w="1020" w:type="dxa"/>
          </w:tcPr>
          <w:p>
            <w:pPr>
              <w:jc w:val="left"/>
            </w:pPr>
            <w:r/>
            <w:r>
              <w:rPr>
                <w:rFonts w:ascii="Cambria" w:hAnsi="Cambria"/>
                <w:b w:val="0"/>
                <w:i w:val="0"/>
                <w:sz w:val="22"/>
              </w:rPr>
              <w:t>022</w:t>
            </w:r>
          </w:p>
        </w:tc>
      </w:tr>
      <w:tr>
        <w:tc>
          <w:tcPr>
            <w:tcW w:type="dxa" w:w="850"/>
            <w:tcW w:w="850" w:type="dxa"/>
            <w:shd w:val="clear" w:color="auto" w:fill="DCE6F1"/>
          </w:tcPr>
          <w:p>
            <w:pPr>
              <w:jc w:val="left"/>
            </w:pPr>
            <w:r/>
            <w:r>
              <w:rPr>
                <w:rFonts w:ascii="Cambria" w:hAnsi="Cambria"/>
                <w:b w:val="0"/>
                <w:i w:val="0"/>
                <w:sz w:val="22"/>
              </w:rPr>
              <w:t>12</w:t>
            </w:r>
          </w:p>
        </w:tc>
        <w:tc>
          <w:tcPr>
            <w:tcW w:type="dxa" w:w="7540"/>
            <w:tcW w:w="7541" w:type="dxa"/>
            <w:shd w:val="clear" w:color="auto" w:fill="DCE6F1"/>
          </w:tcPr>
          <w:p>
            <w:pPr>
              <w:jc w:val="left"/>
            </w:pPr>
            <w:r/>
            <w:r>
              <w:rPr>
                <w:rFonts w:ascii="Cambria" w:hAnsi="Cambria"/>
                <w:b w:val="0"/>
                <w:i w:val="0"/>
                <w:sz w:val="22"/>
              </w:rPr>
              <w:t>Participation in National Campaigns and Institutional Reporting on Violence Against Women</w:t>
            </w:r>
          </w:p>
        </w:tc>
        <w:tc>
          <w:tcPr>
            <w:tcW w:type="dxa" w:w="1020"/>
            <w:tcW w:w="1020" w:type="dxa"/>
            <w:shd w:val="clear" w:color="auto" w:fill="DCE6F1"/>
          </w:tcPr>
          <w:p>
            <w:pPr>
              <w:jc w:val="left"/>
            </w:pPr>
            <w:r/>
            <w:r>
              <w:rPr>
                <w:rFonts w:ascii="Cambria" w:hAnsi="Cambria"/>
                <w:b w:val="0"/>
                <w:i w:val="0"/>
                <w:sz w:val="22"/>
              </w:rPr>
              <w:t>024</w:t>
            </w:r>
          </w:p>
        </w:tc>
      </w:tr>
      <w:tr>
        <w:tc>
          <w:tcPr>
            <w:tcW w:type="dxa" w:w="850"/>
            <w:tcW w:w="850" w:type="dxa"/>
          </w:tcPr>
          <w:p>
            <w:pPr>
              <w:jc w:val="left"/>
            </w:pPr>
            <w:r/>
            <w:r>
              <w:rPr>
                <w:rFonts w:ascii="Cambria" w:hAnsi="Cambria"/>
                <w:b w:val="0"/>
                <w:i w:val="0"/>
                <w:sz w:val="22"/>
              </w:rPr>
              <w:t>13</w:t>
            </w:r>
          </w:p>
        </w:tc>
        <w:tc>
          <w:tcPr>
            <w:tcW w:type="dxa" w:w="7540"/>
            <w:tcW w:w="7541" w:type="dxa"/>
          </w:tcPr>
          <w:p>
            <w:pPr>
              <w:jc w:val="left"/>
            </w:pPr>
            <w:r/>
            <w:r>
              <w:rPr>
                <w:rFonts w:ascii="Cambria" w:hAnsi="Cambria"/>
                <w:b w:val="0"/>
                <w:i w:val="0"/>
                <w:sz w:val="22"/>
              </w:rPr>
              <w:t>Formulation of Gender Audit Policy in HEIs by Regulatory Bodies</w:t>
            </w:r>
          </w:p>
        </w:tc>
        <w:tc>
          <w:tcPr>
            <w:tcW w:type="dxa" w:w="1020"/>
            <w:tcW w:w="1020" w:type="dxa"/>
          </w:tcPr>
          <w:p>
            <w:pPr>
              <w:jc w:val="left"/>
            </w:pPr>
            <w:r/>
            <w:r>
              <w:rPr>
                <w:rFonts w:ascii="Cambria" w:hAnsi="Cambria"/>
                <w:b w:val="0"/>
                <w:i w:val="0"/>
                <w:sz w:val="22"/>
              </w:rPr>
              <w:t>026</w:t>
            </w:r>
          </w:p>
        </w:tc>
      </w:tr>
      <w:tr>
        <w:tc>
          <w:tcPr>
            <w:tcW w:type="dxa" w:w="850"/>
            <w:tcW w:w="850" w:type="dxa"/>
            <w:shd w:val="clear" w:color="auto" w:fill="DCE6F1"/>
          </w:tcPr>
          <w:p>
            <w:pPr>
              <w:jc w:val="left"/>
            </w:pPr>
            <w:r/>
            <w:r>
              <w:rPr>
                <w:rFonts w:ascii="Cambria" w:hAnsi="Cambria"/>
                <w:b w:val="0"/>
                <w:i w:val="0"/>
                <w:sz w:val="22"/>
              </w:rPr>
              <w:t>14</w:t>
            </w:r>
          </w:p>
        </w:tc>
        <w:tc>
          <w:tcPr>
            <w:tcW w:type="dxa" w:w="7540"/>
            <w:tcW w:w="7541" w:type="dxa"/>
            <w:shd w:val="clear" w:color="auto" w:fill="DCE6F1"/>
          </w:tcPr>
          <w:p>
            <w:pPr>
              <w:jc w:val="left"/>
            </w:pPr>
            <w:r/>
            <w:r>
              <w:rPr>
                <w:rFonts w:ascii="Cambria" w:hAnsi="Cambria"/>
                <w:b w:val="0"/>
                <w:i w:val="0"/>
                <w:sz w:val="22"/>
              </w:rPr>
              <w:t>Mandatory Inclusion of Equal Female Members in Expert and Selection Committees</w:t>
            </w:r>
          </w:p>
        </w:tc>
        <w:tc>
          <w:tcPr>
            <w:tcW w:type="dxa" w:w="1020"/>
            <w:tcW w:w="1020" w:type="dxa"/>
            <w:shd w:val="clear" w:color="auto" w:fill="DCE6F1"/>
          </w:tcPr>
          <w:p>
            <w:pPr>
              <w:jc w:val="left"/>
            </w:pPr>
            <w:r/>
            <w:r>
              <w:rPr>
                <w:rFonts w:ascii="Cambria" w:hAnsi="Cambria"/>
                <w:b w:val="0"/>
                <w:i w:val="0"/>
                <w:sz w:val="22"/>
              </w:rPr>
              <w:t>028</w:t>
            </w:r>
          </w:p>
        </w:tc>
      </w:tr>
      <w:tr>
        <w:tc>
          <w:tcPr>
            <w:tcW w:type="dxa" w:w="850"/>
            <w:tcW w:w="850" w:type="dxa"/>
          </w:tcPr>
          <w:p>
            <w:pPr>
              <w:jc w:val="left"/>
            </w:pPr>
            <w:r/>
            <w:r>
              <w:rPr>
                <w:rFonts w:ascii="Cambria" w:hAnsi="Cambria"/>
                <w:b w:val="0"/>
                <w:i w:val="0"/>
                <w:sz w:val="22"/>
              </w:rPr>
              <w:t>15</w:t>
            </w:r>
          </w:p>
        </w:tc>
        <w:tc>
          <w:tcPr>
            <w:tcW w:type="dxa" w:w="7540"/>
            <w:tcW w:w="7541" w:type="dxa"/>
          </w:tcPr>
          <w:p>
            <w:pPr>
              <w:jc w:val="left"/>
            </w:pPr>
            <w:r/>
            <w:r>
              <w:rPr>
                <w:rFonts w:ascii="Cambria" w:hAnsi="Cambria"/>
                <w:b w:val="0"/>
                <w:i w:val="0"/>
                <w:sz w:val="22"/>
              </w:rPr>
              <w:t>Schemes to Ensure Women's Access to Higher Education</w:t>
            </w:r>
          </w:p>
        </w:tc>
        <w:tc>
          <w:tcPr>
            <w:tcW w:type="dxa" w:w="1020"/>
            <w:tcW w:w="1020" w:type="dxa"/>
          </w:tcPr>
          <w:p>
            <w:pPr>
              <w:jc w:val="left"/>
            </w:pPr>
            <w:r/>
            <w:r>
              <w:rPr>
                <w:rFonts w:ascii="Cambria" w:hAnsi="Cambria"/>
                <w:b w:val="0"/>
                <w:i w:val="0"/>
                <w:sz w:val="22"/>
              </w:rPr>
              <w:t>030</w:t>
            </w:r>
          </w:p>
        </w:tc>
      </w:tr>
      <w:tr>
        <w:tc>
          <w:tcPr>
            <w:tcW w:type="dxa" w:w="850"/>
            <w:tcW w:w="850" w:type="dxa"/>
            <w:shd w:val="clear" w:color="auto" w:fill="DCE6F1"/>
          </w:tcPr>
          <w:p>
            <w:pPr>
              <w:jc w:val="left"/>
            </w:pPr>
            <w:r/>
            <w:r>
              <w:rPr>
                <w:rFonts w:ascii="Cambria" w:hAnsi="Cambria"/>
                <w:b w:val="0"/>
                <w:i w:val="0"/>
                <w:sz w:val="22"/>
              </w:rPr>
              <w:t>16</w:t>
            </w:r>
          </w:p>
        </w:tc>
        <w:tc>
          <w:tcPr>
            <w:tcW w:type="dxa" w:w="7540"/>
            <w:tcW w:w="7541" w:type="dxa"/>
            <w:shd w:val="clear" w:color="auto" w:fill="DCE6F1"/>
          </w:tcPr>
          <w:p>
            <w:pPr>
              <w:jc w:val="left"/>
            </w:pPr>
            <w:r/>
            <w:r>
              <w:rPr>
                <w:rFonts w:ascii="Cambria" w:hAnsi="Cambria"/>
                <w:b w:val="0"/>
                <w:i w:val="0"/>
                <w:sz w:val="22"/>
              </w:rPr>
              <w:t>Sustainable Development Goal 5 (SDG-5): Gender Equality and Women Empowerment</w:t>
            </w:r>
          </w:p>
        </w:tc>
        <w:tc>
          <w:tcPr>
            <w:tcW w:type="dxa" w:w="1020"/>
            <w:tcW w:w="1020" w:type="dxa"/>
            <w:shd w:val="clear" w:color="auto" w:fill="DCE6F1"/>
          </w:tcPr>
          <w:p>
            <w:pPr>
              <w:jc w:val="left"/>
            </w:pPr>
            <w:r/>
            <w:r>
              <w:rPr>
                <w:rFonts w:ascii="Cambria" w:hAnsi="Cambria"/>
                <w:b w:val="0"/>
                <w:i w:val="0"/>
                <w:sz w:val="22"/>
              </w:rPr>
              <w:t>032</w:t>
            </w:r>
          </w:p>
        </w:tc>
      </w:tr>
      <w:tr>
        <w:tc>
          <w:tcPr>
            <w:tcW w:type="dxa" w:w="850"/>
            <w:tcW w:w="850" w:type="dxa"/>
          </w:tcPr>
          <w:p>
            <w:pPr>
              <w:jc w:val="left"/>
            </w:pPr>
            <w:r/>
            <w:r>
              <w:rPr>
                <w:rFonts w:ascii="Cambria" w:hAnsi="Cambria"/>
                <w:b w:val="0"/>
                <w:i w:val="0"/>
                <w:sz w:val="22"/>
              </w:rPr>
              <w:t>17</w:t>
            </w:r>
          </w:p>
        </w:tc>
        <w:tc>
          <w:tcPr>
            <w:tcW w:type="dxa" w:w="7540"/>
            <w:tcW w:w="7541" w:type="dxa"/>
          </w:tcPr>
          <w:p>
            <w:pPr>
              <w:jc w:val="left"/>
            </w:pPr>
            <w:r/>
            <w:r>
              <w:rPr>
                <w:rFonts w:ascii="Cambria" w:hAnsi="Cambria"/>
                <w:b w:val="0"/>
                <w:i w:val="0"/>
                <w:sz w:val="22"/>
              </w:rPr>
              <w:t>Gender Equality in Higher Education: The Indian Context</w:t>
            </w:r>
          </w:p>
        </w:tc>
        <w:tc>
          <w:tcPr>
            <w:tcW w:type="dxa" w:w="1020"/>
            <w:tcW w:w="1020" w:type="dxa"/>
          </w:tcPr>
          <w:p>
            <w:pPr>
              <w:jc w:val="left"/>
            </w:pPr>
            <w:r/>
            <w:r>
              <w:rPr>
                <w:rFonts w:ascii="Cambria" w:hAnsi="Cambria"/>
                <w:b w:val="0"/>
                <w:i w:val="0"/>
                <w:sz w:val="22"/>
              </w:rPr>
              <w:t>034</w:t>
            </w:r>
          </w:p>
        </w:tc>
      </w:tr>
      <w:tr>
        <w:tc>
          <w:tcPr>
            <w:tcW w:type="dxa" w:w="850"/>
            <w:tcW w:w="850" w:type="dxa"/>
            <w:shd w:val="clear" w:color="auto" w:fill="DCE6F1"/>
          </w:tcPr>
          <w:p>
            <w:pPr>
              <w:jc w:val="left"/>
            </w:pPr>
            <w:r/>
            <w:r>
              <w:rPr>
                <w:rFonts w:ascii="Cambria" w:hAnsi="Cambria"/>
                <w:b w:val="0"/>
                <w:i w:val="0"/>
                <w:sz w:val="22"/>
              </w:rPr>
              <w:t>18</w:t>
            </w:r>
          </w:p>
        </w:tc>
        <w:tc>
          <w:tcPr>
            <w:tcW w:type="dxa" w:w="7540"/>
            <w:tcW w:w="7541" w:type="dxa"/>
            <w:shd w:val="clear" w:color="auto" w:fill="DCE6F1"/>
          </w:tcPr>
          <w:p>
            <w:pPr>
              <w:jc w:val="left"/>
            </w:pPr>
            <w:r/>
            <w:r>
              <w:rPr>
                <w:rFonts w:ascii="Cambria" w:hAnsi="Cambria"/>
                <w:b w:val="0"/>
                <w:i w:val="0"/>
                <w:sz w:val="22"/>
              </w:rPr>
              <w:t>AICTE's Initiatives for Promoting Gender Equality and Women Empowerment in Technical Institutions</w:t>
            </w:r>
          </w:p>
        </w:tc>
        <w:tc>
          <w:tcPr>
            <w:tcW w:type="dxa" w:w="1020"/>
            <w:tcW w:w="1020" w:type="dxa"/>
            <w:shd w:val="clear" w:color="auto" w:fill="DCE6F1"/>
          </w:tcPr>
          <w:p>
            <w:pPr>
              <w:jc w:val="left"/>
            </w:pPr>
            <w:r/>
            <w:r>
              <w:rPr>
                <w:rFonts w:ascii="Cambria" w:hAnsi="Cambria"/>
                <w:b w:val="0"/>
                <w:i w:val="0"/>
                <w:sz w:val="22"/>
              </w:rPr>
              <w:t>036</w:t>
            </w:r>
          </w:p>
        </w:tc>
      </w:tr>
      <w:tr>
        <w:tc>
          <w:tcPr>
            <w:tcW w:type="dxa" w:w="850"/>
            <w:tcW w:w="850" w:type="dxa"/>
          </w:tcPr>
          <w:p>
            <w:pPr>
              <w:jc w:val="left"/>
            </w:pPr>
            <w:r/>
            <w:r>
              <w:rPr>
                <w:rFonts w:ascii="Cambria" w:hAnsi="Cambria"/>
                <w:b w:val="0"/>
                <w:i w:val="0"/>
                <w:sz w:val="22"/>
              </w:rPr>
              <w:t>19</w:t>
            </w:r>
          </w:p>
        </w:tc>
        <w:tc>
          <w:tcPr>
            <w:tcW w:type="dxa" w:w="7540"/>
            <w:tcW w:w="7541" w:type="dxa"/>
          </w:tcPr>
          <w:p>
            <w:pPr>
              <w:jc w:val="left"/>
            </w:pPr>
            <w:r/>
            <w:r>
              <w:rPr>
                <w:rFonts w:ascii="Cambria" w:hAnsi="Cambria"/>
                <w:b w:val="0"/>
                <w:i w:val="0"/>
                <w:sz w:val="22"/>
              </w:rPr>
              <w:t>Institutional Awards Promoting Women's Excellence and Empowerment in Higher Education</w:t>
            </w:r>
          </w:p>
        </w:tc>
        <w:tc>
          <w:tcPr>
            <w:tcW w:type="dxa" w:w="1020"/>
            <w:tcW w:w="1020" w:type="dxa"/>
          </w:tcPr>
          <w:p>
            <w:pPr>
              <w:jc w:val="left"/>
            </w:pPr>
            <w:r/>
            <w:r>
              <w:rPr>
                <w:rFonts w:ascii="Cambria" w:hAnsi="Cambria"/>
                <w:b w:val="0"/>
                <w:i w:val="0"/>
                <w:sz w:val="22"/>
              </w:rPr>
              <w:t>038</w:t>
            </w:r>
          </w:p>
        </w:tc>
      </w:tr>
      <w:tr>
        <w:tc>
          <w:tcPr>
            <w:tcW w:type="dxa" w:w="850"/>
            <w:tcW w:w="850" w:type="dxa"/>
            <w:shd w:val="clear" w:color="auto" w:fill="DCE6F1"/>
          </w:tcPr>
          <w:p>
            <w:pPr>
              <w:jc w:val="left"/>
            </w:pPr>
            <w:r/>
            <w:r>
              <w:rPr>
                <w:rFonts w:ascii="Cambria" w:hAnsi="Cambria"/>
                <w:b w:val="0"/>
                <w:i w:val="0"/>
                <w:sz w:val="22"/>
              </w:rPr>
              <w:t>20</w:t>
            </w:r>
          </w:p>
        </w:tc>
        <w:tc>
          <w:tcPr>
            <w:tcW w:type="dxa" w:w="7540"/>
            <w:tcW w:w="7541" w:type="dxa"/>
            <w:shd w:val="clear" w:color="auto" w:fill="DCE6F1"/>
          </w:tcPr>
          <w:p>
            <w:pPr>
              <w:jc w:val="left"/>
            </w:pPr>
            <w:r/>
            <w:r>
              <w:rPr>
                <w:rFonts w:ascii="Cambria" w:hAnsi="Cambria"/>
                <w:b w:val="0"/>
                <w:i w:val="0"/>
                <w:sz w:val="22"/>
              </w:rPr>
              <w:t>Maa Saraswati Award for Excellence in Teaching and Mentorship</w:t>
            </w:r>
          </w:p>
        </w:tc>
        <w:tc>
          <w:tcPr>
            <w:tcW w:type="dxa" w:w="1020"/>
            <w:tcW w:w="1020" w:type="dxa"/>
            <w:shd w:val="clear" w:color="auto" w:fill="DCE6F1"/>
          </w:tcPr>
          <w:p>
            <w:pPr>
              <w:jc w:val="left"/>
            </w:pPr>
            <w:r/>
            <w:r>
              <w:rPr>
                <w:rFonts w:ascii="Cambria" w:hAnsi="Cambria"/>
                <w:b w:val="0"/>
                <w:i w:val="0"/>
                <w:sz w:val="22"/>
              </w:rPr>
              <w:t>040</w:t>
            </w:r>
          </w:p>
        </w:tc>
      </w:tr>
      <w:tr>
        <w:tc>
          <w:tcPr>
            <w:tcW w:type="dxa" w:w="850"/>
            <w:tcW w:w="850" w:type="dxa"/>
          </w:tcPr>
          <w:p>
            <w:pPr>
              <w:jc w:val="left"/>
            </w:pPr>
            <w:r/>
            <w:r>
              <w:rPr>
                <w:rFonts w:ascii="Cambria" w:hAnsi="Cambria"/>
                <w:b w:val="0"/>
                <w:i w:val="0"/>
                <w:sz w:val="22"/>
              </w:rPr>
              <w:t>21</w:t>
            </w:r>
          </w:p>
        </w:tc>
        <w:tc>
          <w:tcPr>
            <w:tcW w:type="dxa" w:w="7540"/>
            <w:tcW w:w="7541" w:type="dxa"/>
          </w:tcPr>
          <w:p>
            <w:pPr>
              <w:jc w:val="left"/>
            </w:pPr>
            <w:r/>
            <w:r>
              <w:rPr>
                <w:rFonts w:ascii="Cambria" w:hAnsi="Cambria"/>
                <w:b w:val="0"/>
                <w:i w:val="0"/>
                <w:sz w:val="22"/>
              </w:rPr>
              <w:t>AICTE's Lilavati Award and Collaboration with 'Aspire for Her' for Women Empowerment</w:t>
            </w:r>
          </w:p>
        </w:tc>
        <w:tc>
          <w:tcPr>
            <w:tcW w:type="dxa" w:w="1020"/>
            <w:tcW w:w="1020" w:type="dxa"/>
          </w:tcPr>
          <w:p>
            <w:pPr>
              <w:jc w:val="left"/>
            </w:pPr>
            <w:r/>
            <w:r>
              <w:rPr>
                <w:rFonts w:ascii="Cambria" w:hAnsi="Cambria"/>
                <w:b w:val="0"/>
                <w:i w:val="0"/>
                <w:sz w:val="22"/>
              </w:rPr>
              <w:t>042</w:t>
            </w:r>
          </w:p>
        </w:tc>
      </w:tr>
      <w:tr>
        <w:tc>
          <w:tcPr>
            <w:tcW w:type="dxa" w:w="850"/>
            <w:tcW w:w="850" w:type="dxa"/>
            <w:shd w:val="clear" w:color="auto" w:fill="DCE6F1"/>
          </w:tcPr>
          <w:p>
            <w:pPr>
              <w:jc w:val="left"/>
            </w:pPr>
            <w:r/>
            <w:r>
              <w:rPr>
                <w:rFonts w:ascii="Cambria" w:hAnsi="Cambria"/>
                <w:b w:val="0"/>
                <w:i w:val="0"/>
                <w:sz w:val="22"/>
              </w:rPr>
              <w:t>22</w:t>
            </w:r>
          </w:p>
        </w:tc>
        <w:tc>
          <w:tcPr>
            <w:tcW w:type="dxa" w:w="7540"/>
            <w:tcW w:w="7541" w:type="dxa"/>
            <w:shd w:val="clear" w:color="auto" w:fill="DCE6F1"/>
          </w:tcPr>
          <w:p>
            <w:pPr>
              <w:jc w:val="left"/>
            </w:pPr>
            <w:r/>
            <w:r>
              <w:rPr>
                <w:rFonts w:ascii="Cambria" w:hAnsi="Cambria"/>
                <w:b w:val="0"/>
                <w:i w:val="0"/>
                <w:sz w:val="22"/>
              </w:rPr>
              <w:t>National Assessment and Accreditation Council (NAAC) and Gender Equity in Higher Education Institutions</w:t>
            </w:r>
          </w:p>
        </w:tc>
        <w:tc>
          <w:tcPr>
            <w:tcW w:type="dxa" w:w="1020"/>
            <w:tcW w:w="1020" w:type="dxa"/>
            <w:shd w:val="clear" w:color="auto" w:fill="DCE6F1"/>
          </w:tcPr>
          <w:p>
            <w:pPr>
              <w:jc w:val="left"/>
            </w:pPr>
            <w:r/>
            <w:r>
              <w:rPr>
                <w:rFonts w:ascii="Cambria" w:hAnsi="Cambria"/>
                <w:b w:val="0"/>
                <w:i w:val="0"/>
                <w:sz w:val="22"/>
              </w:rPr>
              <w:t>044</w:t>
            </w:r>
          </w:p>
        </w:tc>
      </w:tr>
      <w:tr>
        <w:tc>
          <w:tcPr>
            <w:tcW w:type="dxa" w:w="850"/>
            <w:tcW w:w="850" w:type="dxa"/>
          </w:tcPr>
          <w:p>
            <w:pPr>
              <w:jc w:val="left"/>
            </w:pPr>
            <w:r/>
            <w:r>
              <w:rPr>
                <w:rFonts w:ascii="Cambria" w:hAnsi="Cambria"/>
                <w:b w:val="0"/>
                <w:i w:val="0"/>
                <w:sz w:val="22"/>
              </w:rPr>
              <w:t>23</w:t>
            </w:r>
          </w:p>
        </w:tc>
        <w:tc>
          <w:tcPr>
            <w:tcW w:type="dxa" w:w="7540"/>
            <w:tcW w:w="7541" w:type="dxa"/>
          </w:tcPr>
          <w:p>
            <w:pPr>
              <w:jc w:val="left"/>
            </w:pPr>
            <w:r/>
            <w:r>
              <w:rPr>
                <w:rFonts w:ascii="Cambria" w:hAnsi="Cambria"/>
                <w:b w:val="0"/>
                <w:i w:val="0"/>
                <w:sz w:val="22"/>
              </w:rPr>
              <w:t>University Grants Commission (UGC) Initiatives for Promoting Gender Equality in Higher Education Institutions</w:t>
            </w:r>
          </w:p>
        </w:tc>
        <w:tc>
          <w:tcPr>
            <w:tcW w:type="dxa" w:w="1020"/>
            <w:tcW w:w="1020" w:type="dxa"/>
          </w:tcPr>
          <w:p>
            <w:pPr>
              <w:jc w:val="left"/>
            </w:pPr>
            <w:r/>
            <w:r>
              <w:rPr>
                <w:rFonts w:ascii="Cambria" w:hAnsi="Cambria"/>
                <w:b w:val="0"/>
                <w:i w:val="0"/>
                <w:sz w:val="22"/>
              </w:rPr>
              <w:t>047</w:t>
            </w:r>
          </w:p>
        </w:tc>
      </w:tr>
      <w:tr>
        <w:tc>
          <w:tcPr>
            <w:tcW w:type="dxa" w:w="850"/>
            <w:tcW w:w="850" w:type="dxa"/>
            <w:shd w:val="clear" w:color="auto" w:fill="DCE6F1"/>
          </w:tcPr>
          <w:p>
            <w:pPr>
              <w:jc w:val="left"/>
            </w:pPr>
            <w:r/>
            <w:r>
              <w:rPr>
                <w:rFonts w:ascii="Cambria" w:hAnsi="Cambria"/>
                <w:b w:val="0"/>
                <w:i w:val="0"/>
                <w:sz w:val="22"/>
              </w:rPr>
              <w:t>24</w:t>
            </w:r>
          </w:p>
        </w:tc>
        <w:tc>
          <w:tcPr>
            <w:tcW w:type="dxa" w:w="7540"/>
            <w:tcW w:w="7541" w:type="dxa"/>
            <w:shd w:val="clear" w:color="auto" w:fill="DCE6F1"/>
          </w:tcPr>
          <w:p>
            <w:pPr>
              <w:jc w:val="left"/>
            </w:pPr>
            <w:r/>
            <w:r>
              <w:rPr>
                <w:rFonts w:ascii="Cambria" w:hAnsi="Cambria"/>
                <w:b w:val="0"/>
                <w:i w:val="0"/>
                <w:sz w:val="22"/>
              </w:rPr>
              <w:t>Role of Higher Education Institutions (HEIs) in Achieving Sustainable Development Goal 5 (Gender Equality and Women Empowerment)</w:t>
            </w:r>
          </w:p>
        </w:tc>
        <w:tc>
          <w:tcPr>
            <w:tcW w:type="dxa" w:w="1020"/>
            <w:tcW w:w="1020" w:type="dxa"/>
            <w:shd w:val="clear" w:color="auto" w:fill="DCE6F1"/>
          </w:tcPr>
          <w:p>
            <w:pPr>
              <w:jc w:val="left"/>
            </w:pPr>
            <w:r/>
            <w:r>
              <w:rPr>
                <w:rFonts w:ascii="Cambria" w:hAnsi="Cambria"/>
                <w:b w:val="0"/>
                <w:i w:val="0"/>
                <w:sz w:val="22"/>
              </w:rPr>
              <w:t>049</w:t>
            </w:r>
          </w:p>
        </w:tc>
      </w:tr>
      <w:tr>
        <w:tc>
          <w:tcPr>
            <w:tcW w:type="dxa" w:w="850"/>
            <w:tcW w:w="850" w:type="dxa"/>
          </w:tcPr>
          <w:p>
            <w:pPr>
              <w:jc w:val="left"/>
            </w:pPr>
            <w:r/>
            <w:r>
              <w:rPr>
                <w:rFonts w:ascii="Cambria" w:hAnsi="Cambria"/>
                <w:b w:val="0"/>
                <w:i w:val="0"/>
                <w:sz w:val="22"/>
              </w:rPr>
              <w:t>25</w:t>
            </w:r>
          </w:p>
        </w:tc>
        <w:tc>
          <w:tcPr>
            <w:tcW w:type="dxa" w:w="7540"/>
            <w:tcW w:w="7541" w:type="dxa"/>
          </w:tcPr>
          <w:p>
            <w:pPr>
              <w:jc w:val="left"/>
            </w:pPr>
            <w:r/>
            <w:r>
              <w:rPr>
                <w:rFonts w:ascii="Cambria" w:hAnsi="Cambria"/>
                <w:b w:val="0"/>
                <w:i w:val="0"/>
                <w:sz w:val="22"/>
              </w:rPr>
              <w:t>Policy Reforms in Higher Education Institutions (HEIs) for Promoting Gender Equality and Women's Participation</w:t>
            </w:r>
          </w:p>
        </w:tc>
        <w:tc>
          <w:tcPr>
            <w:tcW w:type="dxa" w:w="1020"/>
            <w:tcW w:w="1020" w:type="dxa"/>
          </w:tcPr>
          <w:p>
            <w:pPr>
              <w:jc w:val="left"/>
            </w:pPr>
            <w:r/>
            <w:r>
              <w:rPr>
                <w:rFonts w:ascii="Cambria" w:hAnsi="Cambria"/>
                <w:b w:val="0"/>
                <w:i w:val="0"/>
                <w:sz w:val="22"/>
              </w:rPr>
              <w:t>051</w:t>
            </w:r>
          </w:p>
        </w:tc>
      </w:tr>
      <w:tr>
        <w:tc>
          <w:tcPr>
            <w:tcW w:type="dxa" w:w="850"/>
            <w:tcW w:w="850" w:type="dxa"/>
            <w:shd w:val="clear" w:color="auto" w:fill="DCE6F1"/>
          </w:tcPr>
          <w:p>
            <w:pPr>
              <w:jc w:val="left"/>
            </w:pPr>
            <w:r/>
            <w:r>
              <w:rPr>
                <w:rFonts w:ascii="Cambria" w:hAnsi="Cambria"/>
                <w:b w:val="0"/>
                <w:i w:val="0"/>
                <w:sz w:val="22"/>
              </w:rPr>
              <w:t>26</w:t>
            </w:r>
          </w:p>
        </w:tc>
        <w:tc>
          <w:tcPr>
            <w:tcW w:type="dxa" w:w="7540"/>
            <w:tcW w:w="7541" w:type="dxa"/>
            <w:shd w:val="clear" w:color="auto" w:fill="DCE6F1"/>
          </w:tcPr>
          <w:p>
            <w:pPr>
              <w:jc w:val="left"/>
            </w:pPr>
            <w:r/>
            <w:r>
              <w:rPr>
                <w:rFonts w:ascii="Cambria" w:hAnsi="Cambria"/>
                <w:b w:val="0"/>
                <w:i w:val="0"/>
                <w:sz w:val="22"/>
              </w:rPr>
              <w:t>Feminist Strategic Alliances and the Need for Regulatory Enforcement of Gender Equality in HEIs</w:t>
            </w:r>
          </w:p>
        </w:tc>
        <w:tc>
          <w:tcPr>
            <w:tcW w:type="dxa" w:w="1020"/>
            <w:tcW w:w="1020" w:type="dxa"/>
            <w:shd w:val="clear" w:color="auto" w:fill="DCE6F1"/>
          </w:tcPr>
          <w:p>
            <w:pPr>
              <w:jc w:val="left"/>
            </w:pPr>
            <w:r/>
            <w:r>
              <w:rPr>
                <w:rFonts w:ascii="Cambria" w:hAnsi="Cambria"/>
                <w:b w:val="0"/>
                <w:i w:val="0"/>
                <w:sz w:val="22"/>
              </w:rPr>
              <w:t>053</w:t>
            </w:r>
          </w:p>
        </w:tc>
      </w:tr>
      <w:tr>
        <w:tc>
          <w:tcPr>
            <w:tcW w:type="dxa" w:w="850"/>
            <w:tcW w:w="850" w:type="dxa"/>
          </w:tcPr>
          <w:p>
            <w:pPr>
              <w:jc w:val="left"/>
            </w:pPr>
            <w:r/>
            <w:r>
              <w:rPr>
                <w:rFonts w:ascii="Cambria" w:hAnsi="Cambria"/>
                <w:b w:val="0"/>
                <w:i w:val="0"/>
                <w:sz w:val="22"/>
              </w:rPr>
              <w:t>27</w:t>
            </w:r>
          </w:p>
        </w:tc>
        <w:tc>
          <w:tcPr>
            <w:tcW w:type="dxa" w:w="7540"/>
            <w:tcW w:w="7541" w:type="dxa"/>
          </w:tcPr>
          <w:p>
            <w:pPr>
              <w:jc w:val="left"/>
            </w:pPr>
            <w:r/>
            <w:r>
              <w:rPr>
                <w:rFonts w:ascii="Cambria" w:hAnsi="Cambria"/>
                <w:b w:val="0"/>
                <w:i w:val="0"/>
                <w:sz w:val="22"/>
              </w:rPr>
              <w:t>Women's Leadership in Higher Education: Global and Indian Perspectives</w:t>
            </w:r>
          </w:p>
        </w:tc>
        <w:tc>
          <w:tcPr>
            <w:tcW w:type="dxa" w:w="1020"/>
            <w:tcW w:w="1020" w:type="dxa"/>
          </w:tcPr>
          <w:p>
            <w:pPr>
              <w:jc w:val="left"/>
            </w:pPr>
            <w:r/>
            <w:r>
              <w:rPr>
                <w:rFonts w:ascii="Cambria" w:hAnsi="Cambria"/>
                <w:b w:val="0"/>
                <w:i w:val="0"/>
                <w:sz w:val="22"/>
              </w:rPr>
              <w:t>055</w:t>
            </w:r>
          </w:p>
        </w:tc>
      </w:tr>
      <w:tr>
        <w:tc>
          <w:tcPr>
            <w:tcW w:type="dxa" w:w="850"/>
            <w:tcW w:w="850" w:type="dxa"/>
            <w:shd w:val="clear" w:color="auto" w:fill="DCE6F1"/>
          </w:tcPr>
          <w:p>
            <w:pPr>
              <w:jc w:val="left"/>
            </w:pPr>
            <w:r/>
            <w:r>
              <w:rPr>
                <w:rFonts w:ascii="Cambria" w:hAnsi="Cambria"/>
                <w:b w:val="0"/>
                <w:i w:val="0"/>
                <w:sz w:val="22"/>
              </w:rPr>
              <w:t>28</w:t>
            </w:r>
          </w:p>
        </w:tc>
        <w:tc>
          <w:tcPr>
            <w:tcW w:type="dxa" w:w="7540"/>
            <w:tcW w:w="7541" w:type="dxa"/>
            <w:shd w:val="clear" w:color="auto" w:fill="DCE6F1"/>
          </w:tcPr>
          <w:p>
            <w:pPr>
              <w:jc w:val="left"/>
            </w:pPr>
            <w:r/>
            <w:r>
              <w:rPr>
                <w:rFonts w:ascii="Cambria" w:hAnsi="Cambria"/>
                <w:b w:val="0"/>
                <w:i w:val="0"/>
                <w:sz w:val="22"/>
              </w:rPr>
              <w:t>Times Higher Education (THE) World University Rankings and India's Performance under SDG-5: Gender Equality</w:t>
            </w:r>
          </w:p>
        </w:tc>
        <w:tc>
          <w:tcPr>
            <w:tcW w:type="dxa" w:w="1020"/>
            <w:tcW w:w="1020" w:type="dxa"/>
            <w:shd w:val="clear" w:color="auto" w:fill="DCE6F1"/>
          </w:tcPr>
          <w:p>
            <w:pPr>
              <w:jc w:val="left"/>
            </w:pPr>
            <w:r/>
            <w:r>
              <w:rPr>
                <w:rFonts w:ascii="Cambria" w:hAnsi="Cambria"/>
                <w:b w:val="0"/>
                <w:i w:val="0"/>
                <w:sz w:val="22"/>
              </w:rPr>
              <w:t>057</w:t>
            </w:r>
          </w:p>
        </w:tc>
      </w:tr>
      <w:tr>
        <w:tc>
          <w:tcPr>
            <w:tcW w:type="dxa" w:w="850"/>
            <w:tcW w:w="850" w:type="dxa"/>
          </w:tcPr>
          <w:p>
            <w:pPr>
              <w:jc w:val="left"/>
            </w:pPr>
            <w:r/>
            <w:r>
              <w:rPr>
                <w:rFonts w:ascii="Cambria" w:hAnsi="Cambria"/>
                <w:b w:val="0"/>
                <w:i w:val="0"/>
                <w:sz w:val="22"/>
              </w:rPr>
              <w:t>29</w:t>
            </w:r>
          </w:p>
        </w:tc>
        <w:tc>
          <w:tcPr>
            <w:tcW w:type="dxa" w:w="7540"/>
            <w:tcW w:w="7541" w:type="dxa"/>
          </w:tcPr>
          <w:p>
            <w:pPr>
              <w:jc w:val="left"/>
            </w:pPr>
            <w:r/>
            <w:r>
              <w:rPr>
                <w:rFonts w:ascii="Cambria" w:hAnsi="Cambria"/>
                <w:b w:val="0"/>
                <w:i w:val="0"/>
                <w:sz w:val="22"/>
              </w:rPr>
              <w:t>Massive Open Online Courses (MOOCs) Related to SDG-5: Gender Equality and Women Empowerment</w:t>
            </w:r>
          </w:p>
        </w:tc>
        <w:tc>
          <w:tcPr>
            <w:tcW w:type="dxa" w:w="1020"/>
            <w:tcW w:w="1020" w:type="dxa"/>
          </w:tcPr>
          <w:p>
            <w:pPr>
              <w:jc w:val="left"/>
            </w:pPr>
            <w:r/>
            <w:r>
              <w:rPr>
                <w:rFonts w:ascii="Cambria" w:hAnsi="Cambria"/>
                <w:b w:val="0"/>
                <w:i w:val="0"/>
                <w:sz w:val="22"/>
              </w:rPr>
              <w:t>059</w:t>
            </w:r>
          </w:p>
        </w:tc>
      </w:tr>
      <w:tr>
        <w:tc>
          <w:tcPr>
            <w:tcW w:type="dxa" w:w="850"/>
            <w:tcW w:w="850" w:type="dxa"/>
            <w:shd w:val="clear" w:color="auto" w:fill="DCE6F1"/>
          </w:tcPr>
          <w:p>
            <w:pPr>
              <w:jc w:val="left"/>
            </w:pPr>
            <w:r/>
            <w:r>
              <w:rPr>
                <w:rFonts w:ascii="Cambria" w:hAnsi="Cambria"/>
                <w:b w:val="0"/>
                <w:i w:val="0"/>
                <w:sz w:val="22"/>
              </w:rPr>
              <w:t>30</w:t>
            </w:r>
          </w:p>
        </w:tc>
        <w:tc>
          <w:tcPr>
            <w:tcW w:type="dxa" w:w="7540"/>
            <w:tcW w:w="7541" w:type="dxa"/>
            <w:shd w:val="clear" w:color="auto" w:fill="DCE6F1"/>
          </w:tcPr>
          <w:p>
            <w:pPr>
              <w:jc w:val="left"/>
            </w:pPr>
            <w:r/>
            <w:r>
              <w:rPr>
                <w:rFonts w:ascii="Cambria" w:hAnsi="Cambria"/>
                <w:b w:val="0"/>
                <w:i w:val="0"/>
                <w:sz w:val="22"/>
              </w:rPr>
              <w:t>Access to Higher Education: Strategies for Promoting Women's Participation and Empowerment</w:t>
            </w:r>
          </w:p>
        </w:tc>
        <w:tc>
          <w:tcPr>
            <w:tcW w:type="dxa" w:w="1020"/>
            <w:tcW w:w="1020" w:type="dxa"/>
            <w:shd w:val="clear" w:color="auto" w:fill="DCE6F1"/>
          </w:tcPr>
          <w:p>
            <w:pPr>
              <w:jc w:val="left"/>
            </w:pPr>
            <w:r/>
            <w:r>
              <w:rPr>
                <w:rFonts w:ascii="Cambria" w:hAnsi="Cambria"/>
                <w:b w:val="0"/>
                <w:i w:val="0"/>
                <w:sz w:val="22"/>
              </w:rPr>
              <w:t>061</w:t>
            </w:r>
          </w:p>
        </w:tc>
      </w:tr>
      <w:tr>
        <w:tc>
          <w:tcPr>
            <w:tcW w:type="dxa" w:w="850"/>
            <w:tcW w:w="850" w:type="dxa"/>
          </w:tcPr>
          <w:p>
            <w:pPr>
              <w:jc w:val="left"/>
            </w:pPr>
            <w:r/>
            <w:r>
              <w:rPr>
                <w:rFonts w:ascii="Cambria" w:hAnsi="Cambria"/>
                <w:b w:val="0"/>
                <w:i w:val="0"/>
                <w:sz w:val="22"/>
              </w:rPr>
              <w:t>31</w:t>
            </w:r>
          </w:p>
        </w:tc>
        <w:tc>
          <w:tcPr>
            <w:tcW w:type="dxa" w:w="7540"/>
            <w:tcW w:w="7541" w:type="dxa"/>
          </w:tcPr>
          <w:p>
            <w:pPr>
              <w:jc w:val="left"/>
            </w:pPr>
            <w:r/>
            <w:r>
              <w:rPr>
                <w:rFonts w:ascii="Cambria" w:hAnsi="Cambria"/>
                <w:b w:val="0"/>
                <w:i w:val="0"/>
                <w:sz w:val="22"/>
              </w:rPr>
              <w:t>Teaching and Learning: Integrating Gender Equality and Women Empowerment into Higher Education</w:t>
            </w:r>
          </w:p>
        </w:tc>
        <w:tc>
          <w:tcPr>
            <w:tcW w:type="dxa" w:w="1020"/>
            <w:tcW w:w="1020" w:type="dxa"/>
          </w:tcPr>
          <w:p>
            <w:pPr>
              <w:jc w:val="left"/>
            </w:pPr>
            <w:r/>
            <w:r>
              <w:rPr>
                <w:rFonts w:ascii="Cambria" w:hAnsi="Cambria"/>
                <w:b w:val="0"/>
                <w:i w:val="0"/>
                <w:sz w:val="22"/>
              </w:rPr>
              <w:t>064</w:t>
            </w:r>
          </w:p>
        </w:tc>
      </w:tr>
      <w:tr>
        <w:tc>
          <w:tcPr>
            <w:tcW w:type="dxa" w:w="850"/>
            <w:tcW w:w="850" w:type="dxa"/>
            <w:shd w:val="clear" w:color="auto" w:fill="DCE6F1"/>
          </w:tcPr>
          <w:p>
            <w:pPr>
              <w:jc w:val="left"/>
            </w:pPr>
            <w:r/>
            <w:r>
              <w:rPr>
                <w:rFonts w:ascii="Cambria" w:hAnsi="Cambria"/>
                <w:b w:val="0"/>
                <w:i w:val="0"/>
                <w:sz w:val="22"/>
              </w:rPr>
              <w:t>32</w:t>
            </w:r>
          </w:p>
        </w:tc>
        <w:tc>
          <w:tcPr>
            <w:tcW w:type="dxa" w:w="7540"/>
            <w:tcW w:w="7541" w:type="dxa"/>
            <w:shd w:val="clear" w:color="auto" w:fill="DCE6F1"/>
          </w:tcPr>
          <w:p>
            <w:pPr>
              <w:jc w:val="left"/>
            </w:pPr>
            <w:r/>
            <w:r>
              <w:rPr>
                <w:rFonts w:ascii="Cambria" w:hAnsi="Cambria"/>
                <w:b w:val="0"/>
                <w:i w:val="0"/>
                <w:sz w:val="22"/>
              </w:rPr>
              <w:t>Organizational Governance, Operations, and Culture of the University: Promoting Gender Equity and Inclusive Leadership</w:t>
            </w:r>
          </w:p>
        </w:tc>
        <w:tc>
          <w:tcPr>
            <w:tcW w:type="dxa" w:w="1020"/>
            <w:tcW w:w="1020" w:type="dxa"/>
            <w:shd w:val="clear" w:color="auto" w:fill="DCE6F1"/>
          </w:tcPr>
          <w:p>
            <w:pPr>
              <w:jc w:val="left"/>
            </w:pPr>
            <w:r/>
            <w:r>
              <w:rPr>
                <w:rFonts w:ascii="Cambria" w:hAnsi="Cambria"/>
                <w:b w:val="0"/>
                <w:i w:val="0"/>
                <w:sz w:val="22"/>
              </w:rPr>
              <w:t>066</w:t>
            </w:r>
          </w:p>
        </w:tc>
      </w:tr>
      <w:tr>
        <w:tc>
          <w:tcPr>
            <w:tcW w:type="dxa" w:w="850"/>
            <w:tcW w:w="850" w:type="dxa"/>
          </w:tcPr>
          <w:p>
            <w:pPr>
              <w:jc w:val="left"/>
            </w:pPr>
            <w:r/>
            <w:r>
              <w:rPr>
                <w:rFonts w:ascii="Cambria" w:hAnsi="Cambria"/>
                <w:b w:val="0"/>
                <w:i w:val="0"/>
                <w:sz w:val="22"/>
              </w:rPr>
              <w:t>33</w:t>
            </w:r>
          </w:p>
        </w:tc>
        <w:tc>
          <w:tcPr>
            <w:tcW w:type="dxa" w:w="7540"/>
            <w:tcW w:w="7541" w:type="dxa"/>
          </w:tcPr>
          <w:p>
            <w:pPr>
              <w:jc w:val="left"/>
            </w:pPr>
            <w:r/>
            <w:r>
              <w:rPr>
                <w:rFonts w:ascii="Cambria" w:hAnsi="Cambria"/>
                <w:b w:val="0"/>
                <w:i w:val="0"/>
                <w:sz w:val="22"/>
              </w:rPr>
              <w:t>Cross-Sectoral Collaborations: Advancing Gender Equality and Women Empowerment through Collective Action</w:t>
            </w:r>
          </w:p>
        </w:tc>
        <w:tc>
          <w:tcPr>
            <w:tcW w:type="dxa" w:w="1020"/>
            <w:tcW w:w="1020" w:type="dxa"/>
          </w:tcPr>
          <w:p>
            <w:pPr>
              <w:jc w:val="left"/>
            </w:pPr>
            <w:r/>
            <w:r>
              <w:rPr>
                <w:rFonts w:ascii="Cambria" w:hAnsi="Cambria"/>
                <w:b w:val="0"/>
                <w:i w:val="0"/>
                <w:sz w:val="22"/>
              </w:rPr>
              <w:t>069</w:t>
            </w:r>
          </w:p>
        </w:tc>
      </w:tr>
      <w:tr>
        <w:tc>
          <w:tcPr>
            <w:tcW w:type="dxa" w:w="850"/>
            <w:tcW w:w="850" w:type="dxa"/>
            <w:shd w:val="clear" w:color="auto" w:fill="DCE6F1"/>
          </w:tcPr>
          <w:p>
            <w:pPr>
              <w:jc w:val="left"/>
            </w:pPr>
            <w:r/>
            <w:r>
              <w:rPr>
                <w:rFonts w:ascii="Cambria" w:hAnsi="Cambria"/>
                <w:b w:val="0"/>
                <w:i w:val="0"/>
                <w:sz w:val="22"/>
              </w:rPr>
              <w:t>34</w:t>
            </w:r>
          </w:p>
        </w:tc>
        <w:tc>
          <w:tcPr>
            <w:tcW w:type="dxa" w:w="7540"/>
            <w:tcW w:w="7541" w:type="dxa"/>
            <w:shd w:val="clear" w:color="auto" w:fill="DCE6F1"/>
          </w:tcPr>
          <w:p>
            <w:pPr>
              <w:jc w:val="left"/>
            </w:pPr>
            <w:r/>
            <w:r>
              <w:rPr>
                <w:rFonts w:ascii="Cambria" w:hAnsi="Cambria"/>
                <w:b w:val="0"/>
                <w:i w:val="0"/>
                <w:sz w:val="22"/>
              </w:rPr>
              <w:t>Research on Gender Issues: Advancing Knowledge, Inclusion, and Empowerment in Higher Education Institutions (HEIs)</w:t>
            </w:r>
          </w:p>
        </w:tc>
        <w:tc>
          <w:tcPr>
            <w:tcW w:type="dxa" w:w="1020"/>
            <w:tcW w:w="1020" w:type="dxa"/>
            <w:shd w:val="clear" w:color="auto" w:fill="DCE6F1"/>
          </w:tcPr>
          <w:p>
            <w:pPr>
              <w:jc w:val="left"/>
            </w:pPr>
            <w:r/>
            <w:r>
              <w:rPr>
                <w:rFonts w:ascii="Cambria" w:hAnsi="Cambria"/>
                <w:b w:val="0"/>
                <w:i w:val="0"/>
                <w:sz w:val="22"/>
              </w:rPr>
              <w:t>072</w:t>
            </w:r>
          </w:p>
        </w:tc>
      </w:tr>
      <w:tr>
        <w:tc>
          <w:tcPr>
            <w:tcW w:type="dxa" w:w="850"/>
            <w:tcW w:w="850" w:type="dxa"/>
          </w:tcPr>
          <w:p>
            <w:pPr>
              <w:jc w:val="left"/>
            </w:pPr>
            <w:r/>
            <w:r>
              <w:rPr>
                <w:rFonts w:ascii="Cambria" w:hAnsi="Cambria"/>
                <w:b w:val="0"/>
                <w:i w:val="0"/>
                <w:sz w:val="22"/>
              </w:rPr>
              <w:t>35</w:t>
            </w:r>
          </w:p>
        </w:tc>
        <w:tc>
          <w:tcPr>
            <w:tcW w:type="dxa" w:w="7540"/>
            <w:tcW w:w="7541" w:type="dxa"/>
          </w:tcPr>
          <w:p>
            <w:pPr>
              <w:jc w:val="left"/>
            </w:pPr>
            <w:r/>
            <w:r>
              <w:rPr>
                <w:rFonts w:ascii="Cambria" w:hAnsi="Cambria"/>
                <w:b w:val="0"/>
                <w:i w:val="0"/>
                <w:sz w:val="22"/>
              </w:rPr>
              <w:t>Global Gender Gap Report 2021: India's Status and Key Insights on Gender Equality</w:t>
            </w:r>
          </w:p>
        </w:tc>
        <w:tc>
          <w:tcPr>
            <w:tcW w:type="dxa" w:w="1020"/>
            <w:tcW w:w="1020" w:type="dxa"/>
          </w:tcPr>
          <w:p>
            <w:pPr>
              <w:jc w:val="left"/>
            </w:pPr>
            <w:r/>
            <w:r>
              <w:rPr>
                <w:rFonts w:ascii="Cambria" w:hAnsi="Cambria"/>
                <w:b w:val="0"/>
                <w:i w:val="0"/>
                <w:sz w:val="22"/>
              </w:rPr>
              <w:t>075</w:t>
            </w:r>
          </w:p>
        </w:tc>
      </w:tr>
      <w:tr>
        <w:tc>
          <w:tcPr>
            <w:tcW w:type="dxa" w:w="850"/>
            <w:tcW w:w="850" w:type="dxa"/>
            <w:shd w:val="clear" w:color="auto" w:fill="DCE6F1"/>
          </w:tcPr>
          <w:p>
            <w:pPr>
              <w:jc w:val="left"/>
            </w:pPr>
            <w:r/>
            <w:r>
              <w:rPr>
                <w:rFonts w:ascii="Cambria" w:hAnsi="Cambria"/>
                <w:b w:val="0"/>
                <w:i w:val="0"/>
                <w:sz w:val="22"/>
              </w:rPr>
              <w:t>36</w:t>
            </w:r>
          </w:p>
        </w:tc>
        <w:tc>
          <w:tcPr>
            <w:tcW w:type="dxa" w:w="7540"/>
            <w:tcW w:w="7541" w:type="dxa"/>
            <w:shd w:val="clear" w:color="auto" w:fill="DCE6F1"/>
          </w:tcPr>
          <w:p>
            <w:pPr>
              <w:jc w:val="left"/>
            </w:pPr>
            <w:r/>
            <w:r>
              <w:rPr>
                <w:rFonts w:ascii="Cambria" w:hAnsi="Cambria"/>
                <w:b w:val="0"/>
                <w:i w:val="0"/>
                <w:sz w:val="22"/>
              </w:rPr>
              <w:t>Integration of Gender Dimensions into Research, Innovation, and Policy: Strengthening Equality and Inclusion in Higher Education Institutions (HEIs)</w:t>
            </w:r>
          </w:p>
        </w:tc>
        <w:tc>
          <w:tcPr>
            <w:tcW w:type="dxa" w:w="1020"/>
            <w:tcW w:w="1020" w:type="dxa"/>
            <w:shd w:val="clear" w:color="auto" w:fill="DCE6F1"/>
          </w:tcPr>
          <w:p>
            <w:pPr>
              <w:jc w:val="left"/>
            </w:pPr>
            <w:r/>
            <w:r>
              <w:rPr>
                <w:rFonts w:ascii="Cambria" w:hAnsi="Cambria"/>
                <w:b w:val="0"/>
                <w:i w:val="0"/>
                <w:sz w:val="22"/>
              </w:rPr>
              <w:t>078</w:t>
            </w:r>
          </w:p>
        </w:tc>
      </w:tr>
      <w:tr>
        <w:tc>
          <w:tcPr>
            <w:tcW w:type="dxa" w:w="850"/>
            <w:tcW w:w="850" w:type="dxa"/>
          </w:tcPr>
          <w:p>
            <w:pPr>
              <w:jc w:val="left"/>
            </w:pPr>
            <w:r/>
            <w:r>
              <w:rPr>
                <w:rFonts w:ascii="Cambria" w:hAnsi="Cambria"/>
                <w:b w:val="0"/>
                <w:i w:val="0"/>
                <w:sz w:val="22"/>
              </w:rPr>
              <w:t>37</w:t>
            </w:r>
          </w:p>
        </w:tc>
        <w:tc>
          <w:tcPr>
            <w:tcW w:type="dxa" w:w="7540"/>
            <w:tcW w:w="7541" w:type="dxa"/>
          </w:tcPr>
          <w:p>
            <w:pPr>
              <w:jc w:val="left"/>
            </w:pPr>
            <w:r/>
            <w:r>
              <w:rPr>
                <w:rFonts w:ascii="Cambria" w:hAnsi="Cambria"/>
                <w:b w:val="0"/>
                <w:i w:val="0"/>
                <w:sz w:val="22"/>
              </w:rPr>
              <w:t>Minimal Recommended Actions for Government Agencies for Implementation of SDG-5 (Gender Equality)</w:t>
            </w:r>
          </w:p>
        </w:tc>
        <w:tc>
          <w:tcPr>
            <w:tcW w:type="dxa" w:w="1020"/>
            <w:tcW w:w="1020" w:type="dxa"/>
          </w:tcPr>
          <w:p>
            <w:pPr>
              <w:jc w:val="left"/>
            </w:pPr>
            <w:r/>
            <w:r>
              <w:rPr>
                <w:rFonts w:ascii="Cambria" w:hAnsi="Cambria"/>
                <w:b w:val="0"/>
                <w:i w:val="0"/>
                <w:sz w:val="22"/>
              </w:rPr>
              <w:t>082</w:t>
            </w:r>
          </w:p>
        </w:tc>
      </w:tr>
      <w:tr>
        <w:tc>
          <w:tcPr>
            <w:tcW w:type="dxa" w:w="850"/>
            <w:tcW w:w="850" w:type="dxa"/>
            <w:shd w:val="clear" w:color="auto" w:fill="DCE6F1"/>
          </w:tcPr>
          <w:p>
            <w:pPr>
              <w:jc w:val="left"/>
            </w:pPr>
            <w:r/>
            <w:r>
              <w:rPr>
                <w:rFonts w:ascii="Cambria" w:hAnsi="Cambria"/>
                <w:b w:val="0"/>
                <w:i w:val="0"/>
                <w:sz w:val="22"/>
              </w:rPr>
              <w:t>38</w:t>
            </w:r>
          </w:p>
        </w:tc>
        <w:tc>
          <w:tcPr>
            <w:tcW w:type="dxa" w:w="7540"/>
            <w:tcW w:w="7541" w:type="dxa"/>
            <w:shd w:val="clear" w:color="auto" w:fill="DCE6F1"/>
          </w:tcPr>
          <w:p>
            <w:pPr>
              <w:jc w:val="left"/>
            </w:pPr>
            <w:r/>
            <w:r>
              <w:rPr>
                <w:rFonts w:ascii="Cambria" w:hAnsi="Cambria"/>
                <w:b w:val="0"/>
                <w:i w:val="0"/>
                <w:sz w:val="22"/>
              </w:rPr>
              <w:t>Recommendations for Regulatory Agencies for Implementing SDG-5: Gender Equality in Higher Education Institutions (HEIs)</w:t>
            </w:r>
          </w:p>
        </w:tc>
        <w:tc>
          <w:tcPr>
            <w:tcW w:type="dxa" w:w="1020"/>
            <w:tcW w:w="1020" w:type="dxa"/>
            <w:shd w:val="clear" w:color="auto" w:fill="DCE6F1"/>
          </w:tcPr>
          <w:p>
            <w:pPr>
              <w:jc w:val="left"/>
            </w:pPr>
            <w:r/>
            <w:r>
              <w:rPr>
                <w:rFonts w:ascii="Cambria" w:hAnsi="Cambria"/>
                <w:b w:val="0"/>
                <w:i w:val="0"/>
                <w:sz w:val="22"/>
              </w:rPr>
              <w:t>104</w:t>
            </w:r>
          </w:p>
        </w:tc>
      </w:tr>
      <w:tr>
        <w:tc>
          <w:tcPr>
            <w:tcW w:type="dxa" w:w="850"/>
            <w:tcW w:w="850" w:type="dxa"/>
          </w:tcPr>
          <w:p>
            <w:pPr>
              <w:jc w:val="left"/>
            </w:pPr>
            <w:r/>
            <w:r>
              <w:rPr>
                <w:rFonts w:ascii="Cambria" w:hAnsi="Cambria"/>
                <w:b w:val="0"/>
                <w:i w:val="0"/>
                <w:sz w:val="22"/>
              </w:rPr>
              <w:t>39</w:t>
            </w:r>
          </w:p>
        </w:tc>
        <w:tc>
          <w:tcPr>
            <w:tcW w:type="dxa" w:w="7540"/>
            <w:tcW w:w="7541" w:type="dxa"/>
          </w:tcPr>
          <w:p>
            <w:pPr>
              <w:jc w:val="left"/>
            </w:pPr>
            <w:r/>
            <w:r>
              <w:rPr>
                <w:rFonts w:ascii="Cambria" w:hAnsi="Cambria"/>
                <w:b w:val="0"/>
                <w:i w:val="0"/>
                <w:sz w:val="22"/>
              </w:rPr>
              <w:t>References</w:t>
            </w:r>
          </w:p>
        </w:tc>
        <w:tc>
          <w:tcPr>
            <w:tcW w:type="dxa" w:w="1020"/>
            <w:tcW w:w="1020" w:type="dxa"/>
          </w:tcPr>
          <w:p>
            <w:pPr>
              <w:jc w:val="left"/>
            </w:pPr>
            <w:r/>
            <w:r>
              <w:rPr>
                <w:rFonts w:ascii="Cambria" w:hAnsi="Cambria"/>
                <w:b w:val="0"/>
                <w:i w:val="0"/>
                <w:sz w:val="22"/>
              </w:rPr>
              <w:t>106</w:t>
            </w:r>
          </w:p>
        </w:tc>
      </w:tr>
    </w:tbl>
    <w:p>
      <w:r>
        <w:br w:type="page"/>
      </w:r>
    </w:p>
    <w:p>
      <w:pPr>
        <w:spacing w:before="280" w:after="160"/>
        <w:jc w:val="left"/>
      </w:pPr>
      <w:r>
        <w:rPr>
          <w:rFonts w:ascii="Cambria" w:hAnsi="Cambria"/>
          <w:b/>
          <w:color w:val="1F3A5F"/>
          <w:sz w:val="32"/>
        </w:rPr>
        <w:t>1. SDG-5: Achieve Gender Equality and Empower all Women and Girls</w:t>
      </w:r>
    </w:p>
    <w:p>
      <w:pPr>
        <w:spacing w:before="240" w:after="120"/>
        <w:jc w:val="left"/>
      </w:pPr>
      <w:r>
        <w:rPr>
          <w:rFonts w:ascii="Cambria" w:hAnsi="Cambria"/>
          <w:b/>
          <w:color w:val="1F3A5F"/>
          <w:sz w:val="28"/>
        </w:rPr>
        <w:t>SDG-5: Gender Equality</w:t>
      </w:r>
    </w:p>
    <w:p>
      <w:pPr>
        <w:spacing w:before="200" w:after="80"/>
        <w:jc w:val="left"/>
      </w:pPr>
      <w:r>
        <w:rPr>
          <w:rFonts w:ascii="Cambria" w:hAnsi="Cambria"/>
          <w:b/>
          <w:color w:val="1F3A5F"/>
          <w:sz w:val="25"/>
        </w:rPr>
        <w:t>Overview of SDG-5</w:t>
      </w:r>
    </w:p>
    <w:p>
      <w:pPr>
        <w:pStyle w:val="ListBullet"/>
        <w:ind w:left="357"/>
        <w:jc w:val="both"/>
      </w:pPr>
      <w:r>
        <w:rPr>
          <w:rFonts w:ascii="Cambria" w:hAnsi="Cambria"/>
          <w:sz w:val="22"/>
        </w:rPr>
        <w:t>Sustainable Development Goal 5 (SDG-5) focuses on achieving gender equality and empowering all women and girls by 2030.</w:t>
      </w:r>
    </w:p>
    <w:p>
      <w:pPr>
        <w:pStyle w:val="ListBullet"/>
        <w:ind w:left="357"/>
        <w:jc w:val="both"/>
      </w:pPr>
      <w:r>
        <w:rPr>
          <w:rFonts w:ascii="Cambria" w:hAnsi="Cambria"/>
          <w:sz w:val="22"/>
        </w:rPr>
        <w:t>It recognizes that gender equality is not only a fundamental human right but also a foundation for a peaceful, prosperous, and sustainable world.</w:t>
      </w:r>
    </w:p>
    <w:p>
      <w:pPr>
        <w:pStyle w:val="ListBullet"/>
        <w:ind w:left="357"/>
        <w:jc w:val="both"/>
      </w:pPr>
      <w:r>
        <w:rPr>
          <w:rFonts w:ascii="Cambria" w:hAnsi="Cambria"/>
          <w:sz w:val="22"/>
        </w:rPr>
        <w:t>The goal calls for eliminating discrimination, violence, and harmful practices against women and ensuring equal opportunities in leadership, education, employment, and decision-making.</w:t>
      </w:r>
    </w:p>
    <w:p>
      <w:pPr>
        <w:spacing w:before="200" w:after="80"/>
        <w:jc w:val="left"/>
      </w:pPr>
      <w:r>
        <w:rPr>
          <w:rFonts w:ascii="Cambria" w:hAnsi="Cambria"/>
          <w:b/>
          <w:color w:val="1F3A5F"/>
          <w:sz w:val="25"/>
        </w:rPr>
        <w:t>Core Objectives of SDG-5</w:t>
      </w:r>
    </w:p>
    <w:p>
      <w:pPr>
        <w:pStyle w:val="ListBullet"/>
        <w:ind w:left="357"/>
        <w:jc w:val="both"/>
      </w:pPr>
      <w:r>
        <w:rPr>
          <w:rFonts w:ascii="Cambria" w:hAnsi="Cambria"/>
          <w:sz w:val="22"/>
        </w:rPr>
        <w:t>End all forms of discrimination against women and girls everywhere.</w:t>
      </w:r>
    </w:p>
    <w:p>
      <w:pPr>
        <w:pStyle w:val="ListBullet"/>
        <w:ind w:left="357"/>
        <w:jc w:val="both"/>
      </w:pPr>
      <w:r>
        <w:rPr>
          <w:rFonts w:ascii="Cambria" w:hAnsi="Cambria"/>
          <w:sz w:val="22"/>
        </w:rPr>
        <w:t>Eliminate gender-based violence, including trafficking and exploitation.</w:t>
      </w:r>
    </w:p>
    <w:p>
      <w:pPr>
        <w:pStyle w:val="ListBullet"/>
        <w:ind w:left="357"/>
        <w:jc w:val="both"/>
      </w:pPr>
      <w:r>
        <w:rPr>
          <w:rFonts w:ascii="Cambria" w:hAnsi="Cambria"/>
          <w:sz w:val="22"/>
        </w:rPr>
        <w:t>Ensure equal participation of women in political, economic, and public life.</w:t>
      </w:r>
    </w:p>
    <w:p>
      <w:pPr>
        <w:pStyle w:val="ListBullet"/>
        <w:ind w:left="357"/>
        <w:jc w:val="both"/>
      </w:pPr>
      <w:r>
        <w:rPr>
          <w:rFonts w:ascii="Cambria" w:hAnsi="Cambria"/>
          <w:sz w:val="22"/>
        </w:rPr>
        <w:t>Guarantee access to education and reproductive health rights for women and girls.</w:t>
      </w:r>
    </w:p>
    <w:p>
      <w:pPr>
        <w:pStyle w:val="ListBullet"/>
        <w:ind w:left="357"/>
        <w:jc w:val="both"/>
      </w:pPr>
      <w:r>
        <w:rPr>
          <w:rFonts w:ascii="Cambria" w:hAnsi="Cambria"/>
          <w:sz w:val="22"/>
        </w:rPr>
        <w:t>Promote equal pay, equal work, and shared domestic responsibilities between men and women.</w:t>
      </w:r>
    </w:p>
    <w:p>
      <w:pPr>
        <w:pStyle w:val="ListBullet"/>
        <w:ind w:left="357"/>
        <w:jc w:val="both"/>
      </w:pPr>
      <w:r>
        <w:rPr>
          <w:rFonts w:ascii="Cambria" w:hAnsi="Cambria"/>
          <w:sz w:val="22"/>
        </w:rPr>
        <w:t>Adopt sound policies and enforceable legislation to strengthen gender equality at all levels.</w:t>
      </w:r>
    </w:p>
    <w:p>
      <w:pPr>
        <w:spacing w:before="200" w:after="80"/>
        <w:jc w:val="left"/>
      </w:pPr>
      <w:r>
        <w:rPr>
          <w:rFonts w:ascii="Cambria" w:hAnsi="Cambria"/>
          <w:b/>
          <w:color w:val="1F3A5F"/>
          <w:sz w:val="25"/>
        </w:rPr>
        <w:t>Importance of Gender Equality in Higher Education Institutions (HEIs)</w:t>
      </w:r>
    </w:p>
    <w:p>
      <w:pPr>
        <w:pStyle w:val="ListBullet"/>
        <w:ind w:left="357"/>
        <w:jc w:val="both"/>
      </w:pPr>
      <w:r>
        <w:rPr>
          <w:rFonts w:ascii="Cambria" w:hAnsi="Cambria"/>
          <w:sz w:val="22"/>
        </w:rPr>
        <w:t>HEIs are key drivers of social transformation and play a central role in achieving SDG-5 through education, research, and policy influence.</w:t>
      </w:r>
    </w:p>
    <w:p>
      <w:pPr>
        <w:pStyle w:val="ListBullet"/>
        <w:ind w:left="357"/>
        <w:jc w:val="both"/>
      </w:pPr>
      <w:r>
        <w:rPr>
          <w:rFonts w:ascii="Cambria" w:hAnsi="Cambria"/>
          <w:sz w:val="22"/>
        </w:rPr>
        <w:t>Promoting gender equality in HEIs ensures balanced leadership, inclusive governance, and equitable academic environments.</w:t>
      </w:r>
    </w:p>
    <w:p>
      <w:pPr>
        <w:pStyle w:val="ListBullet"/>
        <w:ind w:left="357"/>
        <w:jc w:val="both"/>
      </w:pPr>
      <w:r>
        <w:rPr>
          <w:rFonts w:ascii="Cambria" w:hAnsi="Cambria"/>
          <w:sz w:val="22"/>
        </w:rPr>
        <w:t>Empowered women in academia contribute to diverse perspectives in teaching, research, and innovation, enriching institutional performance.</w:t>
      </w:r>
    </w:p>
    <w:p>
      <w:pPr>
        <w:pStyle w:val="ListBullet"/>
        <w:ind w:left="357"/>
        <w:jc w:val="both"/>
      </w:pPr>
      <w:r>
        <w:rPr>
          <w:rFonts w:ascii="Cambria" w:hAnsi="Cambria"/>
          <w:sz w:val="22"/>
        </w:rPr>
        <w:t>Gender equality enhances student success, institutional reputation, and alignment with global sustainability rankings like QS I-GAUGE, NIRF, and THE Impact Rankings.</w:t>
      </w:r>
    </w:p>
    <w:p>
      <w:pPr>
        <w:spacing w:before="200" w:after="80"/>
        <w:jc w:val="left"/>
      </w:pPr>
      <w:r>
        <w:rPr>
          <w:rFonts w:ascii="Cambria" w:hAnsi="Cambria"/>
          <w:b/>
          <w:color w:val="1F3A5F"/>
          <w:sz w:val="25"/>
        </w:rPr>
        <w:t>Institutional Responsibilities under SDG-5</w:t>
      </w:r>
    </w:p>
    <w:p>
      <w:pPr>
        <w:pStyle w:val="ListBullet"/>
        <w:ind w:left="357"/>
        <w:jc w:val="both"/>
      </w:pPr>
      <w:r>
        <w:rPr>
          <w:rFonts w:ascii="Cambria" w:hAnsi="Cambria"/>
          <w:b/>
          <w:sz w:val="22"/>
        </w:rPr>
        <w:t xml:space="preserve">Policy Integration: </w:t>
      </w:r>
      <w:r>
        <w:rPr>
          <w:rFonts w:ascii="Cambria" w:hAnsi="Cambria"/>
          <w:sz w:val="22"/>
        </w:rPr>
        <w:t>HEIs should embed gender equity principles into institutional charters, governance structures, and quality assurance systems.</w:t>
      </w:r>
    </w:p>
    <w:p>
      <w:pPr>
        <w:pStyle w:val="ListBullet"/>
        <w:ind w:left="357"/>
        <w:jc w:val="both"/>
      </w:pPr>
      <w:r>
        <w:rPr>
          <w:rFonts w:ascii="Cambria" w:hAnsi="Cambria"/>
          <w:b/>
          <w:sz w:val="22"/>
        </w:rPr>
        <w:t xml:space="preserve">Leadership Representation: </w:t>
      </w:r>
      <w:r>
        <w:rPr>
          <w:rFonts w:ascii="Cambria" w:hAnsi="Cambria"/>
          <w:sz w:val="22"/>
        </w:rPr>
        <w:t>Achieving 50% women representation in senior roles ensures balanced decision-making and inclusive leadership.</w:t>
      </w:r>
    </w:p>
    <w:p>
      <w:pPr>
        <w:pStyle w:val="ListBullet"/>
        <w:ind w:left="357"/>
        <w:jc w:val="both"/>
      </w:pPr>
      <w:r>
        <w:rPr>
          <w:rFonts w:ascii="Cambria" w:hAnsi="Cambria"/>
          <w:b/>
          <w:sz w:val="22"/>
        </w:rPr>
        <w:t xml:space="preserve">Safe and Inclusive Campuses: </w:t>
      </w:r>
      <w:r>
        <w:rPr>
          <w:rFonts w:ascii="Cambria" w:hAnsi="Cambria"/>
          <w:sz w:val="22"/>
        </w:rPr>
        <w:t>Establish mechanisms like Internal Complaints Committees (ICC), gender-sensitization cells, and anti-harassment policies to ensure safety and dignity.</w:t>
      </w:r>
    </w:p>
    <w:p>
      <w:pPr>
        <w:pStyle w:val="ListBullet"/>
        <w:ind w:left="357"/>
        <w:jc w:val="both"/>
      </w:pPr>
      <w:r>
        <w:rPr>
          <w:rFonts w:ascii="Cambria" w:hAnsi="Cambria"/>
          <w:b/>
          <w:sz w:val="22"/>
        </w:rPr>
        <w:t xml:space="preserve">Gender-Responsive Budgeting: </w:t>
      </w:r>
      <w:r>
        <w:rPr>
          <w:rFonts w:ascii="Cambria" w:hAnsi="Cambria"/>
          <w:sz w:val="22"/>
        </w:rPr>
        <w:t>Allocate dedicated funds for women's development programs, leadership training, and fellowships.</w:t>
      </w:r>
    </w:p>
    <w:p>
      <w:pPr>
        <w:pStyle w:val="ListBullet"/>
        <w:ind w:left="357"/>
        <w:jc w:val="both"/>
      </w:pPr>
      <w:r>
        <w:rPr>
          <w:rFonts w:ascii="Cambria" w:hAnsi="Cambria"/>
          <w:b/>
          <w:sz w:val="22"/>
        </w:rPr>
        <w:t xml:space="preserve">Curricular Inclusion: </w:t>
      </w:r>
      <w:r>
        <w:rPr>
          <w:rFonts w:ascii="Cambria" w:hAnsi="Cambria"/>
          <w:sz w:val="22"/>
        </w:rPr>
        <w:t>Integrate gender studies, women's rights, and inclusive policy education into the academic curriculum.</w:t>
      </w:r>
    </w:p>
    <w:p>
      <w:pPr>
        <w:spacing w:before="200" w:after="80"/>
        <w:jc w:val="left"/>
      </w:pPr>
      <w:r>
        <w:rPr>
          <w:rFonts w:ascii="Cambria" w:hAnsi="Cambria"/>
          <w:b/>
          <w:color w:val="1F3A5F"/>
          <w:sz w:val="25"/>
        </w:rPr>
        <w:t>Link to National and Institutional Frameworks</w:t>
      </w:r>
    </w:p>
    <w:p>
      <w:pPr>
        <w:pStyle w:val="ListBullet"/>
        <w:ind w:left="357"/>
        <w:jc w:val="both"/>
      </w:pPr>
      <w:r>
        <w:rPr>
          <w:rFonts w:ascii="Cambria" w:hAnsi="Cambria"/>
          <w:sz w:val="22"/>
        </w:rPr>
        <w:t>Align with National Education Policy (NEP) 2020, which promotes inclusivity, equality, and gender-sensitive governance in education.</w:t>
      </w:r>
    </w:p>
    <w:p>
      <w:pPr>
        <w:pStyle w:val="ListBullet"/>
        <w:ind w:left="357"/>
        <w:jc w:val="both"/>
      </w:pPr>
      <w:r>
        <w:rPr>
          <w:rFonts w:ascii="Cambria" w:hAnsi="Cambria"/>
          <w:sz w:val="22"/>
        </w:rPr>
        <w:t>Comply with University Grants Commission (UGC) gender equity guidelines and the Prevention of Sexual Harassment (POSH) Act.</w:t>
      </w:r>
    </w:p>
    <w:p>
      <w:pPr>
        <w:pStyle w:val="ListBullet"/>
        <w:ind w:left="357"/>
        <w:jc w:val="both"/>
      </w:pPr>
      <w:r>
        <w:rPr>
          <w:rFonts w:ascii="Cambria" w:hAnsi="Cambria"/>
          <w:sz w:val="22"/>
        </w:rPr>
        <w:t>Contribute to the National Mission for Empowerment of Women and support the vision of “Beti Bachao, Beti Padhao” for educational empowerment.</w:t>
      </w:r>
    </w:p>
    <w:p>
      <w:pPr>
        <w:spacing w:before="200" w:after="80"/>
        <w:jc w:val="left"/>
      </w:pPr>
      <w:r>
        <w:rPr>
          <w:rFonts w:ascii="Cambria" w:hAnsi="Cambria"/>
          <w:b/>
          <w:color w:val="1F3A5F"/>
          <w:sz w:val="25"/>
        </w:rPr>
        <w:t>Monitoring and Evaluation Indicators for SDG-5 in HEIs</w:t>
      </w:r>
    </w:p>
    <w:p>
      <w:pPr>
        <w:pStyle w:val="ListBullet"/>
        <w:ind w:left="357"/>
        <w:jc w:val="both"/>
      </w:pPr>
      <w:r>
        <w:rPr>
          <w:rFonts w:ascii="Cambria" w:hAnsi="Cambria"/>
          <w:sz w:val="22"/>
        </w:rPr>
        <w:t>Percentage of women in leadership, faculty, and research positions.</w:t>
      </w:r>
    </w:p>
    <w:p>
      <w:pPr>
        <w:pStyle w:val="ListBullet"/>
        <w:ind w:left="357"/>
        <w:jc w:val="both"/>
      </w:pPr>
      <w:r>
        <w:rPr>
          <w:rFonts w:ascii="Cambria" w:hAnsi="Cambria"/>
          <w:sz w:val="22"/>
        </w:rPr>
        <w:t>Gender ratio in student enrollment and graduation rates.</w:t>
      </w:r>
    </w:p>
    <w:p>
      <w:pPr>
        <w:pStyle w:val="ListBullet"/>
        <w:ind w:left="357"/>
        <w:jc w:val="both"/>
      </w:pPr>
      <w:r>
        <w:rPr>
          <w:rFonts w:ascii="Cambria" w:hAnsi="Cambria"/>
          <w:sz w:val="22"/>
        </w:rPr>
        <w:t>Number of gender equity programs, workshops, and awareness campaigns conducted annually.</w:t>
      </w:r>
    </w:p>
    <w:p>
      <w:pPr>
        <w:pStyle w:val="ListBullet"/>
        <w:ind w:left="357"/>
        <w:jc w:val="both"/>
      </w:pPr>
      <w:r>
        <w:rPr>
          <w:rFonts w:ascii="Cambria" w:hAnsi="Cambria"/>
          <w:sz w:val="22"/>
        </w:rPr>
        <w:t>Presence and effectiveness of grievance redressal and mentoring mechanisms.</w:t>
      </w:r>
    </w:p>
    <w:p>
      <w:pPr>
        <w:pStyle w:val="ListBullet"/>
        <w:ind w:left="357"/>
        <w:jc w:val="both"/>
      </w:pPr>
      <w:r>
        <w:rPr>
          <w:rFonts w:ascii="Cambria" w:hAnsi="Cambria"/>
          <w:sz w:val="22"/>
        </w:rPr>
        <w:t>Availability of gender-sensitive infrastructure and support systems (childcare, safety, maternity facilities).</w:t>
      </w:r>
    </w:p>
    <w:p>
      <w:pPr>
        <w:spacing w:before="200" w:after="80"/>
        <w:jc w:val="left"/>
      </w:pPr>
      <w:r>
        <w:rPr>
          <w:rFonts w:ascii="Cambria" w:hAnsi="Cambria"/>
          <w:b/>
          <w:color w:val="1F3A5F"/>
          <w:sz w:val="25"/>
        </w:rPr>
        <w:t>Expected Outcomes of Implementing SDG-5 in HEIs</w:t>
      </w:r>
    </w:p>
    <w:p>
      <w:pPr>
        <w:pStyle w:val="ListBullet"/>
        <w:ind w:left="357"/>
        <w:jc w:val="both"/>
      </w:pPr>
      <w:r>
        <w:rPr>
          <w:rFonts w:ascii="Cambria" w:hAnsi="Cambria"/>
          <w:sz w:val="22"/>
        </w:rPr>
        <w:t>Creation of gender-balanced academic ecosystems promoting fairness, respect, and opportunity.</w:t>
      </w:r>
    </w:p>
    <w:p>
      <w:pPr>
        <w:pStyle w:val="ListBullet"/>
        <w:ind w:left="357"/>
        <w:jc w:val="both"/>
      </w:pPr>
      <w:r>
        <w:rPr>
          <w:rFonts w:ascii="Cambria" w:hAnsi="Cambria"/>
          <w:sz w:val="22"/>
        </w:rPr>
        <w:t>Empowerment of women to participate equally in research, innovation, and decision-making.</w:t>
      </w:r>
    </w:p>
    <w:p>
      <w:pPr>
        <w:pStyle w:val="ListBullet"/>
        <w:ind w:left="357"/>
        <w:jc w:val="both"/>
      </w:pPr>
      <w:r>
        <w:rPr>
          <w:rFonts w:ascii="Cambria" w:hAnsi="Cambria"/>
          <w:sz w:val="22"/>
        </w:rPr>
        <w:t>Reduction of gender gaps in pay, promotions, and professional development.</w:t>
      </w:r>
    </w:p>
    <w:p>
      <w:pPr>
        <w:pStyle w:val="ListBullet"/>
        <w:ind w:left="357"/>
        <w:jc w:val="both"/>
      </w:pPr>
      <w:r>
        <w:rPr>
          <w:rFonts w:ascii="Cambria" w:hAnsi="Cambria"/>
          <w:sz w:val="22"/>
        </w:rPr>
        <w:t>Establishment of HEIs as models of inclusive leadership, contributing directly to national and global gender equality benchmarks.</w:t>
      </w:r>
    </w:p>
    <w:p>
      <w:pPr>
        <w:pStyle w:val="ListBullet"/>
        <w:ind w:left="357"/>
        <w:jc w:val="both"/>
      </w:pPr>
      <w:r>
        <w:rPr>
          <w:rFonts w:ascii="Cambria" w:hAnsi="Cambria"/>
          <w:sz w:val="22"/>
        </w:rPr>
        <w:t>Strengthened contribution of higher education to the United Nations 2030 Agenda for Sustainable Development through measurable progress on gender equity indicators.</w:t>
      </w:r>
    </w:p>
    <w:p>
      <w:pPr>
        <w:spacing w:before="200" w:after="80"/>
        <w:jc w:val="left"/>
      </w:pPr>
      <w:r>
        <w:rPr>
          <w:rFonts w:ascii="Cambria" w:hAnsi="Cambria"/>
          <w:b/>
          <w:color w:val="1F3A5F"/>
          <w:sz w:val="25"/>
        </w:rPr>
        <w:t>Conclusion</w:t>
      </w:r>
    </w:p>
    <w:p>
      <w:pPr>
        <w:pStyle w:val="ListBullet"/>
        <w:ind w:left="357"/>
        <w:jc w:val="both"/>
      </w:pPr>
      <w:r>
        <w:rPr>
          <w:rFonts w:ascii="Cambria" w:hAnsi="Cambria"/>
          <w:sz w:val="22"/>
        </w:rPr>
        <w:t>Achieving SDG-5 in HEIs is not merely about equality in numbers but about building a culture of empowerment, respect, and shared responsibility.</w:t>
      </w:r>
    </w:p>
    <w:p>
      <w:pPr>
        <w:pStyle w:val="ListBullet"/>
        <w:ind w:left="357"/>
        <w:jc w:val="both"/>
      </w:pPr>
      <w:r>
        <w:rPr>
          <w:rFonts w:ascii="Cambria" w:hAnsi="Cambria"/>
          <w:sz w:val="22"/>
        </w:rPr>
        <w:t>Gender equality enhances institutional excellence, innovation, and social justice—key pillars of sustainable development.</w:t>
      </w:r>
    </w:p>
    <w:p>
      <w:pPr>
        <w:pStyle w:val="ListBullet"/>
        <w:ind w:left="357"/>
        <w:jc w:val="both"/>
      </w:pPr>
      <w:r>
        <w:rPr>
          <w:rFonts w:ascii="Cambria" w:hAnsi="Cambria"/>
          <w:sz w:val="22"/>
        </w:rPr>
        <w:t>Through policy action, leadership reform, and inclusive practices, HEIs can become powerful agents of gender transformation and contribute meaningfully to a more equitable world.</w:t>
      </w:r>
    </w:p>
    <w:p>
      <w:pPr>
        <w:spacing w:before="280" w:after="160"/>
        <w:jc w:val="left"/>
      </w:pPr>
      <w:r>
        <w:rPr>
          <w:rFonts w:ascii="Cambria" w:hAnsi="Cambria"/>
          <w:b/>
          <w:color w:val="1F3A5F"/>
          <w:sz w:val="32"/>
        </w:rPr>
        <w:t>2. SDG-5: Gender Equality — Targets and Indicators</w:t>
      </w:r>
    </w:p>
    <w:tbl>
      <w:tblPr>
        <w:tblW w:type="auto" w:w="0"/>
        <w:jc w:val="center"/>
        <w:tblLook w:firstColumn="1" w:firstRow="1" w:lastColumn="0" w:lastRow="0" w:noHBand="0" w:noVBand="1" w:val="04A0"/>
        <w:tblLayout w:type="fixed"/>
      </w:tblPr>
      <w:tblGrid>
        <w:gridCol w:w="4706"/>
        <w:gridCol w:w="4706"/>
      </w:tblGrid>
      <w:tr>
        <w:tc>
          <w:tcPr>
            <w:tcW w:type="dxa" w:w="4139"/>
            <w:shd w:val="clear" w:color="auto" w:fill="1F3A5F"/>
            <w:tcW w:w="4139" w:type="dxa"/>
          </w:tcPr>
          <w:p>
            <w:pPr>
              <w:jc w:val="left"/>
            </w:pPr>
            <w:r/>
            <w:r>
              <w:rPr>
                <w:rFonts w:ascii="Cambria" w:hAnsi="Cambria"/>
                <w:b/>
                <w:i w:val="0"/>
                <w:color w:val="FFFFFF"/>
                <w:sz w:val="22"/>
              </w:rPr>
              <w:t>Target</w:t>
            </w:r>
          </w:p>
        </w:tc>
        <w:tc>
          <w:tcPr>
            <w:tcW w:type="dxa" w:w="5272"/>
            <w:shd w:val="clear" w:color="auto" w:fill="1F3A5F"/>
            <w:tcW w:w="5273" w:type="dxa"/>
          </w:tcPr>
          <w:p>
            <w:pPr>
              <w:jc w:val="left"/>
            </w:pPr>
            <w:r/>
            <w:r>
              <w:rPr>
                <w:rFonts w:ascii="Cambria" w:hAnsi="Cambria"/>
                <w:b/>
                <w:i w:val="0"/>
                <w:color w:val="FFFFFF"/>
                <w:sz w:val="22"/>
              </w:rPr>
              <w:t>Indicators</w:t>
            </w:r>
          </w:p>
        </w:tc>
      </w:tr>
      <w:tr>
        <w:tc>
          <w:tcPr>
            <w:tcW w:type="dxa" w:w="4139"/>
            <w:tcW w:w="4139" w:type="dxa"/>
          </w:tcPr>
          <w:p>
            <w:pPr>
              <w:jc w:val="left"/>
            </w:pPr>
            <w:r/>
            <w:r>
              <w:rPr>
                <w:rFonts w:ascii="Cambria" w:hAnsi="Cambria"/>
                <w:b w:val="0"/>
                <w:i w:val="0"/>
                <w:sz w:val="22"/>
              </w:rPr>
              <w:t>5.1 End all forms of discrimination against girls and women everywhere around the world.</w:t>
            </w:r>
          </w:p>
        </w:tc>
        <w:tc>
          <w:tcPr>
            <w:tcW w:type="dxa" w:w="5272"/>
            <w:tcW w:w="5273" w:type="dxa"/>
          </w:tcPr>
          <w:p>
            <w:pPr>
              <w:jc w:val="left"/>
            </w:pPr>
            <w:r/>
            <w:r>
              <w:rPr>
                <w:rFonts w:ascii="Cambria" w:hAnsi="Cambria"/>
                <w:b w:val="0"/>
                <w:i w:val="0"/>
                <w:sz w:val="22"/>
              </w:rPr>
              <w:t>5.1.1 Whether or not legal frameworks are in place to promote, enforce, and monitor equality and non-discrimination on the basis of sex.</w:t>
            </w:r>
          </w:p>
        </w:tc>
      </w:tr>
      <w:tr>
        <w:tc>
          <w:tcPr>
            <w:tcW w:type="dxa" w:w="4139"/>
            <w:tcW w:w="4139" w:type="dxa"/>
            <w:shd w:val="clear" w:color="auto" w:fill="DCE6F1"/>
          </w:tcPr>
          <w:p>
            <w:pPr>
              <w:jc w:val="left"/>
            </w:pPr>
            <w:r/>
            <w:r>
              <w:rPr>
                <w:rFonts w:ascii="Cambria" w:hAnsi="Cambria"/>
                <w:b w:val="0"/>
                <w:i w:val="0"/>
                <w:sz w:val="22"/>
              </w:rPr>
              <w:t>5.2 Eliminate all forms of violence against girls and women in public and private places, including trafficking and sexual exploitation.</w:t>
            </w:r>
          </w:p>
        </w:tc>
        <w:tc>
          <w:tcPr>
            <w:tcW w:type="dxa" w:w="5272"/>
            <w:tcW w:w="5273" w:type="dxa"/>
            <w:shd w:val="clear" w:color="auto" w:fill="DCE6F1"/>
          </w:tcPr>
          <w:p>
            <w:pPr>
              <w:jc w:val="left"/>
            </w:pPr>
            <w:r/>
            <w:r>
              <w:rPr>
                <w:rFonts w:ascii="Cambria" w:hAnsi="Cambria"/>
                <w:b w:val="0"/>
                <w:i w:val="0"/>
                <w:sz w:val="22"/>
              </w:rPr>
              <w:t>5.2.1 Proportion of ever-partnered women and girls aged 15 years and older subjected to physical, sexual, or psychological violence by a current or former intimate partner in the previous 12 months, by form of violence and by age.</w:t>
            </w:r>
            <w:r>
              <w:br/>
            </w:r>
            <w:r>
              <w:rPr>
                <w:rFonts w:ascii="Cambria" w:hAnsi="Cambria"/>
                <w:b w:val="0"/>
                <w:i w:val="0"/>
                <w:sz w:val="22"/>
              </w:rPr>
              <w:t>5.2.2 Proportion of women and girls aged 15 years and older subjected to sexual violence by persons other than an intimate partner in the previous 12 months, by age and place of occurrence.</w:t>
            </w:r>
          </w:p>
        </w:tc>
      </w:tr>
      <w:tr>
        <w:tc>
          <w:tcPr>
            <w:tcW w:type="dxa" w:w="4139"/>
            <w:tcW w:w="4139" w:type="dxa"/>
          </w:tcPr>
          <w:p>
            <w:pPr>
              <w:jc w:val="left"/>
            </w:pPr>
            <w:r/>
            <w:r>
              <w:rPr>
                <w:rFonts w:ascii="Cambria" w:hAnsi="Cambria"/>
                <w:b w:val="0"/>
                <w:i w:val="0"/>
                <w:sz w:val="22"/>
              </w:rPr>
              <w:t>5.3 Eliminate harmful practices including child marriage, forced and early marriages, and female genital mutilation.</w:t>
            </w:r>
          </w:p>
        </w:tc>
        <w:tc>
          <w:tcPr>
            <w:tcW w:type="dxa" w:w="5272"/>
            <w:tcW w:w="5273" w:type="dxa"/>
          </w:tcPr>
          <w:p>
            <w:pPr>
              <w:jc w:val="left"/>
            </w:pPr>
            <w:r/>
            <w:r>
              <w:rPr>
                <w:rFonts w:ascii="Cambria" w:hAnsi="Cambria"/>
                <w:b w:val="0"/>
                <w:i w:val="0"/>
                <w:sz w:val="22"/>
              </w:rPr>
              <w:t>5.3.1 Proportion of women aged 20–24 years who were married or in a union before age 15 and before age 18.</w:t>
            </w:r>
            <w:r>
              <w:br/>
            </w:r>
            <w:r>
              <w:rPr>
                <w:rFonts w:ascii="Cambria" w:hAnsi="Cambria"/>
                <w:b w:val="0"/>
                <w:i w:val="0"/>
                <w:sz w:val="22"/>
              </w:rPr>
              <w:t>5.3.2 Proportion of girls and women aged 15–49 years who have undergone female genital mutilation/cutting, by age.</w:t>
            </w:r>
          </w:p>
        </w:tc>
      </w:tr>
      <w:tr>
        <w:tc>
          <w:tcPr>
            <w:tcW w:type="dxa" w:w="4139"/>
            <w:tcW w:w="4139" w:type="dxa"/>
            <w:shd w:val="clear" w:color="auto" w:fill="DCE6F1"/>
          </w:tcPr>
          <w:p>
            <w:pPr>
              <w:jc w:val="left"/>
            </w:pPr>
            <w:r/>
            <w:r>
              <w:rPr>
                <w:rFonts w:ascii="Cambria" w:hAnsi="Cambria"/>
                <w:b w:val="0"/>
                <w:i w:val="0"/>
                <w:sz w:val="22"/>
              </w:rPr>
              <w:t>5.4 Recognize and value domestic work and unpaid care through provision of public services, social protection policies, and promotion of shared responsibility within households and families.</w:t>
            </w:r>
          </w:p>
        </w:tc>
        <w:tc>
          <w:tcPr>
            <w:tcW w:type="dxa" w:w="5272"/>
            <w:tcW w:w="5273" w:type="dxa"/>
            <w:shd w:val="clear" w:color="auto" w:fill="DCE6F1"/>
          </w:tcPr>
          <w:p>
            <w:pPr>
              <w:jc w:val="left"/>
            </w:pPr>
            <w:r/>
            <w:r>
              <w:rPr>
                <w:rFonts w:ascii="Cambria" w:hAnsi="Cambria"/>
                <w:b w:val="0"/>
                <w:i w:val="0"/>
                <w:sz w:val="22"/>
              </w:rPr>
              <w:t>5.4.1 Proportion of time spent on unpaid domestic and care work, by sex, age, and location.</w:t>
            </w:r>
          </w:p>
        </w:tc>
      </w:tr>
      <w:tr>
        <w:tc>
          <w:tcPr>
            <w:tcW w:type="dxa" w:w="4139"/>
            <w:tcW w:w="4139" w:type="dxa"/>
          </w:tcPr>
          <w:p>
            <w:pPr>
              <w:jc w:val="left"/>
            </w:pPr>
            <w:r/>
            <w:r>
              <w:rPr>
                <w:rFonts w:ascii="Cambria" w:hAnsi="Cambria"/>
                <w:b w:val="0"/>
                <w:i w:val="0"/>
                <w:sz w:val="22"/>
              </w:rPr>
              <w:t>5.5 Ensure full and effective participation and equal opportunities in leadership at all levels of decision-making in public, economic, and political life.</w:t>
            </w:r>
          </w:p>
        </w:tc>
        <w:tc>
          <w:tcPr>
            <w:tcW w:type="dxa" w:w="5272"/>
            <w:tcW w:w="5273" w:type="dxa"/>
          </w:tcPr>
          <w:p>
            <w:pPr>
              <w:jc w:val="left"/>
            </w:pPr>
            <w:r/>
            <w:r>
              <w:rPr>
                <w:rFonts w:ascii="Cambria" w:hAnsi="Cambria"/>
                <w:b w:val="0"/>
                <w:i w:val="0"/>
                <w:sz w:val="22"/>
              </w:rPr>
              <w:t>5.5.1 Proportion of seats held by women in (a) national parliaments and (b) local governments.</w:t>
            </w:r>
            <w:r>
              <w:br/>
            </w:r>
            <w:r>
              <w:rPr>
                <w:rFonts w:ascii="Cambria" w:hAnsi="Cambria"/>
                <w:b w:val="0"/>
                <w:i w:val="0"/>
                <w:sz w:val="22"/>
              </w:rPr>
              <w:t>5.5.2 Proportion of women in managerial positions.</w:t>
            </w:r>
          </w:p>
        </w:tc>
      </w:tr>
      <w:tr>
        <w:tc>
          <w:tcPr>
            <w:tcW w:type="dxa" w:w="4139"/>
            <w:tcW w:w="4139" w:type="dxa"/>
            <w:shd w:val="clear" w:color="auto" w:fill="DCE6F1"/>
          </w:tcPr>
          <w:p>
            <w:pPr>
              <w:jc w:val="left"/>
            </w:pPr>
            <w:r/>
            <w:r>
              <w:rPr>
                <w:rFonts w:ascii="Cambria" w:hAnsi="Cambria"/>
                <w:b w:val="0"/>
                <w:i w:val="0"/>
                <w:sz w:val="22"/>
              </w:rPr>
              <w:t>5.6 Ensure universal access to reproductive and sexual health and reproductive rights as per the ICPD Program of Action and the Beijing Platform for Action.</w:t>
            </w:r>
          </w:p>
        </w:tc>
        <w:tc>
          <w:tcPr>
            <w:tcW w:type="dxa" w:w="5272"/>
            <w:tcW w:w="5273" w:type="dxa"/>
            <w:shd w:val="clear" w:color="auto" w:fill="DCE6F1"/>
          </w:tcPr>
          <w:p>
            <w:pPr>
              <w:jc w:val="left"/>
            </w:pPr>
            <w:r/>
            <w:r>
              <w:rPr>
                <w:rFonts w:ascii="Cambria" w:hAnsi="Cambria"/>
                <w:b w:val="0"/>
                <w:i w:val="0"/>
                <w:sz w:val="22"/>
              </w:rPr>
              <w:t>5.6.1 Proportion of women aged 15–49 years who make their own informed decisions regarding sexual relations, contraceptive use, and reproductive health care.</w:t>
            </w:r>
            <w:r>
              <w:br/>
            </w:r>
            <w:r>
              <w:rPr>
                <w:rFonts w:ascii="Cambria" w:hAnsi="Cambria"/>
                <w:b w:val="0"/>
                <w:i w:val="0"/>
                <w:sz w:val="22"/>
              </w:rPr>
              <w:t>5.6.2 Number of countries with laws and regulations that guarantee women aged 15–49 years access to sexual and reproductive health care, information, and education.</w:t>
            </w:r>
          </w:p>
        </w:tc>
      </w:tr>
      <w:tr>
        <w:tc>
          <w:tcPr>
            <w:tcW w:type="dxa" w:w="4139"/>
            <w:tcW w:w="4139" w:type="dxa"/>
          </w:tcPr>
          <w:p>
            <w:pPr>
              <w:jc w:val="left"/>
            </w:pPr>
            <w:r/>
            <w:r>
              <w:rPr>
                <w:rFonts w:ascii="Cambria" w:hAnsi="Cambria"/>
                <w:b w:val="0"/>
                <w:i w:val="0"/>
                <w:sz w:val="22"/>
              </w:rPr>
              <w:t>5.a Undertake reforms to provide women with equal rights to economic resources, ownership, and control over land, property, financial services, and natural resources as per national laws.</w:t>
            </w:r>
          </w:p>
        </w:tc>
        <w:tc>
          <w:tcPr>
            <w:tcW w:type="dxa" w:w="5272"/>
            <w:tcW w:w="5273" w:type="dxa"/>
          </w:tcPr>
          <w:p>
            <w:pPr>
              <w:jc w:val="left"/>
            </w:pPr>
            <w:r/>
            <w:r>
              <w:rPr>
                <w:rFonts w:ascii="Cambria" w:hAnsi="Cambria"/>
                <w:b w:val="0"/>
                <w:i w:val="0"/>
                <w:sz w:val="22"/>
              </w:rPr>
              <w:t>5.a.1 (a) Proportion of total agricultural population with ownership or secure rights over agricultural land, by sex; and (b) share of women among owners or rights-bearers of agricultural land, by type of tenure.</w:t>
            </w:r>
            <w:r>
              <w:br/>
            </w:r>
            <w:r>
              <w:rPr>
                <w:rFonts w:ascii="Cambria" w:hAnsi="Cambria"/>
                <w:b w:val="0"/>
                <w:i w:val="0"/>
                <w:sz w:val="22"/>
              </w:rPr>
              <w:t>5.a.2 Proportion of countries where the legal framework (including customary law) guarantees women's equal rights to land ownership and/or control.</w:t>
            </w:r>
          </w:p>
        </w:tc>
      </w:tr>
      <w:tr>
        <w:tc>
          <w:tcPr>
            <w:tcW w:type="dxa" w:w="4139"/>
            <w:tcW w:w="4139" w:type="dxa"/>
            <w:shd w:val="clear" w:color="auto" w:fill="DCE6F1"/>
          </w:tcPr>
          <w:p>
            <w:pPr>
              <w:jc w:val="left"/>
            </w:pPr>
            <w:r/>
            <w:r>
              <w:rPr>
                <w:rFonts w:ascii="Cambria" w:hAnsi="Cambria"/>
                <w:b w:val="0"/>
                <w:i w:val="0"/>
                <w:sz w:val="22"/>
              </w:rPr>
              <w:t>5.b Enhance use of enabling technology, particularly information and communications technology (ICT), to promote women's empowerment.</w:t>
            </w:r>
          </w:p>
        </w:tc>
        <w:tc>
          <w:tcPr>
            <w:tcW w:type="dxa" w:w="5272"/>
            <w:tcW w:w="5273" w:type="dxa"/>
            <w:shd w:val="clear" w:color="auto" w:fill="DCE6F1"/>
          </w:tcPr>
          <w:p>
            <w:pPr>
              <w:jc w:val="left"/>
            </w:pPr>
            <w:r/>
            <w:r>
              <w:rPr>
                <w:rFonts w:ascii="Cambria" w:hAnsi="Cambria"/>
                <w:b w:val="0"/>
                <w:i w:val="0"/>
                <w:sz w:val="22"/>
              </w:rPr>
              <w:t>5.b.1 Proportion of individuals who own a mobile telephone, by sex.</w:t>
            </w:r>
          </w:p>
        </w:tc>
      </w:tr>
      <w:tr>
        <w:tc>
          <w:tcPr>
            <w:tcW w:type="dxa" w:w="4139"/>
            <w:tcW w:w="4139" w:type="dxa"/>
          </w:tcPr>
          <w:p>
            <w:pPr>
              <w:jc w:val="left"/>
            </w:pPr>
            <w:r/>
            <w:r>
              <w:rPr>
                <w:rFonts w:ascii="Cambria" w:hAnsi="Cambria"/>
                <w:b w:val="0"/>
                <w:i w:val="0"/>
                <w:sz w:val="22"/>
              </w:rPr>
              <w:t>5.c Strengthen and adopt policies and enforceable legislation to promote gender equality and empower all women and girls at all levels.</w:t>
            </w:r>
          </w:p>
        </w:tc>
        <w:tc>
          <w:tcPr>
            <w:tcW w:type="dxa" w:w="5272"/>
            <w:tcW w:w="5273" w:type="dxa"/>
          </w:tcPr>
          <w:p>
            <w:pPr>
              <w:jc w:val="left"/>
            </w:pPr>
            <w:r/>
            <w:r>
              <w:rPr>
                <w:rFonts w:ascii="Cambria" w:hAnsi="Cambria"/>
                <w:b w:val="0"/>
                <w:i w:val="0"/>
                <w:sz w:val="22"/>
              </w:rPr>
              <w:t>5.c.1 Proportion of countries with systems to track and make public allocations for gender equality and women's empowerment.</w:t>
            </w:r>
          </w:p>
        </w:tc>
      </w:tr>
    </w:tbl>
    <w:p>
      <w:pPr>
        <w:spacing w:before="200" w:after="80"/>
        <w:jc w:val="left"/>
      </w:pPr>
      <w:r>
        <w:rPr>
          <w:rFonts w:ascii="Cambria" w:hAnsi="Cambria"/>
          <w:b/>
          <w:color w:val="1F3A5F"/>
          <w:sz w:val="25"/>
        </w:rPr>
        <w:t>Target 5.1 — End All Forms of Discrimination Against Women and Girls</w:t>
      </w:r>
    </w:p>
    <w:p>
      <w:pPr>
        <w:spacing w:after="120"/>
        <w:jc w:val="both"/>
      </w:pPr>
      <w:r>
        <w:rPr>
          <w:rFonts w:ascii="Cambria" w:hAnsi="Cambria"/>
          <w:b/>
          <w:sz w:val="22"/>
        </w:rPr>
        <w:t xml:space="preserve">Goal: </w:t>
      </w:r>
      <w:r>
        <w:rPr>
          <w:rFonts w:ascii="Cambria" w:hAnsi="Cambria"/>
          <w:i w:val="0"/>
          <w:sz w:val="22"/>
        </w:rPr>
        <w:t>Ensure that no woman or girl faces discrimination in law, policy, or daily life.</w:t>
      </w:r>
    </w:p>
    <w:p>
      <w:pPr>
        <w:pStyle w:val="ListBullet"/>
        <w:ind w:left="357"/>
        <w:jc w:val="both"/>
      </w:pPr>
      <w:r>
        <w:rPr>
          <w:rFonts w:ascii="Cambria" w:hAnsi="Cambria"/>
          <w:b/>
          <w:sz w:val="22"/>
        </w:rPr>
        <w:t xml:space="preserve">Indicator 5.1.1: </w:t>
      </w:r>
      <w:r>
        <w:rPr>
          <w:rFonts w:ascii="Cambria" w:hAnsi="Cambria"/>
          <w:sz w:val="22"/>
        </w:rPr>
        <w:t>Checks whether national legal frameworks exist to promote, enforce, and monitor gender equality and prohibit discrimination based on sex.</w:t>
      </w:r>
    </w:p>
    <w:p>
      <w:pPr>
        <w:pStyle w:val="ListBullet"/>
        <w:ind w:left="357"/>
        <w:jc w:val="both"/>
      </w:pPr>
      <w:r>
        <w:rPr>
          <w:rFonts w:ascii="Cambria" w:hAnsi="Cambria"/>
          <w:b/>
          <w:sz w:val="22"/>
        </w:rPr>
        <w:t xml:space="preserve">Purpose: </w:t>
      </w:r>
      <w:r>
        <w:rPr>
          <w:rFonts w:ascii="Cambria" w:hAnsi="Cambria"/>
          <w:sz w:val="22"/>
        </w:rPr>
        <w:t>Evaluates how effectively countries translate gender equality commitments into enforceable laws and institutions (e.g., equal pay acts, anti-harassment laws, property rights).</w:t>
      </w:r>
    </w:p>
    <w:p>
      <w:pPr>
        <w:spacing w:before="200" w:after="80"/>
        <w:jc w:val="left"/>
      </w:pPr>
      <w:r>
        <w:rPr>
          <w:rFonts w:ascii="Cambria" w:hAnsi="Cambria"/>
          <w:b/>
          <w:color w:val="1F3A5F"/>
          <w:sz w:val="25"/>
        </w:rPr>
        <w:t>Target 5.2 — Eliminate All Forms of Violence Against Women and Girls</w:t>
      </w:r>
    </w:p>
    <w:p>
      <w:pPr>
        <w:spacing w:after="120"/>
        <w:jc w:val="both"/>
      </w:pPr>
      <w:r>
        <w:rPr>
          <w:rFonts w:ascii="Cambria" w:hAnsi="Cambria"/>
          <w:b/>
          <w:sz w:val="22"/>
        </w:rPr>
        <w:t xml:space="preserve">Goal: </w:t>
      </w:r>
      <w:r>
        <w:rPr>
          <w:rFonts w:ascii="Cambria" w:hAnsi="Cambria"/>
          <w:i w:val="0"/>
          <w:sz w:val="22"/>
        </w:rPr>
        <w:t>Protect women from all kinds of violence—domestic, sexual, physical, psychological, and economic—both in public and private spaces.</w:t>
      </w:r>
    </w:p>
    <w:p>
      <w:pPr>
        <w:pStyle w:val="ListBullet"/>
        <w:ind w:left="357"/>
        <w:jc w:val="both"/>
      </w:pPr>
      <w:r>
        <w:rPr>
          <w:rFonts w:ascii="Cambria" w:hAnsi="Cambria"/>
          <w:b/>
          <w:sz w:val="22"/>
        </w:rPr>
        <w:t xml:space="preserve">Indicator 5.2.1: </w:t>
      </w:r>
      <w:r>
        <w:rPr>
          <w:rFonts w:ascii="Cambria" w:hAnsi="Cambria"/>
          <w:sz w:val="22"/>
        </w:rPr>
        <w:t>Measures the percentage of women aged 15 and above who experienced violence from an intimate partner in the past year.</w:t>
      </w:r>
    </w:p>
    <w:p>
      <w:pPr>
        <w:pStyle w:val="ListBullet"/>
        <w:ind w:left="357"/>
        <w:jc w:val="both"/>
      </w:pPr>
      <w:r>
        <w:rPr>
          <w:rFonts w:ascii="Cambria" w:hAnsi="Cambria"/>
          <w:b/>
          <w:sz w:val="22"/>
        </w:rPr>
        <w:t xml:space="preserve">Indicator 5.2.2: </w:t>
      </w:r>
      <w:r>
        <w:rPr>
          <w:rFonts w:ascii="Cambria" w:hAnsi="Cambria"/>
          <w:sz w:val="22"/>
        </w:rPr>
        <w:t>Captures sexual violence committed by non-partners (e.g., in workplaces, schools, or public places).</w:t>
      </w:r>
    </w:p>
    <w:p>
      <w:pPr>
        <w:pStyle w:val="ListBullet"/>
        <w:ind w:left="357"/>
        <w:jc w:val="both"/>
      </w:pPr>
      <w:r>
        <w:rPr>
          <w:rFonts w:ascii="Cambria" w:hAnsi="Cambria"/>
          <w:b/>
          <w:sz w:val="22"/>
        </w:rPr>
        <w:t xml:space="preserve">Purpose: </w:t>
      </w:r>
      <w:r>
        <w:rPr>
          <w:rFonts w:ascii="Cambria" w:hAnsi="Cambria"/>
          <w:sz w:val="22"/>
        </w:rPr>
        <w:t>Quantifies the prevalence of gender-based violence, guiding policy and law enforcement interventions.</w:t>
      </w:r>
    </w:p>
    <w:p>
      <w:pPr>
        <w:spacing w:before="200" w:after="80"/>
        <w:jc w:val="left"/>
      </w:pPr>
      <w:r>
        <w:rPr>
          <w:rFonts w:ascii="Cambria" w:hAnsi="Cambria"/>
          <w:b/>
          <w:color w:val="1F3A5F"/>
          <w:sz w:val="25"/>
        </w:rPr>
        <w:t>Target 5.3 — Eliminate Harmful Practices (Child Marriage and Female Genital Mutilation)</w:t>
      </w:r>
    </w:p>
    <w:p>
      <w:pPr>
        <w:spacing w:after="120"/>
        <w:jc w:val="both"/>
      </w:pPr>
      <w:r>
        <w:rPr>
          <w:rFonts w:ascii="Cambria" w:hAnsi="Cambria"/>
          <w:b/>
          <w:sz w:val="22"/>
        </w:rPr>
        <w:t xml:space="preserve">Goal: </w:t>
      </w:r>
      <w:r>
        <w:rPr>
          <w:rFonts w:ascii="Cambria" w:hAnsi="Cambria"/>
          <w:i w:val="0"/>
          <w:sz w:val="22"/>
        </w:rPr>
        <w:t>End cultural and traditional practices that harm women's health and autonomy.</w:t>
      </w:r>
    </w:p>
    <w:p>
      <w:pPr>
        <w:pStyle w:val="ListBullet"/>
        <w:ind w:left="357"/>
        <w:jc w:val="both"/>
      </w:pPr>
      <w:r>
        <w:rPr>
          <w:rFonts w:ascii="Cambria" w:hAnsi="Cambria"/>
          <w:b/>
          <w:sz w:val="22"/>
        </w:rPr>
        <w:t xml:space="preserve">Indicator 5.3.1: </w:t>
      </w:r>
      <w:r>
        <w:rPr>
          <w:rFonts w:ascii="Cambria" w:hAnsi="Cambria"/>
          <w:sz w:val="22"/>
        </w:rPr>
        <w:t>Tracks the share of women married before 15 and 18 years, reflecting early marriage trends.</w:t>
      </w:r>
    </w:p>
    <w:p>
      <w:pPr>
        <w:pStyle w:val="ListBullet"/>
        <w:ind w:left="357"/>
        <w:jc w:val="both"/>
      </w:pPr>
      <w:r>
        <w:rPr>
          <w:rFonts w:ascii="Cambria" w:hAnsi="Cambria"/>
          <w:b/>
          <w:sz w:val="22"/>
        </w:rPr>
        <w:t xml:space="preserve">Indicator 5.3.2: </w:t>
      </w:r>
      <w:r>
        <w:rPr>
          <w:rFonts w:ascii="Cambria" w:hAnsi="Cambria"/>
          <w:sz w:val="22"/>
        </w:rPr>
        <w:t>Measures the proportion of girls and women (15–49 years) subjected to female genital mutilation (FGM).</w:t>
      </w:r>
    </w:p>
    <w:p>
      <w:pPr>
        <w:pStyle w:val="ListBullet"/>
        <w:ind w:left="357"/>
        <w:jc w:val="both"/>
      </w:pPr>
      <w:r>
        <w:rPr>
          <w:rFonts w:ascii="Cambria" w:hAnsi="Cambria"/>
          <w:b/>
          <w:sz w:val="22"/>
        </w:rPr>
        <w:t xml:space="preserve">Purpose: </w:t>
      </w:r>
      <w:r>
        <w:rPr>
          <w:rFonts w:ascii="Cambria" w:hAnsi="Cambria"/>
          <w:sz w:val="22"/>
        </w:rPr>
        <w:t>Helps identify vulnerable communities and evaluate progress of child protection and women's rights programs.</w:t>
      </w:r>
    </w:p>
    <w:p>
      <w:pPr>
        <w:spacing w:before="200" w:after="80"/>
        <w:jc w:val="left"/>
      </w:pPr>
      <w:r>
        <w:rPr>
          <w:rFonts w:ascii="Cambria" w:hAnsi="Cambria"/>
          <w:b/>
          <w:color w:val="1F3A5F"/>
          <w:sz w:val="25"/>
        </w:rPr>
        <w:t>Target 5.4 — Recognize and Value Unpaid Care and Domestic Work</w:t>
      </w:r>
    </w:p>
    <w:p>
      <w:pPr>
        <w:spacing w:after="120"/>
        <w:jc w:val="both"/>
      </w:pPr>
      <w:r>
        <w:rPr>
          <w:rFonts w:ascii="Cambria" w:hAnsi="Cambria"/>
          <w:b/>
          <w:sz w:val="22"/>
        </w:rPr>
        <w:t xml:space="preserve">Goal: </w:t>
      </w:r>
      <w:r>
        <w:rPr>
          <w:rFonts w:ascii="Cambria" w:hAnsi="Cambria"/>
          <w:i w:val="0"/>
          <w:sz w:val="22"/>
        </w:rPr>
        <w:t>Highlight and reduce the inequality of unpaid household labor carried mostly by women.</w:t>
      </w:r>
    </w:p>
    <w:p>
      <w:pPr>
        <w:pStyle w:val="ListBullet"/>
        <w:ind w:left="357"/>
        <w:jc w:val="both"/>
      </w:pPr>
      <w:r>
        <w:rPr>
          <w:rFonts w:ascii="Cambria" w:hAnsi="Cambria"/>
          <w:b/>
          <w:sz w:val="22"/>
        </w:rPr>
        <w:t xml:space="preserve">Indicator 5.4.1: </w:t>
      </w:r>
      <w:r>
        <w:rPr>
          <w:rFonts w:ascii="Cambria" w:hAnsi="Cambria"/>
          <w:sz w:val="22"/>
        </w:rPr>
        <w:t>Measures time spent on unpaid domestic and care work (e.g., childcare, cooking, eldercare) by sex, age, and location.</w:t>
      </w:r>
    </w:p>
    <w:p>
      <w:pPr>
        <w:pStyle w:val="ListBullet"/>
        <w:ind w:left="357"/>
        <w:jc w:val="both"/>
      </w:pPr>
      <w:r>
        <w:rPr>
          <w:rFonts w:ascii="Cambria" w:hAnsi="Cambria"/>
          <w:b/>
          <w:sz w:val="22"/>
        </w:rPr>
        <w:t xml:space="preserve">Purpose: </w:t>
      </w:r>
      <w:r>
        <w:rPr>
          <w:rFonts w:ascii="Cambria" w:hAnsi="Cambria"/>
          <w:sz w:val="22"/>
        </w:rPr>
        <w:t>Promotes social protection policies such as childcare services, flexible work, and shared family responsibility to balance workloads.</w:t>
      </w:r>
    </w:p>
    <w:p>
      <w:pPr>
        <w:spacing w:before="200" w:after="80"/>
        <w:jc w:val="left"/>
      </w:pPr>
      <w:r>
        <w:rPr>
          <w:rFonts w:ascii="Cambria" w:hAnsi="Cambria"/>
          <w:b/>
          <w:color w:val="1F3A5F"/>
          <w:sz w:val="25"/>
        </w:rPr>
        <w:t>Target 5.5 — Ensure Equal Participation and Leadership Opportunities</w:t>
      </w:r>
    </w:p>
    <w:p>
      <w:pPr>
        <w:spacing w:after="120"/>
        <w:jc w:val="both"/>
      </w:pPr>
      <w:r>
        <w:rPr>
          <w:rFonts w:ascii="Cambria" w:hAnsi="Cambria"/>
          <w:b/>
          <w:sz w:val="22"/>
        </w:rPr>
        <w:t xml:space="preserve">Goal: </w:t>
      </w:r>
      <w:r>
        <w:rPr>
          <w:rFonts w:ascii="Cambria" w:hAnsi="Cambria"/>
          <w:i w:val="0"/>
          <w:sz w:val="22"/>
        </w:rPr>
        <w:t>Achieve gender parity in decision-making roles across politics, business, and administration.</w:t>
      </w:r>
    </w:p>
    <w:p>
      <w:pPr>
        <w:pStyle w:val="ListBullet"/>
        <w:ind w:left="357"/>
        <w:jc w:val="both"/>
      </w:pPr>
      <w:r>
        <w:rPr>
          <w:rFonts w:ascii="Cambria" w:hAnsi="Cambria"/>
          <w:b/>
          <w:sz w:val="22"/>
        </w:rPr>
        <w:t xml:space="preserve">Indicator 5.5.1: </w:t>
      </w:r>
      <w:r>
        <w:rPr>
          <w:rFonts w:ascii="Cambria" w:hAnsi="Cambria"/>
          <w:sz w:val="22"/>
        </w:rPr>
        <w:t>Tracks women's representation in parliaments and local governments.</w:t>
      </w:r>
    </w:p>
    <w:p>
      <w:pPr>
        <w:pStyle w:val="ListBullet"/>
        <w:ind w:left="357"/>
        <w:jc w:val="both"/>
      </w:pPr>
      <w:r>
        <w:rPr>
          <w:rFonts w:ascii="Cambria" w:hAnsi="Cambria"/>
          <w:b/>
          <w:sz w:val="22"/>
        </w:rPr>
        <w:t xml:space="preserve">Indicator 5.5.2: </w:t>
      </w:r>
      <w:r>
        <w:rPr>
          <w:rFonts w:ascii="Cambria" w:hAnsi="Cambria"/>
          <w:sz w:val="22"/>
        </w:rPr>
        <w:t>Measures women in managerial or leadership positions across public and private sectors.</w:t>
      </w:r>
    </w:p>
    <w:p>
      <w:pPr>
        <w:pStyle w:val="ListBullet"/>
        <w:ind w:left="357"/>
        <w:jc w:val="both"/>
      </w:pPr>
      <w:r>
        <w:rPr>
          <w:rFonts w:ascii="Cambria" w:hAnsi="Cambria"/>
          <w:b/>
          <w:sz w:val="22"/>
        </w:rPr>
        <w:t xml:space="preserve">Purpose: </w:t>
      </w:r>
      <w:r>
        <w:rPr>
          <w:rFonts w:ascii="Cambria" w:hAnsi="Cambria"/>
          <w:sz w:val="22"/>
        </w:rPr>
        <w:t>Encourages countries to remove barriers to women's leadership through quotas, mentorship, and equal promotion policies.</w:t>
      </w:r>
    </w:p>
    <w:p>
      <w:pPr>
        <w:spacing w:before="200" w:after="80"/>
        <w:jc w:val="left"/>
      </w:pPr>
      <w:r>
        <w:rPr>
          <w:rFonts w:ascii="Cambria" w:hAnsi="Cambria"/>
          <w:b/>
          <w:color w:val="1F3A5F"/>
          <w:sz w:val="25"/>
        </w:rPr>
        <w:t>Target 5.6 — Ensure Universal Access to Reproductive and Sexual Health and Rights</w:t>
      </w:r>
    </w:p>
    <w:p>
      <w:pPr>
        <w:spacing w:after="120"/>
        <w:jc w:val="both"/>
      </w:pPr>
      <w:r>
        <w:rPr>
          <w:rFonts w:ascii="Cambria" w:hAnsi="Cambria"/>
          <w:b/>
          <w:sz w:val="22"/>
        </w:rPr>
        <w:t xml:space="preserve">Goal: </w:t>
      </w:r>
      <w:r>
        <w:rPr>
          <w:rFonts w:ascii="Cambria" w:hAnsi="Cambria"/>
          <w:i w:val="0"/>
          <w:sz w:val="22"/>
        </w:rPr>
        <w:t>Empower women to make informed choices about their bodies, health, and family planning.</w:t>
      </w:r>
    </w:p>
    <w:p>
      <w:pPr>
        <w:pStyle w:val="ListBullet"/>
        <w:ind w:left="357"/>
        <w:jc w:val="both"/>
      </w:pPr>
      <w:r>
        <w:rPr>
          <w:rFonts w:ascii="Cambria" w:hAnsi="Cambria"/>
          <w:b/>
          <w:sz w:val="22"/>
        </w:rPr>
        <w:t xml:space="preserve">Indicator 5.6.1: </w:t>
      </w:r>
      <w:r>
        <w:rPr>
          <w:rFonts w:ascii="Cambria" w:hAnsi="Cambria"/>
          <w:sz w:val="22"/>
        </w:rPr>
        <w:t>Measures how many women (15–49 years) can independently decide on sexual relations, contraceptive use, and healthcare.</w:t>
      </w:r>
    </w:p>
    <w:p>
      <w:pPr>
        <w:pStyle w:val="ListBullet"/>
        <w:ind w:left="357"/>
        <w:jc w:val="both"/>
      </w:pPr>
      <w:r>
        <w:rPr>
          <w:rFonts w:ascii="Cambria" w:hAnsi="Cambria"/>
          <w:b/>
          <w:sz w:val="22"/>
        </w:rPr>
        <w:t xml:space="preserve">Indicator 5.6.2: </w:t>
      </w:r>
      <w:r>
        <w:rPr>
          <w:rFonts w:ascii="Cambria" w:hAnsi="Cambria"/>
          <w:sz w:val="22"/>
        </w:rPr>
        <w:t>Tracks existence of national laws and regulations guaranteeing access to reproductive health care and education.</w:t>
      </w:r>
    </w:p>
    <w:p>
      <w:pPr>
        <w:pStyle w:val="ListBullet"/>
        <w:ind w:left="357"/>
        <w:jc w:val="both"/>
      </w:pPr>
      <w:r>
        <w:rPr>
          <w:rFonts w:ascii="Cambria" w:hAnsi="Cambria"/>
          <w:b/>
          <w:sz w:val="22"/>
        </w:rPr>
        <w:t xml:space="preserve">Purpose: </w:t>
      </w:r>
      <w:r>
        <w:rPr>
          <w:rFonts w:ascii="Cambria" w:hAnsi="Cambria"/>
          <w:sz w:val="22"/>
        </w:rPr>
        <w:t>Monitors policy commitments ensuring bodily autonomy, maternal health, and reproductive rights.</w:t>
      </w:r>
    </w:p>
    <w:p>
      <w:pPr>
        <w:spacing w:before="200" w:after="80"/>
        <w:jc w:val="left"/>
      </w:pPr>
      <w:r>
        <w:rPr>
          <w:rFonts w:ascii="Cambria" w:hAnsi="Cambria"/>
          <w:b/>
          <w:color w:val="1F3A5F"/>
          <w:sz w:val="25"/>
        </w:rPr>
        <w:t>Target 5.a — Reform Laws for Equal Economic Resources and Ownership</w:t>
      </w:r>
    </w:p>
    <w:p>
      <w:pPr>
        <w:spacing w:after="120"/>
        <w:jc w:val="both"/>
      </w:pPr>
      <w:r>
        <w:rPr>
          <w:rFonts w:ascii="Cambria" w:hAnsi="Cambria"/>
          <w:b/>
          <w:sz w:val="22"/>
        </w:rPr>
        <w:t xml:space="preserve">Goal: </w:t>
      </w:r>
      <w:r>
        <w:rPr>
          <w:rFonts w:ascii="Cambria" w:hAnsi="Cambria"/>
          <w:i w:val="0"/>
          <w:sz w:val="22"/>
        </w:rPr>
        <w:t>Guarantee women's equal rights to land, property, inheritance, and financial resources.</w:t>
      </w:r>
    </w:p>
    <w:p>
      <w:pPr>
        <w:pStyle w:val="ListBullet"/>
        <w:ind w:left="357"/>
        <w:jc w:val="both"/>
      </w:pPr>
      <w:r>
        <w:rPr>
          <w:rFonts w:ascii="Cambria" w:hAnsi="Cambria"/>
          <w:b/>
          <w:sz w:val="22"/>
        </w:rPr>
        <w:t xml:space="preserve">Indicator 5.a.1: </w:t>
      </w:r>
      <w:r>
        <w:rPr>
          <w:rFonts w:ascii="Cambria" w:hAnsi="Cambria"/>
          <w:sz w:val="22"/>
        </w:rPr>
        <w:t>Evaluates the percentage of women with ownership or secure rights over agricultural land, by tenure type.</w:t>
      </w:r>
    </w:p>
    <w:p>
      <w:pPr>
        <w:pStyle w:val="ListBullet"/>
        <w:ind w:left="357"/>
        <w:jc w:val="both"/>
      </w:pPr>
      <w:r>
        <w:rPr>
          <w:rFonts w:ascii="Cambria" w:hAnsi="Cambria"/>
          <w:b/>
          <w:sz w:val="22"/>
        </w:rPr>
        <w:t xml:space="preserve">Indicator 5.a.2: </w:t>
      </w:r>
      <w:r>
        <w:rPr>
          <w:rFonts w:ascii="Cambria" w:hAnsi="Cambria"/>
          <w:sz w:val="22"/>
        </w:rPr>
        <w:t>Reviews countries' legal frameworks that formally recognize women's equal property rights.</w:t>
      </w:r>
    </w:p>
    <w:p>
      <w:pPr>
        <w:pStyle w:val="ListBullet"/>
        <w:ind w:left="357"/>
        <w:jc w:val="both"/>
      </w:pPr>
      <w:r>
        <w:rPr>
          <w:rFonts w:ascii="Cambria" w:hAnsi="Cambria"/>
          <w:b/>
          <w:sz w:val="22"/>
        </w:rPr>
        <w:t xml:space="preserve">Purpose: </w:t>
      </w:r>
      <w:r>
        <w:rPr>
          <w:rFonts w:ascii="Cambria" w:hAnsi="Cambria"/>
          <w:sz w:val="22"/>
        </w:rPr>
        <w:t>Supports reforms for economic independence and inclusion of women in land and resource ownership.</w:t>
      </w:r>
    </w:p>
    <w:p>
      <w:pPr>
        <w:spacing w:before="200" w:after="80"/>
        <w:jc w:val="left"/>
      </w:pPr>
      <w:r>
        <w:rPr>
          <w:rFonts w:ascii="Cambria" w:hAnsi="Cambria"/>
          <w:b/>
          <w:color w:val="1F3A5F"/>
          <w:sz w:val="25"/>
        </w:rPr>
        <w:t>Target 5.b — Enhance Use of Enabling Technology for Empowerment</w:t>
      </w:r>
    </w:p>
    <w:p>
      <w:pPr>
        <w:spacing w:after="120"/>
        <w:jc w:val="both"/>
      </w:pPr>
      <w:r>
        <w:rPr>
          <w:rFonts w:ascii="Cambria" w:hAnsi="Cambria"/>
          <w:b/>
          <w:sz w:val="22"/>
        </w:rPr>
        <w:t xml:space="preserve">Goal: </w:t>
      </w:r>
      <w:r>
        <w:rPr>
          <w:rFonts w:ascii="Cambria" w:hAnsi="Cambria"/>
          <w:i w:val="0"/>
          <w:sz w:val="22"/>
        </w:rPr>
        <w:t>Close the digital gender gap and promote women's access to modern technology.</w:t>
      </w:r>
    </w:p>
    <w:p>
      <w:pPr>
        <w:pStyle w:val="ListBullet"/>
        <w:ind w:left="357"/>
        <w:jc w:val="both"/>
      </w:pPr>
      <w:r>
        <w:rPr>
          <w:rFonts w:ascii="Cambria" w:hAnsi="Cambria"/>
          <w:b/>
          <w:sz w:val="22"/>
        </w:rPr>
        <w:t xml:space="preserve">Indicator 5.b.1: </w:t>
      </w:r>
      <w:r>
        <w:rPr>
          <w:rFonts w:ascii="Cambria" w:hAnsi="Cambria"/>
          <w:sz w:val="22"/>
        </w:rPr>
        <w:t>Measures the proportion of women and men owning a mobile phone, a basic ICT access indicator.</w:t>
      </w:r>
    </w:p>
    <w:p>
      <w:pPr>
        <w:pStyle w:val="ListBullet"/>
        <w:ind w:left="357"/>
        <w:jc w:val="both"/>
      </w:pPr>
      <w:r>
        <w:rPr>
          <w:rFonts w:ascii="Cambria" w:hAnsi="Cambria"/>
          <w:b/>
          <w:sz w:val="22"/>
        </w:rPr>
        <w:t xml:space="preserve">Purpose: </w:t>
      </w:r>
      <w:r>
        <w:rPr>
          <w:rFonts w:ascii="Cambria" w:hAnsi="Cambria"/>
          <w:sz w:val="22"/>
        </w:rPr>
        <w:t>Ensures women can use digital tools for education, entrepreneurship, financial inclusion, and civic participation.</w:t>
      </w:r>
    </w:p>
    <w:p>
      <w:pPr>
        <w:spacing w:before="200" w:after="80"/>
        <w:jc w:val="left"/>
      </w:pPr>
      <w:r>
        <w:rPr>
          <w:rFonts w:ascii="Cambria" w:hAnsi="Cambria"/>
          <w:b/>
          <w:color w:val="1F3A5F"/>
          <w:sz w:val="25"/>
        </w:rPr>
        <w:t>Target 5.c — Adopt and Enforce Gender Equality Policies and Legislation</w:t>
      </w:r>
    </w:p>
    <w:p>
      <w:pPr>
        <w:spacing w:after="120"/>
        <w:jc w:val="both"/>
      </w:pPr>
      <w:r>
        <w:rPr>
          <w:rFonts w:ascii="Cambria" w:hAnsi="Cambria"/>
          <w:b/>
          <w:sz w:val="22"/>
        </w:rPr>
        <w:t xml:space="preserve">Goal: </w:t>
      </w:r>
      <w:r>
        <w:rPr>
          <w:rFonts w:ascii="Cambria" w:hAnsi="Cambria"/>
          <w:i w:val="0"/>
          <w:sz w:val="22"/>
        </w:rPr>
        <w:t>Build strong institutional systems and legal mechanisms for gender equality.</w:t>
      </w:r>
    </w:p>
    <w:p>
      <w:pPr>
        <w:pStyle w:val="ListBullet"/>
        <w:ind w:left="357"/>
        <w:jc w:val="both"/>
      </w:pPr>
      <w:r>
        <w:rPr>
          <w:rFonts w:ascii="Cambria" w:hAnsi="Cambria"/>
          <w:b/>
          <w:sz w:val="22"/>
        </w:rPr>
        <w:t xml:space="preserve">Indicator 5.c.1: </w:t>
      </w:r>
      <w:r>
        <w:rPr>
          <w:rFonts w:ascii="Cambria" w:hAnsi="Cambria"/>
          <w:sz w:val="22"/>
        </w:rPr>
        <w:t>Tracks countries with mechanisms to monitor and publicly report how much government spending supports gender equality and women's empowerment.</w:t>
      </w:r>
    </w:p>
    <w:p>
      <w:pPr>
        <w:pStyle w:val="ListBullet"/>
        <w:ind w:left="357"/>
        <w:jc w:val="both"/>
      </w:pPr>
      <w:r>
        <w:rPr>
          <w:rFonts w:ascii="Cambria" w:hAnsi="Cambria"/>
          <w:b/>
          <w:sz w:val="22"/>
        </w:rPr>
        <w:t xml:space="preserve">Purpose: </w:t>
      </w:r>
      <w:r>
        <w:rPr>
          <w:rFonts w:ascii="Cambria" w:hAnsi="Cambria"/>
          <w:sz w:val="22"/>
        </w:rPr>
        <w:t>Promotes accountability, transparency, and measurable progress toward gender-responsive governance.</w:t>
      </w:r>
    </w:p>
    <w:p>
      <w:pPr>
        <w:spacing w:before="200" w:after="80"/>
        <w:jc w:val="left"/>
      </w:pPr>
      <w:r>
        <w:rPr>
          <w:rFonts w:ascii="Cambria" w:hAnsi="Cambria"/>
          <w:b/>
          <w:color w:val="1F3A5F"/>
          <w:sz w:val="25"/>
        </w:rPr>
        <w:t>Summary Insight</w:t>
      </w:r>
    </w:p>
    <w:p>
      <w:pPr>
        <w:pStyle w:val="ListBullet"/>
        <w:ind w:left="357"/>
        <w:jc w:val="both"/>
      </w:pPr>
      <w:r>
        <w:rPr>
          <w:rFonts w:ascii="Cambria" w:hAnsi="Cambria"/>
          <w:sz w:val="22"/>
        </w:rPr>
        <w:t>SDG-5 aims to ensure that women and girls enjoy equal rights, safety, opportunities, and access across every sphere—legal, social, political, and economic.</w:t>
      </w:r>
    </w:p>
    <w:p>
      <w:pPr>
        <w:pStyle w:val="ListBullet"/>
        <w:ind w:left="357"/>
        <w:jc w:val="both"/>
      </w:pPr>
      <w:r>
        <w:rPr>
          <w:rFonts w:ascii="Cambria" w:hAnsi="Cambria"/>
          <w:sz w:val="22"/>
        </w:rPr>
        <w:t>The targets describe the goals (policy direction), while the indicators provide measurable evidence of progress through data collection, legislation tracking, and periodic global reporting.</w:t>
      </w:r>
    </w:p>
    <w:p>
      <w:pPr>
        <w:pStyle w:val="ListBullet"/>
        <w:ind w:left="357"/>
        <w:jc w:val="both"/>
      </w:pPr>
      <w:r>
        <w:rPr>
          <w:rFonts w:ascii="Cambria" w:hAnsi="Cambria"/>
          <w:sz w:val="22"/>
        </w:rPr>
        <w:t>Together, these metrics guide governments, HEIs, and civil society in building inclusive institutions that empower women and uphold human rights worldwide.</w:t>
      </w:r>
    </w:p>
    <w:p>
      <w:pPr>
        <w:spacing w:before="280" w:after="160"/>
        <w:jc w:val="left"/>
      </w:pPr>
      <w:r>
        <w:rPr>
          <w:rFonts w:ascii="Cambria" w:hAnsi="Cambria"/>
          <w:b/>
          <w:color w:val="1F3A5F"/>
          <w:sz w:val="32"/>
        </w:rPr>
        <w:t>3. UNESCO Policy Recommendations on SDG-5: Achieving Gender Equality and Empowering All Women and Girls</w:t>
      </w:r>
    </w:p>
    <w:p>
      <w:pPr>
        <w:spacing w:before="240" w:after="120"/>
        <w:jc w:val="left"/>
      </w:pPr>
      <w:r>
        <w:rPr>
          <w:rFonts w:ascii="Cambria" w:hAnsi="Cambria"/>
          <w:b/>
          <w:color w:val="1F3A5F"/>
          <w:sz w:val="28"/>
        </w:rPr>
        <w:t>1. Support the Education of Girls and Women</w:t>
      </w:r>
    </w:p>
    <w:p>
      <w:pPr>
        <w:spacing w:after="120"/>
        <w:jc w:val="both"/>
      </w:pPr>
      <w:r>
        <w:rPr>
          <w:rFonts w:ascii="Cambria" w:hAnsi="Cambria"/>
          <w:b/>
          <w:i w:val="0"/>
          <w:sz w:val="22"/>
        </w:rPr>
        <w:t>Key Focus:</w:t>
      </w:r>
    </w:p>
    <w:p>
      <w:pPr>
        <w:pStyle w:val="ListBullet"/>
        <w:ind w:left="357"/>
        <w:jc w:val="both"/>
      </w:pPr>
      <w:r>
        <w:rPr>
          <w:rFonts w:ascii="Cambria" w:hAnsi="Cambria"/>
          <w:sz w:val="22"/>
        </w:rPr>
        <w:t>Ensure that every girl and woman has equal access to quality education at all levels — primary, secondary, tertiary, and vocational.</w:t>
      </w:r>
    </w:p>
    <w:p>
      <w:pPr>
        <w:pStyle w:val="ListBullet"/>
        <w:ind w:left="357"/>
        <w:jc w:val="both"/>
      </w:pPr>
      <w:r>
        <w:rPr>
          <w:rFonts w:ascii="Cambria" w:hAnsi="Cambria"/>
          <w:sz w:val="22"/>
        </w:rPr>
        <w:t>Promote women's empowerment through inclusion in science, media, and culture, recognizing their critical role in sustainable development.</w:t>
      </w:r>
    </w:p>
    <w:p>
      <w:pPr>
        <w:pStyle w:val="ListBullet"/>
        <w:ind w:left="357"/>
        <w:jc w:val="both"/>
      </w:pPr>
      <w:r>
        <w:rPr>
          <w:rFonts w:ascii="Cambria" w:hAnsi="Cambria"/>
          <w:sz w:val="22"/>
        </w:rPr>
        <w:t>Strengthen educational programs that combat all forms of violence, discrimination, and harassment against women and girls within educational institutions and society.</w:t>
      </w:r>
    </w:p>
    <w:p>
      <w:pPr>
        <w:spacing w:after="120"/>
        <w:jc w:val="both"/>
      </w:pPr>
      <w:r>
        <w:rPr>
          <w:rFonts w:ascii="Cambria" w:hAnsi="Cambria"/>
          <w:b/>
          <w:i w:val="0"/>
          <w:sz w:val="22"/>
        </w:rPr>
        <w:t>Implementation Strategy:</w:t>
      </w:r>
    </w:p>
    <w:p>
      <w:pPr>
        <w:pStyle w:val="ListBullet"/>
        <w:ind w:left="357"/>
        <w:jc w:val="both"/>
      </w:pPr>
      <w:r>
        <w:rPr>
          <w:rFonts w:ascii="Cambria" w:hAnsi="Cambria"/>
          <w:sz w:val="22"/>
        </w:rPr>
        <w:t>Partner with governments, NGOs, and international organizations to develop gender-sensitive curricula and safe learning environments.</w:t>
      </w:r>
    </w:p>
    <w:p>
      <w:pPr>
        <w:pStyle w:val="ListBullet"/>
        <w:ind w:left="357"/>
        <w:jc w:val="both"/>
      </w:pPr>
      <w:r>
        <w:rPr>
          <w:rFonts w:ascii="Cambria" w:hAnsi="Cambria"/>
          <w:sz w:val="22"/>
        </w:rPr>
        <w:t>Increase female literacy rates and improve retention in schools, particularly in rural and marginalized communities.</w:t>
      </w:r>
    </w:p>
    <w:p>
      <w:pPr>
        <w:pStyle w:val="ListBullet"/>
        <w:ind w:left="357"/>
        <w:jc w:val="both"/>
      </w:pPr>
      <w:r>
        <w:rPr>
          <w:rFonts w:ascii="Cambria" w:hAnsi="Cambria"/>
          <w:sz w:val="22"/>
        </w:rPr>
        <w:t>Integrate gender awareness and equality education across all subjects and teacher training programs.</w:t>
      </w:r>
    </w:p>
    <w:p>
      <w:pPr>
        <w:spacing w:before="240" w:after="120"/>
        <w:jc w:val="left"/>
      </w:pPr>
      <w:r>
        <w:rPr>
          <w:rFonts w:ascii="Cambria" w:hAnsi="Cambria"/>
          <w:b/>
          <w:color w:val="1F3A5F"/>
          <w:sz w:val="28"/>
        </w:rPr>
        <w:t>2. Promote Global Partnerships for Educating Girls and Combating Gender-Based Violence</w:t>
      </w:r>
    </w:p>
    <w:p>
      <w:pPr>
        <w:spacing w:after="120"/>
        <w:jc w:val="both"/>
      </w:pPr>
      <w:r>
        <w:rPr>
          <w:rFonts w:ascii="Cambria" w:hAnsi="Cambria"/>
          <w:b/>
          <w:i w:val="0"/>
          <w:sz w:val="22"/>
        </w:rPr>
        <w:t>Key Focus:</w:t>
      </w:r>
    </w:p>
    <w:p>
      <w:pPr>
        <w:pStyle w:val="ListBullet"/>
        <w:ind w:left="357"/>
        <w:jc w:val="both"/>
      </w:pPr>
      <w:r>
        <w:rPr>
          <w:rFonts w:ascii="Cambria" w:hAnsi="Cambria"/>
          <w:sz w:val="22"/>
        </w:rPr>
        <w:t>Build international alliances and partnerships to support the education of girls and women, especially in developing nations.</w:t>
      </w:r>
    </w:p>
    <w:p>
      <w:pPr>
        <w:pStyle w:val="ListBullet"/>
        <w:ind w:left="357"/>
        <w:jc w:val="both"/>
      </w:pPr>
      <w:r>
        <w:rPr>
          <w:rFonts w:ascii="Cambria" w:hAnsi="Cambria"/>
          <w:sz w:val="22"/>
        </w:rPr>
        <w:t>Address gender-based violence (GBV) through education, advocacy, and legal awareness.</w:t>
      </w:r>
    </w:p>
    <w:p>
      <w:pPr>
        <w:pStyle w:val="ListBullet"/>
        <w:ind w:left="357"/>
        <w:jc w:val="both"/>
      </w:pPr>
      <w:r>
        <w:rPr>
          <w:rFonts w:ascii="Cambria" w:hAnsi="Cambria"/>
          <w:sz w:val="22"/>
        </w:rPr>
        <w:t>Leverage UNESCO's convening power to mobilize resources for inclusive education and women's rights initiatives.</w:t>
      </w:r>
    </w:p>
    <w:p>
      <w:pPr>
        <w:spacing w:after="120"/>
        <w:jc w:val="both"/>
      </w:pPr>
      <w:r>
        <w:rPr>
          <w:rFonts w:ascii="Cambria" w:hAnsi="Cambria"/>
          <w:b/>
          <w:i w:val="0"/>
          <w:sz w:val="22"/>
        </w:rPr>
        <w:t>Implementation Strategy:</w:t>
      </w:r>
    </w:p>
    <w:p>
      <w:pPr>
        <w:pStyle w:val="ListBullet"/>
        <w:ind w:left="357"/>
        <w:jc w:val="both"/>
      </w:pPr>
      <w:r>
        <w:rPr>
          <w:rFonts w:ascii="Cambria" w:hAnsi="Cambria"/>
          <w:sz w:val="22"/>
        </w:rPr>
        <w:t>Encourage cross-border collaborations between ministries of education, UN agencies, and civil society groups.</w:t>
      </w:r>
    </w:p>
    <w:p>
      <w:pPr>
        <w:pStyle w:val="ListBullet"/>
        <w:ind w:left="357"/>
        <w:jc w:val="both"/>
      </w:pPr>
      <w:r>
        <w:rPr>
          <w:rFonts w:ascii="Cambria" w:hAnsi="Cambria"/>
          <w:sz w:val="22"/>
        </w:rPr>
        <w:t>Launch awareness campaigns and community programs on the importance of girls' education and the dangers of GBV.</w:t>
      </w:r>
    </w:p>
    <w:p>
      <w:pPr>
        <w:pStyle w:val="ListBullet"/>
        <w:ind w:left="357"/>
        <w:jc w:val="both"/>
      </w:pPr>
      <w:r>
        <w:rPr>
          <w:rFonts w:ascii="Cambria" w:hAnsi="Cambria"/>
          <w:sz w:val="22"/>
        </w:rPr>
        <w:t>Support policy reforms that ensure safe access to education, including protection against child marriage, harassment, and abuse.</w:t>
      </w:r>
    </w:p>
    <w:p>
      <w:pPr>
        <w:spacing w:before="240" w:after="120"/>
        <w:jc w:val="left"/>
      </w:pPr>
      <w:r>
        <w:rPr>
          <w:rFonts w:ascii="Cambria" w:hAnsi="Cambria"/>
          <w:b/>
          <w:color w:val="1F3A5F"/>
          <w:sz w:val="28"/>
        </w:rPr>
        <w:t>3. Increase Women's Participation in Science, Technology, and Innovation (STI)</w:t>
      </w:r>
    </w:p>
    <w:p>
      <w:pPr>
        <w:spacing w:after="120"/>
        <w:jc w:val="both"/>
      </w:pPr>
      <w:r>
        <w:rPr>
          <w:rFonts w:ascii="Cambria" w:hAnsi="Cambria"/>
          <w:b/>
          <w:i w:val="0"/>
          <w:sz w:val="22"/>
        </w:rPr>
        <w:t>Key Focus:</w:t>
      </w:r>
    </w:p>
    <w:p>
      <w:pPr>
        <w:pStyle w:val="ListBullet"/>
        <w:ind w:left="357"/>
        <w:jc w:val="both"/>
      </w:pPr>
      <w:r>
        <w:rPr>
          <w:rFonts w:ascii="Cambria" w:hAnsi="Cambria"/>
          <w:sz w:val="22"/>
        </w:rPr>
        <w:t>Strengthen women's participation in STEM (Science, Technology, Engineering, and Mathematics) through targeted initiatives like SAGA – STEM and Gender Advancement.</w:t>
      </w:r>
    </w:p>
    <w:p>
      <w:pPr>
        <w:pStyle w:val="ListBullet"/>
        <w:ind w:left="357"/>
        <w:jc w:val="both"/>
      </w:pPr>
      <w:r>
        <w:rPr>
          <w:rFonts w:ascii="Cambria" w:hAnsi="Cambria"/>
          <w:sz w:val="22"/>
        </w:rPr>
        <w:t>Address gender disparities in research, academia, and scientific leadership roles.</w:t>
      </w:r>
    </w:p>
    <w:p>
      <w:pPr>
        <w:pStyle w:val="ListBullet"/>
        <w:ind w:left="357"/>
        <w:jc w:val="both"/>
      </w:pPr>
      <w:r>
        <w:rPr>
          <w:rFonts w:ascii="Cambria" w:hAnsi="Cambria"/>
          <w:sz w:val="22"/>
        </w:rPr>
        <w:t>Encourage equal representation in research institutions, innovation hubs, and technology enterprises.</w:t>
      </w:r>
    </w:p>
    <w:p>
      <w:pPr>
        <w:spacing w:after="120"/>
        <w:jc w:val="both"/>
      </w:pPr>
      <w:r>
        <w:rPr>
          <w:rFonts w:ascii="Cambria" w:hAnsi="Cambria"/>
          <w:b/>
          <w:i w:val="0"/>
          <w:sz w:val="22"/>
        </w:rPr>
        <w:t>Implementation Strategy:</w:t>
      </w:r>
    </w:p>
    <w:p>
      <w:pPr>
        <w:pStyle w:val="ListBullet"/>
        <w:ind w:left="357"/>
        <w:jc w:val="both"/>
      </w:pPr>
      <w:r>
        <w:rPr>
          <w:rFonts w:ascii="Cambria" w:hAnsi="Cambria"/>
          <w:sz w:val="22"/>
        </w:rPr>
        <w:t>Provide scholarships, fellowships, and mentorship programs for women pursuing STEM fields.</w:t>
      </w:r>
    </w:p>
    <w:p>
      <w:pPr>
        <w:pStyle w:val="ListBullet"/>
        <w:ind w:left="357"/>
        <w:jc w:val="both"/>
      </w:pPr>
      <w:r>
        <w:rPr>
          <w:rFonts w:ascii="Cambria" w:hAnsi="Cambria"/>
          <w:sz w:val="22"/>
        </w:rPr>
        <w:t>Encourage gender-responsive research policies and institutional frameworks that promote diversity in science.</w:t>
      </w:r>
    </w:p>
    <w:p>
      <w:pPr>
        <w:pStyle w:val="ListBullet"/>
        <w:ind w:left="357"/>
        <w:jc w:val="both"/>
      </w:pPr>
      <w:r>
        <w:rPr>
          <w:rFonts w:ascii="Cambria" w:hAnsi="Cambria"/>
          <w:sz w:val="22"/>
        </w:rPr>
        <w:t>Highlight the achievements of women scientists and innovators as role models for younger generations.</w:t>
      </w:r>
    </w:p>
    <w:p>
      <w:pPr>
        <w:spacing w:before="240" w:after="120"/>
        <w:jc w:val="left"/>
      </w:pPr>
      <w:r>
        <w:rPr>
          <w:rFonts w:ascii="Cambria" w:hAnsi="Cambria"/>
          <w:b/>
          <w:color w:val="1F3A5F"/>
          <w:sz w:val="28"/>
        </w:rPr>
        <w:t>4. Enhance Gender Equality Across Scientific, Cultural, and Environmental Domains</w:t>
      </w:r>
    </w:p>
    <w:p>
      <w:pPr>
        <w:spacing w:after="120"/>
        <w:jc w:val="both"/>
      </w:pPr>
      <w:r>
        <w:rPr>
          <w:rFonts w:ascii="Cambria" w:hAnsi="Cambria"/>
          <w:b/>
          <w:i w:val="0"/>
          <w:sz w:val="22"/>
        </w:rPr>
        <w:t>Key Focus:</w:t>
      </w:r>
    </w:p>
    <w:p>
      <w:pPr>
        <w:pStyle w:val="ListBullet"/>
        <w:ind w:left="357"/>
        <w:jc w:val="both"/>
      </w:pPr>
      <w:r>
        <w:rPr>
          <w:rFonts w:ascii="Cambria" w:hAnsi="Cambria"/>
          <w:sz w:val="22"/>
        </w:rPr>
        <w:t>Promote gender balance in ocean science, disaster risk reduction, and climate change initiatives.</w:t>
      </w:r>
    </w:p>
    <w:p>
      <w:pPr>
        <w:pStyle w:val="ListBullet"/>
        <w:ind w:left="357"/>
        <w:jc w:val="both"/>
      </w:pPr>
      <w:r>
        <w:rPr>
          <w:rFonts w:ascii="Cambria" w:hAnsi="Cambria"/>
          <w:sz w:val="22"/>
        </w:rPr>
        <w:t>Ensure women's involvement in environmental governance, marine policy, and ecological restoration projects.</w:t>
      </w:r>
    </w:p>
    <w:p>
      <w:pPr>
        <w:pStyle w:val="ListBullet"/>
        <w:ind w:left="357"/>
        <w:jc w:val="both"/>
      </w:pPr>
      <w:r>
        <w:rPr>
          <w:rFonts w:ascii="Cambria" w:hAnsi="Cambria"/>
          <w:sz w:val="22"/>
        </w:rPr>
        <w:t>Support women's participation in cultural life, heritage management, and the media.</w:t>
      </w:r>
    </w:p>
    <w:p>
      <w:pPr>
        <w:spacing w:after="120"/>
        <w:jc w:val="both"/>
      </w:pPr>
      <w:r>
        <w:rPr>
          <w:rFonts w:ascii="Cambria" w:hAnsi="Cambria"/>
          <w:b/>
          <w:i w:val="0"/>
          <w:sz w:val="22"/>
        </w:rPr>
        <w:t>Implementation Strategy:</w:t>
      </w:r>
    </w:p>
    <w:p>
      <w:pPr>
        <w:pStyle w:val="ListBullet"/>
        <w:ind w:left="357"/>
        <w:jc w:val="both"/>
      </w:pPr>
      <w:r>
        <w:rPr>
          <w:rFonts w:ascii="Cambria" w:hAnsi="Cambria"/>
          <w:sz w:val="22"/>
        </w:rPr>
        <w:t>Increase funding and training opportunities for women researchers in environmental and ocean sciences.</w:t>
      </w:r>
    </w:p>
    <w:p>
      <w:pPr>
        <w:pStyle w:val="ListBullet"/>
        <w:ind w:left="357"/>
        <w:jc w:val="both"/>
      </w:pPr>
      <w:r>
        <w:rPr>
          <w:rFonts w:ascii="Cambria" w:hAnsi="Cambria"/>
          <w:sz w:val="22"/>
        </w:rPr>
        <w:t>Involve women in climate change negotiations and leadership roles at both local and international levels.</w:t>
      </w:r>
    </w:p>
    <w:p>
      <w:pPr>
        <w:pStyle w:val="ListBullet"/>
        <w:ind w:left="357"/>
        <w:jc w:val="both"/>
      </w:pPr>
      <w:r>
        <w:rPr>
          <w:rFonts w:ascii="Cambria" w:hAnsi="Cambria"/>
          <w:sz w:val="22"/>
        </w:rPr>
        <w:t>Promote inclusive cultural policies that empower women artists, journalists, and media professionals.</w:t>
      </w:r>
    </w:p>
    <w:p>
      <w:pPr>
        <w:spacing w:before="240" w:after="120"/>
        <w:jc w:val="left"/>
      </w:pPr>
      <w:r>
        <w:rPr>
          <w:rFonts w:ascii="Cambria" w:hAnsi="Cambria"/>
          <w:b/>
          <w:color w:val="1F3A5F"/>
          <w:sz w:val="28"/>
        </w:rPr>
        <w:t>5. Support Women's Empowerment and Gender Equality through Capacity Building and Policy Frameworks</w:t>
      </w:r>
    </w:p>
    <w:p>
      <w:pPr>
        <w:spacing w:after="120"/>
        <w:jc w:val="both"/>
      </w:pPr>
      <w:r>
        <w:rPr>
          <w:rFonts w:ascii="Cambria" w:hAnsi="Cambria"/>
          <w:b/>
          <w:i w:val="0"/>
          <w:sz w:val="22"/>
        </w:rPr>
        <w:t>Key Focus:</w:t>
      </w:r>
    </w:p>
    <w:p>
      <w:pPr>
        <w:pStyle w:val="ListBullet"/>
        <w:ind w:left="357"/>
        <w:jc w:val="both"/>
      </w:pPr>
      <w:r>
        <w:rPr>
          <w:rFonts w:ascii="Cambria" w:hAnsi="Cambria"/>
          <w:sz w:val="22"/>
        </w:rPr>
        <w:t>Strengthen capacity-building, research, and policy advocacy to promote gender equality in all sectors.</w:t>
      </w:r>
    </w:p>
    <w:p>
      <w:pPr>
        <w:pStyle w:val="ListBullet"/>
        <w:ind w:left="357"/>
        <w:jc w:val="both"/>
      </w:pPr>
      <w:r>
        <w:rPr>
          <w:rFonts w:ascii="Cambria" w:hAnsi="Cambria"/>
          <w:sz w:val="22"/>
        </w:rPr>
        <w:t>Provide technical and policy support to member states to integrate gender perspectives into their national development strategies.</w:t>
      </w:r>
    </w:p>
    <w:p>
      <w:pPr>
        <w:pStyle w:val="ListBullet"/>
        <w:ind w:left="357"/>
        <w:jc w:val="both"/>
      </w:pPr>
      <w:r>
        <w:rPr>
          <w:rFonts w:ascii="Cambria" w:hAnsi="Cambria"/>
          <w:sz w:val="22"/>
        </w:rPr>
        <w:t>Foster collaborative frameworks between academia, government, and international organizations for gender advancement.</w:t>
      </w:r>
    </w:p>
    <w:p>
      <w:pPr>
        <w:spacing w:after="120"/>
        <w:jc w:val="both"/>
      </w:pPr>
      <w:r>
        <w:rPr>
          <w:rFonts w:ascii="Cambria" w:hAnsi="Cambria"/>
          <w:b/>
          <w:i w:val="0"/>
          <w:sz w:val="22"/>
        </w:rPr>
        <w:t>Implementation Strategy:</w:t>
      </w:r>
    </w:p>
    <w:p>
      <w:pPr>
        <w:pStyle w:val="ListBullet"/>
        <w:ind w:left="357"/>
        <w:jc w:val="both"/>
      </w:pPr>
      <w:r>
        <w:rPr>
          <w:rFonts w:ascii="Cambria" w:hAnsi="Cambria"/>
          <w:sz w:val="22"/>
        </w:rPr>
        <w:t>Develop gender audit tools and research indicators to measure equality outcomes.</w:t>
      </w:r>
    </w:p>
    <w:p>
      <w:pPr>
        <w:pStyle w:val="ListBullet"/>
        <w:ind w:left="357"/>
        <w:jc w:val="both"/>
      </w:pPr>
      <w:r>
        <w:rPr>
          <w:rFonts w:ascii="Cambria" w:hAnsi="Cambria"/>
          <w:sz w:val="22"/>
        </w:rPr>
        <w:t>Encourage policy dialogue and consultation forums on gender-responsive governance.</w:t>
      </w:r>
    </w:p>
    <w:p>
      <w:pPr>
        <w:pStyle w:val="ListBullet"/>
        <w:ind w:left="357"/>
        <w:jc w:val="both"/>
      </w:pPr>
      <w:r>
        <w:rPr>
          <w:rFonts w:ascii="Cambria" w:hAnsi="Cambria"/>
          <w:sz w:val="22"/>
        </w:rPr>
        <w:t>Mainstream gender considerations in national education and science policies through advisory support and best practice models.</w:t>
      </w:r>
    </w:p>
    <w:p>
      <w:pPr>
        <w:spacing w:before="240" w:after="120"/>
        <w:jc w:val="left"/>
      </w:pPr>
      <w:r>
        <w:rPr>
          <w:rFonts w:ascii="Cambria" w:hAnsi="Cambria"/>
          <w:b/>
          <w:color w:val="1F3A5F"/>
          <w:sz w:val="28"/>
        </w:rPr>
        <w:t>6. Generate Transformative Social Change through Culture</w:t>
      </w:r>
    </w:p>
    <w:p>
      <w:pPr>
        <w:spacing w:after="120"/>
        <w:jc w:val="both"/>
      </w:pPr>
      <w:r>
        <w:rPr>
          <w:rFonts w:ascii="Cambria" w:hAnsi="Cambria"/>
          <w:b/>
          <w:i w:val="0"/>
          <w:sz w:val="22"/>
        </w:rPr>
        <w:t>Key Focus:</w:t>
      </w:r>
    </w:p>
    <w:p>
      <w:pPr>
        <w:pStyle w:val="ListBullet"/>
        <w:ind w:left="357"/>
        <w:jc w:val="both"/>
      </w:pPr>
      <w:r>
        <w:rPr>
          <w:rFonts w:ascii="Cambria" w:hAnsi="Cambria"/>
          <w:sz w:val="22"/>
        </w:rPr>
        <w:t>Empower women as creators, producers, and custodians of cultural heritage.</w:t>
      </w:r>
    </w:p>
    <w:p>
      <w:pPr>
        <w:pStyle w:val="ListBullet"/>
        <w:ind w:left="357"/>
        <w:jc w:val="both"/>
      </w:pPr>
      <w:r>
        <w:rPr>
          <w:rFonts w:ascii="Cambria" w:hAnsi="Cambria"/>
          <w:sz w:val="22"/>
        </w:rPr>
        <w:t>Strengthen women's participation in cultural industries such as arts, media, music, and literature.</w:t>
      </w:r>
    </w:p>
    <w:p>
      <w:pPr>
        <w:pStyle w:val="ListBullet"/>
        <w:ind w:left="357"/>
        <w:jc w:val="both"/>
      </w:pPr>
      <w:r>
        <w:rPr>
          <w:rFonts w:ascii="Cambria" w:hAnsi="Cambria"/>
          <w:sz w:val="22"/>
        </w:rPr>
        <w:t>Protect women's cultural expressions and intellectual property rights within the global creative economy.</w:t>
      </w:r>
    </w:p>
    <w:p>
      <w:pPr>
        <w:spacing w:after="120"/>
        <w:jc w:val="both"/>
      </w:pPr>
      <w:r>
        <w:rPr>
          <w:rFonts w:ascii="Cambria" w:hAnsi="Cambria"/>
          <w:b/>
          <w:i w:val="0"/>
          <w:sz w:val="22"/>
        </w:rPr>
        <w:t>Implementation Strategy:</w:t>
      </w:r>
    </w:p>
    <w:p>
      <w:pPr>
        <w:pStyle w:val="ListBullet"/>
        <w:ind w:left="357"/>
        <w:jc w:val="both"/>
      </w:pPr>
      <w:r>
        <w:rPr>
          <w:rFonts w:ascii="Cambria" w:hAnsi="Cambria"/>
          <w:sz w:val="22"/>
        </w:rPr>
        <w:t>Support women artists, craftswomen, and cultural leaders through funding and international exhibitions.</w:t>
      </w:r>
    </w:p>
    <w:p>
      <w:pPr>
        <w:pStyle w:val="ListBullet"/>
        <w:ind w:left="357"/>
        <w:jc w:val="both"/>
      </w:pPr>
      <w:r>
        <w:rPr>
          <w:rFonts w:ascii="Cambria" w:hAnsi="Cambria"/>
          <w:sz w:val="22"/>
        </w:rPr>
        <w:t>Implement programs safeguarding intangible cultural heritage (e.g., traditional knowledge, folk art) led by women.</w:t>
      </w:r>
    </w:p>
    <w:p>
      <w:pPr>
        <w:pStyle w:val="ListBullet"/>
        <w:ind w:left="357"/>
        <w:jc w:val="both"/>
      </w:pPr>
      <w:r>
        <w:rPr>
          <w:rFonts w:ascii="Cambria" w:hAnsi="Cambria"/>
          <w:sz w:val="22"/>
        </w:rPr>
        <w:t>Promote equal access to creative platforms and cultural institutions for women from all backgrounds.</w:t>
      </w:r>
    </w:p>
    <w:p>
      <w:pPr>
        <w:spacing w:before="240" w:after="120"/>
        <w:jc w:val="left"/>
      </w:pPr>
      <w:r>
        <w:rPr>
          <w:rFonts w:ascii="Cambria" w:hAnsi="Cambria"/>
          <w:b/>
          <w:color w:val="1F3A5F"/>
          <w:sz w:val="28"/>
        </w:rPr>
        <w:t>7. Improve Access to Information and Digital Empowerment for Women</w:t>
      </w:r>
    </w:p>
    <w:p>
      <w:pPr>
        <w:spacing w:after="120"/>
        <w:jc w:val="both"/>
      </w:pPr>
      <w:r>
        <w:rPr>
          <w:rFonts w:ascii="Cambria" w:hAnsi="Cambria"/>
          <w:b/>
          <w:i w:val="0"/>
          <w:sz w:val="22"/>
        </w:rPr>
        <w:t>Key Focus:</w:t>
      </w:r>
    </w:p>
    <w:p>
      <w:pPr>
        <w:pStyle w:val="ListBullet"/>
        <w:ind w:left="357"/>
        <w:jc w:val="both"/>
      </w:pPr>
      <w:r>
        <w:rPr>
          <w:rFonts w:ascii="Cambria" w:hAnsi="Cambria"/>
          <w:sz w:val="22"/>
        </w:rPr>
        <w:t>Foster gender equality in media organizations, ensuring fair representation and leadership opportunities for women.</w:t>
      </w:r>
    </w:p>
    <w:p>
      <w:pPr>
        <w:pStyle w:val="ListBullet"/>
        <w:ind w:left="357"/>
        <w:jc w:val="both"/>
      </w:pPr>
      <w:r>
        <w:rPr>
          <w:rFonts w:ascii="Cambria" w:hAnsi="Cambria"/>
          <w:sz w:val="22"/>
        </w:rPr>
        <w:t>Eliminate gender stereotypes and biases in media content and communication channels.</w:t>
      </w:r>
    </w:p>
    <w:p>
      <w:pPr>
        <w:pStyle w:val="ListBullet"/>
        <w:ind w:left="357"/>
        <w:jc w:val="both"/>
      </w:pPr>
      <w:r>
        <w:rPr>
          <w:rFonts w:ascii="Cambria" w:hAnsi="Cambria"/>
          <w:sz w:val="22"/>
        </w:rPr>
        <w:t>Empower women through ICT (Information and Communication Technology) skills and digital literacy.</w:t>
      </w:r>
    </w:p>
    <w:p>
      <w:pPr>
        <w:spacing w:after="120"/>
        <w:jc w:val="both"/>
      </w:pPr>
      <w:r>
        <w:rPr>
          <w:rFonts w:ascii="Cambria" w:hAnsi="Cambria"/>
          <w:b/>
          <w:i w:val="0"/>
          <w:sz w:val="22"/>
        </w:rPr>
        <w:t>Implementation Strategy:</w:t>
      </w:r>
    </w:p>
    <w:p>
      <w:pPr>
        <w:pStyle w:val="ListBullet"/>
        <w:ind w:left="357"/>
        <w:jc w:val="both"/>
      </w:pPr>
      <w:r>
        <w:rPr>
          <w:rFonts w:ascii="Cambria" w:hAnsi="Cambria"/>
          <w:sz w:val="22"/>
        </w:rPr>
        <w:t>Launch media gender audits to evaluate representation and workplace diversity.</w:t>
      </w:r>
    </w:p>
    <w:p>
      <w:pPr>
        <w:pStyle w:val="ListBullet"/>
        <w:ind w:left="357"/>
        <w:jc w:val="both"/>
      </w:pPr>
      <w:r>
        <w:rPr>
          <w:rFonts w:ascii="Cambria" w:hAnsi="Cambria"/>
          <w:sz w:val="22"/>
        </w:rPr>
        <w:t>Provide training in journalism, communication, and ICT for women and girls, particularly in developing countries.</w:t>
      </w:r>
    </w:p>
    <w:p>
      <w:pPr>
        <w:pStyle w:val="ListBullet"/>
        <w:ind w:left="357"/>
        <w:jc w:val="both"/>
      </w:pPr>
      <w:r>
        <w:rPr>
          <w:rFonts w:ascii="Cambria" w:hAnsi="Cambria"/>
          <w:sz w:val="22"/>
        </w:rPr>
        <w:t>Develop programs that promote responsible media practices and balanced gender portrayal in content creation.</w:t>
      </w:r>
    </w:p>
    <w:p>
      <w:pPr>
        <w:spacing w:before="240" w:after="120"/>
        <w:jc w:val="left"/>
      </w:pPr>
      <w:r>
        <w:rPr>
          <w:rFonts w:ascii="Cambria" w:hAnsi="Cambria"/>
          <w:b/>
          <w:color w:val="1F3A5F"/>
          <w:sz w:val="28"/>
        </w:rPr>
        <w:t>8. Expected Outcomes</w:t>
      </w:r>
    </w:p>
    <w:p>
      <w:pPr>
        <w:pStyle w:val="ListBullet"/>
        <w:ind w:left="357"/>
        <w:jc w:val="both"/>
      </w:pPr>
      <w:r>
        <w:rPr>
          <w:rFonts w:ascii="Cambria" w:hAnsi="Cambria"/>
          <w:sz w:val="22"/>
        </w:rPr>
        <w:t>Greater female participation and leadership in education, science, media, and culture.</w:t>
      </w:r>
    </w:p>
    <w:p>
      <w:pPr>
        <w:pStyle w:val="ListBullet"/>
        <w:ind w:left="357"/>
        <w:jc w:val="both"/>
      </w:pPr>
      <w:r>
        <w:rPr>
          <w:rFonts w:ascii="Cambria" w:hAnsi="Cambria"/>
          <w:sz w:val="22"/>
        </w:rPr>
        <w:t>Increased global collaboration and investment in gender-responsive education and research.</w:t>
      </w:r>
    </w:p>
    <w:p>
      <w:pPr>
        <w:pStyle w:val="ListBullet"/>
        <w:ind w:left="357"/>
        <w:jc w:val="both"/>
      </w:pPr>
      <w:r>
        <w:rPr>
          <w:rFonts w:ascii="Cambria" w:hAnsi="Cambria"/>
          <w:sz w:val="22"/>
        </w:rPr>
        <w:t>Enhanced policy coherence on gender equality across environmental, cultural, and technological domains.</w:t>
      </w:r>
    </w:p>
    <w:p>
      <w:pPr>
        <w:pStyle w:val="ListBullet"/>
        <w:ind w:left="357"/>
        <w:jc w:val="both"/>
      </w:pPr>
      <w:r>
        <w:rPr>
          <w:rFonts w:ascii="Cambria" w:hAnsi="Cambria"/>
          <w:sz w:val="22"/>
        </w:rPr>
        <w:t>Improved digital inclusion and media representation for women worldwide.</w:t>
      </w:r>
    </w:p>
    <w:p>
      <w:pPr>
        <w:pStyle w:val="ListBullet"/>
        <w:ind w:left="357"/>
        <w:jc w:val="both"/>
      </w:pPr>
      <w:r>
        <w:rPr>
          <w:rFonts w:ascii="Cambria" w:hAnsi="Cambria"/>
          <w:sz w:val="22"/>
        </w:rPr>
        <w:t>Sustainable social transformation through empowerment, creativity, and equal opportunity.</w:t>
      </w:r>
    </w:p>
    <w:p>
      <w:pPr>
        <w:spacing w:before="240" w:after="120"/>
        <w:jc w:val="left"/>
      </w:pPr>
      <w:r>
        <w:rPr>
          <w:rFonts w:ascii="Cambria" w:hAnsi="Cambria"/>
          <w:b/>
          <w:color w:val="1F3A5F"/>
          <w:sz w:val="28"/>
        </w:rPr>
        <w:t>9. Conclusion</w:t>
      </w:r>
    </w:p>
    <w:p>
      <w:pPr>
        <w:pStyle w:val="ListBullet"/>
        <w:ind w:left="357"/>
        <w:jc w:val="both"/>
      </w:pPr>
      <w:r>
        <w:rPr>
          <w:rFonts w:ascii="Cambria" w:hAnsi="Cambria"/>
          <w:sz w:val="22"/>
        </w:rPr>
        <w:t>UNESCO's policy recommendations for SDG-5 emphasize that gender equality is a cross-cutting priority—essential for achieving peace, innovation, and sustainable development.</w:t>
      </w:r>
    </w:p>
    <w:p>
      <w:pPr>
        <w:pStyle w:val="ListBullet"/>
        <w:ind w:left="357"/>
        <w:jc w:val="both"/>
      </w:pPr>
      <w:r>
        <w:rPr>
          <w:rFonts w:ascii="Cambria" w:hAnsi="Cambria"/>
          <w:sz w:val="22"/>
        </w:rPr>
        <w:t>By empowering women and girls through education, technology, science, and culture, and by eliminating systemic barriers, UNESCO envisions a future where every woman has the freedom, resources, and respect to lead and contribute fully to society.</w:t>
      </w:r>
    </w:p>
    <w:p>
      <w:pPr>
        <w:pStyle w:val="ListBullet"/>
        <w:ind w:left="357"/>
        <w:jc w:val="both"/>
      </w:pPr>
      <w:r>
        <w:rPr>
          <w:rFonts w:ascii="Cambria" w:hAnsi="Cambria"/>
          <w:sz w:val="22"/>
        </w:rPr>
        <w:t>These actions collectively drive transformative change, advancing not only SDG-5 but the entire 2030 Agenda for Sustainable Development.</w:t>
      </w:r>
    </w:p>
    <w:p>
      <w:pPr>
        <w:spacing w:before="280" w:after="160"/>
        <w:jc w:val="left"/>
      </w:pPr>
      <w:r>
        <w:rPr>
          <w:rFonts w:ascii="Cambria" w:hAnsi="Cambria"/>
          <w:b/>
          <w:color w:val="1F3A5F"/>
          <w:sz w:val="32"/>
        </w:rPr>
        <w:t>4. Leadership Parity Goals</w:t>
      </w:r>
    </w:p>
    <w:p>
      <w:pPr>
        <w:spacing w:before="240" w:after="120"/>
        <w:jc w:val="left"/>
      </w:pPr>
      <w:r>
        <w:rPr>
          <w:rFonts w:ascii="Cambria" w:hAnsi="Cambria"/>
          <w:b/>
          <w:color w:val="1F3A5F"/>
          <w:sz w:val="28"/>
        </w:rPr>
        <w:t>Promoting Equal Representation in Leadership:</w:t>
      </w:r>
    </w:p>
    <w:p>
      <w:pPr>
        <w:pStyle w:val="ListBullet"/>
        <w:ind w:left="357"/>
        <w:jc w:val="both"/>
      </w:pPr>
      <w:r>
        <w:rPr>
          <w:rFonts w:ascii="Cambria" w:hAnsi="Cambria"/>
          <w:sz w:val="22"/>
        </w:rPr>
        <w:t>Higher Education Institutions (HEIs) must proactively strive for at least 50% representation of women in senior leadership positions such as Vice-Chancellors, Pro-Vice Chancellors, Deans, Directors, and Heads of Departments.</w:t>
      </w:r>
    </w:p>
    <w:p>
      <w:pPr>
        <w:pStyle w:val="ListBullet"/>
        <w:ind w:left="357"/>
        <w:jc w:val="both"/>
      </w:pPr>
      <w:r>
        <w:rPr>
          <w:rFonts w:ascii="Cambria" w:hAnsi="Cambria"/>
          <w:sz w:val="22"/>
        </w:rPr>
        <w:t>Achieving this balance ensures that women have an equal voice in institutional decision-making, influencing governance, policy direction, and academic strategies.</w:t>
      </w:r>
    </w:p>
    <w:p>
      <w:pPr>
        <w:pStyle w:val="ListBullet"/>
        <w:ind w:left="357"/>
        <w:jc w:val="both"/>
      </w:pPr>
      <w:r>
        <w:rPr>
          <w:rFonts w:ascii="Cambria" w:hAnsi="Cambria"/>
          <w:sz w:val="22"/>
        </w:rPr>
        <w:t>Gender-balanced leadership creates role models for younger women, fostering an institutional culture that values diversity and inclusiveness.</w:t>
      </w:r>
    </w:p>
    <w:p>
      <w:pPr>
        <w:spacing w:before="240" w:after="120"/>
        <w:jc w:val="left"/>
      </w:pPr>
      <w:r>
        <w:rPr>
          <w:rFonts w:ascii="Cambria" w:hAnsi="Cambria"/>
          <w:b/>
          <w:color w:val="1F3A5F"/>
          <w:sz w:val="28"/>
        </w:rPr>
        <w:t>Ensuring Fair and Inclusive Recruitment Processes:</w:t>
      </w:r>
    </w:p>
    <w:p>
      <w:pPr>
        <w:pStyle w:val="ListBullet"/>
        <w:ind w:left="357"/>
        <w:jc w:val="both"/>
      </w:pPr>
      <w:r>
        <w:rPr>
          <w:rFonts w:ascii="Cambria" w:hAnsi="Cambria"/>
          <w:sz w:val="22"/>
        </w:rPr>
        <w:t>Recruitment committees, promotion boards, and academic councils should be gender-balanced to minimize unconscious bias during selection and promotion.</w:t>
      </w:r>
    </w:p>
    <w:p>
      <w:pPr>
        <w:pStyle w:val="ListBullet"/>
        <w:ind w:left="357"/>
        <w:jc w:val="both"/>
      </w:pPr>
      <w:r>
        <w:rPr>
          <w:rFonts w:ascii="Cambria" w:hAnsi="Cambria"/>
          <w:sz w:val="22"/>
        </w:rPr>
        <w:t>HEIs should establish transparent and merit-based selection criteria, ensuring that decisions are not influenced by gender stereotypes or social barriers.</w:t>
      </w:r>
    </w:p>
    <w:p>
      <w:pPr>
        <w:pStyle w:val="ListBullet"/>
        <w:ind w:left="357"/>
        <w:jc w:val="both"/>
      </w:pPr>
      <w:r>
        <w:rPr>
          <w:rFonts w:ascii="Cambria" w:hAnsi="Cambria"/>
          <w:sz w:val="22"/>
        </w:rPr>
        <w:t>Providing implicit bias training to selection committee members can help them recognize and counter gender-based assumptions in evaluations.</w:t>
      </w:r>
    </w:p>
    <w:p>
      <w:pPr>
        <w:spacing w:before="200" w:after="80"/>
        <w:jc w:val="left"/>
      </w:pPr>
      <w:r>
        <w:rPr>
          <w:rFonts w:ascii="Cambria" w:hAnsi="Cambria"/>
          <w:b/>
          <w:color w:val="1F3A5F"/>
          <w:sz w:val="25"/>
        </w:rPr>
        <w:t>Gender Diversity Tracking and Reporting:</w:t>
      </w:r>
    </w:p>
    <w:p>
      <w:pPr>
        <w:pStyle w:val="ListBullet"/>
        <w:ind w:left="357"/>
        <w:jc w:val="both"/>
      </w:pPr>
      <w:r>
        <w:rPr>
          <w:rFonts w:ascii="Cambria" w:hAnsi="Cambria"/>
          <w:sz w:val="22"/>
        </w:rPr>
        <w:t>Institutions should develop Gender Diversity Scorecards that capture data on women's participation at different levels of leadership and academic roles.</w:t>
      </w:r>
    </w:p>
    <w:p>
      <w:pPr>
        <w:pStyle w:val="ListBullet"/>
        <w:ind w:left="357"/>
        <w:jc w:val="both"/>
      </w:pPr>
      <w:r>
        <w:rPr>
          <w:rFonts w:ascii="Cambria" w:hAnsi="Cambria"/>
          <w:sz w:val="22"/>
        </w:rPr>
        <w:t>Annual progress tracking will help measure institutional improvement and guide corrective strategies.</w:t>
      </w:r>
    </w:p>
    <w:p>
      <w:pPr>
        <w:pStyle w:val="ListBullet"/>
        <w:ind w:left="357"/>
        <w:jc w:val="both"/>
      </w:pPr>
      <w:r>
        <w:rPr>
          <w:rFonts w:ascii="Cambria" w:hAnsi="Cambria"/>
          <w:sz w:val="22"/>
        </w:rPr>
        <w:t>These metrics should also be submitted as evidence to accreditation frameworks such as NAAC (National Assessment and Accreditation Council) and NIRF (National Institutional Ranking Framework), which value inclusivity indicators.</w:t>
      </w:r>
    </w:p>
    <w:p>
      <w:pPr>
        <w:spacing w:before="200" w:after="80"/>
        <w:jc w:val="left"/>
      </w:pPr>
      <w:r>
        <w:rPr>
          <w:rFonts w:ascii="Cambria" w:hAnsi="Cambria"/>
          <w:b/>
          <w:color w:val="1F3A5F"/>
          <w:sz w:val="25"/>
        </w:rPr>
        <w:t>Empowerment through Training and Networking:</w:t>
      </w:r>
    </w:p>
    <w:p>
      <w:pPr>
        <w:pStyle w:val="ListBullet"/>
        <w:ind w:left="357"/>
        <w:jc w:val="both"/>
      </w:pPr>
      <w:r>
        <w:rPr>
          <w:rFonts w:ascii="Cambria" w:hAnsi="Cambria"/>
          <w:sz w:val="22"/>
        </w:rPr>
        <w:t>Women leaders should be offered leadership development programs, administrative autonomy, and networking opportunities at national and international forums.</w:t>
      </w:r>
    </w:p>
    <w:p>
      <w:pPr>
        <w:pStyle w:val="ListBullet"/>
        <w:ind w:left="357"/>
        <w:jc w:val="both"/>
      </w:pPr>
      <w:r>
        <w:rPr>
          <w:rFonts w:ascii="Cambria" w:hAnsi="Cambria"/>
          <w:sz w:val="22"/>
        </w:rPr>
        <w:t>Exposure to executive management training and cross-institutional mentoring will strengthen their ability to influence policy decisions.</w:t>
      </w:r>
    </w:p>
    <w:p>
      <w:pPr>
        <w:pStyle w:val="ListBullet"/>
        <w:ind w:left="357"/>
        <w:jc w:val="both"/>
      </w:pPr>
      <w:r>
        <w:rPr>
          <w:rFonts w:ascii="Cambria" w:hAnsi="Cambria"/>
          <w:sz w:val="22"/>
        </w:rPr>
        <w:t>Encouraging participation in policy-making committees and governance councils helps women leaders gain visibility and confidence to drive institutional reforms.</w:t>
      </w:r>
    </w:p>
    <w:p>
      <w:pPr>
        <w:spacing w:before="200" w:after="80"/>
        <w:jc w:val="left"/>
      </w:pPr>
      <w:r>
        <w:rPr>
          <w:rFonts w:ascii="Cambria" w:hAnsi="Cambria"/>
          <w:b/>
          <w:color w:val="1F3A5F"/>
          <w:sz w:val="25"/>
        </w:rPr>
        <w:t>Institutional Benefits of Leadership Parity:</w:t>
      </w:r>
    </w:p>
    <w:p>
      <w:pPr>
        <w:pStyle w:val="ListBullet"/>
        <w:ind w:left="357"/>
        <w:jc w:val="both"/>
      </w:pPr>
      <w:r>
        <w:rPr>
          <w:rFonts w:ascii="Cambria" w:hAnsi="Cambria"/>
          <w:sz w:val="22"/>
        </w:rPr>
        <w:t>Gender-balanced leadership contributes to diverse thinking, improved governance, and ethical decision-making.</w:t>
      </w:r>
    </w:p>
    <w:p>
      <w:pPr>
        <w:pStyle w:val="ListBullet"/>
        <w:ind w:left="357"/>
        <w:jc w:val="both"/>
      </w:pPr>
      <w:r>
        <w:rPr>
          <w:rFonts w:ascii="Cambria" w:hAnsi="Cambria"/>
          <w:sz w:val="22"/>
        </w:rPr>
        <w:t>Research shows that institutions with equitable leadership representation demonstrate higher innovation, transparency, and accountability.</w:t>
      </w:r>
    </w:p>
    <w:p>
      <w:pPr>
        <w:pStyle w:val="ListBullet"/>
        <w:ind w:left="357"/>
        <w:jc w:val="both"/>
      </w:pPr>
      <w:r>
        <w:rPr>
          <w:rFonts w:ascii="Cambria" w:hAnsi="Cambria"/>
          <w:sz w:val="22"/>
        </w:rPr>
        <w:t>Promoting women into senior roles also supports national commitments under SDG-5 (Gender Equality) and aligns with the principles of NEP-2020 (National Education Policy), which emphasizes inclusivity in higher education governance.</w:t>
      </w:r>
    </w:p>
    <w:p>
      <w:pPr>
        <w:spacing w:before="200" w:after="80"/>
        <w:jc w:val="left"/>
      </w:pPr>
      <w:r>
        <w:rPr>
          <w:rFonts w:ascii="Cambria" w:hAnsi="Cambria"/>
          <w:b/>
          <w:color w:val="1F3A5F"/>
          <w:sz w:val="25"/>
        </w:rPr>
        <w:t>Long-Term Vision:</w:t>
      </w:r>
    </w:p>
    <w:p>
      <w:pPr>
        <w:pStyle w:val="ListBullet"/>
        <w:ind w:left="357"/>
        <w:jc w:val="both"/>
      </w:pPr>
      <w:r>
        <w:rPr>
          <w:rFonts w:ascii="Cambria" w:hAnsi="Cambria"/>
          <w:sz w:val="22"/>
        </w:rPr>
        <w:t>Over time, achieving leadership parity creates a sustainable leadership pipeline for women in academia.</w:t>
      </w:r>
    </w:p>
    <w:p>
      <w:pPr>
        <w:pStyle w:val="ListBullet"/>
        <w:ind w:left="357"/>
        <w:jc w:val="both"/>
      </w:pPr>
      <w:r>
        <w:rPr>
          <w:rFonts w:ascii="Cambria" w:hAnsi="Cambria"/>
          <w:sz w:val="22"/>
        </w:rPr>
        <w:t>It ensures that gender equality is not symbolic but structural and institutionalized, making equity a norm rather than an exception.</w:t>
      </w:r>
    </w:p>
    <w:p>
      <w:pPr>
        <w:pStyle w:val="ListBullet"/>
        <w:ind w:left="357"/>
        <w:jc w:val="both"/>
      </w:pPr>
      <w:r>
        <w:rPr>
          <w:rFonts w:ascii="Cambria" w:hAnsi="Cambria"/>
          <w:sz w:val="22"/>
        </w:rPr>
        <w:t>The goal is to build HEIs where leadership reflects equal opportunity, capability, recognition, and gender balance—a model for future educational and societal transformation.</w:t>
      </w:r>
    </w:p>
    <w:p>
      <w:pPr>
        <w:spacing w:before="280" w:after="160"/>
        <w:jc w:val="left"/>
      </w:pPr>
      <w:r>
        <w:rPr>
          <w:rFonts w:ascii="Cambria" w:hAnsi="Cambria"/>
          <w:b/>
          <w:color w:val="1F3A5F"/>
          <w:sz w:val="32"/>
        </w:rPr>
        <w:t>5. Inclusive Campus Infrastructure for Gender Equality in HEIs</w:t>
      </w:r>
    </w:p>
    <w:p>
      <w:pPr>
        <w:spacing w:before="240" w:after="120"/>
        <w:jc w:val="left"/>
      </w:pPr>
      <w:r>
        <w:rPr>
          <w:rFonts w:ascii="Cambria" w:hAnsi="Cambria"/>
          <w:b/>
          <w:color w:val="1F3A5F"/>
          <w:sz w:val="28"/>
        </w:rPr>
        <w:t>Clean and Hygienic Restrooms</w:t>
      </w:r>
    </w:p>
    <w:p>
      <w:pPr>
        <w:pStyle w:val="ListBullet"/>
        <w:ind w:left="357"/>
        <w:jc w:val="both"/>
      </w:pPr>
      <w:r>
        <w:rPr>
          <w:rFonts w:ascii="Cambria" w:hAnsi="Cambria"/>
          <w:sz w:val="22"/>
        </w:rPr>
        <w:t>Higher Education Institutions (HEIs) should ensure clean, safe, and accessible restrooms or e-toilets for women across all academic and administrative buildings.</w:t>
      </w:r>
    </w:p>
    <w:p>
      <w:pPr>
        <w:pStyle w:val="ListBullet"/>
        <w:ind w:left="357"/>
        <w:jc w:val="both"/>
      </w:pPr>
      <w:r>
        <w:rPr>
          <w:rFonts w:ascii="Cambria" w:hAnsi="Cambria"/>
          <w:sz w:val="22"/>
        </w:rPr>
        <w:t>Regular maintenance, cleaning schedules, and sanitation audits should be conducted to maintain hygiene and usability.</w:t>
      </w:r>
    </w:p>
    <w:p>
      <w:pPr>
        <w:pStyle w:val="ListBullet"/>
        <w:ind w:left="357"/>
        <w:jc w:val="both"/>
      </w:pPr>
      <w:r>
        <w:rPr>
          <w:rFonts w:ascii="Cambria" w:hAnsi="Cambria"/>
          <w:sz w:val="22"/>
        </w:rPr>
        <w:t>Provision of sanitary napkin vending machines and disposal units in restrooms promotes menstrual hygiene and dignity for female students and staff.</w:t>
      </w:r>
    </w:p>
    <w:p>
      <w:pPr>
        <w:spacing w:before="240" w:after="120"/>
        <w:jc w:val="left"/>
      </w:pPr>
      <w:r>
        <w:rPr>
          <w:rFonts w:ascii="Cambria" w:hAnsi="Cambria"/>
          <w:b/>
          <w:color w:val="1F3A5F"/>
          <w:sz w:val="28"/>
        </w:rPr>
        <w:t>Childcare and Crèche Facilities</w:t>
      </w:r>
    </w:p>
    <w:p>
      <w:pPr>
        <w:pStyle w:val="ListBullet"/>
        <w:ind w:left="357"/>
        <w:jc w:val="both"/>
      </w:pPr>
      <w:r>
        <w:rPr>
          <w:rFonts w:ascii="Cambria" w:hAnsi="Cambria"/>
          <w:sz w:val="22"/>
        </w:rPr>
        <w:t>Establish on-campus childcare centres or crèches to support working mothers, research scholars, and students with young children.</w:t>
      </w:r>
    </w:p>
    <w:p>
      <w:pPr>
        <w:pStyle w:val="ListBullet"/>
        <w:ind w:left="357"/>
        <w:jc w:val="both"/>
      </w:pPr>
      <w:r>
        <w:rPr>
          <w:rFonts w:ascii="Cambria" w:hAnsi="Cambria"/>
          <w:sz w:val="22"/>
        </w:rPr>
        <w:t>Such facilities should include trained caretakers, safe play areas, and flexible timings aligned with academic hours.</w:t>
      </w:r>
    </w:p>
    <w:p>
      <w:pPr>
        <w:pStyle w:val="ListBullet"/>
        <w:ind w:left="357"/>
        <w:jc w:val="both"/>
      </w:pPr>
      <w:r>
        <w:rPr>
          <w:rFonts w:ascii="Cambria" w:hAnsi="Cambria"/>
          <w:sz w:val="22"/>
        </w:rPr>
        <w:t>HEIs should provide financial or logistical assistance to encourage utilization of these services, enabling women to balance academic and family responsibilities.</w:t>
      </w:r>
    </w:p>
    <w:p>
      <w:pPr>
        <w:spacing w:before="240" w:after="120"/>
        <w:jc w:val="left"/>
      </w:pPr>
      <w:r>
        <w:rPr>
          <w:rFonts w:ascii="Cambria" w:hAnsi="Cambria"/>
          <w:b/>
          <w:color w:val="1F3A5F"/>
          <w:sz w:val="28"/>
        </w:rPr>
        <w:t>Centres for Elderly or Dependent Family Members</w:t>
      </w:r>
    </w:p>
    <w:p>
      <w:pPr>
        <w:pStyle w:val="ListBullet"/>
        <w:ind w:left="357"/>
        <w:jc w:val="both"/>
      </w:pPr>
      <w:r>
        <w:rPr>
          <w:rFonts w:ascii="Cambria" w:hAnsi="Cambria"/>
          <w:sz w:val="22"/>
        </w:rPr>
        <w:t>Institutions should create support centres for old family dependents or elderly parents of faculty and staff, particularly to aid women who shoulder caregiving duties.</w:t>
      </w:r>
    </w:p>
    <w:p>
      <w:pPr>
        <w:pStyle w:val="ListBullet"/>
        <w:ind w:left="357"/>
        <w:jc w:val="both"/>
      </w:pPr>
      <w:r>
        <w:rPr>
          <w:rFonts w:ascii="Cambria" w:hAnsi="Cambria"/>
          <w:sz w:val="22"/>
        </w:rPr>
        <w:t>These centres can offer medical assistance, recreation, and social engagement, thereby reducing the caregiving burden on working women.</w:t>
      </w:r>
    </w:p>
    <w:p>
      <w:pPr>
        <w:pStyle w:val="ListBullet"/>
        <w:ind w:left="357"/>
        <w:jc w:val="both"/>
      </w:pPr>
      <w:r>
        <w:rPr>
          <w:rFonts w:ascii="Cambria" w:hAnsi="Cambria"/>
          <w:sz w:val="22"/>
        </w:rPr>
        <w:t>Encouraging intergenerational programs within these centres fosters community well-being and inclusivity.</w:t>
      </w:r>
    </w:p>
    <w:p>
      <w:pPr>
        <w:spacing w:before="240" w:after="120"/>
        <w:jc w:val="left"/>
      </w:pPr>
      <w:r>
        <w:rPr>
          <w:rFonts w:ascii="Cambria" w:hAnsi="Cambria"/>
          <w:b/>
          <w:color w:val="1F3A5F"/>
          <w:sz w:val="28"/>
        </w:rPr>
        <w:t>Female Common Rooms and Wellness Spaces</w:t>
      </w:r>
    </w:p>
    <w:p>
      <w:pPr>
        <w:pStyle w:val="ListBullet"/>
        <w:ind w:left="357"/>
        <w:jc w:val="both"/>
      </w:pPr>
      <w:r>
        <w:rPr>
          <w:rFonts w:ascii="Cambria" w:hAnsi="Cambria"/>
          <w:sz w:val="22"/>
        </w:rPr>
        <w:t>Dedicated female common rooms should be available in every academic block for rest, privacy, and comfort.</w:t>
      </w:r>
    </w:p>
    <w:p>
      <w:pPr>
        <w:pStyle w:val="ListBullet"/>
        <w:ind w:left="357"/>
        <w:jc w:val="both"/>
      </w:pPr>
      <w:r>
        <w:rPr>
          <w:rFonts w:ascii="Cambria" w:hAnsi="Cambria"/>
          <w:sz w:val="22"/>
        </w:rPr>
        <w:t>These rooms should be equipped with seating, first-aid kits, drinking water, and hygiene facilities.</w:t>
      </w:r>
    </w:p>
    <w:p>
      <w:pPr>
        <w:pStyle w:val="ListBullet"/>
        <w:ind w:left="357"/>
        <w:jc w:val="both"/>
      </w:pPr>
      <w:r>
        <w:rPr>
          <w:rFonts w:ascii="Cambria" w:hAnsi="Cambria"/>
          <w:sz w:val="22"/>
        </w:rPr>
        <w:t>Wellness spaces can also include counselling services and psychological support systems for stress management.</w:t>
      </w:r>
    </w:p>
    <w:p>
      <w:pPr>
        <w:spacing w:before="240" w:after="120"/>
        <w:jc w:val="left"/>
      </w:pPr>
      <w:r>
        <w:rPr>
          <w:rFonts w:ascii="Cambria" w:hAnsi="Cambria"/>
          <w:b/>
          <w:color w:val="1F3A5F"/>
          <w:sz w:val="28"/>
        </w:rPr>
        <w:t>Safety and Campus Lighting</w:t>
      </w:r>
    </w:p>
    <w:p>
      <w:pPr>
        <w:pStyle w:val="ListBullet"/>
        <w:ind w:left="357"/>
        <w:jc w:val="both"/>
      </w:pPr>
      <w:r>
        <w:rPr>
          <w:rFonts w:ascii="Cambria" w:hAnsi="Cambria"/>
          <w:sz w:val="22"/>
        </w:rPr>
        <w:t>HEIs must ensure adequate lighting across all campus areas, including walkways, hostels, parking spaces, and transport stops, to guarantee women's safety during evening or night hours.</w:t>
      </w:r>
    </w:p>
    <w:p>
      <w:pPr>
        <w:pStyle w:val="ListBullet"/>
        <w:ind w:left="357"/>
        <w:jc w:val="both"/>
      </w:pPr>
      <w:r>
        <w:rPr>
          <w:rFonts w:ascii="Cambria" w:hAnsi="Cambria"/>
          <w:sz w:val="22"/>
        </w:rPr>
        <w:t>Install CCTV surveillance, emergency call points, and security patrols in vulnerable areas.</w:t>
      </w:r>
    </w:p>
    <w:p>
      <w:pPr>
        <w:pStyle w:val="ListBullet"/>
        <w:ind w:left="357"/>
        <w:jc w:val="both"/>
      </w:pPr>
      <w:r>
        <w:rPr>
          <w:rFonts w:ascii="Cambria" w:hAnsi="Cambria"/>
          <w:sz w:val="22"/>
        </w:rPr>
        <w:t>Conduct regular safety audits with student participation to assess and improve campus security infrastructure.</w:t>
      </w:r>
    </w:p>
    <w:p>
      <w:pPr>
        <w:spacing w:before="240" w:after="120"/>
        <w:jc w:val="left"/>
      </w:pPr>
      <w:r>
        <w:rPr>
          <w:rFonts w:ascii="Cambria" w:hAnsi="Cambria"/>
          <w:b/>
          <w:color w:val="1F3A5F"/>
          <w:sz w:val="28"/>
        </w:rPr>
        <w:t>Outcome and Impact</w:t>
      </w:r>
    </w:p>
    <w:p>
      <w:pPr>
        <w:pStyle w:val="ListBullet"/>
        <w:ind w:left="357"/>
        <w:jc w:val="both"/>
      </w:pPr>
      <w:r>
        <w:rPr>
          <w:rFonts w:ascii="Cambria" w:hAnsi="Cambria"/>
          <w:sz w:val="22"/>
        </w:rPr>
        <w:t>These inclusive infrastructure measures promote safety, comfort, and equal participation of women in all campus activities.</w:t>
      </w:r>
    </w:p>
    <w:p>
      <w:pPr>
        <w:pStyle w:val="ListBullet"/>
        <w:ind w:left="357"/>
        <w:jc w:val="both"/>
      </w:pPr>
      <w:r>
        <w:rPr>
          <w:rFonts w:ascii="Cambria" w:hAnsi="Cambria"/>
          <w:sz w:val="22"/>
        </w:rPr>
        <w:t>They reflect institutional commitment toward achieving SDG-5: Gender Equality and align with the NAAC, NIRF, and UGC guidelines on gender inclusion.</w:t>
      </w:r>
    </w:p>
    <w:p>
      <w:pPr>
        <w:pStyle w:val="ListBullet"/>
        <w:ind w:left="357"/>
        <w:jc w:val="both"/>
      </w:pPr>
      <w:r>
        <w:rPr>
          <w:rFonts w:ascii="Cambria" w:hAnsi="Cambria"/>
          <w:sz w:val="22"/>
        </w:rPr>
        <w:t>Ultimately, a gender-sensitive campus environment ensures that every student and staff member experiences dignity, security, and support in their academic journey.</w:t>
      </w:r>
    </w:p>
    <w:p>
      <w:pPr>
        <w:spacing w:before="280" w:after="160"/>
        <w:jc w:val="left"/>
      </w:pPr>
      <w:r>
        <w:rPr>
          <w:rFonts w:ascii="Cambria" w:hAnsi="Cambria"/>
          <w:b/>
          <w:color w:val="1F3A5F"/>
          <w:sz w:val="32"/>
        </w:rPr>
        <w:t>6. Workplace Time Flexibility for Women Employees in HEIs</w:t>
      </w:r>
    </w:p>
    <w:p>
      <w:pPr>
        <w:spacing w:before="240" w:after="120"/>
        <w:jc w:val="left"/>
      </w:pPr>
      <w:r>
        <w:rPr>
          <w:rFonts w:ascii="Cambria" w:hAnsi="Cambria"/>
          <w:b/>
          <w:color w:val="1F3A5F"/>
          <w:sz w:val="28"/>
        </w:rPr>
        <w:t>Promoting Work–Life Balance</w:t>
      </w:r>
    </w:p>
    <w:p>
      <w:pPr>
        <w:pStyle w:val="ListBullet"/>
        <w:ind w:left="357"/>
        <w:jc w:val="both"/>
      </w:pPr>
      <w:r>
        <w:rPr>
          <w:rFonts w:ascii="Cambria" w:hAnsi="Cambria"/>
          <w:sz w:val="22"/>
        </w:rPr>
        <w:t>Higher Education Institutions (HEIs) should adopt flexible working hours for women employees, enabling them to balance professional duties with family and personal responsibilities.</w:t>
      </w:r>
    </w:p>
    <w:p>
      <w:pPr>
        <w:pStyle w:val="ListBullet"/>
        <w:ind w:left="357"/>
        <w:jc w:val="both"/>
      </w:pPr>
      <w:r>
        <w:rPr>
          <w:rFonts w:ascii="Cambria" w:hAnsi="Cambria"/>
          <w:sz w:val="22"/>
        </w:rPr>
        <w:t>Flexibility supports women in managing caregiving roles, including childcare, eldercare, or household obligations, without compromising career progression.</w:t>
      </w:r>
    </w:p>
    <w:p>
      <w:pPr>
        <w:spacing w:before="240" w:after="120"/>
        <w:jc w:val="left"/>
      </w:pPr>
      <w:r>
        <w:rPr>
          <w:rFonts w:ascii="Cambria" w:hAnsi="Cambria"/>
          <w:b/>
          <w:color w:val="1F3A5F"/>
          <w:sz w:val="28"/>
        </w:rPr>
        <w:t>Types of Flexible Work Arrangements</w:t>
      </w:r>
    </w:p>
    <w:p>
      <w:pPr>
        <w:pStyle w:val="ListBullet"/>
        <w:ind w:left="357"/>
        <w:jc w:val="both"/>
      </w:pPr>
      <w:r>
        <w:rPr>
          <w:rFonts w:ascii="Cambria" w:hAnsi="Cambria"/>
          <w:b/>
          <w:sz w:val="22"/>
        </w:rPr>
        <w:t xml:space="preserve">Flexible Scheduling: </w:t>
      </w:r>
      <w:r>
        <w:rPr>
          <w:rFonts w:ascii="Cambria" w:hAnsi="Cambria"/>
          <w:sz w:val="22"/>
        </w:rPr>
        <w:t>Allow women faculty and staff to modify their start and end times while completing required working hours.</w:t>
      </w:r>
    </w:p>
    <w:p>
      <w:pPr>
        <w:pStyle w:val="ListBullet"/>
        <w:ind w:left="357"/>
        <w:jc w:val="both"/>
      </w:pPr>
      <w:r>
        <w:rPr>
          <w:rFonts w:ascii="Cambria" w:hAnsi="Cambria"/>
          <w:b/>
          <w:sz w:val="22"/>
        </w:rPr>
        <w:t xml:space="preserve">Remote Work or Hybrid Models: </w:t>
      </w:r>
      <w:r>
        <w:rPr>
          <w:rFonts w:ascii="Cambria" w:hAnsi="Cambria"/>
          <w:sz w:val="22"/>
        </w:rPr>
        <w:t>Enable remote teaching, research, or administrative work when feasible, especially during health concerns, pregnancy, or family emergencies.</w:t>
      </w:r>
    </w:p>
    <w:p>
      <w:pPr>
        <w:pStyle w:val="ListBullet"/>
        <w:ind w:left="357"/>
        <w:jc w:val="both"/>
      </w:pPr>
      <w:r>
        <w:rPr>
          <w:rFonts w:ascii="Cambria" w:hAnsi="Cambria"/>
          <w:b/>
          <w:sz w:val="22"/>
        </w:rPr>
        <w:t xml:space="preserve">Part-Time and Job-Sharing Options: </w:t>
      </w:r>
      <w:r>
        <w:rPr>
          <w:rFonts w:ascii="Cambria" w:hAnsi="Cambria"/>
          <w:sz w:val="22"/>
        </w:rPr>
        <w:t>Introduce part-time employment and job-sharing frameworks to accommodate women who temporarily need reduced workloads.</w:t>
      </w:r>
    </w:p>
    <w:p>
      <w:pPr>
        <w:pStyle w:val="ListBullet"/>
        <w:ind w:left="357"/>
        <w:jc w:val="both"/>
      </w:pPr>
      <w:r>
        <w:rPr>
          <w:rFonts w:ascii="Cambria" w:hAnsi="Cambria"/>
          <w:b/>
          <w:sz w:val="22"/>
        </w:rPr>
        <w:t xml:space="preserve">Compressed Work Weeks: </w:t>
      </w:r>
      <w:r>
        <w:rPr>
          <w:rFonts w:ascii="Cambria" w:hAnsi="Cambria"/>
          <w:sz w:val="22"/>
        </w:rPr>
        <w:t>Allow employees to complete their working hours over fewer days, providing extended rest or caregiving time.</w:t>
      </w:r>
    </w:p>
    <w:p>
      <w:pPr>
        <w:spacing w:before="240" w:after="120"/>
        <w:jc w:val="left"/>
      </w:pPr>
      <w:r>
        <w:rPr>
          <w:rFonts w:ascii="Cambria" w:hAnsi="Cambria"/>
          <w:b/>
          <w:color w:val="1F3A5F"/>
          <w:sz w:val="28"/>
        </w:rPr>
        <w:t>Institutional Policy Integration</w:t>
      </w:r>
    </w:p>
    <w:p>
      <w:pPr>
        <w:pStyle w:val="ListBullet"/>
        <w:ind w:left="357"/>
        <w:jc w:val="both"/>
      </w:pPr>
      <w:r>
        <w:rPr>
          <w:rFonts w:ascii="Cambria" w:hAnsi="Cambria"/>
          <w:sz w:val="22"/>
        </w:rPr>
        <w:t>Include time flexibility clauses in the institutional HR or gender equity policy, ensuring that such options are transparent and accessible to all eligible women employees.</w:t>
      </w:r>
    </w:p>
    <w:p>
      <w:pPr>
        <w:pStyle w:val="ListBullet"/>
        <w:ind w:left="357"/>
        <w:jc w:val="both"/>
      </w:pPr>
      <w:r>
        <w:rPr>
          <w:rFonts w:ascii="Cambria" w:hAnsi="Cambria"/>
          <w:sz w:val="22"/>
        </w:rPr>
        <w:t>Supervisors and department heads should be trained to implement flexibility equitably without bias or stigma.</w:t>
      </w:r>
    </w:p>
    <w:p>
      <w:pPr>
        <w:pStyle w:val="ListBullet"/>
        <w:ind w:left="357"/>
        <w:jc w:val="both"/>
      </w:pPr>
      <w:r>
        <w:rPr>
          <w:rFonts w:ascii="Cambria" w:hAnsi="Cambria"/>
          <w:sz w:val="22"/>
        </w:rPr>
        <w:t>Link flexibility policies with existing UGC maternity, paternity, and childcare leave provisions to ensure policy alignment and consistency.</w:t>
      </w:r>
    </w:p>
    <w:p>
      <w:pPr>
        <w:spacing w:before="240" w:after="120"/>
        <w:jc w:val="left"/>
      </w:pPr>
      <w:r>
        <w:rPr>
          <w:rFonts w:ascii="Cambria" w:hAnsi="Cambria"/>
          <w:b/>
          <w:color w:val="1F3A5F"/>
          <w:sz w:val="28"/>
        </w:rPr>
        <w:t>Benefits and Impact</w:t>
      </w:r>
    </w:p>
    <w:p>
      <w:pPr>
        <w:pStyle w:val="ListBullet"/>
        <w:ind w:left="357"/>
        <w:jc w:val="both"/>
      </w:pPr>
      <w:r>
        <w:rPr>
          <w:rFonts w:ascii="Cambria" w:hAnsi="Cambria"/>
          <w:sz w:val="22"/>
        </w:rPr>
        <w:t>Enhances employee satisfaction, productivity, and retention, particularly among women faculty and staff.</w:t>
      </w:r>
    </w:p>
    <w:p>
      <w:pPr>
        <w:pStyle w:val="ListBullet"/>
        <w:ind w:left="357"/>
        <w:jc w:val="both"/>
      </w:pPr>
      <w:r>
        <w:rPr>
          <w:rFonts w:ascii="Cambria" w:hAnsi="Cambria"/>
          <w:sz w:val="22"/>
        </w:rPr>
        <w:t>Reduces burnout and absenteeism, contributing to a healthier institutional work culture.</w:t>
      </w:r>
    </w:p>
    <w:p>
      <w:pPr>
        <w:pStyle w:val="ListBullet"/>
        <w:ind w:left="357"/>
        <w:jc w:val="both"/>
      </w:pPr>
      <w:r>
        <w:rPr>
          <w:rFonts w:ascii="Cambria" w:hAnsi="Cambria"/>
          <w:sz w:val="22"/>
        </w:rPr>
        <w:t>Encourages greater participation of women in academic leadership, research, and committee responsibilities.</w:t>
      </w:r>
    </w:p>
    <w:p>
      <w:pPr>
        <w:pStyle w:val="ListBullet"/>
        <w:ind w:left="357"/>
        <w:jc w:val="both"/>
      </w:pPr>
      <w:r>
        <w:rPr>
          <w:rFonts w:ascii="Cambria" w:hAnsi="Cambria"/>
          <w:sz w:val="22"/>
        </w:rPr>
        <w:t>Demonstrates institutional commitment to achieving SDG-5 (Gender Equality) and NEP-2020 objectives for inclusivity and equity in higher education.</w:t>
      </w:r>
    </w:p>
    <w:p>
      <w:pPr>
        <w:spacing w:before="240" w:after="120"/>
        <w:jc w:val="left"/>
      </w:pPr>
      <w:r>
        <w:rPr>
          <w:rFonts w:ascii="Cambria" w:hAnsi="Cambria"/>
          <w:b/>
          <w:color w:val="1F3A5F"/>
          <w:sz w:val="28"/>
        </w:rPr>
        <w:t>Outcome</w:t>
      </w:r>
    </w:p>
    <w:p>
      <w:pPr>
        <w:pStyle w:val="ListBullet"/>
        <w:ind w:left="357"/>
        <w:jc w:val="both"/>
      </w:pPr>
      <w:r>
        <w:rPr>
          <w:rFonts w:ascii="Cambria" w:hAnsi="Cambria"/>
          <w:sz w:val="22"/>
        </w:rPr>
        <w:t>A workplace that offers time flexibility empowers women to perform effectively in both professional and personal spheres.</w:t>
      </w:r>
    </w:p>
    <w:p>
      <w:pPr>
        <w:pStyle w:val="ListBullet"/>
        <w:ind w:left="357"/>
        <w:jc w:val="both"/>
      </w:pPr>
      <w:r>
        <w:rPr>
          <w:rFonts w:ascii="Cambria" w:hAnsi="Cambria"/>
          <w:sz w:val="22"/>
        </w:rPr>
        <w:t>It fosters a supportive, inclusive, and gender-sensitive institutional ecosystem, reinforcing the principle that equality in opportunity must be complemented by equality in access and flexibility.</w:t>
      </w:r>
    </w:p>
    <w:p>
      <w:pPr>
        <w:spacing w:before="280" w:after="160"/>
        <w:jc w:val="left"/>
      </w:pPr>
      <w:r>
        <w:rPr>
          <w:rFonts w:ascii="Cambria" w:hAnsi="Cambria"/>
          <w:b/>
          <w:color w:val="1F3A5F"/>
          <w:sz w:val="32"/>
        </w:rPr>
        <w:t>7. Women's Safety, Security, and Transport Facilities in HEIs</w:t>
      </w:r>
    </w:p>
    <w:p>
      <w:pPr>
        <w:spacing w:before="240" w:after="120"/>
        <w:jc w:val="left"/>
      </w:pPr>
      <w:r>
        <w:rPr>
          <w:rFonts w:ascii="Cambria" w:hAnsi="Cambria"/>
          <w:b/>
          <w:color w:val="1F3A5F"/>
          <w:sz w:val="28"/>
        </w:rPr>
        <w:t>Ensuring Campus Safety and Security</w:t>
      </w:r>
    </w:p>
    <w:p>
      <w:pPr>
        <w:pStyle w:val="ListBullet"/>
        <w:ind w:left="357"/>
        <w:jc w:val="both"/>
      </w:pPr>
      <w:r>
        <w:rPr>
          <w:rFonts w:ascii="Cambria" w:hAnsi="Cambria"/>
          <w:sz w:val="22"/>
        </w:rPr>
        <w:t>Higher Education Institutions (HEIs) must establish a comprehensive women's safety framework to protect students, faculty, and staff—especially during evening classes, research hours, or night shifts.</w:t>
      </w:r>
    </w:p>
    <w:p>
      <w:pPr>
        <w:pStyle w:val="ListBullet"/>
        <w:ind w:left="357"/>
        <w:jc w:val="both"/>
      </w:pPr>
      <w:r>
        <w:rPr>
          <w:rFonts w:ascii="Cambria" w:hAnsi="Cambria"/>
          <w:sz w:val="22"/>
        </w:rPr>
        <w:t>A dedicated Women's Security Committee should be formed under the Internal Quality Assurance Cell (IQAC) to continuously monitor safety standards, report incidents, and recommend improvements.</w:t>
      </w:r>
    </w:p>
    <w:p>
      <w:pPr>
        <w:pStyle w:val="ListBullet"/>
        <w:ind w:left="357"/>
        <w:jc w:val="both"/>
      </w:pPr>
      <w:r>
        <w:rPr>
          <w:rFonts w:ascii="Cambria" w:hAnsi="Cambria"/>
          <w:sz w:val="22"/>
        </w:rPr>
        <w:t>Periodic safety audits and risk assessments must be conducted to identify unsafe zones and improve surveillance and lighting in those areas.</w:t>
      </w:r>
    </w:p>
    <w:p>
      <w:pPr>
        <w:spacing w:before="240" w:after="120"/>
        <w:jc w:val="left"/>
      </w:pPr>
      <w:r>
        <w:rPr>
          <w:rFonts w:ascii="Cambria" w:hAnsi="Cambria"/>
          <w:b/>
          <w:color w:val="1F3A5F"/>
          <w:sz w:val="28"/>
        </w:rPr>
        <w:t>Emergency Helpline and Support Systems</w:t>
      </w:r>
    </w:p>
    <w:p>
      <w:pPr>
        <w:pStyle w:val="ListBullet"/>
        <w:ind w:left="357"/>
        <w:jc w:val="both"/>
      </w:pPr>
      <w:r>
        <w:rPr>
          <w:rFonts w:ascii="Cambria" w:hAnsi="Cambria"/>
          <w:sz w:val="22"/>
        </w:rPr>
        <w:t>Set up a 24×7 campus women's helpline number for immediate assistance in case of harassment, emergencies, or health-related incidents.</w:t>
      </w:r>
    </w:p>
    <w:p>
      <w:pPr>
        <w:pStyle w:val="ListBullet"/>
        <w:ind w:left="357"/>
        <w:jc w:val="both"/>
      </w:pPr>
      <w:r>
        <w:rPr>
          <w:rFonts w:ascii="Cambria" w:hAnsi="Cambria"/>
          <w:sz w:val="22"/>
        </w:rPr>
        <w:t>Display helpline numbers, Internal Complaints Committee (ICC) contact details, and local police helplines prominently across campus buildings, hostels, and transportation points.</w:t>
      </w:r>
    </w:p>
    <w:p>
      <w:pPr>
        <w:pStyle w:val="ListBullet"/>
        <w:ind w:left="357"/>
        <w:jc w:val="both"/>
      </w:pPr>
      <w:r>
        <w:rPr>
          <w:rFonts w:ascii="Cambria" w:hAnsi="Cambria"/>
          <w:sz w:val="22"/>
        </w:rPr>
        <w:t>Establish a Crisis Response Team or on-duty security officers to respond promptly to safety-related calls or complaints.</w:t>
      </w:r>
    </w:p>
    <w:p>
      <w:pPr>
        <w:pStyle w:val="ListBullet"/>
        <w:ind w:left="357"/>
        <w:jc w:val="both"/>
      </w:pPr>
      <w:r>
        <w:rPr>
          <w:rFonts w:ascii="Cambria" w:hAnsi="Cambria"/>
          <w:sz w:val="22"/>
        </w:rPr>
        <w:t>Integrate helpline systems with mobile applications or security kiosks for easy digital access to emergency help.</w:t>
      </w:r>
    </w:p>
    <w:p>
      <w:pPr>
        <w:spacing w:before="240" w:after="120"/>
        <w:jc w:val="left"/>
      </w:pPr>
      <w:r>
        <w:rPr>
          <w:rFonts w:ascii="Cambria" w:hAnsi="Cambria"/>
          <w:b/>
          <w:color w:val="1F3A5F"/>
          <w:sz w:val="28"/>
        </w:rPr>
        <w:t>Surveillance and Monitoring Systems</w:t>
      </w:r>
    </w:p>
    <w:p>
      <w:pPr>
        <w:pStyle w:val="ListBullet"/>
        <w:ind w:left="357"/>
        <w:jc w:val="both"/>
      </w:pPr>
      <w:r>
        <w:rPr>
          <w:rFonts w:ascii="Cambria" w:hAnsi="Cambria"/>
          <w:sz w:val="22"/>
        </w:rPr>
        <w:t>Install CCTV surveillance cameras at all strategic points, including academic corridors, libraries, hostels, parking lots, and pathways.</w:t>
      </w:r>
    </w:p>
    <w:p>
      <w:pPr>
        <w:pStyle w:val="ListBullet"/>
        <w:ind w:left="357"/>
        <w:jc w:val="both"/>
      </w:pPr>
      <w:r>
        <w:rPr>
          <w:rFonts w:ascii="Cambria" w:hAnsi="Cambria"/>
          <w:sz w:val="22"/>
        </w:rPr>
        <w:t>Ensure regular monitoring by trained security personnel, with real-time alert systems connected to the central security room.</w:t>
      </w:r>
    </w:p>
    <w:p>
      <w:pPr>
        <w:pStyle w:val="ListBullet"/>
        <w:ind w:left="357"/>
        <w:jc w:val="both"/>
      </w:pPr>
      <w:r>
        <w:rPr>
          <w:rFonts w:ascii="Cambria" w:hAnsi="Cambria"/>
          <w:sz w:val="22"/>
        </w:rPr>
        <w:t>Implement biometric access controls or smart ID-based entry for staff and students in sensitive areas.</w:t>
      </w:r>
    </w:p>
    <w:p>
      <w:pPr>
        <w:pStyle w:val="ListBullet"/>
        <w:ind w:left="357"/>
        <w:jc w:val="both"/>
      </w:pPr>
      <w:r>
        <w:rPr>
          <w:rFonts w:ascii="Cambria" w:hAnsi="Cambria"/>
          <w:sz w:val="22"/>
        </w:rPr>
        <w:t>Maintain strict data privacy protocols to ensure that surveillance is used only for safety purposes.</w:t>
      </w:r>
    </w:p>
    <w:p>
      <w:pPr>
        <w:spacing w:before="240" w:after="120"/>
        <w:jc w:val="left"/>
      </w:pPr>
      <w:r>
        <w:rPr>
          <w:rFonts w:ascii="Cambria" w:hAnsi="Cambria"/>
          <w:b/>
          <w:color w:val="1F3A5F"/>
          <w:sz w:val="28"/>
        </w:rPr>
        <w:t>Safe Transport Facilities for Women</w:t>
      </w:r>
    </w:p>
    <w:p>
      <w:pPr>
        <w:pStyle w:val="ListBullet"/>
        <w:ind w:left="357"/>
        <w:jc w:val="both"/>
      </w:pPr>
      <w:r>
        <w:rPr>
          <w:rFonts w:ascii="Cambria" w:hAnsi="Cambria"/>
          <w:sz w:val="22"/>
        </w:rPr>
        <w:t>Provide secure and well-monitored transport services for women working evening or late-night shifts, such as administrative staff, researchers, or hostel wardens.</w:t>
      </w:r>
    </w:p>
    <w:p>
      <w:pPr>
        <w:pStyle w:val="ListBullet"/>
        <w:ind w:left="357"/>
        <w:jc w:val="both"/>
      </w:pPr>
      <w:r>
        <w:rPr>
          <w:rFonts w:ascii="Cambria" w:hAnsi="Cambria"/>
          <w:sz w:val="22"/>
        </w:rPr>
        <w:t>Maintain GPS-enabled vehicles and a rostered list of authorized drivers with verified backgrounds.</w:t>
      </w:r>
    </w:p>
    <w:p>
      <w:pPr>
        <w:pStyle w:val="ListBullet"/>
        <w:ind w:left="357"/>
        <w:jc w:val="both"/>
      </w:pPr>
      <w:r>
        <w:rPr>
          <w:rFonts w:ascii="Cambria" w:hAnsi="Cambria"/>
          <w:sz w:val="22"/>
        </w:rPr>
        <w:t>Ensure pick-up and drop-off points are well-lit, supervised, and located close to main academic or residential blocks.</w:t>
      </w:r>
    </w:p>
    <w:p>
      <w:pPr>
        <w:pStyle w:val="ListBullet"/>
        <w:ind w:left="357"/>
        <w:jc w:val="both"/>
      </w:pPr>
      <w:r>
        <w:rPr>
          <w:rFonts w:ascii="Cambria" w:hAnsi="Cambria"/>
          <w:sz w:val="22"/>
        </w:rPr>
        <w:t>Introduce escort or security guard services for late-hour transport routes, particularly in rural or isolated campus locations.</w:t>
      </w:r>
    </w:p>
    <w:p>
      <w:pPr>
        <w:spacing w:before="240" w:after="120"/>
        <w:jc w:val="left"/>
      </w:pPr>
      <w:r>
        <w:rPr>
          <w:rFonts w:ascii="Cambria" w:hAnsi="Cambria"/>
          <w:b/>
          <w:color w:val="1F3A5F"/>
          <w:sz w:val="28"/>
        </w:rPr>
        <w:t>Capacity Building and Awareness Programs</w:t>
      </w:r>
    </w:p>
    <w:p>
      <w:pPr>
        <w:pStyle w:val="ListBullet"/>
        <w:ind w:left="357"/>
        <w:jc w:val="both"/>
      </w:pPr>
      <w:r>
        <w:rPr>
          <w:rFonts w:ascii="Cambria" w:hAnsi="Cambria"/>
          <w:sz w:val="22"/>
        </w:rPr>
        <w:t>Conduct safety awareness workshops, self-defense training sessions, and orientation programs to educate women employees and students about emergency procedures.</w:t>
      </w:r>
    </w:p>
    <w:p>
      <w:pPr>
        <w:pStyle w:val="ListBullet"/>
        <w:ind w:left="357"/>
        <w:jc w:val="both"/>
      </w:pPr>
      <w:r>
        <w:rPr>
          <w:rFonts w:ascii="Cambria" w:hAnsi="Cambria"/>
          <w:sz w:val="22"/>
        </w:rPr>
        <w:t>Sensitize male employees and students on gender respect, workplace safety, and bystander responsibility.</w:t>
      </w:r>
    </w:p>
    <w:p>
      <w:pPr>
        <w:spacing w:before="240" w:after="120"/>
        <w:jc w:val="left"/>
      </w:pPr>
      <w:r>
        <w:rPr>
          <w:rFonts w:ascii="Cambria" w:hAnsi="Cambria"/>
          <w:b/>
          <w:color w:val="1F3A5F"/>
          <w:sz w:val="28"/>
        </w:rPr>
        <w:t>Institutional Benefits and Impact</w:t>
      </w:r>
    </w:p>
    <w:p>
      <w:pPr>
        <w:pStyle w:val="ListBullet"/>
        <w:ind w:left="357"/>
        <w:jc w:val="both"/>
      </w:pPr>
      <w:r>
        <w:rPr>
          <w:rFonts w:ascii="Cambria" w:hAnsi="Cambria"/>
          <w:sz w:val="22"/>
        </w:rPr>
        <w:t>Establishing robust security systems enhances trust, confidence, and inclusivity on campus.</w:t>
      </w:r>
    </w:p>
    <w:p>
      <w:pPr>
        <w:pStyle w:val="ListBullet"/>
        <w:ind w:left="357"/>
        <w:jc w:val="both"/>
      </w:pPr>
      <w:r>
        <w:rPr>
          <w:rFonts w:ascii="Cambria" w:hAnsi="Cambria"/>
          <w:sz w:val="22"/>
        </w:rPr>
        <w:t>It ensures that women can fully participate in evening research, cultural events, and administrative work without safety concerns.</w:t>
      </w:r>
    </w:p>
    <w:p>
      <w:pPr>
        <w:pStyle w:val="ListBullet"/>
        <w:ind w:left="357"/>
        <w:jc w:val="both"/>
      </w:pPr>
      <w:r>
        <w:rPr>
          <w:rFonts w:ascii="Cambria" w:hAnsi="Cambria"/>
          <w:sz w:val="22"/>
        </w:rPr>
        <w:t>These measures reflect institutional commitment to SDG-5 (Gender Equality) and SDG-11 (Sustainable Cities and Communities), promoting a safe, equitable learning and working environment.</w:t>
      </w:r>
    </w:p>
    <w:p>
      <w:pPr>
        <w:spacing w:before="240" w:after="120"/>
        <w:jc w:val="left"/>
      </w:pPr>
      <w:r>
        <w:rPr>
          <w:rFonts w:ascii="Cambria" w:hAnsi="Cambria"/>
          <w:b/>
          <w:color w:val="1F3A5F"/>
          <w:sz w:val="28"/>
        </w:rPr>
        <w:t>Outcome</w:t>
      </w:r>
    </w:p>
    <w:p>
      <w:pPr>
        <w:pStyle w:val="ListBullet"/>
        <w:ind w:left="357"/>
        <w:jc w:val="both"/>
      </w:pPr>
      <w:r>
        <w:rPr>
          <w:rFonts w:ascii="Cambria" w:hAnsi="Cambria"/>
          <w:sz w:val="22"/>
        </w:rPr>
        <w:t>A safe and secure campus fosters women's empowerment, participation, and retention in academic and professional roles.</w:t>
      </w:r>
    </w:p>
    <w:p>
      <w:pPr>
        <w:pStyle w:val="ListBullet"/>
        <w:ind w:left="357"/>
        <w:jc w:val="both"/>
      </w:pPr>
      <w:r>
        <w:rPr>
          <w:rFonts w:ascii="Cambria" w:hAnsi="Cambria"/>
          <w:sz w:val="22"/>
        </w:rPr>
        <w:t>Through helplines, surveillance, and transport support, HEIs demonstrate accountability and leadership in creating gender-sensitive, secure, and inclusive educational ecosystems.</w:t>
      </w:r>
    </w:p>
    <w:p>
      <w:pPr>
        <w:spacing w:before="280" w:after="160"/>
        <w:jc w:val="left"/>
      </w:pPr>
      <w:r>
        <w:rPr>
          <w:rFonts w:ascii="Cambria" w:hAnsi="Cambria"/>
          <w:b/>
          <w:color w:val="1F3A5F"/>
          <w:sz w:val="32"/>
        </w:rPr>
        <w:t>8. Implementation of POSH Act and Internal Complaints Committee (ICC) in HEIs</w:t>
      </w:r>
    </w:p>
    <w:p>
      <w:pPr>
        <w:spacing w:before="240" w:after="120"/>
        <w:jc w:val="left"/>
      </w:pPr>
      <w:r>
        <w:rPr>
          <w:rFonts w:ascii="Cambria" w:hAnsi="Cambria"/>
          <w:b/>
          <w:color w:val="1F3A5F"/>
          <w:sz w:val="28"/>
        </w:rPr>
        <w:t>Compliance with Government and UGC Guidelines</w:t>
      </w:r>
    </w:p>
    <w:p>
      <w:pPr>
        <w:pStyle w:val="ListBullet"/>
        <w:ind w:left="357"/>
        <w:jc w:val="both"/>
      </w:pPr>
      <w:r>
        <w:rPr>
          <w:rFonts w:ascii="Cambria" w:hAnsi="Cambria"/>
          <w:sz w:val="22"/>
        </w:rPr>
        <w:t>Higher Education Institutions (HEIs) must strictly implement the Government of India's “Prevention of Sexual Harassment (POSH) Act, 2013” to ensure a safe and respectful work and learning environment for women.</w:t>
      </w:r>
    </w:p>
    <w:p>
      <w:pPr>
        <w:pStyle w:val="ListBullet"/>
        <w:ind w:left="357"/>
        <w:jc w:val="both"/>
      </w:pPr>
      <w:r>
        <w:rPr>
          <w:rFonts w:ascii="Cambria" w:hAnsi="Cambria"/>
          <w:sz w:val="22"/>
        </w:rPr>
        <w:t>Institutions must also adhere to the University Grants Commission (UGC) Regulations, 2015 on the prevention, prohibition, and redressal of sexual harassment of women employees and students in HEIs.</w:t>
      </w:r>
    </w:p>
    <w:p>
      <w:pPr>
        <w:pStyle w:val="ListBullet"/>
        <w:ind w:left="357"/>
        <w:jc w:val="both"/>
      </w:pPr>
      <w:r>
        <w:rPr>
          <w:rFonts w:ascii="Cambria" w:hAnsi="Cambria"/>
          <w:sz w:val="22"/>
        </w:rPr>
        <w:t>Compliance with these regulations is mandatory for accreditation, quality assurance, and maintaining ethical institutional governance.</w:t>
      </w:r>
    </w:p>
    <w:p>
      <w:pPr>
        <w:spacing w:before="240" w:after="120"/>
        <w:jc w:val="left"/>
      </w:pPr>
      <w:r>
        <w:rPr>
          <w:rFonts w:ascii="Cambria" w:hAnsi="Cambria"/>
          <w:b/>
          <w:color w:val="1F3A5F"/>
          <w:sz w:val="28"/>
        </w:rPr>
        <w:t>Establishment of Internal Complaints Committee (ICC)</w:t>
      </w:r>
    </w:p>
    <w:p>
      <w:pPr>
        <w:pStyle w:val="ListBullet"/>
        <w:ind w:left="357"/>
        <w:jc w:val="both"/>
      </w:pPr>
      <w:r>
        <w:rPr>
          <w:rFonts w:ascii="Cambria" w:hAnsi="Cambria"/>
          <w:sz w:val="22"/>
        </w:rPr>
        <w:t>Every HEI must establish a fully functional Internal Complaints Committee (ICC) as per the POSH Act, with a minimum of one external member (preferably from an NGO or a legal expert) and a woman presiding officer.</w:t>
      </w:r>
    </w:p>
    <w:p>
      <w:pPr>
        <w:pStyle w:val="ListBullet"/>
        <w:ind w:left="357"/>
        <w:jc w:val="both"/>
      </w:pPr>
      <w:r>
        <w:rPr>
          <w:rFonts w:ascii="Cambria" w:hAnsi="Cambria"/>
          <w:sz w:val="22"/>
        </w:rPr>
        <w:t>The ICC should have representatives from faculty, non-teaching staff, and students, ensuring diversity and inclusiveness in handling cases.</w:t>
      </w:r>
    </w:p>
    <w:p>
      <w:pPr>
        <w:pStyle w:val="ListBullet"/>
        <w:ind w:left="357"/>
        <w:jc w:val="both"/>
      </w:pPr>
      <w:r>
        <w:rPr>
          <w:rFonts w:ascii="Cambria" w:hAnsi="Cambria"/>
          <w:sz w:val="22"/>
        </w:rPr>
        <w:t>The committee must meet regularly to review complaints, maintain confidentiality, and provide timely redressal in accordance with due process.</w:t>
      </w:r>
    </w:p>
    <w:p>
      <w:pPr>
        <w:spacing w:before="240" w:after="120"/>
        <w:jc w:val="left"/>
      </w:pPr>
      <w:r>
        <w:rPr>
          <w:rFonts w:ascii="Cambria" w:hAnsi="Cambria"/>
          <w:b/>
          <w:color w:val="1F3A5F"/>
          <w:sz w:val="28"/>
        </w:rPr>
        <w:t>Functions and Responsibilities of ICC</w:t>
      </w:r>
    </w:p>
    <w:p>
      <w:pPr>
        <w:pStyle w:val="ListBullet"/>
        <w:ind w:left="357"/>
        <w:jc w:val="both"/>
      </w:pPr>
      <w:r>
        <w:rPr>
          <w:rFonts w:ascii="Cambria" w:hAnsi="Cambria"/>
          <w:sz w:val="22"/>
        </w:rPr>
        <w:t>Receive and address complaints of sexual harassment in a fair, sensitive, and confidential manner.</w:t>
      </w:r>
    </w:p>
    <w:p>
      <w:pPr>
        <w:pStyle w:val="ListBullet"/>
        <w:ind w:left="357"/>
        <w:jc w:val="both"/>
      </w:pPr>
      <w:r>
        <w:rPr>
          <w:rFonts w:ascii="Cambria" w:hAnsi="Cambria"/>
          <w:sz w:val="22"/>
        </w:rPr>
        <w:t>Conduct inquiries and recommend appropriate actions to the institution's disciplinary authority.</w:t>
      </w:r>
    </w:p>
    <w:p>
      <w:pPr>
        <w:pStyle w:val="ListBullet"/>
        <w:ind w:left="357"/>
        <w:jc w:val="both"/>
      </w:pPr>
      <w:r>
        <w:rPr>
          <w:rFonts w:ascii="Cambria" w:hAnsi="Cambria"/>
          <w:sz w:val="22"/>
        </w:rPr>
        <w:t>Ensure protection against victimization of the complainant and witnesses during and after the inquiry process.</w:t>
      </w:r>
    </w:p>
    <w:p>
      <w:pPr>
        <w:pStyle w:val="ListBullet"/>
        <w:ind w:left="357"/>
        <w:jc w:val="both"/>
      </w:pPr>
      <w:r>
        <w:rPr>
          <w:rFonts w:ascii="Cambria" w:hAnsi="Cambria"/>
          <w:sz w:val="22"/>
        </w:rPr>
        <w:t>Maintain records of complaints, actions taken, and awareness activities as part of institutional documentation and audit evidence.</w:t>
      </w:r>
    </w:p>
    <w:p>
      <w:pPr>
        <w:spacing w:before="240" w:after="120"/>
        <w:jc w:val="left"/>
      </w:pPr>
      <w:r>
        <w:rPr>
          <w:rFonts w:ascii="Cambria" w:hAnsi="Cambria"/>
          <w:b/>
          <w:color w:val="1F3A5F"/>
          <w:sz w:val="28"/>
        </w:rPr>
        <w:t>Awareness, Training, and Sensitization</w:t>
      </w:r>
    </w:p>
    <w:p>
      <w:pPr>
        <w:pStyle w:val="ListBullet"/>
        <w:ind w:left="357"/>
        <w:jc w:val="both"/>
      </w:pPr>
      <w:r>
        <w:rPr>
          <w:rFonts w:ascii="Cambria" w:hAnsi="Cambria"/>
          <w:sz w:val="22"/>
        </w:rPr>
        <w:t>Organize regular workshops, seminars, and orientation sessions to educate students, staff, and faculty about the provisions of the POSH Act and the functioning of the ICC.</w:t>
      </w:r>
    </w:p>
    <w:p>
      <w:pPr>
        <w:pStyle w:val="ListBullet"/>
        <w:ind w:left="357"/>
        <w:jc w:val="both"/>
      </w:pPr>
      <w:r>
        <w:rPr>
          <w:rFonts w:ascii="Cambria" w:hAnsi="Cambria"/>
          <w:sz w:val="22"/>
        </w:rPr>
        <w:t>Display posters, helpline numbers, and ICC contact details prominently across the campus to promote visibility and awareness.</w:t>
      </w:r>
    </w:p>
    <w:p>
      <w:pPr>
        <w:pStyle w:val="ListBullet"/>
        <w:ind w:left="357"/>
        <w:jc w:val="both"/>
      </w:pPr>
      <w:r>
        <w:rPr>
          <w:rFonts w:ascii="Cambria" w:hAnsi="Cambria"/>
          <w:sz w:val="22"/>
        </w:rPr>
        <w:t>Conduct mandatory induction programs for new students and employees highlighting zero-tolerance policies toward sexual harassment.</w:t>
      </w:r>
    </w:p>
    <w:p>
      <w:pPr>
        <w:pStyle w:val="ListBullet"/>
        <w:ind w:left="357"/>
        <w:jc w:val="both"/>
      </w:pPr>
      <w:r>
        <w:rPr>
          <w:rFonts w:ascii="Cambria" w:hAnsi="Cambria"/>
          <w:sz w:val="22"/>
        </w:rPr>
        <w:t>Train ICC members on legal procedures, gender sensitivity, and trauma-informed inquiry methods to ensure ethical handling of cases.</w:t>
      </w:r>
    </w:p>
    <w:p>
      <w:pPr>
        <w:spacing w:before="240" w:after="120"/>
        <w:jc w:val="left"/>
      </w:pPr>
      <w:r>
        <w:rPr>
          <w:rFonts w:ascii="Cambria" w:hAnsi="Cambria"/>
          <w:b/>
          <w:color w:val="1F3A5F"/>
          <w:sz w:val="28"/>
        </w:rPr>
        <w:t>Monitoring and Reporting Mechanisms</w:t>
      </w:r>
    </w:p>
    <w:p>
      <w:pPr>
        <w:pStyle w:val="ListBullet"/>
        <w:ind w:left="357"/>
        <w:jc w:val="both"/>
      </w:pPr>
      <w:r>
        <w:rPr>
          <w:rFonts w:ascii="Cambria" w:hAnsi="Cambria"/>
          <w:sz w:val="22"/>
        </w:rPr>
        <w:t>Submit annual reports to the UGC and relevant authorities summarizing the number of cases received, resolved, and preventive actions undertaken.</w:t>
      </w:r>
    </w:p>
    <w:p>
      <w:pPr>
        <w:pStyle w:val="ListBullet"/>
        <w:ind w:left="357"/>
        <w:jc w:val="both"/>
      </w:pPr>
      <w:r>
        <w:rPr>
          <w:rFonts w:ascii="Cambria" w:hAnsi="Cambria"/>
          <w:sz w:val="22"/>
        </w:rPr>
        <w:t>Incorporate ICC activities into the Internal Quality Assurance Cell (IQAC) review process to ensure institutional accountability.</w:t>
      </w:r>
    </w:p>
    <w:p>
      <w:pPr>
        <w:pStyle w:val="ListBullet"/>
        <w:ind w:left="357"/>
        <w:jc w:val="both"/>
      </w:pPr>
      <w:r>
        <w:rPr>
          <w:rFonts w:ascii="Cambria" w:hAnsi="Cambria"/>
          <w:sz w:val="22"/>
        </w:rPr>
        <w:t>Conduct third-party audits or external reviews periodically to evaluate the effectiveness of the POSH and ICC framework.</w:t>
      </w:r>
    </w:p>
    <w:p>
      <w:pPr>
        <w:spacing w:before="240" w:after="120"/>
        <w:jc w:val="left"/>
      </w:pPr>
      <w:r>
        <w:rPr>
          <w:rFonts w:ascii="Cambria" w:hAnsi="Cambria"/>
          <w:b/>
          <w:color w:val="1F3A5F"/>
          <w:sz w:val="28"/>
        </w:rPr>
        <w:t>Institutional Integration and Alignment</w:t>
      </w:r>
    </w:p>
    <w:p>
      <w:pPr>
        <w:pStyle w:val="ListBullet"/>
        <w:ind w:left="357"/>
        <w:jc w:val="both"/>
      </w:pPr>
      <w:r>
        <w:rPr>
          <w:rFonts w:ascii="Cambria" w:hAnsi="Cambria"/>
          <w:sz w:val="22"/>
        </w:rPr>
        <w:t>Integrate POSH and ICC provisions with institutional policies on gender equity, ethics, and code of conduct.</w:t>
      </w:r>
    </w:p>
    <w:p>
      <w:pPr>
        <w:pStyle w:val="ListBullet"/>
        <w:ind w:left="357"/>
        <w:jc w:val="both"/>
      </w:pPr>
      <w:r>
        <w:rPr>
          <w:rFonts w:ascii="Cambria" w:hAnsi="Cambria"/>
          <w:sz w:val="22"/>
        </w:rPr>
        <w:t>Align with National Education Policy (NEP) 2020 emphasis on gender inclusion and safe learning environments.</w:t>
      </w:r>
    </w:p>
    <w:p>
      <w:pPr>
        <w:pStyle w:val="ListBullet"/>
        <w:ind w:left="357"/>
        <w:jc w:val="both"/>
      </w:pPr>
      <w:r>
        <w:rPr>
          <w:rFonts w:ascii="Cambria" w:hAnsi="Cambria"/>
          <w:sz w:val="22"/>
        </w:rPr>
        <w:t>Coordinate with the Women Development Cell (WDC) or Gender Equity Cell for joint awareness and grievance-handling initiatives.</w:t>
      </w:r>
    </w:p>
    <w:p>
      <w:pPr>
        <w:spacing w:before="240" w:after="120"/>
        <w:jc w:val="left"/>
      </w:pPr>
      <w:r>
        <w:rPr>
          <w:rFonts w:ascii="Cambria" w:hAnsi="Cambria"/>
          <w:b/>
          <w:color w:val="1F3A5F"/>
          <w:sz w:val="28"/>
        </w:rPr>
        <w:t>Expected Outcomes</w:t>
      </w:r>
    </w:p>
    <w:p>
      <w:pPr>
        <w:pStyle w:val="ListBullet"/>
        <w:ind w:left="357"/>
        <w:jc w:val="both"/>
      </w:pPr>
      <w:r>
        <w:rPr>
          <w:rFonts w:ascii="Cambria" w:hAnsi="Cambria"/>
          <w:sz w:val="22"/>
        </w:rPr>
        <w:t>Creation of a zero-tolerance culture against sexual harassment and gender-based discrimination.</w:t>
      </w:r>
    </w:p>
    <w:p>
      <w:pPr>
        <w:pStyle w:val="ListBullet"/>
        <w:ind w:left="357"/>
        <w:jc w:val="both"/>
      </w:pPr>
      <w:r>
        <w:rPr>
          <w:rFonts w:ascii="Cambria" w:hAnsi="Cambria"/>
          <w:sz w:val="22"/>
        </w:rPr>
        <w:t>Empowerment of women students and staff to voice concerns without fear of retaliation.</w:t>
      </w:r>
    </w:p>
    <w:p>
      <w:pPr>
        <w:pStyle w:val="ListBullet"/>
        <w:ind w:left="357"/>
        <w:jc w:val="both"/>
      </w:pPr>
      <w:r>
        <w:rPr>
          <w:rFonts w:ascii="Cambria" w:hAnsi="Cambria"/>
          <w:sz w:val="22"/>
        </w:rPr>
        <w:t>Enhanced institutional trust, transparency, and compliance with national legal frameworks.</w:t>
      </w:r>
    </w:p>
    <w:p>
      <w:pPr>
        <w:pStyle w:val="ListBullet"/>
        <w:ind w:left="357"/>
        <w:jc w:val="both"/>
      </w:pPr>
      <w:r>
        <w:rPr>
          <w:rFonts w:ascii="Cambria" w:hAnsi="Cambria"/>
          <w:sz w:val="22"/>
        </w:rPr>
        <w:t>Reinforcement of the institution's commitment to SDG-5 (Gender Equality) and ethical educational governance.</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By effectively implementing the POSH Act and ICC mechanisms, HEIs demonstrate their dedication to ensuring safe, inclusive, and gender-just campuses.</w:t>
      </w:r>
    </w:p>
    <w:p>
      <w:pPr>
        <w:spacing w:after="120"/>
        <w:jc w:val="both"/>
      </w:pPr>
      <w:r>
        <w:rPr>
          <w:rFonts w:ascii="Cambria" w:hAnsi="Cambria"/>
          <w:b w:val="0"/>
          <w:i w:val="0"/>
          <w:sz w:val="22"/>
        </w:rPr>
        <w:t>Such initiatives uphold dignity, equality, and respect—core principles that advance both institutional excellence and social sustainability in higher education.</w:t>
      </w:r>
    </w:p>
    <w:p>
      <w:pPr>
        <w:spacing w:before="280" w:after="160"/>
        <w:jc w:val="left"/>
      </w:pPr>
      <w:r>
        <w:rPr>
          <w:rFonts w:ascii="Cambria" w:hAnsi="Cambria"/>
          <w:b/>
          <w:color w:val="1F3A5F"/>
          <w:sz w:val="32"/>
        </w:rPr>
        <w:t>9. Orientation and Training on POSH Act for Internal Complaints Committee (ICC) by Regulatory Bodies</w:t>
      </w:r>
    </w:p>
    <w:p>
      <w:pPr>
        <w:spacing w:before="240" w:after="120"/>
        <w:jc w:val="left"/>
      </w:pPr>
      <w:r>
        <w:rPr>
          <w:rFonts w:ascii="Cambria" w:hAnsi="Cambria"/>
          <w:b/>
          <w:color w:val="1F3A5F"/>
          <w:sz w:val="28"/>
        </w:rPr>
        <w:t>Role of Regulatory Bodies in Strengthening POSH Implementation</w:t>
      </w:r>
    </w:p>
    <w:p>
      <w:pPr>
        <w:pStyle w:val="ListBullet"/>
        <w:ind w:left="357"/>
        <w:jc w:val="both"/>
      </w:pPr>
      <w:r>
        <w:rPr>
          <w:rFonts w:ascii="Cambria" w:hAnsi="Cambria"/>
          <w:sz w:val="22"/>
        </w:rPr>
        <w:t>Regulatory bodies such as the University Grants Commission (UGC), All India Council for Technical Education (AICTE), and Ministry of Education must play an active role in ensuring that the Prevention of Sexual Harassment (POSH) Act, 2013 is effectively implemented across all Higher Education Institutions (HEIs).</w:t>
      </w:r>
    </w:p>
    <w:p>
      <w:pPr>
        <w:pStyle w:val="ListBullet"/>
        <w:ind w:left="357"/>
        <w:jc w:val="both"/>
      </w:pPr>
      <w:r>
        <w:rPr>
          <w:rFonts w:ascii="Cambria" w:hAnsi="Cambria"/>
          <w:sz w:val="22"/>
        </w:rPr>
        <w:t>They should conduct regular orientation programs and capacity-building workshops to train members of the Internal Complaints Committee (ICC) on legal, procedural, and ethical aspects of the Act.</w:t>
      </w:r>
    </w:p>
    <w:p>
      <w:pPr>
        <w:pStyle w:val="ListBullet"/>
        <w:ind w:left="357"/>
        <w:jc w:val="both"/>
      </w:pPr>
      <w:r>
        <w:rPr>
          <w:rFonts w:ascii="Cambria" w:hAnsi="Cambria"/>
          <w:sz w:val="22"/>
        </w:rPr>
        <w:t>This initiative ensures uniform understanding and enforcement of the law, promoting zero tolerance toward sexual harassment in all academic and administrative environments.</w:t>
      </w:r>
    </w:p>
    <w:p>
      <w:pPr>
        <w:spacing w:before="240" w:after="120"/>
        <w:jc w:val="left"/>
      </w:pPr>
      <w:r>
        <w:rPr>
          <w:rFonts w:ascii="Cambria" w:hAnsi="Cambria"/>
          <w:b/>
          <w:color w:val="1F3A5F"/>
          <w:sz w:val="28"/>
        </w:rPr>
        <w:t>Objectives of the Orientation and Training Programs</w:t>
      </w:r>
    </w:p>
    <w:p>
      <w:pPr>
        <w:pStyle w:val="ListBullet"/>
        <w:ind w:left="357"/>
        <w:jc w:val="both"/>
      </w:pPr>
      <w:r>
        <w:rPr>
          <w:rFonts w:ascii="Cambria" w:hAnsi="Cambria"/>
          <w:sz w:val="22"/>
        </w:rPr>
        <w:t>To familiarize ICC members with the provisions, definitions, and procedural steps under the POSH Act and UGC Regulations (2015).</w:t>
      </w:r>
    </w:p>
    <w:p>
      <w:pPr>
        <w:pStyle w:val="ListBullet"/>
        <w:ind w:left="357"/>
        <w:jc w:val="both"/>
      </w:pPr>
      <w:r>
        <w:rPr>
          <w:rFonts w:ascii="Cambria" w:hAnsi="Cambria"/>
          <w:sz w:val="22"/>
        </w:rPr>
        <w:t>To ensure ICC members understand their roles, responsibilities, and limitations during investigations and redressal processes.</w:t>
      </w:r>
    </w:p>
    <w:p>
      <w:pPr>
        <w:pStyle w:val="ListBullet"/>
        <w:ind w:left="357"/>
        <w:jc w:val="both"/>
      </w:pPr>
      <w:r>
        <w:rPr>
          <w:rFonts w:ascii="Cambria" w:hAnsi="Cambria"/>
          <w:sz w:val="22"/>
        </w:rPr>
        <w:t>To promote gender sensitivity, trauma-informed response, and confidentiality in handling complaints.</w:t>
      </w:r>
    </w:p>
    <w:p>
      <w:pPr>
        <w:pStyle w:val="ListBullet"/>
        <w:ind w:left="357"/>
        <w:jc w:val="both"/>
      </w:pPr>
      <w:r>
        <w:rPr>
          <w:rFonts w:ascii="Cambria" w:hAnsi="Cambria"/>
          <w:sz w:val="22"/>
        </w:rPr>
        <w:t>To develop institutional best practices in prevention, awareness, and redressal mechanisms.</w:t>
      </w:r>
    </w:p>
    <w:p>
      <w:pPr>
        <w:spacing w:before="240" w:after="120"/>
        <w:jc w:val="left"/>
      </w:pPr>
      <w:r>
        <w:rPr>
          <w:rFonts w:ascii="Cambria" w:hAnsi="Cambria"/>
          <w:b/>
          <w:color w:val="1F3A5F"/>
          <w:sz w:val="28"/>
        </w:rPr>
        <w:t>Content and Structure of Training Workshops</w:t>
      </w:r>
    </w:p>
    <w:p>
      <w:pPr>
        <w:pStyle w:val="ListBullet"/>
        <w:ind w:left="357"/>
        <w:jc w:val="both"/>
      </w:pPr>
      <w:r>
        <w:rPr>
          <w:rFonts w:ascii="Cambria" w:hAnsi="Cambria"/>
          <w:b/>
          <w:sz w:val="22"/>
        </w:rPr>
        <w:t xml:space="preserve">Legal Framework: </w:t>
      </w:r>
      <w:r>
        <w:rPr>
          <w:rFonts w:ascii="Cambria" w:hAnsi="Cambria"/>
          <w:sz w:val="22"/>
        </w:rPr>
        <w:t>Detailed sessions on the POSH Act, 2013, UGC Regulations, 2015, and relevant case laws.</w:t>
      </w:r>
    </w:p>
    <w:p>
      <w:pPr>
        <w:pStyle w:val="ListBullet"/>
        <w:ind w:left="357"/>
        <w:jc w:val="both"/>
      </w:pPr>
      <w:r>
        <w:rPr>
          <w:rFonts w:ascii="Cambria" w:hAnsi="Cambria"/>
          <w:b/>
          <w:sz w:val="22"/>
        </w:rPr>
        <w:t xml:space="preserve">Roles and Procedures: </w:t>
      </w:r>
      <w:r>
        <w:rPr>
          <w:rFonts w:ascii="Cambria" w:hAnsi="Cambria"/>
          <w:sz w:val="22"/>
        </w:rPr>
        <w:t>Steps for complaint receipt, inquiry procedures, evidence collection, and report preparation.</w:t>
      </w:r>
    </w:p>
    <w:p>
      <w:pPr>
        <w:pStyle w:val="ListBullet"/>
        <w:ind w:left="357"/>
        <w:jc w:val="both"/>
      </w:pPr>
      <w:r>
        <w:rPr>
          <w:rFonts w:ascii="Cambria" w:hAnsi="Cambria"/>
          <w:b/>
          <w:sz w:val="22"/>
        </w:rPr>
        <w:t xml:space="preserve">Ethical Conduct: </w:t>
      </w:r>
      <w:r>
        <w:rPr>
          <w:rFonts w:ascii="Cambria" w:hAnsi="Cambria"/>
          <w:sz w:val="22"/>
        </w:rPr>
        <w:t>Maintaining neutrality, ensuring confidentiality, and avoiding conflicts of interest during inquiries.</w:t>
      </w:r>
    </w:p>
    <w:p>
      <w:pPr>
        <w:pStyle w:val="ListBullet"/>
        <w:ind w:left="357"/>
        <w:jc w:val="both"/>
      </w:pPr>
      <w:r>
        <w:rPr>
          <w:rFonts w:ascii="Cambria" w:hAnsi="Cambria"/>
          <w:b/>
          <w:sz w:val="22"/>
        </w:rPr>
        <w:t xml:space="preserve">Psychological and Emotional Sensitivity: </w:t>
      </w:r>
      <w:r>
        <w:rPr>
          <w:rFonts w:ascii="Cambria" w:hAnsi="Cambria"/>
          <w:sz w:val="22"/>
        </w:rPr>
        <w:t>Training in handling survivors with empathy and understanding trauma-informed approaches.</w:t>
      </w:r>
    </w:p>
    <w:p>
      <w:pPr>
        <w:pStyle w:val="ListBullet"/>
        <w:ind w:left="357"/>
        <w:jc w:val="both"/>
      </w:pPr>
      <w:r>
        <w:rPr>
          <w:rFonts w:ascii="Cambria" w:hAnsi="Cambria"/>
          <w:b/>
          <w:sz w:val="22"/>
        </w:rPr>
        <w:t xml:space="preserve">Preventive Strategies: </w:t>
      </w:r>
      <w:r>
        <w:rPr>
          <w:rFonts w:ascii="Cambria" w:hAnsi="Cambria"/>
          <w:sz w:val="22"/>
        </w:rPr>
        <w:t>Conducting awareness campaigns, gender-sensitization drives, and creating safe reporting systems.</w:t>
      </w:r>
    </w:p>
    <w:p>
      <w:pPr>
        <w:pStyle w:val="ListBullet"/>
        <w:ind w:left="357"/>
        <w:jc w:val="both"/>
      </w:pPr>
      <w:r>
        <w:rPr>
          <w:rFonts w:ascii="Cambria" w:hAnsi="Cambria"/>
          <w:b/>
          <w:sz w:val="22"/>
        </w:rPr>
        <w:t xml:space="preserve">Documentation and Reporting: </w:t>
      </w:r>
      <w:r>
        <w:rPr>
          <w:rFonts w:ascii="Cambria" w:hAnsi="Cambria"/>
          <w:sz w:val="22"/>
        </w:rPr>
        <w:t>Guidance on maintaining case records, annual ICC reports, and compliance submissions to regulatory bodies.</w:t>
      </w:r>
    </w:p>
    <w:p>
      <w:pPr>
        <w:spacing w:before="240" w:after="120"/>
        <w:jc w:val="left"/>
      </w:pPr>
      <w:r>
        <w:rPr>
          <w:rFonts w:ascii="Cambria" w:hAnsi="Cambria"/>
          <w:b/>
          <w:color w:val="1F3A5F"/>
          <w:sz w:val="28"/>
        </w:rPr>
        <w:t>Implementation Mechanisms by Regulatory Bodies</w:t>
      </w:r>
    </w:p>
    <w:p>
      <w:pPr>
        <w:pStyle w:val="ListBullet"/>
        <w:ind w:left="357"/>
        <w:jc w:val="both"/>
      </w:pPr>
      <w:r>
        <w:rPr>
          <w:rFonts w:ascii="Cambria" w:hAnsi="Cambria"/>
          <w:sz w:val="22"/>
        </w:rPr>
        <w:t>Develop a standardized national training module for ICC members, adaptable across HEIs.</w:t>
      </w:r>
    </w:p>
    <w:p>
      <w:pPr>
        <w:pStyle w:val="ListBullet"/>
        <w:ind w:left="357"/>
        <w:jc w:val="both"/>
      </w:pPr>
      <w:r>
        <w:rPr>
          <w:rFonts w:ascii="Cambria" w:hAnsi="Cambria"/>
          <w:sz w:val="22"/>
        </w:rPr>
        <w:t>Conduct regional and virtual training programs to ensure accessibility for all institutions, including rural and autonomous colleges.</w:t>
      </w:r>
    </w:p>
    <w:p>
      <w:pPr>
        <w:pStyle w:val="ListBullet"/>
        <w:ind w:left="357"/>
        <w:jc w:val="both"/>
      </w:pPr>
      <w:r>
        <w:rPr>
          <w:rFonts w:ascii="Cambria" w:hAnsi="Cambria"/>
          <w:sz w:val="22"/>
        </w:rPr>
        <w:t>Create a certification system for trained ICC members, enhancing professionalism and accountability.</w:t>
      </w:r>
    </w:p>
    <w:p>
      <w:pPr>
        <w:pStyle w:val="ListBullet"/>
        <w:ind w:left="357"/>
        <w:jc w:val="both"/>
      </w:pPr>
      <w:r>
        <w:rPr>
          <w:rFonts w:ascii="Cambria" w:hAnsi="Cambria"/>
          <w:sz w:val="22"/>
        </w:rPr>
        <w:t>Encourage collaboration with legal experts, psychologists, and NGOs specializing in women's rights and workplace ethics.</w:t>
      </w:r>
    </w:p>
    <w:p>
      <w:pPr>
        <w:pStyle w:val="ListBullet"/>
        <w:ind w:left="357"/>
        <w:jc w:val="both"/>
      </w:pPr>
      <w:r>
        <w:rPr>
          <w:rFonts w:ascii="Cambria" w:hAnsi="Cambria"/>
          <w:sz w:val="22"/>
        </w:rPr>
        <w:t>Establish an online portal or resource hub containing training materials, FAQs, templates, and case-handling guidelines.</w:t>
      </w:r>
    </w:p>
    <w:p>
      <w:pPr>
        <w:spacing w:before="240" w:after="120"/>
        <w:jc w:val="left"/>
      </w:pPr>
      <w:r>
        <w:rPr>
          <w:rFonts w:ascii="Cambria" w:hAnsi="Cambria"/>
          <w:b/>
          <w:color w:val="1F3A5F"/>
          <w:sz w:val="28"/>
        </w:rPr>
        <w:t>Monitoring and Evaluation</w:t>
      </w:r>
    </w:p>
    <w:p>
      <w:pPr>
        <w:pStyle w:val="ListBullet"/>
        <w:ind w:left="357"/>
        <w:jc w:val="both"/>
      </w:pPr>
      <w:r>
        <w:rPr>
          <w:rFonts w:ascii="Cambria" w:hAnsi="Cambria"/>
          <w:sz w:val="22"/>
        </w:rPr>
        <w:t>Regulatory bodies should require HEIs to submit annual proof of ICC training activities and reports of preventive workshops conducted.</w:t>
      </w:r>
    </w:p>
    <w:p>
      <w:pPr>
        <w:pStyle w:val="ListBullet"/>
        <w:ind w:left="357"/>
        <w:jc w:val="both"/>
      </w:pPr>
      <w:r>
        <w:rPr>
          <w:rFonts w:ascii="Cambria" w:hAnsi="Cambria"/>
          <w:sz w:val="22"/>
        </w:rPr>
        <w:t>Conduct periodic audits or inspections to assess the quality and consistency of ICC functioning.</w:t>
      </w:r>
    </w:p>
    <w:p>
      <w:pPr>
        <w:pStyle w:val="ListBullet"/>
        <w:ind w:left="357"/>
        <w:jc w:val="both"/>
      </w:pPr>
      <w:r>
        <w:rPr>
          <w:rFonts w:ascii="Cambria" w:hAnsi="Cambria"/>
          <w:sz w:val="22"/>
        </w:rPr>
        <w:t>Introduce performance metrics to evaluate the responsiveness and effectiveness of ICCs after training interventions.</w:t>
      </w:r>
    </w:p>
    <w:p>
      <w:pPr>
        <w:spacing w:before="240" w:after="120"/>
        <w:jc w:val="left"/>
      </w:pPr>
      <w:r>
        <w:rPr>
          <w:rFonts w:ascii="Cambria" w:hAnsi="Cambria"/>
          <w:b/>
          <w:color w:val="1F3A5F"/>
          <w:sz w:val="28"/>
        </w:rPr>
        <w:t>Expected Outcomes</w:t>
      </w:r>
    </w:p>
    <w:p>
      <w:pPr>
        <w:pStyle w:val="ListBullet"/>
        <w:ind w:left="357"/>
        <w:jc w:val="both"/>
      </w:pPr>
      <w:r>
        <w:rPr>
          <w:rFonts w:ascii="Cambria" w:hAnsi="Cambria"/>
          <w:sz w:val="22"/>
        </w:rPr>
        <w:t>Improved legal literacy and procedural competence among ICC members.</w:t>
      </w:r>
    </w:p>
    <w:p>
      <w:pPr>
        <w:pStyle w:val="ListBullet"/>
        <w:ind w:left="357"/>
        <w:jc w:val="both"/>
      </w:pPr>
      <w:r>
        <w:rPr>
          <w:rFonts w:ascii="Cambria" w:hAnsi="Cambria"/>
          <w:sz w:val="22"/>
        </w:rPr>
        <w:t>Strengthened institutional capacity to handle complaints ethically, swiftly, and fairly.</w:t>
      </w:r>
    </w:p>
    <w:p>
      <w:pPr>
        <w:pStyle w:val="ListBullet"/>
        <w:ind w:left="357"/>
        <w:jc w:val="both"/>
      </w:pPr>
      <w:r>
        <w:rPr>
          <w:rFonts w:ascii="Cambria" w:hAnsi="Cambria"/>
          <w:sz w:val="22"/>
        </w:rPr>
        <w:t>Enhanced campus environment marked by trust, gender sensitivity, and safety.</w:t>
      </w:r>
    </w:p>
    <w:p>
      <w:pPr>
        <w:pStyle w:val="ListBullet"/>
        <w:ind w:left="357"/>
        <w:jc w:val="both"/>
      </w:pPr>
      <w:r>
        <w:rPr>
          <w:rFonts w:ascii="Cambria" w:hAnsi="Cambria"/>
          <w:sz w:val="22"/>
        </w:rPr>
        <w:t>Alignment of all HEIs with SDG-5 (Gender Equality) and UGC's mission for safe, inclusive higher education spaces.</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Regular orientation and professional training for ICC members are crucial for the effective enforcement of the POSH Act.</w:t>
      </w:r>
    </w:p>
    <w:p>
      <w:pPr>
        <w:spacing w:after="120"/>
        <w:jc w:val="both"/>
      </w:pPr>
      <w:r>
        <w:rPr>
          <w:rFonts w:ascii="Cambria" w:hAnsi="Cambria"/>
          <w:b w:val="0"/>
          <w:i w:val="0"/>
          <w:sz w:val="22"/>
        </w:rPr>
        <w:t>By institutionalizing these capacity-building programs, regulatory bodies ensure that gender justice, safety, and equality are not merely policy statements but actively practiced values within every Higher Education Institution in India.</w:t>
      </w:r>
    </w:p>
    <w:p>
      <w:pPr>
        <w:spacing w:before="280" w:after="160"/>
        <w:jc w:val="left"/>
      </w:pPr>
      <w:r>
        <w:rPr>
          <w:rFonts w:ascii="Cambria" w:hAnsi="Cambria"/>
          <w:b/>
          <w:color w:val="1F3A5F"/>
          <w:sz w:val="32"/>
        </w:rPr>
        <w:t>10. Government Policies to Prevent Violence and Exploitation Against Women and Girls</w:t>
      </w:r>
    </w:p>
    <w:p>
      <w:pPr>
        <w:spacing w:before="240" w:after="120"/>
        <w:jc w:val="left"/>
      </w:pPr>
      <w:r>
        <w:rPr>
          <w:rFonts w:ascii="Cambria" w:hAnsi="Cambria"/>
          <w:b/>
          <w:color w:val="1F3A5F"/>
          <w:sz w:val="28"/>
        </w:rPr>
        <w:t>Formulation of Comprehensive Legal and Policy Frameworks</w:t>
      </w:r>
    </w:p>
    <w:p>
      <w:pPr>
        <w:pStyle w:val="ListBullet"/>
        <w:ind w:left="357"/>
        <w:jc w:val="both"/>
      </w:pPr>
      <w:r>
        <w:rPr>
          <w:rFonts w:ascii="Cambria" w:hAnsi="Cambria"/>
          <w:sz w:val="22"/>
        </w:rPr>
        <w:t>The Government must establish and enforce robust national policies and laws to prevent and eliminate all forms of violence against women and girls, including domestic violence, sexual harassment, trafficking, molestation, and sexual exploitation.</w:t>
      </w:r>
    </w:p>
    <w:p>
      <w:pPr>
        <w:pStyle w:val="ListBullet"/>
        <w:ind w:left="357"/>
        <w:jc w:val="both"/>
      </w:pPr>
      <w:r>
        <w:rPr>
          <w:rFonts w:ascii="Cambria" w:hAnsi="Cambria"/>
          <w:sz w:val="22"/>
        </w:rPr>
        <w:t>These policies should be aligned with the Sustainable Development Goal 5 (SDG-5: Gender Equality) and international conventions such as the Convention on the Elimination of All Forms of Discrimination Against Women (CEDAW).</w:t>
      </w:r>
    </w:p>
    <w:p>
      <w:pPr>
        <w:pStyle w:val="ListBullet"/>
        <w:ind w:left="357"/>
        <w:jc w:val="both"/>
      </w:pPr>
      <w:r>
        <w:rPr>
          <w:rFonts w:ascii="Cambria" w:hAnsi="Cambria"/>
          <w:sz w:val="22"/>
        </w:rPr>
        <w:t>Introduce uniform national standards for prevention, investigation, and redressal mechanisms to ensure consistency across states and institutions.</w:t>
      </w:r>
    </w:p>
    <w:p>
      <w:pPr>
        <w:spacing w:before="240" w:after="120"/>
        <w:jc w:val="left"/>
      </w:pPr>
      <w:r>
        <w:rPr>
          <w:rFonts w:ascii="Cambria" w:hAnsi="Cambria"/>
          <w:b/>
          <w:color w:val="1F3A5F"/>
          <w:sz w:val="28"/>
        </w:rPr>
        <w:t>Strengthening Existing Legal Provisions</w:t>
      </w:r>
    </w:p>
    <w:p>
      <w:pPr>
        <w:pStyle w:val="ListBullet"/>
        <w:ind w:left="357"/>
        <w:jc w:val="both"/>
      </w:pPr>
      <w:r>
        <w:rPr>
          <w:rFonts w:ascii="Cambria" w:hAnsi="Cambria"/>
          <w:b/>
          <w:sz w:val="22"/>
        </w:rPr>
        <w:t xml:space="preserve">Enforce stricter implementation of existing laws such as: </w:t>
      </w:r>
      <w:r>
        <w:rPr>
          <w:rFonts w:ascii="Cambria" w:hAnsi="Cambria"/>
          <w:sz w:val="22"/>
        </w:rPr>
      </w:r>
    </w:p>
    <w:p>
      <w:pPr>
        <w:pStyle w:val="ListBullet2"/>
        <w:ind w:left="720"/>
        <w:jc w:val="both"/>
      </w:pPr>
      <w:r>
        <w:rPr>
          <w:rFonts w:ascii="Cambria" w:hAnsi="Cambria"/>
          <w:sz w:val="22"/>
        </w:rPr>
        <w:t>Protection of Women from Domestic Violence Act (2005)</w:t>
      </w:r>
    </w:p>
    <w:p>
      <w:pPr>
        <w:pStyle w:val="ListBullet2"/>
        <w:ind w:left="720"/>
        <w:jc w:val="both"/>
      </w:pPr>
      <w:r>
        <w:rPr>
          <w:rFonts w:ascii="Cambria" w:hAnsi="Cambria"/>
          <w:sz w:val="22"/>
        </w:rPr>
        <w:t>Criminal Law (Amendment) Act (2013) for sexual assault and harassment</w:t>
      </w:r>
    </w:p>
    <w:p>
      <w:pPr>
        <w:pStyle w:val="ListBullet2"/>
        <w:ind w:left="720"/>
        <w:jc w:val="both"/>
      </w:pPr>
      <w:r>
        <w:rPr>
          <w:rFonts w:ascii="Cambria" w:hAnsi="Cambria"/>
          <w:sz w:val="22"/>
        </w:rPr>
        <w:t>Immoral Traffic (Prevention) Act (1956)</w:t>
      </w:r>
    </w:p>
    <w:p>
      <w:pPr>
        <w:pStyle w:val="ListBullet2"/>
        <w:ind w:left="720"/>
        <w:jc w:val="both"/>
      </w:pPr>
      <w:r>
        <w:rPr>
          <w:rFonts w:ascii="Cambria" w:hAnsi="Cambria"/>
          <w:sz w:val="22"/>
        </w:rPr>
        <w:t>Protection of Children from Sexual Offences (POCSO) Act (2012)</w:t>
      </w:r>
    </w:p>
    <w:p>
      <w:pPr>
        <w:pStyle w:val="ListBullet2"/>
        <w:ind w:left="720"/>
        <w:jc w:val="both"/>
      </w:pPr>
      <w:r>
        <w:rPr>
          <w:rFonts w:ascii="Cambria" w:hAnsi="Cambria"/>
          <w:sz w:val="22"/>
        </w:rPr>
        <w:t>Dowry Prohibition Act (1961) and Indecent Representation of Women Act (1986)</w:t>
      </w:r>
    </w:p>
    <w:p>
      <w:pPr>
        <w:pStyle w:val="ListBullet"/>
        <w:ind w:left="357"/>
        <w:jc w:val="both"/>
      </w:pPr>
      <w:r>
        <w:rPr>
          <w:rFonts w:ascii="Cambria" w:hAnsi="Cambria"/>
          <w:sz w:val="22"/>
        </w:rPr>
        <w:t>Ensure swift investigation and trial processes through fast-track courts and specialized women's courts to prevent delays in justice delivery.</w:t>
      </w:r>
    </w:p>
    <w:p>
      <w:pPr>
        <w:pStyle w:val="ListBullet"/>
        <w:ind w:left="357"/>
        <w:jc w:val="both"/>
      </w:pPr>
      <w:r>
        <w:rPr>
          <w:rFonts w:ascii="Cambria" w:hAnsi="Cambria"/>
          <w:sz w:val="22"/>
        </w:rPr>
        <w:t>Strengthen witness protection and survivor rehabilitation frameworks to ensure safety and dignity during legal proceedings.</w:t>
      </w:r>
    </w:p>
    <w:p>
      <w:pPr>
        <w:spacing w:before="240" w:after="120"/>
        <w:jc w:val="left"/>
      </w:pPr>
      <w:r>
        <w:rPr>
          <w:rFonts w:ascii="Cambria" w:hAnsi="Cambria"/>
          <w:b/>
          <w:color w:val="1F3A5F"/>
          <w:sz w:val="28"/>
        </w:rPr>
        <w:t>Preventive Measures and Awareness Programs</w:t>
      </w:r>
    </w:p>
    <w:p>
      <w:pPr>
        <w:pStyle w:val="ListBullet"/>
        <w:ind w:left="357"/>
        <w:jc w:val="both"/>
      </w:pPr>
      <w:r>
        <w:rPr>
          <w:rFonts w:ascii="Cambria" w:hAnsi="Cambria"/>
          <w:sz w:val="22"/>
        </w:rPr>
        <w:t>Launch nationwide campaigns for gender sensitization and awareness about women's rights, legal recourse, and helpline services.</w:t>
      </w:r>
    </w:p>
    <w:p>
      <w:pPr>
        <w:pStyle w:val="ListBullet"/>
        <w:ind w:left="357"/>
        <w:jc w:val="both"/>
      </w:pPr>
      <w:r>
        <w:rPr>
          <w:rFonts w:ascii="Cambria" w:hAnsi="Cambria"/>
          <w:sz w:val="22"/>
        </w:rPr>
        <w:t>Implement community-based outreach programs to educate families, rural communities, and youth on the consequences of gender-based violence.</w:t>
      </w:r>
    </w:p>
    <w:p>
      <w:pPr>
        <w:pStyle w:val="ListBullet"/>
        <w:ind w:left="357"/>
        <w:jc w:val="both"/>
      </w:pPr>
      <w:r>
        <w:rPr>
          <w:rFonts w:ascii="Cambria" w:hAnsi="Cambria"/>
          <w:sz w:val="22"/>
        </w:rPr>
        <w:t>Collaborate with schools, HEIs, and local NGOs to integrate gender justice and respect education into formal and informal learning.</w:t>
      </w:r>
    </w:p>
    <w:p>
      <w:pPr>
        <w:pStyle w:val="ListBullet"/>
        <w:ind w:left="357"/>
        <w:jc w:val="both"/>
      </w:pPr>
      <w:r>
        <w:rPr>
          <w:rFonts w:ascii="Cambria" w:hAnsi="Cambria"/>
          <w:sz w:val="22"/>
        </w:rPr>
        <w:t>Promote the use of digital media, social networks, and mass communication to spread awareness on anti-violence laws and reporting mechanisms.</w:t>
      </w:r>
    </w:p>
    <w:p>
      <w:pPr>
        <w:spacing w:before="240" w:after="120"/>
        <w:jc w:val="left"/>
      </w:pPr>
      <w:r>
        <w:rPr>
          <w:rFonts w:ascii="Cambria" w:hAnsi="Cambria"/>
          <w:b/>
          <w:color w:val="1F3A5F"/>
          <w:sz w:val="28"/>
        </w:rPr>
        <w:t>Strengthening Law Enforcement and Surveillance Systems</w:t>
      </w:r>
    </w:p>
    <w:p>
      <w:pPr>
        <w:pStyle w:val="ListBullet"/>
        <w:ind w:left="357"/>
        <w:jc w:val="both"/>
      </w:pPr>
      <w:r>
        <w:rPr>
          <w:rFonts w:ascii="Cambria" w:hAnsi="Cambria"/>
          <w:sz w:val="22"/>
        </w:rPr>
        <w:t>Establish dedicated women's police units and cybercrime cells specializing in crimes against women and girls.</w:t>
      </w:r>
    </w:p>
    <w:p>
      <w:pPr>
        <w:pStyle w:val="ListBullet"/>
        <w:ind w:left="357"/>
        <w:jc w:val="both"/>
      </w:pPr>
      <w:r>
        <w:rPr>
          <w:rFonts w:ascii="Cambria" w:hAnsi="Cambria"/>
          <w:sz w:val="22"/>
        </w:rPr>
        <w:t>Introduce smart surveillance systems in public spaces such as transport hubs, campuses, and workplaces for real-time safety monitoring.</w:t>
      </w:r>
    </w:p>
    <w:p>
      <w:pPr>
        <w:pStyle w:val="ListBullet"/>
        <w:ind w:left="357"/>
        <w:jc w:val="both"/>
      </w:pPr>
      <w:r>
        <w:rPr>
          <w:rFonts w:ascii="Cambria" w:hAnsi="Cambria"/>
          <w:sz w:val="22"/>
        </w:rPr>
        <w:t>Train police and judicial officers on gender sensitivity, survivor-centered approaches, and trauma-informed investigations.</w:t>
      </w:r>
    </w:p>
    <w:p>
      <w:pPr>
        <w:pStyle w:val="ListBullet"/>
        <w:ind w:left="357"/>
        <w:jc w:val="both"/>
      </w:pPr>
      <w:r>
        <w:rPr>
          <w:rFonts w:ascii="Cambria" w:hAnsi="Cambria"/>
          <w:sz w:val="22"/>
        </w:rPr>
        <w:t>Implement 24×7 helplines (like 1091) and online complaint systems integrated with local authorities for quick action.</w:t>
      </w:r>
    </w:p>
    <w:p>
      <w:pPr>
        <w:spacing w:before="240" w:after="120"/>
        <w:jc w:val="left"/>
      </w:pPr>
      <w:r>
        <w:rPr>
          <w:rFonts w:ascii="Cambria" w:hAnsi="Cambria"/>
          <w:b/>
          <w:color w:val="1F3A5F"/>
          <w:sz w:val="28"/>
        </w:rPr>
        <w:t>Victim Support, Rehabilitation, and Reintegration</w:t>
      </w:r>
    </w:p>
    <w:p>
      <w:pPr>
        <w:pStyle w:val="ListBullet"/>
        <w:ind w:left="357"/>
        <w:jc w:val="both"/>
      </w:pPr>
      <w:r>
        <w:rPr>
          <w:rFonts w:ascii="Cambria" w:hAnsi="Cambria"/>
          <w:sz w:val="22"/>
        </w:rPr>
        <w:t>Develop comprehensive survivor support systems including safe shelters, counselling services, legal aid, and medical care.</w:t>
      </w:r>
    </w:p>
    <w:p>
      <w:pPr>
        <w:pStyle w:val="ListBullet"/>
        <w:ind w:left="357"/>
        <w:jc w:val="both"/>
      </w:pPr>
      <w:r>
        <w:rPr>
          <w:rFonts w:ascii="Cambria" w:hAnsi="Cambria"/>
          <w:sz w:val="22"/>
        </w:rPr>
        <w:t>Establish rehabilitation and skill-training centres to empower survivors economically and socially.</w:t>
      </w:r>
    </w:p>
    <w:p>
      <w:pPr>
        <w:pStyle w:val="ListBullet"/>
        <w:ind w:left="357"/>
        <w:jc w:val="both"/>
      </w:pPr>
      <w:r>
        <w:rPr>
          <w:rFonts w:ascii="Cambria" w:hAnsi="Cambria"/>
          <w:sz w:val="22"/>
        </w:rPr>
        <w:t>Provide educational scholarships and employment opportunities for victims of trafficking and sexual exploitation to aid reintegration.</w:t>
      </w:r>
    </w:p>
    <w:p>
      <w:pPr>
        <w:pStyle w:val="ListBullet"/>
        <w:ind w:left="357"/>
        <w:jc w:val="both"/>
      </w:pPr>
      <w:r>
        <w:rPr>
          <w:rFonts w:ascii="Cambria" w:hAnsi="Cambria"/>
          <w:sz w:val="22"/>
        </w:rPr>
        <w:t>Collaborate with non-governmental organizations (NGOs) and international bodies to ensure multidimensional support to survivors.</w:t>
      </w:r>
    </w:p>
    <w:p>
      <w:pPr>
        <w:spacing w:before="240" w:after="120"/>
        <w:jc w:val="left"/>
      </w:pPr>
      <w:r>
        <w:rPr>
          <w:rFonts w:ascii="Cambria" w:hAnsi="Cambria"/>
          <w:b/>
          <w:color w:val="1F3A5F"/>
          <w:sz w:val="28"/>
        </w:rPr>
        <w:t>Monitoring, Accountability, and Data Transparency</w:t>
      </w:r>
    </w:p>
    <w:p>
      <w:pPr>
        <w:pStyle w:val="ListBullet"/>
        <w:ind w:left="357"/>
        <w:jc w:val="both"/>
      </w:pPr>
      <w:r>
        <w:rPr>
          <w:rFonts w:ascii="Cambria" w:hAnsi="Cambria"/>
          <w:sz w:val="22"/>
        </w:rPr>
        <w:t>Set up national and state-level monitoring councils to evaluate the effectiveness of policies addressing violence against women.</w:t>
      </w:r>
    </w:p>
    <w:p>
      <w:pPr>
        <w:pStyle w:val="ListBullet"/>
        <w:ind w:left="357"/>
        <w:jc w:val="both"/>
      </w:pPr>
      <w:r>
        <w:rPr>
          <w:rFonts w:ascii="Cambria" w:hAnsi="Cambria"/>
          <w:sz w:val="22"/>
        </w:rPr>
        <w:t>Create a centralized digital database for tracking incidents, convictions, and rehabilitation cases to enable evidence-based policymaking.</w:t>
      </w:r>
    </w:p>
    <w:p>
      <w:pPr>
        <w:pStyle w:val="ListBullet"/>
        <w:ind w:left="357"/>
        <w:jc w:val="both"/>
      </w:pPr>
      <w:r>
        <w:rPr>
          <w:rFonts w:ascii="Cambria" w:hAnsi="Cambria"/>
          <w:sz w:val="22"/>
        </w:rPr>
        <w:t>Ensure annual reporting and public disclosure of progress indicators, policy outcomes, and corrective actions.</w:t>
      </w:r>
    </w:p>
    <w:p>
      <w:pPr>
        <w:pStyle w:val="ListBullet"/>
        <w:ind w:left="357"/>
        <w:jc w:val="both"/>
      </w:pPr>
      <w:r>
        <w:rPr>
          <w:rFonts w:ascii="Cambria" w:hAnsi="Cambria"/>
          <w:sz w:val="22"/>
        </w:rPr>
        <w:t>Introduce performance-linked accountability for law enforcement and administrative bodies involved in gender safety governance.</w:t>
      </w:r>
    </w:p>
    <w:p>
      <w:pPr>
        <w:spacing w:before="240" w:after="120"/>
        <w:jc w:val="left"/>
      </w:pPr>
      <w:r>
        <w:rPr>
          <w:rFonts w:ascii="Cambria" w:hAnsi="Cambria"/>
          <w:b/>
          <w:color w:val="1F3A5F"/>
          <w:sz w:val="28"/>
        </w:rPr>
        <w:t>Integration with Educational and Institutional Systems</w:t>
      </w:r>
    </w:p>
    <w:p>
      <w:pPr>
        <w:pStyle w:val="ListBullet"/>
        <w:ind w:left="357"/>
        <w:jc w:val="both"/>
      </w:pPr>
      <w:r>
        <w:rPr>
          <w:rFonts w:ascii="Cambria" w:hAnsi="Cambria"/>
          <w:sz w:val="22"/>
        </w:rPr>
        <w:t>Encourage HEIs, schools, and workplaces to adopt anti-violence codes of conduct and to conduct regular gender-safety audits.</w:t>
      </w:r>
    </w:p>
    <w:p>
      <w:pPr>
        <w:pStyle w:val="ListBullet"/>
        <w:ind w:left="357"/>
        <w:jc w:val="both"/>
      </w:pPr>
      <w:r>
        <w:rPr>
          <w:rFonts w:ascii="Cambria" w:hAnsi="Cambria"/>
          <w:sz w:val="22"/>
        </w:rPr>
        <w:t>Include gender rights and self-defense training in the curriculum to promote empowerment and awareness among girls.</w:t>
      </w:r>
    </w:p>
    <w:p>
      <w:pPr>
        <w:pStyle w:val="ListBullet"/>
        <w:ind w:left="357"/>
        <w:jc w:val="both"/>
      </w:pPr>
      <w:r>
        <w:rPr>
          <w:rFonts w:ascii="Cambria" w:hAnsi="Cambria"/>
          <w:sz w:val="22"/>
        </w:rPr>
        <w:t>Align institutional safety protocols with national women's safety programs and coordinate with local law enforcement agencies.</w:t>
      </w:r>
    </w:p>
    <w:p>
      <w:pPr>
        <w:spacing w:before="240" w:after="120"/>
        <w:jc w:val="left"/>
      </w:pPr>
      <w:r>
        <w:rPr>
          <w:rFonts w:ascii="Cambria" w:hAnsi="Cambria"/>
          <w:b/>
          <w:color w:val="1F3A5F"/>
          <w:sz w:val="28"/>
        </w:rPr>
        <w:t>Expected Outcomes</w:t>
      </w:r>
    </w:p>
    <w:p>
      <w:pPr>
        <w:pStyle w:val="ListBullet"/>
        <w:ind w:left="357"/>
        <w:jc w:val="both"/>
      </w:pPr>
      <w:r>
        <w:rPr>
          <w:rFonts w:ascii="Cambria" w:hAnsi="Cambria"/>
          <w:sz w:val="22"/>
        </w:rPr>
        <w:t>Drastic reduction in gender-based violence, harassment, and trafficking incidents through preventive and punitive measures.</w:t>
      </w:r>
    </w:p>
    <w:p>
      <w:pPr>
        <w:pStyle w:val="ListBullet"/>
        <w:ind w:left="357"/>
        <w:jc w:val="both"/>
      </w:pPr>
      <w:r>
        <w:rPr>
          <w:rFonts w:ascii="Cambria" w:hAnsi="Cambria"/>
          <w:sz w:val="22"/>
        </w:rPr>
        <w:t>Strengthened trust in legal systems, encouraging women to report crimes without fear of retaliation or social stigma.</w:t>
      </w:r>
    </w:p>
    <w:p>
      <w:pPr>
        <w:pStyle w:val="ListBullet"/>
        <w:ind w:left="357"/>
        <w:jc w:val="both"/>
      </w:pPr>
      <w:r>
        <w:rPr>
          <w:rFonts w:ascii="Cambria" w:hAnsi="Cambria"/>
          <w:sz w:val="22"/>
        </w:rPr>
        <w:t>Creation of a secure public and domestic environment that enables women and girls to participate equally in education, employment, and leadership.</w:t>
      </w:r>
    </w:p>
    <w:p>
      <w:pPr>
        <w:pStyle w:val="ListBullet"/>
        <w:ind w:left="357"/>
        <w:jc w:val="both"/>
      </w:pPr>
      <w:r>
        <w:rPr>
          <w:rFonts w:ascii="Cambria" w:hAnsi="Cambria"/>
          <w:sz w:val="22"/>
        </w:rPr>
        <w:t>Achievement of SDG-5 targets and reinforcement of India's commitment to gender justice, equality, and human rights.</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Government-led formulation and strict implementation of gender-focused laws are essential to build a society free from violence and exploitation.</w:t>
      </w:r>
    </w:p>
    <w:p>
      <w:pPr>
        <w:spacing w:after="120"/>
        <w:jc w:val="both"/>
      </w:pPr>
      <w:r>
        <w:rPr>
          <w:rFonts w:ascii="Cambria" w:hAnsi="Cambria"/>
          <w:b w:val="0"/>
          <w:i w:val="0"/>
          <w:sz w:val="22"/>
        </w:rPr>
        <w:t>By ensuring prevention, protection, and rehabilitation, India can create a safe, inclusive, and equitable environment for every woman and girl, thus advancing the national vision of empowerment and sustainable development.</w:t>
      </w:r>
    </w:p>
    <w:p>
      <w:pPr>
        <w:spacing w:before="280" w:after="160"/>
        <w:jc w:val="left"/>
      </w:pPr>
      <w:r>
        <w:rPr>
          <w:rFonts w:ascii="Cambria" w:hAnsi="Cambria"/>
          <w:b/>
          <w:color w:val="1F3A5F"/>
          <w:sz w:val="32"/>
        </w:rPr>
        <w:t>11. Orientation and Community Awareness on Women's Role and Protection Against Violence in HEIs</w:t>
      </w:r>
    </w:p>
    <w:p>
      <w:pPr>
        <w:spacing w:before="240" w:after="120"/>
        <w:jc w:val="left"/>
      </w:pPr>
      <w:r>
        <w:rPr>
          <w:rFonts w:ascii="Cambria" w:hAnsi="Cambria"/>
          <w:b/>
          <w:color w:val="1F3A5F"/>
          <w:sz w:val="28"/>
        </w:rPr>
        <w:t>Integrating Gender Awareness into Institutional Culture</w:t>
      </w:r>
    </w:p>
    <w:p>
      <w:pPr>
        <w:pStyle w:val="ListBullet"/>
        <w:ind w:left="357"/>
        <w:jc w:val="both"/>
      </w:pPr>
      <w:r>
        <w:rPr>
          <w:rFonts w:ascii="Cambria" w:hAnsi="Cambria"/>
          <w:sz w:val="22"/>
        </w:rPr>
        <w:t>Higher Education Institutions (HEIs) must organize orientation and sensitization programs for students, faculty, and staff to build awareness about gender equality, women's rights, and social responsibilities.</w:t>
      </w:r>
    </w:p>
    <w:p>
      <w:pPr>
        <w:pStyle w:val="ListBullet"/>
        <w:ind w:left="357"/>
        <w:jc w:val="both"/>
      </w:pPr>
      <w:r>
        <w:rPr>
          <w:rFonts w:ascii="Cambria" w:hAnsi="Cambria"/>
          <w:sz w:val="22"/>
        </w:rPr>
        <w:t>These programs should emphasize the inevitable role of women in sustaining humanity, focusing on women as key contributors to family, community, and national development.</w:t>
      </w:r>
    </w:p>
    <w:p>
      <w:pPr>
        <w:pStyle w:val="ListBullet"/>
        <w:ind w:left="357"/>
        <w:jc w:val="both"/>
      </w:pPr>
      <w:r>
        <w:rPr>
          <w:rFonts w:ascii="Cambria" w:hAnsi="Cambria"/>
          <w:sz w:val="22"/>
        </w:rPr>
        <w:t>The goal is to nurture a gender-just mindset among educated youth who will influence broader social change beyond the campus.</w:t>
      </w:r>
    </w:p>
    <w:p>
      <w:pPr>
        <w:spacing w:before="240" w:after="120"/>
        <w:jc w:val="left"/>
      </w:pPr>
      <w:r>
        <w:rPr>
          <w:rFonts w:ascii="Cambria" w:hAnsi="Cambria"/>
          <w:b/>
          <w:color w:val="1F3A5F"/>
          <w:sz w:val="28"/>
        </w:rPr>
        <w:t>Community Outreach and Rural Engagement</w:t>
      </w:r>
    </w:p>
    <w:p>
      <w:pPr>
        <w:pStyle w:val="ListBullet"/>
        <w:ind w:left="357"/>
        <w:jc w:val="both"/>
      </w:pPr>
      <w:r>
        <w:rPr>
          <w:rFonts w:ascii="Cambria" w:hAnsi="Cambria"/>
          <w:sz w:val="22"/>
        </w:rPr>
        <w:t>HEIs should extend gender sensitization beyond campus boundaries through community outreach programs, particularly targeting rural populations and economically weaker sections.</w:t>
      </w:r>
    </w:p>
    <w:p>
      <w:pPr>
        <w:pStyle w:val="ListBullet"/>
        <w:ind w:left="357"/>
        <w:jc w:val="both"/>
      </w:pPr>
      <w:r>
        <w:rPr>
          <w:rFonts w:ascii="Cambria" w:hAnsi="Cambria"/>
          <w:sz w:val="22"/>
        </w:rPr>
        <w:t>Conduct awareness camps, village seminars, and street plays to educate local communities on the importance of women's dignity, equality, and safety.</w:t>
      </w:r>
    </w:p>
    <w:p>
      <w:pPr>
        <w:pStyle w:val="ListBullet"/>
        <w:ind w:left="357"/>
        <w:jc w:val="both"/>
      </w:pPr>
      <w:r>
        <w:rPr>
          <w:rFonts w:ascii="Cambria" w:hAnsi="Cambria"/>
          <w:sz w:val="22"/>
        </w:rPr>
        <w:t>Use vernacular languages and local cultural forms to effectively communicate messages on gender equity and prevention of violence against women.</w:t>
      </w:r>
    </w:p>
    <w:p>
      <w:pPr>
        <w:pStyle w:val="ListBullet"/>
        <w:ind w:left="357"/>
        <w:jc w:val="both"/>
      </w:pPr>
      <w:r>
        <w:rPr>
          <w:rFonts w:ascii="Cambria" w:hAnsi="Cambria"/>
          <w:sz w:val="22"/>
        </w:rPr>
        <w:t>Collaborate with local panchayats, NGOs, and women's self-help groups (SHGs) to sustain awareness efforts and create a ripple effect of change.</w:t>
      </w:r>
    </w:p>
    <w:p>
      <w:pPr>
        <w:spacing w:before="240" w:after="120"/>
        <w:jc w:val="left"/>
      </w:pPr>
      <w:r>
        <w:rPr>
          <w:rFonts w:ascii="Cambria" w:hAnsi="Cambria"/>
          <w:b/>
          <w:color w:val="1F3A5F"/>
          <w:sz w:val="28"/>
        </w:rPr>
        <w:t>Education on Government Policies and Legal Frameworks</w:t>
      </w:r>
    </w:p>
    <w:p>
      <w:pPr>
        <w:pStyle w:val="ListBullet"/>
        <w:ind w:left="357"/>
        <w:jc w:val="both"/>
      </w:pPr>
      <w:r>
        <w:rPr>
          <w:rFonts w:ascii="Cambria" w:hAnsi="Cambria"/>
          <w:sz w:val="22"/>
        </w:rPr>
        <w:t>Orient all stakeholders about the Government of India's laws and schemes related to the prevention of violence against women, including:</w:t>
      </w:r>
    </w:p>
    <w:p>
      <w:pPr>
        <w:pStyle w:val="ListBullet2"/>
        <w:ind w:left="720"/>
        <w:jc w:val="both"/>
      </w:pPr>
      <w:r>
        <w:rPr>
          <w:rFonts w:ascii="Cambria" w:hAnsi="Cambria"/>
          <w:sz w:val="22"/>
        </w:rPr>
        <w:t>Protection of Women from Domestic Violence Act (2005)</w:t>
      </w:r>
    </w:p>
    <w:p>
      <w:pPr>
        <w:pStyle w:val="ListBullet2"/>
        <w:ind w:left="720"/>
        <w:jc w:val="both"/>
      </w:pPr>
      <w:r>
        <w:rPr>
          <w:rFonts w:ascii="Cambria" w:hAnsi="Cambria"/>
          <w:sz w:val="22"/>
        </w:rPr>
        <w:t>Criminal Law (Amendment) Act (2013) – covering sexual assault and harassment</w:t>
      </w:r>
    </w:p>
    <w:p>
      <w:pPr>
        <w:pStyle w:val="ListBullet2"/>
        <w:ind w:left="720"/>
        <w:jc w:val="both"/>
      </w:pPr>
      <w:r>
        <w:rPr>
          <w:rFonts w:ascii="Cambria" w:hAnsi="Cambria"/>
          <w:sz w:val="22"/>
        </w:rPr>
        <w:t>Immoral Traffic (Prevention) Act (1956)</w:t>
      </w:r>
    </w:p>
    <w:p>
      <w:pPr>
        <w:pStyle w:val="ListBullet2"/>
        <w:ind w:left="720"/>
        <w:jc w:val="both"/>
      </w:pPr>
      <w:r>
        <w:rPr>
          <w:rFonts w:ascii="Cambria" w:hAnsi="Cambria"/>
          <w:sz w:val="22"/>
        </w:rPr>
        <w:t>Prevention of Sexual Harassment (POSH) Act (2013)</w:t>
      </w:r>
    </w:p>
    <w:p>
      <w:pPr>
        <w:pStyle w:val="ListBullet2"/>
        <w:ind w:left="720"/>
        <w:jc w:val="both"/>
      </w:pPr>
      <w:r>
        <w:rPr>
          <w:rFonts w:ascii="Cambria" w:hAnsi="Cambria"/>
          <w:sz w:val="22"/>
        </w:rPr>
        <w:t>Beti Bachao, Beti Padhao Scheme</w:t>
      </w:r>
    </w:p>
    <w:p>
      <w:pPr>
        <w:pStyle w:val="ListBullet2"/>
        <w:ind w:left="720"/>
        <w:jc w:val="both"/>
      </w:pPr>
      <w:r>
        <w:rPr>
          <w:rFonts w:ascii="Cambria" w:hAnsi="Cambria"/>
          <w:sz w:val="22"/>
        </w:rPr>
        <w:t>Ujjawala Scheme (for prevention and rehabilitation of trafficking victims)</w:t>
      </w:r>
    </w:p>
    <w:p>
      <w:pPr>
        <w:pStyle w:val="ListBullet"/>
        <w:ind w:left="357"/>
        <w:jc w:val="both"/>
      </w:pPr>
      <w:r>
        <w:rPr>
          <w:rFonts w:ascii="Cambria" w:hAnsi="Cambria"/>
          <w:sz w:val="22"/>
        </w:rPr>
        <w:t>Encourage students and faculty to become change agents, spreading awareness about these policies in rural and marginalized communities through extension activities.</w:t>
      </w:r>
    </w:p>
    <w:p>
      <w:pPr>
        <w:spacing w:before="240" w:after="120"/>
        <w:jc w:val="left"/>
      </w:pPr>
      <w:r>
        <w:rPr>
          <w:rFonts w:ascii="Cambria" w:hAnsi="Cambria"/>
          <w:b/>
          <w:color w:val="1F3A5F"/>
          <w:sz w:val="28"/>
        </w:rPr>
        <w:t>Integration into Academic and Co-Curricular Activities</w:t>
      </w:r>
    </w:p>
    <w:p>
      <w:pPr>
        <w:pStyle w:val="ListBullet"/>
        <w:ind w:left="357"/>
        <w:jc w:val="both"/>
      </w:pPr>
      <w:r>
        <w:rPr>
          <w:rFonts w:ascii="Cambria" w:hAnsi="Cambria"/>
          <w:sz w:val="22"/>
        </w:rPr>
        <w:t>Include modules on gender equality, human rights, and legal awareness in the curriculum, especially under social sciences, law, and community development courses.</w:t>
      </w:r>
    </w:p>
    <w:p>
      <w:pPr>
        <w:pStyle w:val="ListBullet"/>
        <w:ind w:left="357"/>
        <w:jc w:val="both"/>
      </w:pPr>
      <w:r>
        <w:rPr>
          <w:rFonts w:ascii="Cambria" w:hAnsi="Cambria"/>
          <w:sz w:val="22"/>
        </w:rPr>
        <w:t>Promote student-led projects, debates, essay competitions, and poster campaigns that highlight women's contributions and address social issues like harassment, trafficking, and exploitation.</w:t>
      </w:r>
    </w:p>
    <w:p>
      <w:pPr>
        <w:pStyle w:val="ListBullet"/>
        <w:ind w:left="357"/>
        <w:jc w:val="both"/>
      </w:pPr>
      <w:r>
        <w:rPr>
          <w:rFonts w:ascii="Cambria" w:hAnsi="Cambria"/>
          <w:sz w:val="22"/>
        </w:rPr>
        <w:t>Celebrate International Women's Day, National Girl Child Day, and Women's Empowerment Week as platforms for advocacy and outreach.</w:t>
      </w:r>
    </w:p>
    <w:p>
      <w:pPr>
        <w:spacing w:before="240" w:after="120"/>
        <w:jc w:val="left"/>
      </w:pPr>
      <w:r>
        <w:rPr>
          <w:rFonts w:ascii="Cambria" w:hAnsi="Cambria"/>
          <w:b/>
          <w:color w:val="1F3A5F"/>
          <w:sz w:val="28"/>
        </w:rPr>
        <w:t>Collaboration and Partnerships for Impact</w:t>
      </w:r>
    </w:p>
    <w:p>
      <w:pPr>
        <w:pStyle w:val="ListBullet"/>
        <w:ind w:left="357"/>
        <w:jc w:val="both"/>
      </w:pPr>
      <w:r>
        <w:rPr>
          <w:rFonts w:ascii="Cambria" w:hAnsi="Cambria"/>
          <w:sz w:val="22"/>
        </w:rPr>
        <w:t>Partner with District Legal Services Authorities (DLSA), National Commission for Women (NCW), and local police departments to conduct legal literacy programs on women's protection.</w:t>
      </w:r>
    </w:p>
    <w:p>
      <w:pPr>
        <w:pStyle w:val="ListBullet"/>
        <w:ind w:left="357"/>
        <w:jc w:val="both"/>
      </w:pPr>
      <w:r>
        <w:rPr>
          <w:rFonts w:ascii="Cambria" w:hAnsi="Cambria"/>
          <w:sz w:val="22"/>
        </w:rPr>
        <w:t>Collaborate with community radio stations and local media to broadcast educational programs on gender issues, reaching wider audiences in rural areas.</w:t>
      </w:r>
    </w:p>
    <w:p>
      <w:pPr>
        <w:pStyle w:val="ListBullet"/>
        <w:ind w:left="357"/>
        <w:jc w:val="both"/>
      </w:pPr>
      <w:r>
        <w:rPr>
          <w:rFonts w:ascii="Cambria" w:hAnsi="Cambria"/>
          <w:sz w:val="22"/>
        </w:rPr>
        <w:t>Encourage NSS (National Service Scheme) and NCC (National Cadet Corps) units to lead community sensitization drives promoting respect, equality, and anti-violence messages.</w:t>
      </w:r>
    </w:p>
    <w:p>
      <w:pPr>
        <w:spacing w:before="240" w:after="120"/>
        <w:jc w:val="left"/>
      </w:pPr>
      <w:r>
        <w:rPr>
          <w:rFonts w:ascii="Cambria" w:hAnsi="Cambria"/>
          <w:b/>
          <w:color w:val="1F3A5F"/>
          <w:sz w:val="28"/>
        </w:rPr>
        <w:t>Capacity Building for Faculty and Staff</w:t>
      </w:r>
    </w:p>
    <w:p>
      <w:pPr>
        <w:pStyle w:val="ListBullet"/>
        <w:ind w:left="357"/>
        <w:jc w:val="both"/>
      </w:pPr>
      <w:r>
        <w:rPr>
          <w:rFonts w:ascii="Cambria" w:hAnsi="Cambria"/>
          <w:sz w:val="22"/>
        </w:rPr>
        <w:t>Provide training to faculty members on how to integrate gender sensitivity and women's empowerment themes into classroom discussions and community projects.</w:t>
      </w:r>
    </w:p>
    <w:p>
      <w:pPr>
        <w:pStyle w:val="ListBullet"/>
        <w:ind w:left="357"/>
        <w:jc w:val="both"/>
      </w:pPr>
      <w:r>
        <w:rPr>
          <w:rFonts w:ascii="Cambria" w:hAnsi="Cambria"/>
          <w:sz w:val="22"/>
        </w:rPr>
        <w:t>Faculty should act as mentors and role models, guiding students toward inclusive attitudes and responsible social behavior.</w:t>
      </w:r>
    </w:p>
    <w:p>
      <w:pPr>
        <w:spacing w:before="240" w:after="120"/>
        <w:jc w:val="left"/>
      </w:pPr>
      <w:r>
        <w:rPr>
          <w:rFonts w:ascii="Cambria" w:hAnsi="Cambria"/>
          <w:b/>
          <w:color w:val="1F3A5F"/>
          <w:sz w:val="28"/>
        </w:rPr>
        <w:t>Expected Institutional Outcomes</w:t>
      </w:r>
    </w:p>
    <w:p>
      <w:pPr>
        <w:pStyle w:val="ListBullet"/>
        <w:ind w:left="357"/>
        <w:jc w:val="both"/>
      </w:pPr>
      <w:r>
        <w:rPr>
          <w:rFonts w:ascii="Cambria" w:hAnsi="Cambria"/>
          <w:sz w:val="22"/>
        </w:rPr>
        <w:t>Enhanced gender sensitivity among students, staff, and communities, leading to more respectful and equitable behavior in public and private spaces.</w:t>
      </w:r>
    </w:p>
    <w:p>
      <w:pPr>
        <w:pStyle w:val="ListBullet"/>
        <w:ind w:left="357"/>
        <w:jc w:val="both"/>
      </w:pPr>
      <w:r>
        <w:rPr>
          <w:rFonts w:ascii="Cambria" w:hAnsi="Cambria"/>
          <w:sz w:val="22"/>
        </w:rPr>
        <w:t>Increased community awareness of government policies, legal protections, and reporting mechanisms related to violence against women.</w:t>
      </w:r>
    </w:p>
    <w:p>
      <w:pPr>
        <w:pStyle w:val="ListBullet"/>
        <w:ind w:left="357"/>
        <w:jc w:val="both"/>
      </w:pPr>
      <w:r>
        <w:rPr>
          <w:rFonts w:ascii="Cambria" w:hAnsi="Cambria"/>
          <w:sz w:val="22"/>
        </w:rPr>
        <w:t>Strengthened HEI–community partnerships that foster social responsibility and sustainable gender equality initiatives.</w:t>
      </w:r>
    </w:p>
    <w:p>
      <w:pPr>
        <w:pStyle w:val="ListBullet"/>
        <w:ind w:left="357"/>
        <w:jc w:val="both"/>
      </w:pPr>
      <w:r>
        <w:rPr>
          <w:rFonts w:ascii="Cambria" w:hAnsi="Cambria"/>
          <w:sz w:val="22"/>
        </w:rPr>
        <w:t>Contribution toward SDG-5 (Gender Equality) and SDG-16 (Peace, Justice, and Strong Institutions) through education-led advocacy and empowerment.</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By orienting students, faculty, and communities about women's indispensable role in society and the laws protecting them, HEIs become agents of social transformation.</w:t>
      </w:r>
    </w:p>
    <w:p>
      <w:pPr>
        <w:spacing w:after="120"/>
        <w:jc w:val="both"/>
      </w:pPr>
      <w:r>
        <w:rPr>
          <w:rFonts w:ascii="Cambria" w:hAnsi="Cambria"/>
          <w:b w:val="0"/>
          <w:i w:val="0"/>
          <w:sz w:val="22"/>
        </w:rPr>
        <w:t>These efforts promote a culture of respect, awareness, and shared responsibility, ensuring that education contributes not only to academic excellence but also to the moral and social progress of the nation.</w:t>
      </w:r>
    </w:p>
    <w:p>
      <w:pPr>
        <w:spacing w:before="280" w:after="160"/>
        <w:jc w:val="left"/>
      </w:pPr>
      <w:r>
        <w:rPr>
          <w:rFonts w:ascii="Cambria" w:hAnsi="Cambria"/>
          <w:b/>
          <w:color w:val="1F3A5F"/>
          <w:sz w:val="32"/>
        </w:rPr>
        <w:t>12. Participation in National Campaigns and Institutional Reporting on Violence Against Women</w:t>
      </w:r>
    </w:p>
    <w:p>
      <w:pPr>
        <w:spacing w:before="240" w:after="120"/>
        <w:jc w:val="left"/>
      </w:pPr>
      <w:r>
        <w:rPr>
          <w:rFonts w:ascii="Cambria" w:hAnsi="Cambria"/>
          <w:b/>
          <w:color w:val="1F3A5F"/>
          <w:sz w:val="28"/>
        </w:rPr>
        <w:t>Active Participation in National Campaigns</w:t>
      </w:r>
    </w:p>
    <w:p>
      <w:pPr>
        <w:pStyle w:val="ListBullet"/>
        <w:ind w:left="357"/>
        <w:jc w:val="both"/>
      </w:pPr>
      <w:r>
        <w:rPr>
          <w:rFonts w:ascii="Cambria" w:hAnsi="Cambria"/>
          <w:sz w:val="22"/>
        </w:rPr>
        <w:t>Higher Education Institutions (HEIs) must actively participate in national campaigns launched by the Government of India to prevent violence against women and girls, reinforcing their social responsibility as educational institutions.</w:t>
      </w:r>
    </w:p>
    <w:p>
      <w:pPr>
        <w:pStyle w:val="ListBullet"/>
        <w:ind w:left="357"/>
        <w:jc w:val="both"/>
      </w:pPr>
      <w:r>
        <w:rPr>
          <w:rFonts w:ascii="Cambria" w:hAnsi="Cambria"/>
          <w:sz w:val="22"/>
        </w:rPr>
        <w:t>Campaigns such as “Beti Bachao, Beti Padhao,” “Nirbhaya Initiative,” “One Stop Centre Scheme,” “Sakhi,” and “Women Helpline (181)” should be integrated into the institutional outreach and awareness programs.</w:t>
      </w:r>
    </w:p>
    <w:p>
      <w:pPr>
        <w:pStyle w:val="ListBullet"/>
        <w:ind w:left="357"/>
        <w:jc w:val="both"/>
      </w:pPr>
      <w:r>
        <w:rPr>
          <w:rFonts w:ascii="Cambria" w:hAnsi="Cambria"/>
          <w:sz w:val="22"/>
        </w:rPr>
        <w:t>Organize awareness rallies, seminars, panel discussions, and poster exhibitions to align with these national efforts and sensitize students and the community about the prevention of violence and harassment.</w:t>
      </w:r>
    </w:p>
    <w:p>
      <w:pPr>
        <w:pStyle w:val="ListBullet"/>
        <w:ind w:left="357"/>
        <w:jc w:val="both"/>
      </w:pPr>
      <w:r>
        <w:rPr>
          <w:rFonts w:ascii="Cambria" w:hAnsi="Cambria"/>
          <w:sz w:val="22"/>
        </w:rPr>
        <w:t>Encourage student clubs, NSS (National Service Scheme), NCC (National Cadet Corps), and Women Development Cells (WDCs) to lead and represent the institution in these campaigns at local, state, and national levels.</w:t>
      </w:r>
    </w:p>
    <w:p>
      <w:pPr>
        <w:spacing w:before="240" w:after="120"/>
        <w:jc w:val="left"/>
      </w:pPr>
      <w:r>
        <w:rPr>
          <w:rFonts w:ascii="Cambria" w:hAnsi="Cambria"/>
          <w:b/>
          <w:color w:val="1F3A5F"/>
          <w:sz w:val="28"/>
        </w:rPr>
        <w:t>Institutional Commitment to Transparency and Accountability</w:t>
      </w:r>
    </w:p>
    <w:p>
      <w:pPr>
        <w:pStyle w:val="ListBullet"/>
        <w:ind w:left="357"/>
        <w:jc w:val="both"/>
      </w:pPr>
      <w:r>
        <w:rPr>
          <w:rFonts w:ascii="Cambria" w:hAnsi="Cambria"/>
          <w:sz w:val="22"/>
        </w:rPr>
        <w:t>HEIs must commit to transparency by maintaining records and publishing reports on incidents of sexual harassment or assault within the institution, in accordance with the University Grants Commission (UGC) Regulations, 2015.</w:t>
      </w:r>
    </w:p>
    <w:p>
      <w:pPr>
        <w:pStyle w:val="ListBullet"/>
        <w:ind w:left="357"/>
        <w:jc w:val="both"/>
      </w:pPr>
      <w:r>
        <w:rPr>
          <w:rFonts w:ascii="Cambria" w:hAnsi="Cambria"/>
          <w:sz w:val="22"/>
        </w:rPr>
        <w:t>Institutions should submit annual reports to the UGC and affiliating universities detailing the number of complaints received, actions taken, and preventive measures implemented by the Internal Complaints Committee (ICC).</w:t>
      </w:r>
    </w:p>
    <w:p>
      <w:pPr>
        <w:pStyle w:val="ListBullet"/>
        <w:ind w:left="357"/>
        <w:jc w:val="both"/>
      </w:pPr>
      <w:r>
        <w:rPr>
          <w:rFonts w:ascii="Cambria" w:hAnsi="Cambria"/>
          <w:sz w:val="22"/>
        </w:rPr>
        <w:t>These reports should also be shared with IQAC (Internal Quality Assurance Cell) for monitoring, review, and inclusion in institutional audit documentation.</w:t>
      </w:r>
    </w:p>
    <w:p>
      <w:pPr>
        <w:pStyle w:val="ListBullet"/>
        <w:ind w:left="357"/>
        <w:jc w:val="both"/>
      </w:pPr>
      <w:r>
        <w:rPr>
          <w:rFonts w:ascii="Cambria" w:hAnsi="Cambria"/>
          <w:sz w:val="22"/>
        </w:rPr>
        <w:t>Ensure that reporting mechanisms respect privacy and confidentiality while maintaining accountability in addressing gender-based incidents.</w:t>
      </w:r>
    </w:p>
    <w:p>
      <w:pPr>
        <w:spacing w:before="240" w:after="120"/>
        <w:jc w:val="left"/>
      </w:pPr>
      <w:r>
        <w:rPr>
          <w:rFonts w:ascii="Cambria" w:hAnsi="Cambria"/>
          <w:b/>
          <w:color w:val="1F3A5F"/>
          <w:sz w:val="28"/>
        </w:rPr>
        <w:t>Establishing Robust Reporting and Redressal Mechanisms</w:t>
      </w:r>
    </w:p>
    <w:p>
      <w:pPr>
        <w:pStyle w:val="ListBullet"/>
        <w:ind w:left="357"/>
        <w:jc w:val="both"/>
      </w:pPr>
      <w:r>
        <w:rPr>
          <w:rFonts w:ascii="Cambria" w:hAnsi="Cambria"/>
          <w:sz w:val="22"/>
        </w:rPr>
        <w:t>Create a user-friendly online and offline complaint portal for reporting cases of harassment, ensuring accessibility for all students and staff.</w:t>
      </w:r>
    </w:p>
    <w:p>
      <w:pPr>
        <w:pStyle w:val="ListBullet"/>
        <w:ind w:left="357"/>
        <w:jc w:val="both"/>
      </w:pPr>
      <w:r>
        <w:rPr>
          <w:rFonts w:ascii="Cambria" w:hAnsi="Cambria"/>
          <w:sz w:val="22"/>
        </w:rPr>
        <w:t>The Internal Complaints Committee (ICC) should handle cases promptly, ensuring confidentiality, fairness, and adherence to legal timelines as per the POSH Act, 2013.</w:t>
      </w:r>
    </w:p>
    <w:p>
      <w:pPr>
        <w:pStyle w:val="ListBullet"/>
        <w:ind w:left="357"/>
        <w:jc w:val="both"/>
      </w:pPr>
      <w:r>
        <w:rPr>
          <w:rFonts w:ascii="Cambria" w:hAnsi="Cambria"/>
          <w:sz w:val="22"/>
        </w:rPr>
        <w:t>Maintain a centralized database for complaints, actions, and outcomes to ensure consistency in institutional reporting.</w:t>
      </w:r>
    </w:p>
    <w:p>
      <w:pPr>
        <w:pStyle w:val="ListBullet"/>
        <w:ind w:left="357"/>
        <w:jc w:val="both"/>
      </w:pPr>
      <w:r>
        <w:rPr>
          <w:rFonts w:ascii="Cambria" w:hAnsi="Cambria"/>
          <w:sz w:val="22"/>
        </w:rPr>
        <w:t>Implement a non-retaliation policy to protect complainants and witnesses from discrimination or professional harm.</w:t>
      </w:r>
    </w:p>
    <w:p>
      <w:pPr>
        <w:spacing w:before="240" w:after="120"/>
        <w:jc w:val="left"/>
      </w:pPr>
      <w:r>
        <w:rPr>
          <w:rFonts w:ascii="Cambria" w:hAnsi="Cambria"/>
          <w:b/>
          <w:color w:val="1F3A5F"/>
          <w:sz w:val="28"/>
        </w:rPr>
        <w:t>Collaboration with National and State Authorities</w:t>
      </w:r>
    </w:p>
    <w:p>
      <w:pPr>
        <w:pStyle w:val="ListBullet"/>
        <w:ind w:left="357"/>
        <w:jc w:val="both"/>
      </w:pPr>
      <w:r>
        <w:rPr>
          <w:rFonts w:ascii="Cambria" w:hAnsi="Cambria"/>
          <w:sz w:val="22"/>
        </w:rPr>
        <w:t>Collaborate with National Commission for Women (NCW), State Women's Commissions, and District Legal Services Authorities (DLSA) for capacity building and awareness training.</w:t>
      </w:r>
    </w:p>
    <w:p>
      <w:pPr>
        <w:pStyle w:val="ListBullet"/>
        <w:ind w:left="357"/>
        <w:jc w:val="both"/>
      </w:pPr>
      <w:r>
        <w:rPr>
          <w:rFonts w:ascii="Cambria" w:hAnsi="Cambria"/>
          <w:sz w:val="22"/>
        </w:rPr>
        <w:t>Partner with local law enforcement agencies for workshops on women's safety, digital security, and the legal rights of victims.</w:t>
      </w:r>
    </w:p>
    <w:p>
      <w:pPr>
        <w:pStyle w:val="ListBullet"/>
        <w:ind w:left="357"/>
        <w:jc w:val="both"/>
      </w:pPr>
      <w:r>
        <w:rPr>
          <w:rFonts w:ascii="Cambria" w:hAnsi="Cambria"/>
          <w:sz w:val="22"/>
        </w:rPr>
        <w:t>Participate in national observances such as International Day for the Elimination of Violence Against Women (November 25) and National Girl Child Day (January 24) to amplify awareness.</w:t>
      </w:r>
    </w:p>
    <w:p>
      <w:pPr>
        <w:spacing w:before="240" w:after="120"/>
        <w:jc w:val="left"/>
      </w:pPr>
      <w:r>
        <w:rPr>
          <w:rFonts w:ascii="Cambria" w:hAnsi="Cambria"/>
          <w:b/>
          <w:color w:val="1F3A5F"/>
          <w:sz w:val="28"/>
        </w:rPr>
        <w:t>Data Reporting and Policy Improvement</w:t>
      </w:r>
    </w:p>
    <w:p>
      <w:pPr>
        <w:pStyle w:val="ListBullet"/>
        <w:ind w:left="357"/>
        <w:jc w:val="both"/>
      </w:pPr>
      <w:r>
        <w:rPr>
          <w:rFonts w:ascii="Cambria" w:hAnsi="Cambria"/>
          <w:sz w:val="22"/>
        </w:rPr>
        <w:t>HEIs should compile annual gender safety reports that include preventive initiatives, awareness programs conducted, and improvements made in grievance-handling systems.</w:t>
      </w:r>
    </w:p>
    <w:p>
      <w:pPr>
        <w:pStyle w:val="ListBullet"/>
        <w:ind w:left="357"/>
        <w:jc w:val="both"/>
      </w:pPr>
      <w:r>
        <w:rPr>
          <w:rFonts w:ascii="Cambria" w:hAnsi="Cambria"/>
          <w:sz w:val="22"/>
        </w:rPr>
        <w:t>Analyze trends in complaints to identify systemic issues or recurring safety gaps and revise institutional policies accordingly.</w:t>
      </w:r>
    </w:p>
    <w:p>
      <w:pPr>
        <w:pStyle w:val="ListBullet"/>
        <w:ind w:left="357"/>
        <w:jc w:val="both"/>
      </w:pPr>
      <w:r>
        <w:rPr>
          <w:rFonts w:ascii="Cambria" w:hAnsi="Cambria"/>
          <w:sz w:val="22"/>
        </w:rPr>
        <w:t>Data from HEIs can contribute to national-level gender safety databases, aiding policymakers in framing effective prevention strategies.</w:t>
      </w:r>
    </w:p>
    <w:p>
      <w:pPr>
        <w:spacing w:before="240" w:after="120"/>
        <w:jc w:val="left"/>
      </w:pPr>
      <w:r>
        <w:rPr>
          <w:rFonts w:ascii="Cambria" w:hAnsi="Cambria"/>
          <w:b/>
          <w:color w:val="1F3A5F"/>
          <w:sz w:val="28"/>
        </w:rPr>
        <w:t>Awareness and Preventive Education</w:t>
      </w:r>
    </w:p>
    <w:p>
      <w:pPr>
        <w:pStyle w:val="ListBullet"/>
        <w:ind w:left="357"/>
        <w:jc w:val="both"/>
      </w:pPr>
      <w:r>
        <w:rPr>
          <w:rFonts w:ascii="Cambria" w:hAnsi="Cambria"/>
          <w:sz w:val="22"/>
        </w:rPr>
        <w:t>Integrate anti-violence and gender equality modules into the curriculum, ensuring that every student is aware of their rights and the institutional mechanisms available to them.</w:t>
      </w:r>
    </w:p>
    <w:p>
      <w:pPr>
        <w:pStyle w:val="ListBullet"/>
        <w:ind w:left="357"/>
        <w:jc w:val="both"/>
      </w:pPr>
      <w:r>
        <w:rPr>
          <w:rFonts w:ascii="Cambria" w:hAnsi="Cambria"/>
          <w:sz w:val="22"/>
        </w:rPr>
        <w:t>Conduct self-defense and legal literacy workshops for women students and staff.</w:t>
      </w:r>
    </w:p>
    <w:p>
      <w:pPr>
        <w:pStyle w:val="ListBullet"/>
        <w:ind w:left="357"/>
        <w:jc w:val="both"/>
      </w:pPr>
      <w:r>
        <w:rPr>
          <w:rFonts w:ascii="Cambria" w:hAnsi="Cambria"/>
          <w:sz w:val="22"/>
        </w:rPr>
        <w:t>Use digital media campaigns and campus radio to spread messages about safety, respect, and equality.</w:t>
      </w:r>
    </w:p>
    <w:p>
      <w:pPr>
        <w:spacing w:before="240" w:after="120"/>
        <w:jc w:val="left"/>
      </w:pPr>
      <w:r>
        <w:rPr>
          <w:rFonts w:ascii="Cambria" w:hAnsi="Cambria"/>
          <w:b/>
          <w:color w:val="1F3A5F"/>
          <w:sz w:val="28"/>
        </w:rPr>
        <w:t>Expected Outcomes</w:t>
      </w:r>
    </w:p>
    <w:p>
      <w:pPr>
        <w:pStyle w:val="ListBullet"/>
        <w:ind w:left="357"/>
        <w:jc w:val="both"/>
      </w:pPr>
      <w:r>
        <w:rPr>
          <w:rFonts w:ascii="Cambria" w:hAnsi="Cambria"/>
          <w:sz w:val="22"/>
        </w:rPr>
        <w:t>Strengthened accountability and transparency in addressing gender-based violence within HEIs.</w:t>
      </w:r>
    </w:p>
    <w:p>
      <w:pPr>
        <w:pStyle w:val="ListBullet"/>
        <w:ind w:left="357"/>
        <w:jc w:val="both"/>
      </w:pPr>
      <w:r>
        <w:rPr>
          <w:rFonts w:ascii="Cambria" w:hAnsi="Cambria"/>
          <w:sz w:val="22"/>
        </w:rPr>
        <w:t>Increased student and staff confidence in institutional mechanisms for safety and redressal.</w:t>
      </w:r>
    </w:p>
    <w:p>
      <w:pPr>
        <w:pStyle w:val="ListBullet"/>
        <w:ind w:left="357"/>
        <w:jc w:val="both"/>
      </w:pPr>
      <w:r>
        <w:rPr>
          <w:rFonts w:ascii="Cambria" w:hAnsi="Cambria"/>
          <w:sz w:val="22"/>
        </w:rPr>
        <w:t>Enhanced public trust in the institution's commitment to gender justice and human rights.</w:t>
      </w:r>
    </w:p>
    <w:p>
      <w:pPr>
        <w:pStyle w:val="ListBullet"/>
        <w:ind w:left="357"/>
        <w:jc w:val="both"/>
      </w:pPr>
      <w:r>
        <w:rPr>
          <w:rFonts w:ascii="Cambria" w:hAnsi="Cambria"/>
          <w:sz w:val="22"/>
        </w:rPr>
        <w:t>Contribution to national efforts toward SDG-5 (Gender Equality) and SDG-16 (Peace, Justice, and Strong Institutions) by promoting integrity, safety, and equity on campuses.</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By participating in national anti-violence campaigns and committing to transparent reporting, HEIs demonstrate their role as ethical, socially responsible, and gender-sensitive institutions.</w:t>
      </w:r>
    </w:p>
    <w:p>
      <w:pPr>
        <w:spacing w:after="120"/>
        <w:jc w:val="both"/>
      </w:pPr>
      <w:r>
        <w:rPr>
          <w:rFonts w:ascii="Cambria" w:hAnsi="Cambria"/>
          <w:b w:val="0"/>
          <w:i w:val="0"/>
          <w:sz w:val="22"/>
        </w:rPr>
        <w:t>Such initiatives ensure that campuses not only educate but also empower individuals to stand against violence, fostering a culture of equality, accountability, and mutual respect across all levels of society.</w:t>
      </w:r>
    </w:p>
    <w:p>
      <w:pPr>
        <w:spacing w:before="280" w:after="160"/>
        <w:jc w:val="left"/>
      </w:pPr>
      <w:r>
        <w:rPr>
          <w:rFonts w:ascii="Cambria" w:hAnsi="Cambria"/>
          <w:b/>
          <w:color w:val="1F3A5F"/>
          <w:sz w:val="32"/>
        </w:rPr>
        <w:t>13. Formulation of Gender Audit Policy in HEIs by Regulatory Bodies</w:t>
      </w:r>
    </w:p>
    <w:p>
      <w:pPr>
        <w:spacing w:before="240" w:after="120"/>
        <w:jc w:val="left"/>
      </w:pPr>
      <w:r>
        <w:rPr>
          <w:rFonts w:ascii="Cambria" w:hAnsi="Cambria"/>
          <w:b/>
          <w:color w:val="1F3A5F"/>
          <w:sz w:val="28"/>
        </w:rPr>
        <w:t>Purpose and Rationale of Gender Audits</w:t>
      </w:r>
    </w:p>
    <w:p>
      <w:pPr>
        <w:pStyle w:val="ListBullet"/>
        <w:ind w:left="357"/>
        <w:jc w:val="both"/>
      </w:pPr>
      <w:r>
        <w:rPr>
          <w:rFonts w:ascii="Cambria" w:hAnsi="Cambria"/>
          <w:sz w:val="22"/>
        </w:rPr>
        <w:t>Regulatory bodies such as the University Grants Commission (UGC), All India Council for Technical Education (AICTE), and Ministry of Education (MoE) must design and implement a comprehensive Gender Audit Policy for Higher Education Institutions (HEIs).</w:t>
      </w:r>
    </w:p>
    <w:p>
      <w:pPr>
        <w:pStyle w:val="ListBullet"/>
        <w:ind w:left="357"/>
        <w:jc w:val="both"/>
      </w:pPr>
      <w:r>
        <w:rPr>
          <w:rFonts w:ascii="Cambria" w:hAnsi="Cambria"/>
          <w:sz w:val="22"/>
        </w:rPr>
        <w:t>The aim is to systematically evaluate institutional performance in ensuring gender equity in recruitment, employment, service conditions, academic participation, and campus culture.</w:t>
      </w:r>
    </w:p>
    <w:p>
      <w:pPr>
        <w:pStyle w:val="ListBullet"/>
        <w:ind w:left="357"/>
        <w:jc w:val="both"/>
      </w:pPr>
      <w:r>
        <w:rPr>
          <w:rFonts w:ascii="Cambria" w:hAnsi="Cambria"/>
          <w:sz w:val="22"/>
        </w:rPr>
        <w:t>Gender audits help identify existing inequalities, policy gaps, and discriminatory practices, enabling corrective measures for inclusivity and fairness.</w:t>
      </w:r>
    </w:p>
    <w:p>
      <w:pPr>
        <w:pStyle w:val="ListBullet"/>
        <w:ind w:left="357"/>
        <w:jc w:val="both"/>
      </w:pPr>
      <w:r>
        <w:rPr>
          <w:rFonts w:ascii="Cambria" w:hAnsi="Cambria"/>
          <w:sz w:val="22"/>
        </w:rPr>
        <w:t>This initiative aligns with SDG-5 (Gender Equality) and the National Education Policy (NEP) 2020, which emphasizes equity, diversity, and inclusive education.</w:t>
      </w:r>
    </w:p>
    <w:p>
      <w:pPr>
        <w:spacing w:before="240" w:after="120"/>
        <w:jc w:val="left"/>
      </w:pPr>
      <w:r>
        <w:rPr>
          <w:rFonts w:ascii="Cambria" w:hAnsi="Cambria"/>
          <w:b/>
          <w:color w:val="1F3A5F"/>
          <w:sz w:val="28"/>
        </w:rPr>
        <w:t>Objectives of the Gender Audit Policy</w:t>
      </w:r>
    </w:p>
    <w:p>
      <w:pPr>
        <w:pStyle w:val="ListBullet"/>
        <w:ind w:left="357"/>
        <w:jc w:val="both"/>
      </w:pPr>
      <w:r>
        <w:rPr>
          <w:rFonts w:ascii="Cambria" w:hAnsi="Cambria"/>
          <w:sz w:val="22"/>
        </w:rPr>
        <w:t>To assess the status of women and transgender representation among faculty, staff, and students in HEIs.</w:t>
      </w:r>
    </w:p>
    <w:p>
      <w:pPr>
        <w:pStyle w:val="ListBullet"/>
        <w:ind w:left="357"/>
        <w:jc w:val="both"/>
      </w:pPr>
      <w:r>
        <w:rPr>
          <w:rFonts w:ascii="Cambria" w:hAnsi="Cambria"/>
          <w:sz w:val="22"/>
        </w:rPr>
        <w:t>To evaluate institutional compliance with national gender laws and UGC regulations, including the POSH Act, maternity benefits, and equitable employment practices.</w:t>
      </w:r>
    </w:p>
    <w:p>
      <w:pPr>
        <w:pStyle w:val="ListBullet"/>
        <w:ind w:left="357"/>
        <w:jc w:val="both"/>
      </w:pPr>
      <w:r>
        <w:rPr>
          <w:rFonts w:ascii="Cambria" w:hAnsi="Cambria"/>
          <w:sz w:val="22"/>
        </w:rPr>
        <w:t>To ensure that women and transgenders receive equal opportunities for recruitment, promotion, and professional development.</w:t>
      </w:r>
    </w:p>
    <w:p>
      <w:pPr>
        <w:pStyle w:val="ListBullet"/>
        <w:ind w:left="357"/>
        <w:jc w:val="both"/>
      </w:pPr>
      <w:r>
        <w:rPr>
          <w:rFonts w:ascii="Cambria" w:hAnsi="Cambria"/>
          <w:sz w:val="22"/>
        </w:rPr>
        <w:t>To measure institutional performance in providing safe, inclusive, and gender-sensitive environments across academic and administrative domains.</w:t>
      </w:r>
    </w:p>
    <w:p>
      <w:pPr>
        <w:pStyle w:val="ListBullet"/>
        <w:ind w:left="357"/>
        <w:jc w:val="both"/>
      </w:pPr>
      <w:r>
        <w:rPr>
          <w:rFonts w:ascii="Cambria" w:hAnsi="Cambria"/>
          <w:sz w:val="22"/>
        </w:rPr>
        <w:t>To establish accountability mechanisms for continuous improvement in gender equity outcomes.</w:t>
      </w:r>
    </w:p>
    <w:p>
      <w:pPr>
        <w:spacing w:before="240" w:after="120"/>
        <w:jc w:val="left"/>
      </w:pPr>
      <w:r>
        <w:rPr>
          <w:rFonts w:ascii="Cambria" w:hAnsi="Cambria"/>
          <w:b/>
          <w:color w:val="1F3A5F"/>
          <w:sz w:val="28"/>
        </w:rPr>
        <w:t>Key Components of the Gender Audit Framework</w:t>
      </w:r>
    </w:p>
    <w:p>
      <w:pPr>
        <w:pStyle w:val="ListBullet"/>
        <w:ind w:left="357"/>
        <w:jc w:val="both"/>
      </w:pPr>
      <w:r>
        <w:rPr>
          <w:rFonts w:ascii="Cambria" w:hAnsi="Cambria"/>
          <w:b/>
          <w:sz w:val="22"/>
        </w:rPr>
        <w:t xml:space="preserve">Workforce Analysis: </w:t>
      </w:r>
      <w:r>
        <w:rPr>
          <w:rFonts w:ascii="Cambria" w:hAnsi="Cambria"/>
          <w:sz w:val="22"/>
        </w:rPr>
        <w:t>Examine gender ratios across all categories — teaching, non-teaching, administrative, and leadership positions.</w:t>
      </w:r>
    </w:p>
    <w:p>
      <w:pPr>
        <w:pStyle w:val="ListBullet"/>
        <w:ind w:left="357"/>
        <w:jc w:val="both"/>
      </w:pPr>
      <w:r>
        <w:rPr>
          <w:rFonts w:ascii="Cambria" w:hAnsi="Cambria"/>
          <w:b/>
          <w:sz w:val="22"/>
        </w:rPr>
        <w:t xml:space="preserve">Employment and Service Conditions: </w:t>
      </w:r>
      <w:r>
        <w:rPr>
          <w:rFonts w:ascii="Cambria" w:hAnsi="Cambria"/>
          <w:sz w:val="22"/>
        </w:rPr>
        <w:t>Assess fairness in recruitment, salary structures, promotions, maternity/paternity leave, and flexible working provisions.</w:t>
      </w:r>
    </w:p>
    <w:p>
      <w:pPr>
        <w:pStyle w:val="ListBullet"/>
        <w:ind w:left="357"/>
        <w:jc w:val="both"/>
      </w:pPr>
      <w:r>
        <w:rPr>
          <w:rFonts w:ascii="Cambria" w:hAnsi="Cambria"/>
          <w:b/>
          <w:sz w:val="22"/>
        </w:rPr>
        <w:t xml:space="preserve">Student Participation and Welfare: </w:t>
      </w:r>
      <w:r>
        <w:rPr>
          <w:rFonts w:ascii="Cambria" w:hAnsi="Cambria"/>
          <w:sz w:val="22"/>
        </w:rPr>
        <w:t>Review gender balance in admissions, scholarships, student governance, and extracurricular participation.</w:t>
      </w:r>
    </w:p>
    <w:p>
      <w:pPr>
        <w:pStyle w:val="ListBullet"/>
        <w:ind w:left="357"/>
        <w:jc w:val="both"/>
      </w:pPr>
      <w:r>
        <w:rPr>
          <w:rFonts w:ascii="Cambria" w:hAnsi="Cambria"/>
          <w:b/>
          <w:sz w:val="22"/>
        </w:rPr>
        <w:t xml:space="preserve">Infrastructure and Facilities: </w:t>
      </w:r>
      <w:r>
        <w:rPr>
          <w:rFonts w:ascii="Cambria" w:hAnsi="Cambria"/>
          <w:sz w:val="22"/>
        </w:rPr>
        <w:t>Audit gender-sensitive infrastructure such as restrooms, childcare centers, safety measures, and accessibility for all genders.</w:t>
      </w:r>
    </w:p>
    <w:p>
      <w:pPr>
        <w:pStyle w:val="ListBullet"/>
        <w:ind w:left="357"/>
        <w:jc w:val="both"/>
      </w:pPr>
      <w:r>
        <w:rPr>
          <w:rFonts w:ascii="Cambria" w:hAnsi="Cambria"/>
          <w:b/>
          <w:sz w:val="22"/>
        </w:rPr>
        <w:t xml:space="preserve">Policy and Governance: </w:t>
      </w:r>
      <w:r>
        <w:rPr>
          <w:rFonts w:ascii="Cambria" w:hAnsi="Cambria"/>
          <w:sz w:val="22"/>
        </w:rPr>
        <w:t>Verify the existence and functioning of Gender Equity Cells, Internal Complaints Committees (ICC), and Women Development Cells (WDC).</w:t>
      </w:r>
    </w:p>
    <w:p>
      <w:pPr>
        <w:pStyle w:val="ListBullet"/>
        <w:ind w:left="357"/>
        <w:jc w:val="both"/>
      </w:pPr>
      <w:r>
        <w:rPr>
          <w:rFonts w:ascii="Cambria" w:hAnsi="Cambria"/>
          <w:b/>
          <w:sz w:val="22"/>
        </w:rPr>
        <w:t xml:space="preserve">Training and Awareness: </w:t>
      </w:r>
      <w:r>
        <w:rPr>
          <w:rFonts w:ascii="Cambria" w:hAnsi="Cambria"/>
          <w:sz w:val="22"/>
        </w:rPr>
        <w:t>Track the frequency and quality of gender sensitization, POSH workshops, and inclusivity training sessions.</w:t>
      </w:r>
    </w:p>
    <w:p>
      <w:pPr>
        <w:pStyle w:val="ListBullet"/>
        <w:ind w:left="357"/>
        <w:jc w:val="both"/>
      </w:pPr>
      <w:r>
        <w:rPr>
          <w:rFonts w:ascii="Cambria" w:hAnsi="Cambria"/>
          <w:b/>
          <w:sz w:val="22"/>
        </w:rPr>
        <w:t xml:space="preserve">Inclusivity for Transgender Individuals: </w:t>
      </w:r>
      <w:r>
        <w:rPr>
          <w:rFonts w:ascii="Cambria" w:hAnsi="Cambria"/>
          <w:sz w:val="22"/>
        </w:rPr>
        <w:t>Evaluate policy provisions, facilities, and representation opportunities for transgender students and staff, ensuring non-discrimination.</w:t>
      </w:r>
    </w:p>
    <w:p>
      <w:pPr>
        <w:spacing w:before="240" w:after="120"/>
        <w:jc w:val="left"/>
      </w:pPr>
      <w:r>
        <w:rPr>
          <w:rFonts w:ascii="Cambria" w:hAnsi="Cambria"/>
          <w:b/>
          <w:color w:val="1F3A5F"/>
          <w:sz w:val="28"/>
        </w:rPr>
        <w:t>Implementation Mechanism by Regulatory Bodies</w:t>
      </w:r>
    </w:p>
    <w:p>
      <w:pPr>
        <w:pStyle w:val="ListBullet"/>
        <w:ind w:left="357"/>
        <w:jc w:val="both"/>
      </w:pPr>
      <w:r>
        <w:rPr>
          <w:rFonts w:ascii="Cambria" w:hAnsi="Cambria"/>
          <w:sz w:val="22"/>
        </w:rPr>
        <w:t>Regulatory bodies should mandate periodic gender audits (preferably every two years) as part of institutional accreditation and ranking systems.</w:t>
      </w:r>
    </w:p>
    <w:p>
      <w:pPr>
        <w:pStyle w:val="ListBullet"/>
        <w:ind w:left="357"/>
        <w:jc w:val="both"/>
      </w:pPr>
      <w:r>
        <w:rPr>
          <w:rFonts w:ascii="Cambria" w:hAnsi="Cambria"/>
          <w:sz w:val="22"/>
        </w:rPr>
        <w:t>Develop standardized audit tools and templates for data collection, evaluation, and reporting to ensure uniformity across HEIs.</w:t>
      </w:r>
    </w:p>
    <w:p>
      <w:pPr>
        <w:pStyle w:val="ListBullet"/>
        <w:ind w:left="357"/>
        <w:jc w:val="both"/>
      </w:pPr>
      <w:r>
        <w:rPr>
          <w:rFonts w:ascii="Cambria" w:hAnsi="Cambria"/>
          <w:sz w:val="22"/>
        </w:rPr>
        <w:t>Train certified gender auditors — including experts in gender studies, human rights, and higher education management — to conduct independent assessments.</w:t>
      </w:r>
    </w:p>
    <w:p>
      <w:pPr>
        <w:pStyle w:val="ListBullet"/>
        <w:ind w:left="357"/>
        <w:jc w:val="both"/>
      </w:pPr>
      <w:r>
        <w:rPr>
          <w:rFonts w:ascii="Cambria" w:hAnsi="Cambria"/>
          <w:sz w:val="22"/>
        </w:rPr>
        <w:t>Create a National Gender Equity Index (NGEI) for benchmarking institutions based on gender inclusivity scores and best practices.</w:t>
      </w:r>
    </w:p>
    <w:p>
      <w:pPr>
        <w:pStyle w:val="ListBullet"/>
        <w:ind w:left="357"/>
        <w:jc w:val="both"/>
      </w:pPr>
      <w:r>
        <w:rPr>
          <w:rFonts w:ascii="Cambria" w:hAnsi="Cambria"/>
          <w:sz w:val="22"/>
        </w:rPr>
        <w:t>Establish a national portal for HEIs to upload audit reports, corrective action plans, and progress updates.</w:t>
      </w:r>
    </w:p>
    <w:p>
      <w:pPr>
        <w:spacing w:before="240" w:after="120"/>
        <w:jc w:val="left"/>
      </w:pPr>
      <w:r>
        <w:rPr>
          <w:rFonts w:ascii="Cambria" w:hAnsi="Cambria"/>
          <w:b/>
          <w:color w:val="1F3A5F"/>
          <w:sz w:val="28"/>
        </w:rPr>
        <w:t>Monitoring, Evaluation, and Reporting</w:t>
      </w:r>
    </w:p>
    <w:p>
      <w:pPr>
        <w:pStyle w:val="ListBullet"/>
        <w:ind w:left="357"/>
        <w:jc w:val="both"/>
      </w:pPr>
      <w:r>
        <w:rPr>
          <w:rFonts w:ascii="Cambria" w:hAnsi="Cambria"/>
          <w:sz w:val="22"/>
        </w:rPr>
        <w:t>Require HEIs to submit annual gender audit summaries to regulatory authorities and Internal Quality Assurance Cells (IQAC).</w:t>
      </w:r>
    </w:p>
    <w:p>
      <w:pPr>
        <w:pStyle w:val="ListBullet"/>
        <w:ind w:left="357"/>
        <w:jc w:val="both"/>
      </w:pPr>
      <w:r>
        <w:rPr>
          <w:rFonts w:ascii="Cambria" w:hAnsi="Cambria"/>
          <w:sz w:val="22"/>
        </w:rPr>
        <w:t>Regulatory bodies should publish national and state-wise gender audit reports, highlighting achievements, challenges, and recommendations.</w:t>
      </w:r>
    </w:p>
    <w:p>
      <w:pPr>
        <w:pStyle w:val="ListBullet"/>
        <w:ind w:left="357"/>
        <w:jc w:val="both"/>
      </w:pPr>
      <w:r>
        <w:rPr>
          <w:rFonts w:ascii="Cambria" w:hAnsi="Cambria"/>
          <w:sz w:val="22"/>
        </w:rPr>
        <w:t>Introduce performance-linked incentives or recognitions (e.g., “Gender-Inclusive Campus Award”) for HEIs demonstrating exceptional commitment to equality.</w:t>
      </w:r>
    </w:p>
    <w:p>
      <w:pPr>
        <w:pStyle w:val="ListBullet"/>
        <w:ind w:left="357"/>
        <w:jc w:val="both"/>
      </w:pPr>
      <w:r>
        <w:rPr>
          <w:rFonts w:ascii="Cambria" w:hAnsi="Cambria"/>
          <w:sz w:val="22"/>
        </w:rPr>
        <w:t>Integrate gender audit outcomes into NAAC and NIRF assessment parameters, reinforcing accountability through accreditation.</w:t>
      </w:r>
    </w:p>
    <w:p>
      <w:pPr>
        <w:spacing w:before="240" w:after="120"/>
        <w:jc w:val="left"/>
      </w:pPr>
      <w:r>
        <w:rPr>
          <w:rFonts w:ascii="Cambria" w:hAnsi="Cambria"/>
          <w:b/>
          <w:color w:val="1F3A5F"/>
          <w:sz w:val="28"/>
        </w:rPr>
        <w:t>Expected Institutional Outcomes</w:t>
      </w:r>
    </w:p>
    <w:p>
      <w:pPr>
        <w:pStyle w:val="ListBullet"/>
        <w:ind w:left="357"/>
        <w:jc w:val="both"/>
      </w:pPr>
      <w:r>
        <w:rPr>
          <w:rFonts w:ascii="Cambria" w:hAnsi="Cambria"/>
          <w:sz w:val="22"/>
        </w:rPr>
        <w:t>Greater representation and participation of women and transgender individuals in all areas of higher education.</w:t>
      </w:r>
    </w:p>
    <w:p>
      <w:pPr>
        <w:pStyle w:val="ListBullet"/>
        <w:ind w:left="357"/>
        <w:jc w:val="both"/>
      </w:pPr>
      <w:r>
        <w:rPr>
          <w:rFonts w:ascii="Cambria" w:hAnsi="Cambria"/>
          <w:sz w:val="22"/>
        </w:rPr>
        <w:t>Improved employment conditions, promotion equality, and work-life balance for women faculty and staff.</w:t>
      </w:r>
    </w:p>
    <w:p>
      <w:pPr>
        <w:pStyle w:val="ListBullet"/>
        <w:ind w:left="357"/>
        <w:jc w:val="both"/>
      </w:pPr>
      <w:r>
        <w:rPr>
          <w:rFonts w:ascii="Cambria" w:hAnsi="Cambria"/>
          <w:sz w:val="22"/>
        </w:rPr>
        <w:t>Strengthened institutional accountability through transparent gender reporting and audit documentation.</w:t>
      </w:r>
    </w:p>
    <w:p>
      <w:pPr>
        <w:pStyle w:val="ListBullet"/>
        <w:ind w:left="357"/>
        <w:jc w:val="both"/>
      </w:pPr>
      <w:r>
        <w:rPr>
          <w:rFonts w:ascii="Cambria" w:hAnsi="Cambria"/>
          <w:sz w:val="22"/>
        </w:rPr>
        <w:t>Development of gender-inclusive learning and working environments, free from discrimination and bias.</w:t>
      </w:r>
    </w:p>
    <w:p>
      <w:pPr>
        <w:pStyle w:val="ListBullet"/>
        <w:ind w:left="357"/>
        <w:jc w:val="both"/>
      </w:pPr>
      <w:r>
        <w:rPr>
          <w:rFonts w:ascii="Cambria" w:hAnsi="Cambria"/>
          <w:sz w:val="22"/>
        </w:rPr>
        <w:t>Advancement toward SDG-5 (Gender Equality), SDG-8 (Decent Work and Economic Growth), and SDG-10 (Reduced Inequalities).</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A well-structured Gender Audit Policy by regulatory bodies is essential for ensuring systematic monitoring and measurable progress in gender equality across Indian HEIs.</w:t>
      </w:r>
    </w:p>
    <w:p>
      <w:pPr>
        <w:spacing w:after="120"/>
        <w:jc w:val="both"/>
      </w:pPr>
      <w:r>
        <w:rPr>
          <w:rFonts w:ascii="Cambria" w:hAnsi="Cambria"/>
          <w:b w:val="0"/>
          <w:i w:val="0"/>
          <w:sz w:val="22"/>
        </w:rPr>
        <w:t>Such audits promote a culture of transparency, inclusivity, and respect — transforming higher education institutions into models of equitable governance and sustainable social development.</w:t>
      </w:r>
    </w:p>
    <w:p>
      <w:pPr>
        <w:spacing w:before="280" w:after="160"/>
        <w:jc w:val="left"/>
      </w:pPr>
      <w:r>
        <w:rPr>
          <w:rFonts w:ascii="Cambria" w:hAnsi="Cambria"/>
          <w:b/>
          <w:color w:val="1F3A5F"/>
          <w:sz w:val="32"/>
        </w:rPr>
        <w:t>14. Mandatory Inclusion of Equal Female Members in Expert and Selection Committees</w:t>
      </w:r>
    </w:p>
    <w:p>
      <w:pPr>
        <w:spacing w:before="240" w:after="120"/>
        <w:jc w:val="left"/>
      </w:pPr>
      <w:r>
        <w:rPr>
          <w:rFonts w:ascii="Cambria" w:hAnsi="Cambria"/>
          <w:b/>
          <w:color w:val="1F3A5F"/>
          <w:sz w:val="28"/>
        </w:rPr>
        <w:t>Policy Rationale and Objective</w:t>
      </w:r>
    </w:p>
    <w:p>
      <w:pPr>
        <w:pStyle w:val="ListBullet"/>
        <w:ind w:left="357"/>
        <w:jc w:val="both"/>
      </w:pPr>
      <w:r>
        <w:rPr>
          <w:rFonts w:ascii="Cambria" w:hAnsi="Cambria"/>
          <w:sz w:val="22"/>
        </w:rPr>
        <w:t>The Central and State Governments, along with public and private sector agencies, must enforce a mandatory provision for equal representation of women in all expert panels, selection committees, and decision-making bodies.</w:t>
      </w:r>
    </w:p>
    <w:p>
      <w:pPr>
        <w:pStyle w:val="ListBullet"/>
        <w:ind w:left="357"/>
        <w:jc w:val="both"/>
      </w:pPr>
      <w:r>
        <w:rPr>
          <w:rFonts w:ascii="Cambria" w:hAnsi="Cambria"/>
          <w:sz w:val="22"/>
        </w:rPr>
        <w:t>This measure ensures gender-balanced participation in appointments, promotions, research evaluations, and institutional governance processes.</w:t>
      </w:r>
    </w:p>
    <w:p>
      <w:pPr>
        <w:pStyle w:val="ListBullet"/>
        <w:ind w:left="357"/>
        <w:jc w:val="both"/>
      </w:pPr>
      <w:r>
        <w:rPr>
          <w:rFonts w:ascii="Cambria" w:hAnsi="Cambria"/>
          <w:sz w:val="22"/>
        </w:rPr>
        <w:t>Equal female representation in such forums helps to eliminate unconscious bias, promote fairness, and align with the principles of SDG-5 (Gender Equality) and the Indian Constitution's Article 15 and 16, which prohibit gender-based discrimination.</w:t>
      </w:r>
    </w:p>
    <w:p>
      <w:pPr>
        <w:spacing w:before="240" w:after="120"/>
        <w:jc w:val="left"/>
      </w:pPr>
      <w:r>
        <w:rPr>
          <w:rFonts w:ascii="Cambria" w:hAnsi="Cambria"/>
          <w:b/>
          <w:color w:val="1F3A5F"/>
          <w:sz w:val="28"/>
        </w:rPr>
        <w:t>Scope and Applicability</w:t>
      </w:r>
    </w:p>
    <w:p>
      <w:pPr>
        <w:pStyle w:val="ListBullet"/>
        <w:ind w:left="357"/>
        <w:jc w:val="both"/>
      </w:pPr>
      <w:r>
        <w:rPr>
          <w:rFonts w:ascii="Cambria" w:hAnsi="Cambria"/>
          <w:sz w:val="22"/>
        </w:rPr>
        <w:t>The policy should apply to all expert committees, including recruitment boards, promotion panels, academic review committees, accreditation teams, funding agency boards, and project evaluation groups.</w:t>
      </w:r>
    </w:p>
    <w:p>
      <w:pPr>
        <w:pStyle w:val="ListBullet"/>
        <w:ind w:left="357"/>
        <w:jc w:val="both"/>
      </w:pPr>
      <w:r>
        <w:rPr>
          <w:rFonts w:ascii="Cambria" w:hAnsi="Cambria"/>
          <w:sz w:val="22"/>
        </w:rPr>
        <w:t>It should cover Central Universities, State Universities, Private HEIs, Research Institutions, and other organizations governed by the UGC, AICTE, DST, DBT, and Ministry of Education.</w:t>
      </w:r>
    </w:p>
    <w:p>
      <w:pPr>
        <w:pStyle w:val="ListBullet"/>
        <w:ind w:left="357"/>
        <w:jc w:val="both"/>
      </w:pPr>
      <w:r>
        <w:rPr>
          <w:rFonts w:ascii="Cambria" w:hAnsi="Cambria"/>
          <w:sz w:val="22"/>
        </w:rPr>
        <w:t>In cases where female experts are unavailable in a specific domain, alternate experts from related disciplines should be included to maintain gender balance.</w:t>
      </w:r>
    </w:p>
    <w:p>
      <w:pPr>
        <w:spacing w:before="240" w:after="120"/>
        <w:jc w:val="left"/>
      </w:pPr>
      <w:r>
        <w:rPr>
          <w:rFonts w:ascii="Cambria" w:hAnsi="Cambria"/>
          <w:b/>
          <w:color w:val="1F3A5F"/>
          <w:sz w:val="28"/>
        </w:rPr>
        <w:t>Implementation Guidelines</w:t>
      </w:r>
    </w:p>
    <w:p>
      <w:pPr>
        <w:pStyle w:val="ListBullet"/>
        <w:ind w:left="357"/>
        <w:jc w:val="both"/>
      </w:pPr>
      <w:r>
        <w:rPr>
          <w:rFonts w:ascii="Cambria" w:hAnsi="Cambria"/>
          <w:sz w:val="22"/>
        </w:rPr>
        <w:t>Every committee or quorum should include a minimum of 50% female members, ensuring equal voice and representation in decision-making.</w:t>
      </w:r>
    </w:p>
    <w:p>
      <w:pPr>
        <w:pStyle w:val="ListBullet"/>
        <w:ind w:left="357"/>
        <w:jc w:val="both"/>
      </w:pPr>
      <w:r>
        <w:rPr>
          <w:rFonts w:ascii="Cambria" w:hAnsi="Cambria"/>
          <w:sz w:val="22"/>
        </w:rPr>
        <w:t>The Chairperson or Convener of the committee must certify gender balance before the meeting proceedings commence.</w:t>
      </w:r>
    </w:p>
    <w:p>
      <w:pPr>
        <w:pStyle w:val="ListBullet"/>
        <w:ind w:left="357"/>
        <w:jc w:val="both"/>
      </w:pPr>
      <w:r>
        <w:rPr>
          <w:rFonts w:ascii="Cambria" w:hAnsi="Cambria"/>
          <w:sz w:val="22"/>
        </w:rPr>
        <w:t>Regulatory bodies (UGC, AICTE, etc.) should issue circulars and notifications mandating the inclusion of female experts in all official panels.</w:t>
      </w:r>
    </w:p>
    <w:p>
      <w:pPr>
        <w:pStyle w:val="ListBullet"/>
        <w:ind w:left="357"/>
        <w:jc w:val="both"/>
      </w:pPr>
      <w:r>
        <w:rPr>
          <w:rFonts w:ascii="Cambria" w:hAnsi="Cambria"/>
          <w:sz w:val="22"/>
        </w:rPr>
        <w:t>Maintain a national database of qualified women experts across disciplines to facilitate their nomination and participation in various committees.</w:t>
      </w:r>
    </w:p>
    <w:p>
      <w:pPr>
        <w:pStyle w:val="ListBullet"/>
        <w:ind w:left="357"/>
        <w:jc w:val="both"/>
      </w:pPr>
      <w:r>
        <w:rPr>
          <w:rFonts w:ascii="Cambria" w:hAnsi="Cambria"/>
          <w:sz w:val="22"/>
        </w:rPr>
        <w:t>In higher education, ensure that faculty recruitment and selection boards have women members at both the subject expert and administrative levels.</w:t>
      </w:r>
    </w:p>
    <w:p>
      <w:pPr>
        <w:spacing w:before="240" w:after="120"/>
        <w:jc w:val="left"/>
      </w:pPr>
      <w:r>
        <w:rPr>
          <w:rFonts w:ascii="Cambria" w:hAnsi="Cambria"/>
          <w:b/>
          <w:color w:val="1F3A5F"/>
          <w:sz w:val="28"/>
        </w:rPr>
        <w:t>Legal and Administrative Backing</w:t>
      </w:r>
    </w:p>
    <w:p>
      <w:pPr>
        <w:pStyle w:val="ListBullet"/>
        <w:ind w:left="357"/>
        <w:jc w:val="both"/>
      </w:pPr>
      <w:r>
        <w:rPr>
          <w:rFonts w:ascii="Cambria" w:hAnsi="Cambria"/>
          <w:sz w:val="22"/>
        </w:rPr>
        <w:t>The policy should be institutionalized through government orders or UGC/AICTE regulations, making gender representation a statutory requirement.</w:t>
      </w:r>
    </w:p>
    <w:p>
      <w:pPr>
        <w:pStyle w:val="ListBullet"/>
        <w:ind w:left="357"/>
        <w:jc w:val="both"/>
      </w:pPr>
      <w:r>
        <w:rPr>
          <w:rFonts w:ascii="Cambria" w:hAnsi="Cambria"/>
          <w:sz w:val="22"/>
        </w:rPr>
        <w:t>Non-compliance should lead to nullification of committee proceedings, with the possibility of reconstitution to meet gender equity norms.</w:t>
      </w:r>
    </w:p>
    <w:p>
      <w:pPr>
        <w:pStyle w:val="ListBullet"/>
        <w:ind w:left="357"/>
        <w:jc w:val="both"/>
      </w:pPr>
      <w:r>
        <w:rPr>
          <w:rFonts w:ascii="Cambria" w:hAnsi="Cambria"/>
          <w:sz w:val="22"/>
        </w:rPr>
        <w:t>Periodic audits by regulatory or accreditation agencies should assess adherence to gender-balanced committee structures.</w:t>
      </w:r>
    </w:p>
    <w:p>
      <w:pPr>
        <w:spacing w:before="240" w:after="120"/>
        <w:jc w:val="left"/>
      </w:pPr>
      <w:r>
        <w:rPr>
          <w:rFonts w:ascii="Cambria" w:hAnsi="Cambria"/>
          <w:b/>
          <w:color w:val="1F3A5F"/>
          <w:sz w:val="28"/>
        </w:rPr>
        <w:t>Benefits of Gender-Balanced Committees</w:t>
      </w:r>
    </w:p>
    <w:p>
      <w:pPr>
        <w:pStyle w:val="ListBullet"/>
        <w:ind w:left="357"/>
        <w:jc w:val="both"/>
      </w:pPr>
      <w:r>
        <w:rPr>
          <w:rFonts w:ascii="Cambria" w:hAnsi="Cambria"/>
          <w:sz w:val="22"/>
        </w:rPr>
        <w:t>Promotes diversity in perspectives, leading to more equitable and inclusive decisions.</w:t>
      </w:r>
    </w:p>
    <w:p>
      <w:pPr>
        <w:pStyle w:val="ListBullet"/>
        <w:ind w:left="357"/>
        <w:jc w:val="both"/>
      </w:pPr>
      <w:r>
        <w:rPr>
          <w:rFonts w:ascii="Cambria" w:hAnsi="Cambria"/>
          <w:sz w:val="22"/>
        </w:rPr>
        <w:t>Enhances credibility, transparency, and fairness in institutional governance and recruitment processes.</w:t>
      </w:r>
    </w:p>
    <w:p>
      <w:pPr>
        <w:pStyle w:val="ListBullet"/>
        <w:ind w:left="357"/>
        <w:jc w:val="both"/>
      </w:pPr>
      <w:r>
        <w:rPr>
          <w:rFonts w:ascii="Cambria" w:hAnsi="Cambria"/>
          <w:sz w:val="22"/>
        </w:rPr>
        <w:t>Empowers women professionals by ensuring equal participation in leadership and decision-making forums.</w:t>
      </w:r>
    </w:p>
    <w:p>
      <w:pPr>
        <w:pStyle w:val="ListBullet"/>
        <w:ind w:left="357"/>
        <w:jc w:val="both"/>
      </w:pPr>
      <w:r>
        <w:rPr>
          <w:rFonts w:ascii="Cambria" w:hAnsi="Cambria"/>
          <w:sz w:val="22"/>
        </w:rPr>
        <w:t>Serves as a model of ethical governance, reflecting institutional commitment to inclusivity and justice.</w:t>
      </w:r>
    </w:p>
    <w:p>
      <w:pPr>
        <w:spacing w:before="240" w:after="120"/>
        <w:jc w:val="left"/>
      </w:pPr>
      <w:r>
        <w:rPr>
          <w:rFonts w:ascii="Cambria" w:hAnsi="Cambria"/>
          <w:b/>
          <w:color w:val="1F3A5F"/>
          <w:sz w:val="28"/>
        </w:rPr>
        <w:t>Monitoring and Evaluation</w:t>
      </w:r>
    </w:p>
    <w:p>
      <w:pPr>
        <w:pStyle w:val="ListBullet"/>
        <w:ind w:left="357"/>
        <w:jc w:val="both"/>
      </w:pPr>
      <w:r>
        <w:rPr>
          <w:rFonts w:ascii="Cambria" w:hAnsi="Cambria"/>
          <w:sz w:val="22"/>
        </w:rPr>
        <w:t>The Internal Quality Assurance Cell (IQAC) in HEIs should monitor compliance with this policy and submit periodic reports to the governing council or relevant regulatory authority.</w:t>
      </w:r>
    </w:p>
    <w:p>
      <w:pPr>
        <w:pStyle w:val="ListBullet"/>
        <w:ind w:left="357"/>
        <w:jc w:val="both"/>
      </w:pPr>
      <w:r>
        <w:rPr>
          <w:rFonts w:ascii="Cambria" w:hAnsi="Cambria"/>
          <w:sz w:val="22"/>
        </w:rPr>
        <w:t>Regulatory bodies should conduct annual gender audits to verify representation data in expert and selection committees.</w:t>
      </w:r>
    </w:p>
    <w:p>
      <w:pPr>
        <w:pStyle w:val="ListBullet"/>
        <w:ind w:left="357"/>
        <w:jc w:val="both"/>
      </w:pPr>
      <w:r>
        <w:rPr>
          <w:rFonts w:ascii="Cambria" w:hAnsi="Cambria"/>
          <w:sz w:val="22"/>
        </w:rPr>
        <w:t>Include gender representation as a key performance indicator (KPI) in accreditation and ranking frameworks like NAAC, NIRF, and QS I-GAUGE.</w:t>
      </w:r>
    </w:p>
    <w:p>
      <w:pPr>
        <w:spacing w:before="240" w:after="120"/>
        <w:jc w:val="left"/>
      </w:pPr>
      <w:r>
        <w:rPr>
          <w:rFonts w:ascii="Cambria" w:hAnsi="Cambria"/>
          <w:b/>
          <w:color w:val="1F3A5F"/>
          <w:sz w:val="28"/>
        </w:rPr>
        <w:t>Expected Outcomes</w:t>
      </w:r>
    </w:p>
    <w:p>
      <w:pPr>
        <w:pStyle w:val="ListBullet"/>
        <w:ind w:left="357"/>
        <w:jc w:val="both"/>
      </w:pPr>
      <w:r>
        <w:rPr>
          <w:rFonts w:ascii="Cambria" w:hAnsi="Cambria"/>
          <w:sz w:val="22"/>
        </w:rPr>
        <w:t>Establishment of a gender-equitable decision-making culture across higher education and government institutions.</w:t>
      </w:r>
    </w:p>
    <w:p>
      <w:pPr>
        <w:pStyle w:val="ListBullet"/>
        <w:ind w:left="357"/>
        <w:jc w:val="both"/>
      </w:pPr>
      <w:r>
        <w:rPr>
          <w:rFonts w:ascii="Cambria" w:hAnsi="Cambria"/>
          <w:sz w:val="22"/>
        </w:rPr>
        <w:t>Increased visibility and influence of women professionals in leadership and policy formulation.</w:t>
      </w:r>
    </w:p>
    <w:p>
      <w:pPr>
        <w:pStyle w:val="ListBullet"/>
        <w:ind w:left="357"/>
        <w:jc w:val="both"/>
      </w:pPr>
      <w:r>
        <w:rPr>
          <w:rFonts w:ascii="Cambria" w:hAnsi="Cambria"/>
          <w:sz w:val="22"/>
        </w:rPr>
        <w:t>Reduction of gender bias and promotion of merit-based, transparent selection processes.</w:t>
      </w:r>
    </w:p>
    <w:p>
      <w:pPr>
        <w:pStyle w:val="ListBullet"/>
        <w:ind w:left="357"/>
        <w:jc w:val="both"/>
      </w:pPr>
      <w:r>
        <w:rPr>
          <w:rFonts w:ascii="Cambria" w:hAnsi="Cambria"/>
          <w:sz w:val="22"/>
        </w:rPr>
        <w:t>Contribution to India's progress toward SDG-5 (Gender Equality) and SDG-10 (Reduced Inequalities) through structural and procedural reforms.</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Mandating equal female representation in all expert and selection committees is a transformative step toward institutional gender justice.</w:t>
      </w:r>
    </w:p>
    <w:p>
      <w:pPr>
        <w:spacing w:after="120"/>
        <w:jc w:val="both"/>
      </w:pPr>
      <w:r>
        <w:rPr>
          <w:rFonts w:ascii="Cambria" w:hAnsi="Cambria"/>
          <w:b w:val="0"/>
          <w:i w:val="0"/>
          <w:sz w:val="22"/>
        </w:rPr>
        <w:t>By ensuring women have an equal voice in recruitment, evaluation, and policy decisions, both government and private agencies reinforce their commitment to equity, fairness, and sustainable development in national governance and higher education systems.</w:t>
      </w:r>
    </w:p>
    <w:p>
      <w:pPr>
        <w:spacing w:before="280" w:after="160"/>
        <w:jc w:val="left"/>
      </w:pPr>
      <w:r>
        <w:rPr>
          <w:rFonts w:ascii="Cambria" w:hAnsi="Cambria"/>
          <w:b/>
          <w:color w:val="1F3A5F"/>
          <w:sz w:val="32"/>
        </w:rPr>
        <w:t>15. Schemes to Ensure Women's Access to Higher Education</w:t>
      </w:r>
    </w:p>
    <w:p>
      <w:pPr>
        <w:spacing w:before="240" w:after="120"/>
        <w:jc w:val="left"/>
      </w:pPr>
      <w:r>
        <w:rPr>
          <w:rFonts w:ascii="Cambria" w:hAnsi="Cambria"/>
          <w:b/>
          <w:color w:val="1F3A5F"/>
          <w:sz w:val="28"/>
        </w:rPr>
        <w:t>Objective and Importance</w:t>
      </w:r>
    </w:p>
    <w:p>
      <w:pPr>
        <w:pStyle w:val="ListBullet"/>
        <w:ind w:left="357"/>
        <w:jc w:val="both"/>
      </w:pPr>
      <w:r>
        <w:rPr>
          <w:rFonts w:ascii="Cambria" w:hAnsi="Cambria"/>
          <w:sz w:val="22"/>
        </w:rPr>
        <w:t>Expanding women's access to higher education is essential for achieving SDG-5 (Gender Equality) and building an inclusive knowledge society.</w:t>
      </w:r>
    </w:p>
    <w:p>
      <w:pPr>
        <w:pStyle w:val="ListBullet"/>
        <w:ind w:left="357"/>
        <w:jc w:val="both"/>
      </w:pPr>
      <w:r>
        <w:rPr>
          <w:rFonts w:ascii="Cambria" w:hAnsi="Cambria"/>
          <w:sz w:val="22"/>
        </w:rPr>
        <w:t>Scholarships, mentorship, and support schemes bridge socio-economic gaps, enabling women from disadvantaged backgrounds to pursue advanced learning and research.</w:t>
      </w:r>
    </w:p>
    <w:p>
      <w:pPr>
        <w:pStyle w:val="ListBullet"/>
        <w:ind w:left="357"/>
        <w:jc w:val="both"/>
      </w:pPr>
      <w:r>
        <w:rPr>
          <w:rFonts w:ascii="Cambria" w:hAnsi="Cambria"/>
          <w:sz w:val="22"/>
        </w:rPr>
        <w:t>These initiatives also contribute to gender-balanced academic participation, workforce diversity, and national development.</w:t>
      </w:r>
    </w:p>
    <w:p>
      <w:pPr>
        <w:spacing w:before="240" w:after="120"/>
        <w:jc w:val="left"/>
      </w:pPr>
      <w:r>
        <w:rPr>
          <w:rFonts w:ascii="Cambria" w:hAnsi="Cambria"/>
          <w:b/>
          <w:color w:val="1F3A5F"/>
          <w:sz w:val="28"/>
        </w:rPr>
        <w:t>Government Scholarship and Fellowship Schemes</w:t>
      </w:r>
    </w:p>
    <w:p>
      <w:pPr>
        <w:pStyle w:val="ListBullet"/>
        <w:ind w:left="357"/>
        <w:jc w:val="both"/>
      </w:pPr>
      <w:r>
        <w:rPr>
          <w:rFonts w:ascii="Cambria" w:hAnsi="Cambria"/>
          <w:sz w:val="22"/>
        </w:rPr>
        <w:t>Post Graduate Indira Gandhi Scholarship for Single Girl Child – Promotes higher education among single girl children by providing financial support for postgraduate studies.</w:t>
      </w:r>
    </w:p>
    <w:p>
      <w:pPr>
        <w:pStyle w:val="ListBullet"/>
        <w:ind w:left="357"/>
        <w:jc w:val="both"/>
      </w:pPr>
      <w:r>
        <w:rPr>
          <w:rFonts w:ascii="Cambria" w:hAnsi="Cambria"/>
          <w:sz w:val="22"/>
        </w:rPr>
        <w:t>Kiran Scheme (DST) – Encourages women scientists to return to research careers after career breaks through fellowships and research grants.</w:t>
      </w:r>
    </w:p>
    <w:p>
      <w:pPr>
        <w:pStyle w:val="ListBullet"/>
        <w:ind w:left="357"/>
        <w:jc w:val="both"/>
      </w:pPr>
      <w:r>
        <w:rPr>
          <w:rFonts w:ascii="Cambria" w:hAnsi="Cambria"/>
          <w:sz w:val="22"/>
        </w:rPr>
        <w:t>Udaan (CBSE) – Supports young girls to prepare for engineering entrance exams, especially from economically weaker sections.</w:t>
      </w:r>
    </w:p>
    <w:p>
      <w:pPr>
        <w:pStyle w:val="ListBullet"/>
        <w:ind w:left="357"/>
        <w:jc w:val="both"/>
      </w:pPr>
      <w:r>
        <w:rPr>
          <w:rFonts w:ascii="Cambria" w:hAnsi="Cambria"/>
          <w:sz w:val="22"/>
        </w:rPr>
        <w:t>Pragati Scholarship Scheme (AICTE) – Offers scholarships to girl students pursuing technical education at degree and diploma levels.</w:t>
      </w:r>
    </w:p>
    <w:p>
      <w:pPr>
        <w:pStyle w:val="ListBullet"/>
        <w:ind w:left="357"/>
        <w:jc w:val="both"/>
      </w:pPr>
      <w:r>
        <w:rPr>
          <w:rFonts w:ascii="Cambria" w:hAnsi="Cambria"/>
          <w:sz w:val="22"/>
        </w:rPr>
        <w:t>Swarna Jayanti Fellowship (DST) – Provides financial and research support to women scientists demonstrating excellence in their fields.</w:t>
      </w:r>
    </w:p>
    <w:p>
      <w:pPr>
        <w:pStyle w:val="ListBullet"/>
        <w:ind w:left="357"/>
        <w:jc w:val="both"/>
      </w:pPr>
      <w:r>
        <w:rPr>
          <w:rFonts w:ascii="Cambria" w:hAnsi="Cambria"/>
          <w:sz w:val="22"/>
        </w:rPr>
        <w:t>National Fellowship for Women (UGC) – Supports Ph.D. research for women scholars belonging to SC/ST/OBC and minority categories.</w:t>
      </w:r>
    </w:p>
    <w:p>
      <w:pPr>
        <w:pStyle w:val="ListBullet"/>
        <w:ind w:left="357"/>
        <w:jc w:val="both"/>
      </w:pPr>
      <w:r>
        <w:rPr>
          <w:rFonts w:ascii="Cambria" w:hAnsi="Cambria"/>
          <w:sz w:val="22"/>
        </w:rPr>
        <w:t>Rashtriya Uchchatar Shiksha Abhiyan (RUSA) – Encourages states to promote gender equity in higher education through funding and capacity-building programs.</w:t>
      </w:r>
    </w:p>
    <w:p>
      <w:pPr>
        <w:spacing w:before="240" w:after="120"/>
        <w:jc w:val="left"/>
      </w:pPr>
      <w:r>
        <w:rPr>
          <w:rFonts w:ascii="Cambria" w:hAnsi="Cambria"/>
          <w:b/>
          <w:color w:val="1F3A5F"/>
          <w:sz w:val="28"/>
        </w:rPr>
        <w:t>Mentorship and Leadership Development Initiatives</w:t>
      </w:r>
    </w:p>
    <w:p>
      <w:pPr>
        <w:pStyle w:val="ListBullet"/>
        <w:ind w:left="357"/>
        <w:jc w:val="both"/>
      </w:pPr>
      <w:r>
        <w:rPr>
          <w:rFonts w:ascii="Cambria" w:hAnsi="Cambria"/>
          <w:sz w:val="22"/>
        </w:rPr>
        <w:t>Establish institutional mentorship cells connecting senior women academics with early-career faculty and students for academic and professional guidance.</w:t>
      </w:r>
    </w:p>
    <w:p>
      <w:pPr>
        <w:pStyle w:val="ListBullet"/>
        <w:ind w:left="357"/>
        <w:jc w:val="both"/>
      </w:pPr>
      <w:r>
        <w:rPr>
          <w:rFonts w:ascii="Cambria" w:hAnsi="Cambria"/>
          <w:sz w:val="22"/>
        </w:rPr>
        <w:t>Launch Women in Science and Research Mentoring Networks under DST and UGC to promote female participation in STEM fields.</w:t>
      </w:r>
    </w:p>
    <w:p>
      <w:pPr>
        <w:pStyle w:val="ListBullet"/>
        <w:ind w:left="357"/>
        <w:jc w:val="both"/>
      </w:pPr>
      <w:r>
        <w:rPr>
          <w:rFonts w:ascii="Cambria" w:hAnsi="Cambria"/>
          <w:sz w:val="22"/>
        </w:rPr>
        <w:t>Organize leadership development programs and training workshops for women faculty to prepare them for administrative and governance roles.</w:t>
      </w:r>
    </w:p>
    <w:p>
      <w:pPr>
        <w:pStyle w:val="ListBullet"/>
        <w:ind w:left="357"/>
        <w:jc w:val="both"/>
      </w:pPr>
      <w:r>
        <w:rPr>
          <w:rFonts w:ascii="Cambria" w:hAnsi="Cambria"/>
          <w:sz w:val="22"/>
        </w:rPr>
        <w:t>Introduce peer-mentorship programs within HEIs where senior women students guide newcomers from rural or underprivileged backgrounds.</w:t>
      </w:r>
    </w:p>
    <w:p>
      <w:pPr>
        <w:spacing w:before="240" w:after="120"/>
        <w:jc w:val="left"/>
      </w:pPr>
      <w:r>
        <w:rPr>
          <w:rFonts w:ascii="Cambria" w:hAnsi="Cambria"/>
          <w:b/>
          <w:color w:val="1F3A5F"/>
          <w:sz w:val="28"/>
        </w:rPr>
        <w:t>Financial Aid and Support Mechanisms in HEIs</w:t>
      </w:r>
    </w:p>
    <w:p>
      <w:pPr>
        <w:pStyle w:val="ListBullet"/>
        <w:ind w:left="357"/>
        <w:jc w:val="both"/>
      </w:pPr>
      <w:r>
        <w:rPr>
          <w:rFonts w:ascii="Cambria" w:hAnsi="Cambria"/>
          <w:sz w:val="22"/>
        </w:rPr>
        <w:t>HEIs should create exclusive women's scholarship funds sponsored through alumni, CSR contributions, and endowment grants.</w:t>
      </w:r>
    </w:p>
    <w:p>
      <w:pPr>
        <w:pStyle w:val="ListBullet"/>
        <w:ind w:left="357"/>
        <w:jc w:val="both"/>
      </w:pPr>
      <w:r>
        <w:rPr>
          <w:rFonts w:ascii="Cambria" w:hAnsi="Cambria"/>
          <w:sz w:val="22"/>
        </w:rPr>
        <w:t>Provide tuition fee waivers, stipends, and contingency grants for women students in research and technical programs.</w:t>
      </w:r>
    </w:p>
    <w:p>
      <w:pPr>
        <w:pStyle w:val="ListBullet"/>
        <w:ind w:left="357"/>
        <w:jc w:val="both"/>
      </w:pPr>
      <w:r>
        <w:rPr>
          <w:rFonts w:ascii="Cambria" w:hAnsi="Cambria"/>
          <w:sz w:val="22"/>
        </w:rPr>
        <w:t>Establish gender equity cells to help women access information about available funding opportunities, fellowship applications, and skill development programs.</w:t>
      </w:r>
    </w:p>
    <w:p>
      <w:pPr>
        <w:pStyle w:val="ListBullet"/>
        <w:ind w:left="357"/>
        <w:jc w:val="both"/>
      </w:pPr>
      <w:r>
        <w:rPr>
          <w:rFonts w:ascii="Cambria" w:hAnsi="Cambria"/>
          <w:sz w:val="22"/>
        </w:rPr>
        <w:t>Collaborate with banks and microfinance institutions to provide low-interest education loans for women.</w:t>
      </w:r>
    </w:p>
    <w:p>
      <w:pPr>
        <w:spacing w:before="240" w:after="120"/>
        <w:jc w:val="left"/>
      </w:pPr>
      <w:r>
        <w:rPr>
          <w:rFonts w:ascii="Cambria" w:hAnsi="Cambria"/>
          <w:b/>
          <w:color w:val="1F3A5F"/>
          <w:sz w:val="28"/>
        </w:rPr>
        <w:t>Special Initiatives for Marginalized and Rural Women</w:t>
      </w:r>
    </w:p>
    <w:p>
      <w:pPr>
        <w:pStyle w:val="ListBullet"/>
        <w:ind w:left="357"/>
        <w:jc w:val="both"/>
      </w:pPr>
      <w:r>
        <w:rPr>
          <w:rFonts w:ascii="Cambria" w:hAnsi="Cambria"/>
          <w:sz w:val="22"/>
        </w:rPr>
        <w:t>Implement outreach and bridge programs to bring girls from rural and tribal areas into mainstream higher education.</w:t>
      </w:r>
    </w:p>
    <w:p>
      <w:pPr>
        <w:pStyle w:val="ListBullet"/>
        <w:ind w:left="357"/>
        <w:jc w:val="both"/>
      </w:pPr>
      <w:r>
        <w:rPr>
          <w:rFonts w:ascii="Cambria" w:hAnsi="Cambria"/>
          <w:sz w:val="22"/>
        </w:rPr>
        <w:t>Offer distance learning, online degree programs, and flexible study options for women unable to attend regular institutions due to social or family responsibilities.</w:t>
      </w:r>
    </w:p>
    <w:p>
      <w:pPr>
        <w:pStyle w:val="ListBullet"/>
        <w:ind w:left="357"/>
        <w:jc w:val="both"/>
      </w:pPr>
      <w:r>
        <w:rPr>
          <w:rFonts w:ascii="Cambria" w:hAnsi="Cambria"/>
          <w:sz w:val="22"/>
        </w:rPr>
        <w:t>Provide hostel and safe accommodation facilities for women students, particularly from rural and economically weaker backgrounds.</w:t>
      </w:r>
    </w:p>
    <w:p>
      <w:pPr>
        <w:pStyle w:val="ListBullet"/>
        <w:ind w:left="357"/>
        <w:jc w:val="both"/>
      </w:pPr>
      <w:r>
        <w:rPr>
          <w:rFonts w:ascii="Cambria" w:hAnsi="Cambria"/>
          <w:sz w:val="22"/>
        </w:rPr>
        <w:t>Partner with state governments and NGOs to identify deserving candidates and ensure scholarships reach them without bureaucratic delay.</w:t>
      </w:r>
    </w:p>
    <w:p>
      <w:pPr>
        <w:spacing w:before="240" w:after="120"/>
        <w:jc w:val="left"/>
      </w:pPr>
      <w:r>
        <w:rPr>
          <w:rFonts w:ascii="Cambria" w:hAnsi="Cambria"/>
          <w:b/>
          <w:color w:val="1F3A5F"/>
          <w:sz w:val="28"/>
        </w:rPr>
        <w:t>Support for Research and Innovation by Women</w:t>
      </w:r>
    </w:p>
    <w:p>
      <w:pPr>
        <w:pStyle w:val="ListBullet"/>
        <w:ind w:left="357"/>
        <w:jc w:val="both"/>
      </w:pPr>
      <w:r>
        <w:rPr>
          <w:rFonts w:ascii="Cambria" w:hAnsi="Cambria"/>
          <w:sz w:val="22"/>
        </w:rPr>
        <w:t>Create Women Innovation and Entrepreneurship Platforms in HEIs to fund startups and social innovation projects led by women.</w:t>
      </w:r>
    </w:p>
    <w:p>
      <w:pPr>
        <w:pStyle w:val="ListBullet"/>
        <w:ind w:left="357"/>
        <w:jc w:val="both"/>
      </w:pPr>
      <w:r>
        <w:rPr>
          <w:rFonts w:ascii="Cambria" w:hAnsi="Cambria"/>
          <w:sz w:val="22"/>
        </w:rPr>
        <w:t>Encourage women's participation in research incubation centres, patent filing, and innovation hubs.</w:t>
      </w:r>
    </w:p>
    <w:p>
      <w:pPr>
        <w:pStyle w:val="ListBullet"/>
        <w:ind w:left="357"/>
        <w:jc w:val="both"/>
      </w:pPr>
      <w:r>
        <w:rPr>
          <w:rFonts w:ascii="Cambria" w:hAnsi="Cambria"/>
          <w:sz w:val="22"/>
        </w:rPr>
        <w:t>Provide seed funding and research grants for women-led interdisciplinary projects aligned with national priorities.</w:t>
      </w:r>
    </w:p>
    <w:p>
      <w:pPr>
        <w:spacing w:before="240" w:after="120"/>
        <w:jc w:val="left"/>
      </w:pPr>
      <w:r>
        <w:rPr>
          <w:rFonts w:ascii="Cambria" w:hAnsi="Cambria"/>
          <w:b/>
          <w:color w:val="1F3A5F"/>
          <w:sz w:val="28"/>
        </w:rPr>
        <w:t>Monitoring and Evaluation Framework</w:t>
      </w:r>
    </w:p>
    <w:p>
      <w:pPr>
        <w:pStyle w:val="ListBullet"/>
        <w:ind w:left="357"/>
        <w:jc w:val="both"/>
      </w:pPr>
      <w:r>
        <w:rPr>
          <w:rFonts w:ascii="Cambria" w:hAnsi="Cambria"/>
          <w:sz w:val="22"/>
        </w:rPr>
        <w:t>Establish a National Gender Equity and Education Cell under UGC to monitor women's participation and scholarship utilization.</w:t>
      </w:r>
    </w:p>
    <w:p>
      <w:pPr>
        <w:pStyle w:val="ListBullet"/>
        <w:ind w:left="357"/>
        <w:jc w:val="both"/>
      </w:pPr>
      <w:r>
        <w:rPr>
          <w:rFonts w:ascii="Cambria" w:hAnsi="Cambria"/>
          <w:sz w:val="22"/>
        </w:rPr>
        <w:t>HEIs should submit annual reports on gender inclusion metrics, including enrollment ratios, scholarship beneficiaries, and mentorship outcomes.</w:t>
      </w:r>
    </w:p>
    <w:p>
      <w:pPr>
        <w:pStyle w:val="ListBullet"/>
        <w:ind w:left="357"/>
        <w:jc w:val="both"/>
      </w:pPr>
      <w:r>
        <w:rPr>
          <w:rFonts w:ascii="Cambria" w:hAnsi="Cambria"/>
          <w:sz w:val="22"/>
        </w:rPr>
        <w:t>Introduce impact evaluation studies to measure the long-term benefits of scholarships and mentoring schemes on women's career progression.</w:t>
      </w:r>
    </w:p>
    <w:p>
      <w:pPr>
        <w:spacing w:before="240" w:after="120"/>
        <w:jc w:val="left"/>
      </w:pPr>
      <w:r>
        <w:rPr>
          <w:rFonts w:ascii="Cambria" w:hAnsi="Cambria"/>
          <w:b/>
          <w:color w:val="1F3A5F"/>
          <w:sz w:val="28"/>
        </w:rPr>
        <w:t>Expected Outcomes</w:t>
      </w:r>
    </w:p>
    <w:p>
      <w:pPr>
        <w:pStyle w:val="ListBullet"/>
        <w:ind w:left="357"/>
        <w:jc w:val="both"/>
      </w:pPr>
      <w:r>
        <w:rPr>
          <w:rFonts w:ascii="Cambria" w:hAnsi="Cambria"/>
          <w:sz w:val="22"/>
        </w:rPr>
        <w:t>Increased female enrollment and retention rates in higher education, especially in STEM and research fields.</w:t>
      </w:r>
    </w:p>
    <w:p>
      <w:pPr>
        <w:pStyle w:val="ListBullet"/>
        <w:ind w:left="357"/>
        <w:jc w:val="both"/>
      </w:pPr>
      <w:r>
        <w:rPr>
          <w:rFonts w:ascii="Cambria" w:hAnsi="Cambria"/>
          <w:sz w:val="22"/>
        </w:rPr>
        <w:t>Enhanced academic leadership and research output by women.</w:t>
      </w:r>
    </w:p>
    <w:p>
      <w:pPr>
        <w:pStyle w:val="ListBullet"/>
        <w:ind w:left="357"/>
        <w:jc w:val="both"/>
      </w:pPr>
      <w:r>
        <w:rPr>
          <w:rFonts w:ascii="Cambria" w:hAnsi="Cambria"/>
          <w:sz w:val="22"/>
        </w:rPr>
        <w:t>Reduction in gender disparities across institutions and disciplines.</w:t>
      </w:r>
    </w:p>
    <w:p>
      <w:pPr>
        <w:pStyle w:val="ListBullet"/>
        <w:ind w:left="357"/>
        <w:jc w:val="both"/>
      </w:pPr>
      <w:r>
        <w:rPr>
          <w:rFonts w:ascii="Cambria" w:hAnsi="Cambria"/>
          <w:sz w:val="22"/>
        </w:rPr>
        <w:t>Empowerment of women from rural, marginalized, and economically weaker backgrounds through higher learning opportunities.</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Scholarships, mentorship, and targeted schemes for women are catalysts for social transformation and gender equality in education.</w:t>
      </w:r>
    </w:p>
    <w:p>
      <w:pPr>
        <w:spacing w:after="120"/>
        <w:jc w:val="both"/>
      </w:pPr>
      <w:r>
        <w:rPr>
          <w:rFonts w:ascii="Cambria" w:hAnsi="Cambria"/>
          <w:b w:val="0"/>
          <w:i w:val="0"/>
          <w:sz w:val="22"/>
        </w:rPr>
        <w:t>Through collaborative implementation by government, HEIs, and private agencies, these initiatives ensure that no woman is left behind in access to quality education, innovation, and leadership opportunities.</w:t>
      </w:r>
    </w:p>
    <w:p>
      <w:pPr>
        <w:spacing w:before="280" w:after="160"/>
        <w:jc w:val="left"/>
      </w:pPr>
      <w:r>
        <w:rPr>
          <w:rFonts w:ascii="Cambria" w:hAnsi="Cambria"/>
          <w:b/>
          <w:color w:val="1F3A5F"/>
          <w:sz w:val="32"/>
        </w:rPr>
        <w:t>16. Sustainable Development Goal 5 (SDG-5): Gender Equality and Women Empowerment</w:t>
      </w:r>
    </w:p>
    <w:p>
      <w:pPr>
        <w:spacing w:before="240" w:after="120"/>
        <w:jc w:val="left"/>
      </w:pPr>
      <w:r>
        <w:rPr>
          <w:rFonts w:ascii="Cambria" w:hAnsi="Cambria"/>
          <w:b/>
          <w:color w:val="1F3A5F"/>
          <w:sz w:val="28"/>
        </w:rPr>
        <w:t>Overview and Core Essence</w:t>
      </w:r>
    </w:p>
    <w:p>
      <w:pPr>
        <w:pStyle w:val="ListBullet"/>
        <w:ind w:left="357"/>
        <w:jc w:val="both"/>
      </w:pPr>
      <w:r>
        <w:rPr>
          <w:rFonts w:ascii="Cambria" w:hAnsi="Cambria"/>
          <w:sz w:val="22"/>
        </w:rPr>
        <w:t>SDG-5 of the United Nations Sustainable Development Goals focuses on achieving gender equality and empowering all women and girls globally.</w:t>
      </w:r>
    </w:p>
    <w:p>
      <w:pPr>
        <w:pStyle w:val="ListBullet"/>
        <w:ind w:left="357"/>
        <w:jc w:val="both"/>
      </w:pPr>
      <w:r>
        <w:rPr>
          <w:rFonts w:ascii="Cambria" w:hAnsi="Cambria"/>
          <w:sz w:val="22"/>
        </w:rPr>
        <w:t>It asserts that gender equality is both a human right and a foundation for peace, prosperity, and sustainability.</w:t>
      </w:r>
    </w:p>
    <w:p>
      <w:pPr>
        <w:pStyle w:val="ListBullet"/>
        <w:ind w:left="357"/>
        <w:jc w:val="both"/>
      </w:pPr>
      <w:r>
        <w:rPr>
          <w:rFonts w:ascii="Cambria" w:hAnsi="Cambria"/>
          <w:sz w:val="22"/>
        </w:rPr>
        <w:t>The goal highlights that societies progress more effectively when women and men have equal access to education, employment, leadership, and resources.</w:t>
      </w:r>
    </w:p>
    <w:p>
      <w:pPr>
        <w:spacing w:before="240" w:after="120"/>
        <w:jc w:val="left"/>
      </w:pPr>
      <w:r>
        <w:rPr>
          <w:rFonts w:ascii="Cambria" w:hAnsi="Cambria"/>
          <w:b/>
          <w:color w:val="1F3A5F"/>
          <w:sz w:val="28"/>
        </w:rPr>
        <w:t>Fundamental Principle</w:t>
      </w:r>
    </w:p>
    <w:p>
      <w:pPr>
        <w:pStyle w:val="ListBullet"/>
        <w:ind w:left="357"/>
        <w:jc w:val="both"/>
      </w:pPr>
      <w:r>
        <w:rPr>
          <w:rFonts w:ascii="Cambria" w:hAnsi="Cambria"/>
          <w:sz w:val="22"/>
        </w:rPr>
        <w:t>The SDG-5 framework acknowledges that gender equality is not just a social obligation but a strategic necessity for human development.</w:t>
      </w:r>
    </w:p>
    <w:p>
      <w:pPr>
        <w:pStyle w:val="ListBullet"/>
        <w:ind w:left="357"/>
        <w:jc w:val="both"/>
      </w:pPr>
      <w:r>
        <w:rPr>
          <w:rFonts w:ascii="Cambria" w:hAnsi="Cambria"/>
          <w:sz w:val="22"/>
        </w:rPr>
        <w:t>It ensures that women's empowerment contributes directly to economic growth, innovation, and social harmony.</w:t>
      </w:r>
    </w:p>
    <w:p>
      <w:pPr>
        <w:pStyle w:val="ListBullet"/>
        <w:ind w:left="357"/>
        <w:jc w:val="both"/>
      </w:pPr>
      <w:r>
        <w:rPr>
          <w:rFonts w:ascii="Cambria" w:hAnsi="Cambria"/>
          <w:sz w:val="22"/>
        </w:rPr>
        <w:t>Equal participation of women in decision-making leads to more inclusive governance and balanced policy outcomes.</w:t>
      </w:r>
    </w:p>
    <w:p>
      <w:pPr>
        <w:spacing w:before="240" w:after="120"/>
        <w:jc w:val="left"/>
      </w:pPr>
      <w:r>
        <w:rPr>
          <w:rFonts w:ascii="Cambria" w:hAnsi="Cambria"/>
          <w:b/>
          <w:color w:val="1F3A5F"/>
          <w:sz w:val="28"/>
        </w:rPr>
        <w:t>Key Objectives of SDG-5</w:t>
      </w:r>
    </w:p>
    <w:p>
      <w:pPr>
        <w:pStyle w:val="ListBullet"/>
        <w:ind w:left="357"/>
        <w:jc w:val="both"/>
      </w:pPr>
      <w:r>
        <w:rPr>
          <w:rFonts w:ascii="Cambria" w:hAnsi="Cambria"/>
          <w:sz w:val="22"/>
        </w:rPr>
        <w:t>Eliminate all forms of discrimination against women and girls in public and private spheres.</w:t>
      </w:r>
    </w:p>
    <w:p>
      <w:pPr>
        <w:pStyle w:val="ListBullet"/>
        <w:ind w:left="357"/>
        <w:jc w:val="both"/>
      </w:pPr>
      <w:r>
        <w:rPr>
          <w:rFonts w:ascii="Cambria" w:hAnsi="Cambria"/>
          <w:sz w:val="22"/>
        </w:rPr>
        <w:t>End gender-based violence, including sexual harassment, assault, trafficking, and exploitation.</w:t>
      </w:r>
    </w:p>
    <w:p>
      <w:pPr>
        <w:pStyle w:val="ListBullet"/>
        <w:ind w:left="357"/>
        <w:jc w:val="both"/>
      </w:pPr>
      <w:r>
        <w:rPr>
          <w:rFonts w:ascii="Cambria" w:hAnsi="Cambria"/>
          <w:sz w:val="22"/>
        </w:rPr>
        <w:t>Eradicate harmful practices such as early and forced marriages, female genital mutilation (FGM), and gender-based exclusion.</w:t>
      </w:r>
    </w:p>
    <w:p>
      <w:pPr>
        <w:pStyle w:val="ListBullet"/>
        <w:ind w:left="357"/>
        <w:jc w:val="both"/>
      </w:pPr>
      <w:r>
        <w:rPr>
          <w:rFonts w:ascii="Cambria" w:hAnsi="Cambria"/>
          <w:sz w:val="22"/>
        </w:rPr>
        <w:t>Ensure equal participation in leadership and decision-making roles across political, economic, and academic institutions.</w:t>
      </w:r>
    </w:p>
    <w:p>
      <w:pPr>
        <w:pStyle w:val="ListBullet"/>
        <w:ind w:left="357"/>
        <w:jc w:val="both"/>
      </w:pPr>
      <w:r>
        <w:rPr>
          <w:rFonts w:ascii="Cambria" w:hAnsi="Cambria"/>
          <w:sz w:val="22"/>
        </w:rPr>
        <w:t>Close the gender pay gap and ensure equal opportunities for decent work and professional advancement.</w:t>
      </w:r>
    </w:p>
    <w:p>
      <w:pPr>
        <w:pStyle w:val="ListBullet"/>
        <w:ind w:left="357"/>
        <w:jc w:val="both"/>
      </w:pPr>
      <w:r>
        <w:rPr>
          <w:rFonts w:ascii="Cambria" w:hAnsi="Cambria"/>
          <w:sz w:val="22"/>
        </w:rPr>
        <w:t>Recognize and value unpaid care and domestic work, and promote shared responsibility within households.</w:t>
      </w:r>
    </w:p>
    <w:p>
      <w:pPr>
        <w:pStyle w:val="ListBullet"/>
        <w:ind w:left="357"/>
        <w:jc w:val="both"/>
      </w:pPr>
      <w:r>
        <w:rPr>
          <w:rFonts w:ascii="Cambria" w:hAnsi="Cambria"/>
          <w:sz w:val="22"/>
        </w:rPr>
        <w:t>Guarantee universal access to reproductive rights and healthcare, supporting women's autonomy and well-being.</w:t>
      </w:r>
    </w:p>
    <w:p>
      <w:pPr>
        <w:spacing w:before="240" w:after="120"/>
        <w:jc w:val="left"/>
      </w:pPr>
      <w:r>
        <w:rPr>
          <w:rFonts w:ascii="Cambria" w:hAnsi="Cambria"/>
          <w:b/>
          <w:color w:val="1F3A5F"/>
          <w:sz w:val="28"/>
        </w:rPr>
        <w:t>Socio-Economic and Institutional Dimensions</w:t>
      </w:r>
    </w:p>
    <w:p>
      <w:pPr>
        <w:pStyle w:val="ListBullet"/>
        <w:ind w:left="357"/>
        <w:jc w:val="both"/>
      </w:pPr>
      <w:r>
        <w:rPr>
          <w:rFonts w:ascii="Cambria" w:hAnsi="Cambria"/>
          <w:sz w:val="22"/>
        </w:rPr>
        <w:t>Equal access to education and decent work enables women to contribute meaningfully to national development and innovation.</w:t>
      </w:r>
    </w:p>
    <w:p>
      <w:pPr>
        <w:pStyle w:val="ListBullet"/>
        <w:ind w:left="357"/>
        <w:jc w:val="both"/>
      </w:pPr>
      <w:r>
        <w:rPr>
          <w:rFonts w:ascii="Cambria" w:hAnsi="Cambria"/>
          <w:sz w:val="22"/>
        </w:rPr>
        <w:t>Empowered women strengthen social resilience and economic sustainability, reducing poverty and inequality.</w:t>
      </w:r>
    </w:p>
    <w:p>
      <w:pPr>
        <w:pStyle w:val="ListBullet"/>
        <w:ind w:left="357"/>
        <w:jc w:val="both"/>
      </w:pPr>
      <w:r>
        <w:rPr>
          <w:rFonts w:ascii="Cambria" w:hAnsi="Cambria"/>
          <w:sz w:val="22"/>
        </w:rPr>
        <w:t>Gender equity in leadership and decision-making results in diverse, transparent, and effective governance.</w:t>
      </w:r>
    </w:p>
    <w:p>
      <w:pPr>
        <w:pStyle w:val="ListBullet"/>
        <w:ind w:left="357"/>
        <w:jc w:val="both"/>
      </w:pPr>
      <w:r>
        <w:rPr>
          <w:rFonts w:ascii="Cambria" w:hAnsi="Cambria"/>
          <w:sz w:val="22"/>
        </w:rPr>
        <w:t>Eliminating discriminatory norms ensures inclusive participation and reinforces justice in all sectors.</w:t>
      </w:r>
    </w:p>
    <w:p>
      <w:pPr>
        <w:spacing w:before="240" w:after="120"/>
        <w:jc w:val="left"/>
      </w:pPr>
      <w:r>
        <w:rPr>
          <w:rFonts w:ascii="Cambria" w:hAnsi="Cambria"/>
          <w:b/>
          <w:color w:val="1F3A5F"/>
          <w:sz w:val="28"/>
        </w:rPr>
        <w:t>Reform and Policy Commitments</w:t>
      </w:r>
    </w:p>
    <w:p>
      <w:pPr>
        <w:pStyle w:val="ListBullet"/>
        <w:ind w:left="357"/>
        <w:jc w:val="both"/>
      </w:pPr>
      <w:r>
        <w:rPr>
          <w:rFonts w:ascii="Cambria" w:hAnsi="Cambria"/>
          <w:sz w:val="22"/>
        </w:rPr>
        <w:t>SDG-5 encourages governments, institutions, and organizations to undertake reforms ensuring women's equal rights to ownership and control over property, land, and resources.</w:t>
      </w:r>
    </w:p>
    <w:p>
      <w:pPr>
        <w:pStyle w:val="ListBullet"/>
        <w:ind w:left="357"/>
        <w:jc w:val="both"/>
      </w:pPr>
      <w:r>
        <w:rPr>
          <w:rFonts w:ascii="Cambria" w:hAnsi="Cambria"/>
          <w:sz w:val="22"/>
        </w:rPr>
        <w:t>It calls for policy frameworks that promote gender parity, particularly in employment, leadership, and access to technology.</w:t>
      </w:r>
    </w:p>
    <w:p>
      <w:pPr>
        <w:pStyle w:val="ListBullet"/>
        <w:ind w:left="357"/>
        <w:jc w:val="both"/>
      </w:pPr>
      <w:r>
        <w:rPr>
          <w:rFonts w:ascii="Cambria" w:hAnsi="Cambria"/>
          <w:sz w:val="22"/>
        </w:rPr>
        <w:t>Ensures integration of gender perspectives into national legislation, education systems, and institutional policies.</w:t>
      </w:r>
    </w:p>
    <w:p>
      <w:pPr>
        <w:spacing w:before="240" w:after="120"/>
        <w:jc w:val="left"/>
      </w:pPr>
      <w:r>
        <w:rPr>
          <w:rFonts w:ascii="Cambria" w:hAnsi="Cambria"/>
          <w:b/>
          <w:color w:val="1F3A5F"/>
          <w:sz w:val="28"/>
        </w:rPr>
        <w:t>Targeted Areas of Concern Under Goal 5</w:t>
      </w:r>
    </w:p>
    <w:p>
      <w:pPr>
        <w:pStyle w:val="ListBullet"/>
        <w:ind w:left="357"/>
        <w:jc w:val="both"/>
      </w:pPr>
      <w:r>
        <w:rPr>
          <w:rFonts w:ascii="Cambria" w:hAnsi="Cambria"/>
          <w:b/>
          <w:sz w:val="22"/>
        </w:rPr>
        <w:t xml:space="preserve">Violence and Exploitation: </w:t>
      </w:r>
      <w:r>
        <w:rPr>
          <w:rFonts w:ascii="Cambria" w:hAnsi="Cambria"/>
          <w:sz w:val="22"/>
        </w:rPr>
        <w:t>Addressing trafficking, sexual abuse, and gender-based violence through legal and institutional mechanisms.</w:t>
      </w:r>
    </w:p>
    <w:p>
      <w:pPr>
        <w:pStyle w:val="ListBullet"/>
        <w:ind w:left="357"/>
        <w:jc w:val="both"/>
      </w:pPr>
      <w:r>
        <w:rPr>
          <w:rFonts w:ascii="Cambria" w:hAnsi="Cambria"/>
          <w:b/>
          <w:sz w:val="22"/>
        </w:rPr>
        <w:t xml:space="preserve">Harmful Practices: </w:t>
      </w:r>
      <w:r>
        <w:rPr>
          <w:rFonts w:ascii="Cambria" w:hAnsi="Cambria"/>
          <w:sz w:val="22"/>
        </w:rPr>
        <w:t>Preventing forced marriages, early childhood marriages, and female genital mutilation.</w:t>
      </w:r>
    </w:p>
    <w:p>
      <w:pPr>
        <w:pStyle w:val="ListBullet"/>
        <w:ind w:left="357"/>
        <w:jc w:val="both"/>
      </w:pPr>
      <w:r>
        <w:rPr>
          <w:rFonts w:ascii="Cambria" w:hAnsi="Cambria"/>
          <w:b/>
          <w:sz w:val="22"/>
        </w:rPr>
        <w:t xml:space="preserve">Representation Gaps: </w:t>
      </w:r>
      <w:r>
        <w:rPr>
          <w:rFonts w:ascii="Cambria" w:hAnsi="Cambria"/>
          <w:sz w:val="22"/>
        </w:rPr>
        <w:t>Overcoming underrepresentation of women in decision-making positions in governance, academia, and corporate sectors.</w:t>
      </w:r>
    </w:p>
    <w:p>
      <w:pPr>
        <w:pStyle w:val="ListBullet"/>
        <w:ind w:left="357"/>
        <w:jc w:val="both"/>
      </w:pPr>
      <w:r>
        <w:rPr>
          <w:rFonts w:ascii="Cambria" w:hAnsi="Cambria"/>
          <w:b/>
          <w:sz w:val="22"/>
        </w:rPr>
        <w:t xml:space="preserve">Economic Disparities: </w:t>
      </w:r>
      <w:r>
        <w:rPr>
          <w:rFonts w:ascii="Cambria" w:hAnsi="Cambria"/>
          <w:sz w:val="22"/>
        </w:rPr>
        <w:t>Eliminating gender-based wage discrimination and promoting financial independence for women.</w:t>
      </w:r>
    </w:p>
    <w:p>
      <w:pPr>
        <w:pStyle w:val="ListBullet"/>
        <w:ind w:left="357"/>
        <w:jc w:val="both"/>
      </w:pPr>
      <w:r>
        <w:rPr>
          <w:rFonts w:ascii="Cambria" w:hAnsi="Cambria"/>
          <w:b/>
          <w:sz w:val="22"/>
        </w:rPr>
        <w:t xml:space="preserve">Resource Access: </w:t>
      </w:r>
      <w:r>
        <w:rPr>
          <w:rFonts w:ascii="Cambria" w:hAnsi="Cambria"/>
          <w:sz w:val="22"/>
        </w:rPr>
        <w:t>Providing women equal rights to economic resources, technology, property, and inheritance.</w:t>
      </w:r>
    </w:p>
    <w:p>
      <w:pPr>
        <w:spacing w:before="240" w:after="120"/>
        <w:jc w:val="left"/>
      </w:pPr>
      <w:r>
        <w:rPr>
          <w:rFonts w:ascii="Cambria" w:hAnsi="Cambria"/>
          <w:b/>
          <w:color w:val="1F3A5F"/>
          <w:sz w:val="28"/>
        </w:rPr>
        <w:t>Global and National Relevance</w:t>
      </w:r>
    </w:p>
    <w:p>
      <w:pPr>
        <w:pStyle w:val="ListBullet"/>
        <w:ind w:left="357"/>
        <w:jc w:val="both"/>
      </w:pPr>
      <w:r>
        <w:rPr>
          <w:rFonts w:ascii="Cambria" w:hAnsi="Cambria"/>
          <w:sz w:val="22"/>
        </w:rPr>
        <w:t>SDG-5 aligns with India's constitutional provisions (Articles 14, 15, and 16) that guarantee equality and prohibit gender-based discrimination.</w:t>
      </w:r>
    </w:p>
    <w:p>
      <w:pPr>
        <w:pStyle w:val="ListBullet"/>
        <w:ind w:left="357"/>
        <w:jc w:val="both"/>
      </w:pPr>
      <w:r>
        <w:rPr>
          <w:rFonts w:ascii="Cambria" w:hAnsi="Cambria"/>
          <w:sz w:val="22"/>
        </w:rPr>
        <w:t>It resonates with national missions and schemes like Beti Bachao Beti Padhao, Ujjawala, Mahila Shakti Kendra, and National Policy for Women.</w:t>
      </w:r>
    </w:p>
    <w:p>
      <w:pPr>
        <w:pStyle w:val="ListBullet"/>
        <w:ind w:left="357"/>
        <w:jc w:val="both"/>
      </w:pPr>
      <w:r>
        <w:rPr>
          <w:rFonts w:ascii="Cambria" w:hAnsi="Cambria"/>
          <w:sz w:val="22"/>
        </w:rPr>
        <w:t>Internationally, SDG-5 contributes to a unified global vision of empowering women as active agents of change and development.</w:t>
      </w:r>
    </w:p>
    <w:p>
      <w:pPr>
        <w:spacing w:before="240" w:after="120"/>
        <w:jc w:val="left"/>
      </w:pPr>
      <w:r>
        <w:rPr>
          <w:rFonts w:ascii="Cambria" w:hAnsi="Cambria"/>
          <w:b/>
          <w:color w:val="1F3A5F"/>
          <w:sz w:val="28"/>
        </w:rPr>
        <w:t>Expected Outcomes and Global Vision</w:t>
      </w:r>
    </w:p>
    <w:p>
      <w:pPr>
        <w:pStyle w:val="ListBullet"/>
        <w:ind w:left="357"/>
        <w:jc w:val="both"/>
      </w:pPr>
      <w:r>
        <w:rPr>
          <w:rFonts w:ascii="Cambria" w:hAnsi="Cambria"/>
          <w:sz w:val="22"/>
        </w:rPr>
        <w:t>Societies that achieve gender equality experience greater social cohesion, innovation, and sustainable growth.</w:t>
      </w:r>
    </w:p>
    <w:p>
      <w:pPr>
        <w:pStyle w:val="ListBullet"/>
        <w:ind w:left="357"/>
        <w:jc w:val="both"/>
      </w:pPr>
      <w:r>
        <w:rPr>
          <w:rFonts w:ascii="Cambria" w:hAnsi="Cambria"/>
          <w:sz w:val="22"/>
        </w:rPr>
        <w:t>Eliminating gender-based discrimination ensures justice, inclusivity, and shared prosperity.</w:t>
      </w:r>
    </w:p>
    <w:p>
      <w:pPr>
        <w:pStyle w:val="ListBullet"/>
        <w:ind w:left="357"/>
        <w:jc w:val="both"/>
      </w:pPr>
      <w:r>
        <w:rPr>
          <w:rFonts w:ascii="Cambria" w:hAnsi="Cambria"/>
          <w:sz w:val="22"/>
        </w:rPr>
        <w:t>Empowering women strengthens families, communities, and nations, making gender equality a transformative driver for all other Sustainable Development Goals.</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SDG-5 is not merely a goal but a moral and developmental imperative, envisioning a world where every woman and girl lives with dignity, freedom, and opportunity.</w:t>
      </w:r>
    </w:p>
    <w:p>
      <w:pPr>
        <w:spacing w:after="120"/>
        <w:jc w:val="both"/>
      </w:pPr>
      <w:r>
        <w:rPr>
          <w:rFonts w:ascii="Cambria" w:hAnsi="Cambria"/>
          <w:b w:val="0"/>
          <w:i w:val="0"/>
          <w:sz w:val="22"/>
        </w:rPr>
        <w:t>Through education, empowerment, and equity-driven reforms, nations can create a sustainable, peaceful, and inclusive future that truly reflects the spirit of global development and human progress.</w:t>
      </w:r>
    </w:p>
    <w:p>
      <w:pPr>
        <w:spacing w:before="280" w:after="160"/>
        <w:jc w:val="left"/>
      </w:pPr>
      <w:r>
        <w:rPr>
          <w:rFonts w:ascii="Cambria" w:hAnsi="Cambria"/>
          <w:b/>
          <w:color w:val="1F3A5F"/>
          <w:sz w:val="32"/>
        </w:rPr>
        <w:t>17. Gender Equality in Higher Education: The Indian Context</w:t>
      </w:r>
    </w:p>
    <w:p>
      <w:pPr>
        <w:spacing w:before="240" w:after="120"/>
        <w:jc w:val="left"/>
      </w:pPr>
      <w:r>
        <w:rPr>
          <w:rFonts w:ascii="Cambria" w:hAnsi="Cambria"/>
          <w:b/>
          <w:color w:val="1F3A5F"/>
          <w:sz w:val="28"/>
        </w:rPr>
        <w:t>Progress Toward Gender Parity in Education</w:t>
      </w:r>
    </w:p>
    <w:p>
      <w:pPr>
        <w:pStyle w:val="ListBullet"/>
        <w:ind w:left="357"/>
        <w:jc w:val="both"/>
      </w:pPr>
      <w:r>
        <w:rPr>
          <w:rFonts w:ascii="Cambria" w:hAnsi="Cambria"/>
          <w:sz w:val="22"/>
        </w:rPr>
        <w:t>In India, gender uniformity in primary education has shown remarkable improvement, indicating significant strides toward eliminating gender disparities at the foundational level.</w:t>
      </w:r>
    </w:p>
    <w:p>
      <w:pPr>
        <w:pStyle w:val="ListBullet"/>
        <w:ind w:left="357"/>
        <w:jc w:val="both"/>
      </w:pPr>
      <w:r>
        <w:rPr>
          <w:rFonts w:ascii="Cambria" w:hAnsi="Cambria"/>
          <w:sz w:val="22"/>
        </w:rPr>
        <w:t>This progress demonstrates the success of government initiatives such as Sarva Shiksha Abhiyan (SSA), Beti Bachao Beti Padhao, and Samagra Shiksha, which have collectively enhanced female enrollment and retention in schools.</w:t>
      </w:r>
    </w:p>
    <w:p>
      <w:pPr>
        <w:pStyle w:val="ListBullet"/>
        <w:ind w:left="357"/>
        <w:jc w:val="both"/>
      </w:pPr>
      <w:r>
        <w:rPr>
          <w:rFonts w:ascii="Cambria" w:hAnsi="Cambria"/>
          <w:sz w:val="22"/>
        </w:rPr>
        <w:t>As gender parity at the primary level becomes normalized, the next critical challenge lies in extending this equality to secondary, tertiary, and higher education levels to ensure continuous educational participation for women.</w:t>
      </w:r>
    </w:p>
    <w:p>
      <w:pPr>
        <w:spacing w:before="240" w:after="120"/>
        <w:jc w:val="left"/>
      </w:pPr>
      <w:r>
        <w:rPr>
          <w:rFonts w:ascii="Cambria" w:hAnsi="Cambria"/>
          <w:b/>
          <w:color w:val="1F3A5F"/>
          <w:sz w:val="28"/>
        </w:rPr>
        <w:t>Importance of Higher Education in Gender Empowerment</w:t>
      </w:r>
    </w:p>
    <w:p>
      <w:pPr>
        <w:pStyle w:val="ListBullet"/>
        <w:ind w:left="357"/>
        <w:jc w:val="both"/>
      </w:pPr>
      <w:r>
        <w:rPr>
          <w:rFonts w:ascii="Cambria" w:hAnsi="Cambria"/>
          <w:sz w:val="22"/>
        </w:rPr>
        <w:t>Higher education serves as the pivot for gender equality and women's empowerment since it fosters advanced learning, analytical reasoning, and research-oriented thinking.</w:t>
      </w:r>
    </w:p>
    <w:p>
      <w:pPr>
        <w:pStyle w:val="ListBullet"/>
        <w:ind w:left="357"/>
        <w:jc w:val="both"/>
      </w:pPr>
      <w:r>
        <w:rPr>
          <w:rFonts w:ascii="Cambria" w:hAnsi="Cambria"/>
          <w:sz w:val="22"/>
        </w:rPr>
        <w:t>Women's participation in higher education contributes to leadership development, innovation, and socio-economic independence, empowering them to take part in governance, policymaking, and national development.</w:t>
      </w:r>
    </w:p>
    <w:p>
      <w:pPr>
        <w:pStyle w:val="ListBullet"/>
        <w:ind w:left="357"/>
        <w:jc w:val="both"/>
      </w:pPr>
      <w:r>
        <w:rPr>
          <w:rFonts w:ascii="Cambria" w:hAnsi="Cambria"/>
          <w:sz w:val="22"/>
        </w:rPr>
        <w:t>Universities and colleges thus play a transformative role in shaping inclusive academic environments that encourage women's involvement in STEM, management, research, and other decision-making spheres.</w:t>
      </w:r>
    </w:p>
    <w:p>
      <w:pPr>
        <w:pStyle w:val="ListBullet"/>
        <w:ind w:left="357"/>
        <w:jc w:val="both"/>
      </w:pPr>
      <w:r>
        <w:rPr>
          <w:rFonts w:ascii="Cambria" w:hAnsi="Cambria"/>
          <w:sz w:val="22"/>
        </w:rPr>
        <w:t>Gender-balanced higher education also strengthens intergenerational equity, inspiring younger girls to pursue academic and professional excellence.</w:t>
      </w:r>
    </w:p>
    <w:p>
      <w:pPr>
        <w:spacing w:before="240" w:after="120"/>
        <w:jc w:val="left"/>
      </w:pPr>
      <w:r>
        <w:rPr>
          <w:rFonts w:ascii="Cambria" w:hAnsi="Cambria"/>
          <w:b/>
          <w:color w:val="1F3A5F"/>
          <w:sz w:val="28"/>
        </w:rPr>
        <w:t>Linkage Between Education and Empowerment</w:t>
      </w:r>
    </w:p>
    <w:p>
      <w:pPr>
        <w:pStyle w:val="ListBullet"/>
        <w:ind w:left="357"/>
        <w:jc w:val="both"/>
      </w:pPr>
      <w:r>
        <w:rPr>
          <w:rFonts w:ascii="Cambria" w:hAnsi="Cambria"/>
          <w:sz w:val="22"/>
        </w:rPr>
        <w:t>Education at the degree level enhances awareness of rights, access to opportunities, and decision-making capacities among women.</w:t>
      </w:r>
    </w:p>
    <w:p>
      <w:pPr>
        <w:pStyle w:val="ListBullet"/>
        <w:ind w:left="357"/>
        <w:jc w:val="both"/>
      </w:pPr>
      <w:r>
        <w:rPr>
          <w:rFonts w:ascii="Cambria" w:hAnsi="Cambria"/>
          <w:sz w:val="22"/>
        </w:rPr>
        <w:t>It helps in breaking traditional barriers, improving participation in the labor market, and narrowing the gender pay gap.</w:t>
      </w:r>
    </w:p>
    <w:p>
      <w:pPr>
        <w:pStyle w:val="ListBullet"/>
        <w:ind w:left="357"/>
        <w:jc w:val="both"/>
      </w:pPr>
      <w:r>
        <w:rPr>
          <w:rFonts w:ascii="Cambria" w:hAnsi="Cambria"/>
          <w:sz w:val="22"/>
        </w:rPr>
        <w:t>Educated women are more likely to contribute to societal reform, entrepreneurship, and knowledge-based economies, thereby influencing overall sustainable development.</w:t>
      </w:r>
    </w:p>
    <w:p>
      <w:pPr>
        <w:spacing w:before="240" w:after="120"/>
        <w:jc w:val="left"/>
      </w:pPr>
      <w:r>
        <w:rPr>
          <w:rFonts w:ascii="Cambria" w:hAnsi="Cambria"/>
          <w:b/>
          <w:color w:val="1F3A5F"/>
          <w:sz w:val="28"/>
        </w:rPr>
        <w:t>NITI Aayog's Assessment on SDG-5 (2021)</w:t>
      </w:r>
    </w:p>
    <w:p>
      <w:pPr>
        <w:pStyle w:val="ListBullet"/>
        <w:ind w:left="357"/>
        <w:jc w:val="both"/>
      </w:pPr>
      <w:r>
        <w:rPr>
          <w:rFonts w:ascii="Cambria" w:hAnsi="Cambria"/>
          <w:sz w:val="22"/>
        </w:rPr>
        <w:t>The NITI Aayog's SDG India Index (2021) provides a state-wise and Union Territory-wise evaluation of progress made toward achieving SDG-5: Gender Equality.</w:t>
      </w:r>
    </w:p>
    <w:p>
      <w:pPr>
        <w:pStyle w:val="ListBullet"/>
        <w:ind w:left="357"/>
        <w:jc w:val="both"/>
      </w:pPr>
      <w:r>
        <w:rPr>
          <w:rFonts w:ascii="Cambria" w:hAnsi="Cambria"/>
          <w:sz w:val="22"/>
        </w:rPr>
        <w:t>The index assesses parameters such as female literacy rates, labor force participation, representation in legislative assemblies, crimes against women, and access to education and health services.</w:t>
      </w:r>
    </w:p>
    <w:p>
      <w:pPr>
        <w:pStyle w:val="ListBullet"/>
        <w:ind w:left="357"/>
        <w:jc w:val="both"/>
      </w:pPr>
      <w:r>
        <w:rPr>
          <w:rFonts w:ascii="Cambria" w:hAnsi="Cambria"/>
          <w:sz w:val="22"/>
        </w:rPr>
        <w:t>States like Kerala, Himachal Pradesh, and Sikkim have performed strongly, showing significant advancement in gender parity and women's educational attainment.</w:t>
      </w:r>
    </w:p>
    <w:p>
      <w:pPr>
        <w:pStyle w:val="ListBullet"/>
        <w:ind w:left="357"/>
        <w:jc w:val="both"/>
      </w:pPr>
      <w:r>
        <w:rPr>
          <w:rFonts w:ascii="Cambria" w:hAnsi="Cambria"/>
          <w:sz w:val="22"/>
        </w:rPr>
        <w:t>Conversely, states such as Bihar, Uttar Pradesh, and Jharkhand reflect challenges due to low female labor participation, early marriage rates, and safety concerns, indicating the need for targeted interventions.</w:t>
      </w:r>
    </w:p>
    <w:p>
      <w:pPr>
        <w:pStyle w:val="ListBullet"/>
        <w:ind w:left="357"/>
        <w:jc w:val="both"/>
      </w:pPr>
      <w:r>
        <w:rPr>
          <w:rFonts w:ascii="Cambria" w:hAnsi="Cambria"/>
          <w:sz w:val="22"/>
        </w:rPr>
        <w:t>Union Territories like Chandigarh, Puducherry, and Delhi have shown relatively better performance in gender indicators, largely due to higher literacy, better institutional frameworks, and access to urban opportunities.</w:t>
      </w:r>
    </w:p>
    <w:p>
      <w:pPr>
        <w:spacing w:before="240" w:after="120"/>
        <w:jc w:val="left"/>
      </w:pPr>
      <w:r>
        <w:rPr>
          <w:rFonts w:ascii="Cambria" w:hAnsi="Cambria"/>
          <w:b/>
          <w:color w:val="1F3A5F"/>
          <w:sz w:val="28"/>
        </w:rPr>
        <w:t>Interpretation of Findings</w:t>
      </w:r>
    </w:p>
    <w:p>
      <w:pPr>
        <w:pStyle w:val="ListBullet"/>
        <w:ind w:left="357"/>
        <w:jc w:val="both"/>
      </w:pPr>
      <w:r>
        <w:rPr>
          <w:rFonts w:ascii="Cambria" w:hAnsi="Cambria"/>
          <w:sz w:val="22"/>
        </w:rPr>
        <w:t>The NITI Aayog data emphasizes that regional disparities in gender equality remain a critical challenge in India.</w:t>
      </w:r>
    </w:p>
    <w:p>
      <w:pPr>
        <w:pStyle w:val="ListBullet"/>
        <w:ind w:left="357"/>
        <w:jc w:val="both"/>
      </w:pPr>
      <w:r>
        <w:rPr>
          <w:rFonts w:ascii="Cambria" w:hAnsi="Cambria"/>
          <w:sz w:val="22"/>
        </w:rPr>
        <w:t>Educational accessibility, safety, social attitudes, and economic independence continue to vary widely between urban and rural areas.</w:t>
      </w:r>
    </w:p>
    <w:p>
      <w:pPr>
        <w:pStyle w:val="ListBullet"/>
        <w:ind w:left="357"/>
        <w:jc w:val="both"/>
      </w:pPr>
      <w:r>
        <w:rPr>
          <w:rFonts w:ascii="Cambria" w:hAnsi="Cambria"/>
          <w:sz w:val="22"/>
        </w:rPr>
        <w:t>To achieve holistic gender empowerment, it is necessary to strengthen higher education systems through gender-sensitive policies, mentorship, and institutional accountability mechanisms.</w:t>
      </w:r>
    </w:p>
    <w:p>
      <w:pPr>
        <w:pStyle w:val="ListBullet"/>
        <w:ind w:left="357"/>
        <w:jc w:val="both"/>
      </w:pPr>
      <w:r>
        <w:rPr>
          <w:rFonts w:ascii="Cambria" w:hAnsi="Cambria"/>
          <w:sz w:val="22"/>
        </w:rPr>
        <w:t>The integration of gender equity indicators into accreditation and ranking frameworks such as NAAC and NIRF can encourage HEIs to implement proactive reforms.</w:t>
      </w:r>
    </w:p>
    <w:p>
      <w:pPr>
        <w:spacing w:before="240" w:after="120"/>
        <w:jc w:val="left"/>
      </w:pPr>
      <w:r>
        <w:rPr>
          <w:rFonts w:ascii="Cambria" w:hAnsi="Cambria"/>
          <w:b/>
          <w:color w:val="1F3A5F"/>
          <w:sz w:val="28"/>
        </w:rPr>
        <w:t>Policy Implications and Way Forward</w:t>
      </w:r>
    </w:p>
    <w:p>
      <w:pPr>
        <w:pStyle w:val="ListBullet"/>
        <w:ind w:left="357"/>
        <w:jc w:val="both"/>
      </w:pPr>
      <w:r>
        <w:rPr>
          <w:rFonts w:ascii="Cambria" w:hAnsi="Cambria"/>
          <w:sz w:val="22"/>
        </w:rPr>
        <w:t>Promote inclusive higher education policies with special focus on rural women, differently-abled women, and transgender students.</w:t>
      </w:r>
    </w:p>
    <w:p>
      <w:pPr>
        <w:pStyle w:val="ListBullet"/>
        <w:ind w:left="357"/>
        <w:jc w:val="both"/>
      </w:pPr>
      <w:r>
        <w:rPr>
          <w:rFonts w:ascii="Cambria" w:hAnsi="Cambria"/>
          <w:sz w:val="22"/>
        </w:rPr>
        <w:t>Increase scholarship programs, safe accommodation, and flexible learning opportunities for women to pursue higher education.</w:t>
      </w:r>
    </w:p>
    <w:p>
      <w:pPr>
        <w:pStyle w:val="ListBullet"/>
        <w:ind w:left="357"/>
        <w:jc w:val="both"/>
      </w:pPr>
      <w:r>
        <w:rPr>
          <w:rFonts w:ascii="Cambria" w:hAnsi="Cambria"/>
          <w:sz w:val="22"/>
        </w:rPr>
        <w:t>Encourage gender audits, equity cells, and awareness programs within universities to monitor progress and bridge gender gaps.</w:t>
      </w:r>
    </w:p>
    <w:p>
      <w:pPr>
        <w:pStyle w:val="ListBullet"/>
        <w:ind w:left="357"/>
        <w:jc w:val="both"/>
      </w:pPr>
      <w:r>
        <w:rPr>
          <w:rFonts w:ascii="Cambria" w:hAnsi="Cambria"/>
          <w:sz w:val="22"/>
        </w:rPr>
        <w:t>Strengthen partnerships between state governments, HEIs, and civil society organizations to promote gender equality through education, research, and innovation.</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India's progress in gender parity at the primary level provides a strong foundation to achieve gender equality in higher education, a critical driver of empowerment and sustainable growth.</w:t>
      </w:r>
    </w:p>
    <w:p>
      <w:pPr>
        <w:spacing w:after="120"/>
        <w:jc w:val="both"/>
      </w:pPr>
      <w:r>
        <w:rPr>
          <w:rFonts w:ascii="Cambria" w:hAnsi="Cambria"/>
          <w:b w:val="0"/>
          <w:i w:val="0"/>
          <w:sz w:val="22"/>
        </w:rPr>
        <w:t>The insights from NITI Aayog's SDG-5 assessment highlight the need for state-specific strategies that focus on inclusive access, safety, and opportunity equality for women.</w:t>
      </w:r>
    </w:p>
    <w:p>
      <w:pPr>
        <w:spacing w:after="120"/>
        <w:jc w:val="both"/>
      </w:pPr>
      <w:r>
        <w:rPr>
          <w:rFonts w:ascii="Cambria" w:hAnsi="Cambria"/>
          <w:b w:val="0"/>
          <w:i w:val="0"/>
          <w:sz w:val="22"/>
        </w:rPr>
        <w:t>By consolidating these efforts, India can create a gender-balanced higher education ecosystem, ensuring that education becomes a powerful tool for equity, empowerment, and nation-building.</w:t>
      </w:r>
    </w:p>
    <w:p>
      <w:pPr>
        <w:spacing w:before="280" w:after="160"/>
        <w:jc w:val="left"/>
      </w:pPr>
      <w:r>
        <w:rPr>
          <w:rFonts w:ascii="Cambria" w:hAnsi="Cambria"/>
          <w:b/>
          <w:color w:val="1F3A5F"/>
          <w:sz w:val="32"/>
        </w:rPr>
        <w:t>18. AICTE's Initiatives for Promoting Gender Equality and Women Empowerment in Technical Institutions</w:t>
      </w:r>
    </w:p>
    <w:p>
      <w:pPr>
        <w:spacing w:before="240" w:after="120"/>
        <w:jc w:val="left"/>
      </w:pPr>
      <w:r>
        <w:rPr>
          <w:rFonts w:ascii="Cambria" w:hAnsi="Cambria"/>
          <w:b/>
          <w:color w:val="1F3A5F"/>
          <w:sz w:val="28"/>
        </w:rPr>
        <w:t>AICTE's Vision and Commitment</w:t>
      </w:r>
    </w:p>
    <w:p>
      <w:pPr>
        <w:pStyle w:val="ListBullet"/>
        <w:ind w:left="357"/>
        <w:jc w:val="both"/>
      </w:pPr>
      <w:r>
        <w:rPr>
          <w:rFonts w:ascii="Cambria" w:hAnsi="Cambria"/>
          <w:sz w:val="22"/>
        </w:rPr>
        <w:t>The All India Council for Technical Education (AICTE) plays a pivotal role in ensuring gender equality, inclusivity, and women empowerment across technical and engineering institutions in India.</w:t>
      </w:r>
    </w:p>
    <w:p>
      <w:pPr>
        <w:pStyle w:val="ListBullet"/>
        <w:ind w:left="357"/>
        <w:jc w:val="both"/>
      </w:pPr>
      <w:r>
        <w:rPr>
          <w:rFonts w:ascii="Cambria" w:hAnsi="Cambria"/>
          <w:sz w:val="22"/>
        </w:rPr>
        <w:t>AICTE's initiatives are aligned with Sustainable Development Goal 5 (SDG-5) and the National Education Policy (NEP) 2020, both emphasizing equity, inclusiveness, and equal opportunities in education.</w:t>
      </w:r>
    </w:p>
    <w:p>
      <w:pPr>
        <w:pStyle w:val="ListBullet"/>
        <w:ind w:left="357"/>
        <w:jc w:val="both"/>
      </w:pPr>
      <w:r>
        <w:rPr>
          <w:rFonts w:ascii="Cambria" w:hAnsi="Cambria"/>
          <w:sz w:val="22"/>
        </w:rPr>
        <w:t>The Council encourages all approved institutions to create safe, inclusive, and inspiring learning environments that promote women's participation in science, technology, engineering, and mathematics (STEM) disciplines.</w:t>
      </w:r>
    </w:p>
    <w:p>
      <w:pPr>
        <w:spacing w:before="240" w:after="120"/>
        <w:jc w:val="left"/>
      </w:pPr>
      <w:r>
        <w:rPr>
          <w:rFonts w:ascii="Cambria" w:hAnsi="Cambria"/>
          <w:b/>
          <w:color w:val="1F3A5F"/>
          <w:sz w:val="28"/>
        </w:rPr>
        <w:t>Mandatory Institutional Activities to Promote Gender Equality</w:t>
      </w:r>
    </w:p>
    <w:p>
      <w:pPr>
        <w:pStyle w:val="ListBullet"/>
        <w:ind w:left="357"/>
        <w:jc w:val="both"/>
      </w:pPr>
      <w:r>
        <w:rPr>
          <w:rFonts w:ascii="Cambria" w:hAnsi="Cambria"/>
          <w:sz w:val="22"/>
        </w:rPr>
        <w:t>AICTE-approved institutions are required to conduct gender equality–focused activities annually to foster awareness, remove gender stereotypes, and build a culture of respect and harmony.</w:t>
      </w:r>
    </w:p>
    <w:p>
      <w:pPr>
        <w:pStyle w:val="ListBullet"/>
        <w:ind w:left="357"/>
        <w:jc w:val="both"/>
      </w:pPr>
      <w:r>
        <w:rPr>
          <w:rFonts w:ascii="Cambria" w:hAnsi="Cambria"/>
          <w:sz w:val="22"/>
        </w:rPr>
        <w:t>These activities should include seminars, workshops, campaigns, and community outreach programs designed to address gender-related issues and empower girl students.</w:t>
      </w:r>
    </w:p>
    <w:p>
      <w:pPr>
        <w:spacing w:before="240" w:after="120"/>
        <w:jc w:val="left"/>
      </w:pPr>
      <w:r>
        <w:rPr>
          <w:rFonts w:ascii="Cambria" w:hAnsi="Cambria"/>
          <w:b/>
          <w:color w:val="1F3A5F"/>
          <w:sz w:val="28"/>
        </w:rPr>
        <w:t>Core Activities Recommended by AICTE</w:t>
      </w:r>
    </w:p>
    <w:p>
      <w:pPr>
        <w:ind w:left="357" w:hanging="357"/>
        <w:jc w:val="both"/>
      </w:pPr>
      <w:r>
        <w:rPr>
          <w:rFonts w:ascii="Cambria" w:hAnsi="Cambria"/>
          <w:b/>
          <w:sz w:val="22"/>
        </w:rPr>
        <w:t xml:space="preserve">1. </w:t>
      </w:r>
      <w:r>
        <w:rPr>
          <w:rFonts w:ascii="Cambria" w:hAnsi="Cambria"/>
          <w:i w:val="0"/>
          <w:sz w:val="22"/>
        </w:rPr>
        <w:t>Women Empowerment and Awareness Programs</w:t>
      </w:r>
    </w:p>
    <w:p>
      <w:pPr>
        <w:pStyle w:val="ListBullet"/>
        <w:ind w:left="357"/>
        <w:jc w:val="both"/>
      </w:pPr>
      <w:r>
        <w:rPr>
          <w:rFonts w:ascii="Cambria" w:hAnsi="Cambria"/>
          <w:sz w:val="22"/>
        </w:rPr>
        <w:t>Conduct orientation sessions and leadership workshops for girl students on empowerment, rights, and professional growth.</w:t>
      </w:r>
    </w:p>
    <w:p>
      <w:pPr>
        <w:pStyle w:val="ListBullet"/>
        <w:ind w:left="357"/>
        <w:jc w:val="both"/>
      </w:pPr>
      <w:r>
        <w:rPr>
          <w:rFonts w:ascii="Cambria" w:hAnsi="Cambria"/>
          <w:sz w:val="22"/>
        </w:rPr>
        <w:t>Organize motivational talks by successful women engineers, scientists, and entrepreneurs to inspire female students.</w:t>
      </w:r>
    </w:p>
    <w:p>
      <w:pPr>
        <w:pStyle w:val="ListBullet"/>
        <w:ind w:left="357"/>
        <w:jc w:val="both"/>
      </w:pPr>
      <w:r>
        <w:rPr>
          <w:rFonts w:ascii="Cambria" w:hAnsi="Cambria"/>
          <w:sz w:val="22"/>
        </w:rPr>
        <w:t>Celebrate International Women's Day, National Girl Child Day, and Women in Engineering Day through special events and discussions.</w:t>
      </w:r>
    </w:p>
    <w:p>
      <w:pPr>
        <w:ind w:left="357" w:hanging="357"/>
        <w:jc w:val="both"/>
      </w:pPr>
      <w:r>
        <w:rPr>
          <w:rFonts w:ascii="Cambria" w:hAnsi="Cambria"/>
          <w:b/>
          <w:sz w:val="22"/>
        </w:rPr>
        <w:t xml:space="preserve">2. </w:t>
      </w:r>
      <w:r>
        <w:rPr>
          <w:rFonts w:ascii="Cambria" w:hAnsi="Cambria"/>
          <w:i w:val="0"/>
          <w:sz w:val="22"/>
        </w:rPr>
        <w:t>Gender Sensitization and Bias Elimination</w:t>
      </w:r>
    </w:p>
    <w:p>
      <w:pPr>
        <w:pStyle w:val="ListBullet"/>
        <w:ind w:left="357"/>
        <w:jc w:val="both"/>
      </w:pPr>
      <w:r>
        <w:rPr>
          <w:rFonts w:ascii="Cambria" w:hAnsi="Cambria"/>
          <w:sz w:val="22"/>
        </w:rPr>
        <w:t>Implement gender sensitization programs for students, faculty, and administrative staff to promote respect, equality, and understanding.</w:t>
      </w:r>
    </w:p>
    <w:p>
      <w:pPr>
        <w:pStyle w:val="ListBullet"/>
        <w:ind w:left="357"/>
        <w:jc w:val="both"/>
      </w:pPr>
      <w:r>
        <w:rPr>
          <w:rFonts w:ascii="Cambria" w:hAnsi="Cambria"/>
          <w:sz w:val="22"/>
        </w:rPr>
        <w:t>Include discussions on unconscious bias, gender stereotypes, and inclusivity in workplaces to help break traditional barriers.</w:t>
      </w:r>
    </w:p>
    <w:p>
      <w:pPr>
        <w:pStyle w:val="ListBullet"/>
        <w:ind w:left="357"/>
        <w:jc w:val="both"/>
      </w:pPr>
      <w:r>
        <w:rPr>
          <w:rFonts w:ascii="Cambria" w:hAnsi="Cambria"/>
          <w:sz w:val="22"/>
        </w:rPr>
        <w:t>Introduce classroom and campus campaigns on “Respect for Women” and “Equality in Opportunity” as part of institutional culture.</w:t>
      </w:r>
    </w:p>
    <w:p>
      <w:pPr>
        <w:ind w:left="357" w:hanging="357"/>
        <w:jc w:val="both"/>
      </w:pPr>
      <w:r>
        <w:rPr>
          <w:rFonts w:ascii="Cambria" w:hAnsi="Cambria"/>
          <w:b/>
          <w:sz w:val="22"/>
        </w:rPr>
        <w:t xml:space="preserve">3. </w:t>
      </w:r>
      <w:r>
        <w:rPr>
          <w:rFonts w:ascii="Cambria" w:hAnsi="Cambria"/>
          <w:i w:val="0"/>
          <w:sz w:val="22"/>
        </w:rPr>
        <w:t>Safety and Support Mechanisms for Women</w:t>
      </w:r>
    </w:p>
    <w:p>
      <w:pPr>
        <w:pStyle w:val="ListBullet"/>
        <w:ind w:left="357"/>
        <w:jc w:val="both"/>
      </w:pPr>
      <w:r>
        <w:rPr>
          <w:rFonts w:ascii="Cambria" w:hAnsi="Cambria"/>
          <w:sz w:val="22"/>
        </w:rPr>
        <w:t>Ensure strict compliance with the POSH Act (2013) and formation of an Internal Complaints Committee (ICC) in every AICTE-approved institution.</w:t>
      </w:r>
    </w:p>
    <w:p>
      <w:pPr>
        <w:pStyle w:val="ListBullet"/>
        <w:ind w:left="357"/>
        <w:jc w:val="both"/>
      </w:pPr>
      <w:r>
        <w:rPr>
          <w:rFonts w:ascii="Cambria" w:hAnsi="Cambria"/>
          <w:sz w:val="22"/>
        </w:rPr>
        <w:t>Conduct safety awareness drives, including self-defense training and cybersecurity awareness programs for women.</w:t>
      </w:r>
    </w:p>
    <w:p>
      <w:pPr>
        <w:pStyle w:val="ListBullet"/>
        <w:ind w:left="357"/>
        <w:jc w:val="both"/>
      </w:pPr>
      <w:r>
        <w:rPr>
          <w:rFonts w:ascii="Cambria" w:hAnsi="Cambria"/>
          <w:sz w:val="22"/>
        </w:rPr>
        <w:t>Install CCTV surveillance, helpline facilities, and secure transport systems to ensure safety of female students and staff.</w:t>
      </w:r>
    </w:p>
    <w:p>
      <w:pPr>
        <w:ind w:left="357" w:hanging="357"/>
        <w:jc w:val="both"/>
      </w:pPr>
      <w:r>
        <w:rPr>
          <w:rFonts w:ascii="Cambria" w:hAnsi="Cambria"/>
          <w:b/>
          <w:sz w:val="22"/>
        </w:rPr>
        <w:t xml:space="preserve">4. </w:t>
      </w:r>
      <w:r>
        <w:rPr>
          <w:rFonts w:ascii="Cambria" w:hAnsi="Cambria"/>
          <w:i w:val="0"/>
          <w:sz w:val="22"/>
        </w:rPr>
        <w:t>Equal Opportunity and Inclusion in Technical Education</w:t>
      </w:r>
    </w:p>
    <w:p>
      <w:pPr>
        <w:pStyle w:val="ListBullet"/>
        <w:ind w:left="357"/>
        <w:jc w:val="both"/>
      </w:pPr>
      <w:r>
        <w:rPr>
          <w:rFonts w:ascii="Cambria" w:hAnsi="Cambria"/>
          <w:sz w:val="22"/>
        </w:rPr>
        <w:t>Promote AICTE's Pragati Scholarship Scheme for Girl Students, which provides financial support for women pursuing technical education.</w:t>
      </w:r>
    </w:p>
    <w:p>
      <w:pPr>
        <w:pStyle w:val="ListBullet"/>
        <w:ind w:left="357"/>
        <w:jc w:val="both"/>
      </w:pPr>
      <w:r>
        <w:rPr>
          <w:rFonts w:ascii="Cambria" w:hAnsi="Cambria"/>
          <w:sz w:val="22"/>
        </w:rPr>
        <w:t>Encourage mentorship programs where senior female faculty or alumni guide girl students in academics, research, and career development.</w:t>
      </w:r>
    </w:p>
    <w:p>
      <w:pPr>
        <w:pStyle w:val="ListBullet"/>
        <w:ind w:left="357"/>
        <w:jc w:val="both"/>
      </w:pPr>
      <w:r>
        <w:rPr>
          <w:rFonts w:ascii="Cambria" w:hAnsi="Cambria"/>
          <w:sz w:val="22"/>
        </w:rPr>
        <w:t>Conduct gender equality hackathons, innovation challenges, and coding boot camps encouraging participation of female students.</w:t>
      </w:r>
    </w:p>
    <w:p>
      <w:pPr>
        <w:ind w:left="357" w:hanging="357"/>
        <w:jc w:val="both"/>
      </w:pPr>
      <w:r>
        <w:rPr>
          <w:rFonts w:ascii="Cambria" w:hAnsi="Cambria"/>
          <w:b/>
          <w:sz w:val="22"/>
        </w:rPr>
        <w:t xml:space="preserve">5. </w:t>
      </w:r>
      <w:r>
        <w:rPr>
          <w:rFonts w:ascii="Cambria" w:hAnsi="Cambria"/>
          <w:i w:val="0"/>
          <w:sz w:val="22"/>
        </w:rPr>
        <w:t>Community Engagement and Rural Outreach</w:t>
      </w:r>
    </w:p>
    <w:p>
      <w:pPr>
        <w:pStyle w:val="ListBullet"/>
        <w:ind w:left="357"/>
        <w:jc w:val="both"/>
      </w:pPr>
      <w:r>
        <w:rPr>
          <w:rFonts w:ascii="Cambria" w:hAnsi="Cambria"/>
          <w:sz w:val="22"/>
        </w:rPr>
        <w:t>Involve institutions in rural awareness campaigns to promote education and technology access for girls in underprivileged areas.</w:t>
      </w:r>
    </w:p>
    <w:p>
      <w:pPr>
        <w:pStyle w:val="ListBullet"/>
        <w:ind w:left="357"/>
        <w:jc w:val="both"/>
      </w:pPr>
      <w:r>
        <w:rPr>
          <w:rFonts w:ascii="Cambria" w:hAnsi="Cambria"/>
          <w:sz w:val="22"/>
        </w:rPr>
        <w:t>Organize school visits and awareness sessions under programs like Vishaka Guidelines Awareness and Women in STEM Promotion to encourage schoolgirls to pursue technical fields.</w:t>
      </w:r>
    </w:p>
    <w:p>
      <w:pPr>
        <w:pStyle w:val="ListBullet"/>
        <w:ind w:left="357"/>
        <w:jc w:val="both"/>
      </w:pPr>
      <w:r>
        <w:rPr>
          <w:rFonts w:ascii="Cambria" w:hAnsi="Cambria"/>
          <w:sz w:val="22"/>
        </w:rPr>
        <w:t>Collaborate with NGOs, local self-help groups, and women's development organizations for skill-building and entrepreneurship workshops.</w:t>
      </w:r>
    </w:p>
    <w:p>
      <w:pPr>
        <w:ind w:left="357" w:hanging="357"/>
        <w:jc w:val="both"/>
      </w:pPr>
      <w:r>
        <w:rPr>
          <w:rFonts w:ascii="Cambria" w:hAnsi="Cambria"/>
          <w:b/>
          <w:sz w:val="22"/>
        </w:rPr>
        <w:t xml:space="preserve">6. </w:t>
      </w:r>
      <w:r>
        <w:rPr>
          <w:rFonts w:ascii="Cambria" w:hAnsi="Cambria"/>
          <w:i w:val="0"/>
          <w:sz w:val="22"/>
        </w:rPr>
        <w:t>Institutional Reporting and Accountability</w:t>
      </w:r>
    </w:p>
    <w:p>
      <w:pPr>
        <w:pStyle w:val="ListBullet"/>
        <w:ind w:left="357"/>
        <w:jc w:val="both"/>
      </w:pPr>
      <w:r>
        <w:rPr>
          <w:rFonts w:ascii="Cambria" w:hAnsi="Cambria"/>
          <w:sz w:val="22"/>
        </w:rPr>
        <w:t>AICTE requires every approved institution to document all gender equality and women empowerment activities conducted during the academic year.</w:t>
      </w:r>
    </w:p>
    <w:p>
      <w:pPr>
        <w:pStyle w:val="ListBullet"/>
        <w:ind w:left="357"/>
        <w:jc w:val="both"/>
      </w:pPr>
      <w:r>
        <w:rPr>
          <w:rFonts w:ascii="Cambria" w:hAnsi="Cambria"/>
          <w:sz w:val="22"/>
        </w:rPr>
        <w:t>Institutions must submit these details in their Annual Compliance Reports to AICTE and display them on official websites.</w:t>
      </w:r>
    </w:p>
    <w:p>
      <w:pPr>
        <w:pStyle w:val="ListBullet"/>
        <w:ind w:left="357"/>
        <w:jc w:val="both"/>
      </w:pPr>
      <w:r>
        <w:rPr>
          <w:rFonts w:ascii="Cambria" w:hAnsi="Cambria"/>
          <w:sz w:val="22"/>
        </w:rPr>
        <w:t>Non-compliance or insufficient activity implementation may affect AICTE accreditation reviews and institutional ratings.</w:t>
      </w:r>
    </w:p>
    <w:p>
      <w:pPr>
        <w:spacing w:before="240" w:after="120"/>
        <w:jc w:val="left"/>
      </w:pPr>
      <w:r>
        <w:rPr>
          <w:rFonts w:ascii="Cambria" w:hAnsi="Cambria"/>
          <w:b/>
          <w:color w:val="1F3A5F"/>
          <w:sz w:val="28"/>
        </w:rPr>
        <w:t>Outcome and Impact of AICTE's Guidelines</w:t>
      </w:r>
    </w:p>
    <w:p>
      <w:pPr>
        <w:pStyle w:val="ListBullet"/>
        <w:ind w:left="357"/>
        <w:jc w:val="both"/>
      </w:pPr>
      <w:r>
        <w:rPr>
          <w:rFonts w:ascii="Cambria" w:hAnsi="Cambria"/>
          <w:sz w:val="22"/>
        </w:rPr>
        <w:t>Increased enrollment and retention of girl students in engineering, technology, and management programs.</w:t>
      </w:r>
    </w:p>
    <w:p>
      <w:pPr>
        <w:pStyle w:val="ListBullet"/>
        <w:ind w:left="357"/>
        <w:jc w:val="both"/>
      </w:pPr>
      <w:r>
        <w:rPr>
          <w:rFonts w:ascii="Cambria" w:hAnsi="Cambria"/>
          <w:sz w:val="22"/>
        </w:rPr>
        <w:t>Enhanced awareness about gender equality, women's rights, and professional opportunities among the student community.</w:t>
      </w:r>
    </w:p>
    <w:p>
      <w:pPr>
        <w:pStyle w:val="ListBullet"/>
        <w:ind w:left="357"/>
        <w:jc w:val="both"/>
      </w:pPr>
      <w:r>
        <w:rPr>
          <w:rFonts w:ascii="Cambria" w:hAnsi="Cambria"/>
          <w:sz w:val="22"/>
        </w:rPr>
        <w:t>Development of safe, inclusive, and equitable campuses where both men and women collaborate as equals in learning and innovation.</w:t>
      </w:r>
    </w:p>
    <w:p>
      <w:pPr>
        <w:pStyle w:val="ListBullet"/>
        <w:ind w:left="357"/>
        <w:jc w:val="both"/>
      </w:pPr>
      <w:r>
        <w:rPr>
          <w:rFonts w:ascii="Cambria" w:hAnsi="Cambria"/>
          <w:sz w:val="22"/>
        </w:rPr>
        <w:t>Empowerment of women to pursue leadership roles in technical and research fields, contributing to the overall socio-economic development of the country.</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Through these initiatives, AICTE reaffirms its commitment to gender equality and inclusivity in technical education.</w:t>
      </w:r>
    </w:p>
    <w:p>
      <w:pPr>
        <w:spacing w:after="120"/>
        <w:jc w:val="both"/>
      </w:pPr>
      <w:r>
        <w:rPr>
          <w:rFonts w:ascii="Cambria" w:hAnsi="Cambria"/>
          <w:b w:val="0"/>
          <w:i w:val="0"/>
          <w:sz w:val="22"/>
        </w:rPr>
        <w:t>By mandating awareness programs, scholarships, and safe campus policies, AICTE ensures that Indian technical institutions become hubs of empowerment, innovation, and equal opportunity for women, thus advancing the national and global vision of SDG-5: Gender Equality.</w:t>
      </w:r>
    </w:p>
    <w:p>
      <w:pPr>
        <w:spacing w:before="280" w:after="160"/>
        <w:jc w:val="left"/>
      </w:pPr>
      <w:r>
        <w:rPr>
          <w:rFonts w:ascii="Cambria" w:hAnsi="Cambria"/>
          <w:b/>
          <w:color w:val="1F3A5F"/>
          <w:sz w:val="32"/>
        </w:rPr>
        <w:t>19. Institutional Awards Promoting Women's Excellence and Empowerment in Higher Education</w:t>
      </w:r>
    </w:p>
    <w:p>
      <w:pPr>
        <w:spacing w:before="240" w:after="120"/>
        <w:jc w:val="left"/>
      </w:pPr>
      <w:r>
        <w:rPr>
          <w:rFonts w:ascii="Cambria" w:hAnsi="Cambria"/>
          <w:b/>
          <w:color w:val="1F3A5F"/>
          <w:sz w:val="28"/>
        </w:rPr>
        <w:t>Overview and Objective</w:t>
      </w:r>
    </w:p>
    <w:p>
      <w:pPr>
        <w:pStyle w:val="ListBullet"/>
        <w:ind w:left="357"/>
        <w:jc w:val="both"/>
      </w:pPr>
      <w:r>
        <w:rPr>
          <w:rFonts w:ascii="Cambria" w:hAnsi="Cambria"/>
          <w:sz w:val="22"/>
        </w:rPr>
        <w:t>To recognize and celebrate the achievements of women students across diverse domains, Higher Education Institutions (HEIs) institute a series of awards that promote excellence, creativity, innovation, and social responsibility.</w:t>
      </w:r>
    </w:p>
    <w:p>
      <w:pPr>
        <w:pStyle w:val="ListBullet"/>
        <w:ind w:left="357"/>
        <w:jc w:val="both"/>
      </w:pPr>
      <w:r>
        <w:rPr>
          <w:rFonts w:ascii="Cambria" w:hAnsi="Cambria"/>
          <w:sz w:val="22"/>
        </w:rPr>
        <w:t>These awards not only honor academic and extracurricular accomplishments but also motivate women learners to strive for holistic development and leadership in their respective fields.</w:t>
      </w:r>
    </w:p>
    <w:p>
      <w:pPr>
        <w:pStyle w:val="ListBullet"/>
        <w:ind w:left="357"/>
        <w:jc w:val="both"/>
      </w:pPr>
      <w:r>
        <w:rPr>
          <w:rFonts w:ascii="Cambria" w:hAnsi="Cambria"/>
          <w:sz w:val="22"/>
        </w:rPr>
        <w:t>Such initiatives align with SDG-5 (Gender Equality) by empowering women through appreciation, visibility, and recognition of their talents.</w:t>
      </w:r>
    </w:p>
    <w:p>
      <w:pPr>
        <w:spacing w:before="200" w:after="80"/>
        <w:jc w:val="left"/>
      </w:pPr>
      <w:r>
        <w:rPr>
          <w:rFonts w:ascii="Cambria" w:hAnsi="Cambria"/>
          <w:b/>
          <w:color w:val="1F3A5F"/>
          <w:sz w:val="25"/>
        </w:rPr>
        <w:t>1. Medhavi Chhatra Award</w:t>
      </w:r>
    </w:p>
    <w:p>
      <w:pPr>
        <w:spacing w:after="120"/>
        <w:jc w:val="both"/>
      </w:pPr>
      <w:r>
        <w:rPr>
          <w:rFonts w:ascii="Cambria" w:hAnsi="Cambria"/>
          <w:b/>
          <w:sz w:val="22"/>
        </w:rPr>
        <w:t xml:space="preserve">Purpose: </w:t>
      </w:r>
      <w:r>
        <w:rPr>
          <w:rFonts w:ascii="Cambria" w:hAnsi="Cambria"/>
          <w:i w:val="0"/>
          <w:sz w:val="22"/>
        </w:rPr>
        <w:t>To recognize the academic brilliance of girl students excelling in their respective years of study.</w:t>
      </w:r>
    </w:p>
    <w:p>
      <w:pPr>
        <w:spacing w:after="120"/>
        <w:jc w:val="both"/>
      </w:pPr>
      <w:r>
        <w:rPr>
          <w:rFonts w:ascii="Cambria" w:hAnsi="Cambria"/>
          <w:b/>
          <w:i w:val="0"/>
          <w:sz w:val="22"/>
        </w:rPr>
        <w:t>Award Criteria:</w:t>
      </w:r>
    </w:p>
    <w:p>
      <w:pPr>
        <w:pStyle w:val="ListBullet"/>
        <w:ind w:left="357"/>
        <w:jc w:val="both"/>
      </w:pPr>
      <w:r>
        <w:rPr>
          <w:rFonts w:ascii="Cambria" w:hAnsi="Cambria"/>
          <w:sz w:val="22"/>
        </w:rPr>
        <w:t>Given to the female student scoring the highest marks in the 1st, 2nd, and 3rd years of her degree program respectively.</w:t>
      </w:r>
    </w:p>
    <w:p>
      <w:pPr>
        <w:pStyle w:val="ListBullet"/>
        <w:ind w:left="357"/>
        <w:jc w:val="both"/>
      </w:pPr>
      <w:r>
        <w:rPr>
          <w:rFonts w:ascii="Cambria" w:hAnsi="Cambria"/>
          <w:sz w:val="22"/>
        </w:rPr>
        <w:t>Based on overall academic performance, internal assessments, and examinations.</w:t>
      </w:r>
    </w:p>
    <w:p>
      <w:pPr>
        <w:spacing w:after="120"/>
        <w:jc w:val="both"/>
      </w:pPr>
      <w:r>
        <w:rPr>
          <w:rFonts w:ascii="Cambria" w:hAnsi="Cambria"/>
          <w:b/>
          <w:sz w:val="22"/>
        </w:rPr>
        <w:t xml:space="preserve">Impact: </w:t>
      </w:r>
      <w:r>
        <w:rPr>
          <w:rFonts w:ascii="Cambria" w:hAnsi="Cambria"/>
          <w:i w:val="0"/>
          <w:sz w:val="22"/>
        </w:rPr>
        <w:t>Encourages women students to maintain high academic standards and promotes a culture of scholarly excellence within the institution.</w:t>
      </w:r>
    </w:p>
    <w:p>
      <w:pPr>
        <w:spacing w:before="200" w:after="80"/>
        <w:jc w:val="left"/>
      </w:pPr>
      <w:r>
        <w:rPr>
          <w:rFonts w:ascii="Cambria" w:hAnsi="Cambria"/>
          <w:b/>
          <w:color w:val="1F3A5F"/>
          <w:sz w:val="25"/>
        </w:rPr>
        <w:t>2. Udyamita Award</w:t>
      </w:r>
    </w:p>
    <w:p>
      <w:pPr>
        <w:spacing w:after="120"/>
        <w:jc w:val="both"/>
      </w:pPr>
      <w:r>
        <w:rPr>
          <w:rFonts w:ascii="Cambria" w:hAnsi="Cambria"/>
          <w:b/>
          <w:sz w:val="22"/>
        </w:rPr>
        <w:t xml:space="preserve">Purpose: </w:t>
      </w:r>
      <w:r>
        <w:rPr>
          <w:rFonts w:ascii="Cambria" w:hAnsi="Cambria"/>
          <w:i w:val="0"/>
          <w:sz w:val="22"/>
        </w:rPr>
        <w:t>To acknowledge outstanding achievement and initiative in entrepreneurship and start-up development.</w:t>
      </w:r>
    </w:p>
    <w:p>
      <w:pPr>
        <w:spacing w:after="120"/>
        <w:jc w:val="both"/>
      </w:pPr>
      <w:r>
        <w:rPr>
          <w:rFonts w:ascii="Cambria" w:hAnsi="Cambria"/>
          <w:b/>
          <w:i w:val="0"/>
          <w:sz w:val="22"/>
        </w:rPr>
        <w:t>Award Criteria:</w:t>
      </w:r>
    </w:p>
    <w:p>
      <w:pPr>
        <w:pStyle w:val="ListBullet"/>
        <w:ind w:left="357"/>
        <w:jc w:val="both"/>
      </w:pPr>
      <w:r>
        <w:rPr>
          <w:rFonts w:ascii="Cambria" w:hAnsi="Cambria"/>
          <w:sz w:val="22"/>
        </w:rPr>
        <w:t>Granted to a student demonstrating entrepreneurial skills, innovation in business ideas, or leadership in start-up ventures.</w:t>
      </w:r>
    </w:p>
    <w:p>
      <w:pPr>
        <w:pStyle w:val="ListBullet"/>
        <w:ind w:left="357"/>
        <w:jc w:val="both"/>
      </w:pPr>
      <w:r>
        <w:rPr>
          <w:rFonts w:ascii="Cambria" w:hAnsi="Cambria"/>
          <w:sz w:val="22"/>
        </w:rPr>
        <w:t>May include successful participation in entrepreneurship cells, incubation programs, or business model competitions.</w:t>
      </w:r>
    </w:p>
    <w:p>
      <w:pPr>
        <w:spacing w:after="120"/>
        <w:jc w:val="both"/>
      </w:pPr>
      <w:r>
        <w:rPr>
          <w:rFonts w:ascii="Cambria" w:hAnsi="Cambria"/>
          <w:b/>
          <w:sz w:val="22"/>
        </w:rPr>
        <w:t xml:space="preserve">Impact: </w:t>
      </w:r>
      <w:r>
        <w:rPr>
          <w:rFonts w:ascii="Cambria" w:hAnsi="Cambria"/>
          <w:i w:val="0"/>
          <w:sz w:val="22"/>
        </w:rPr>
        <w:t>Inspires women to engage in entrepreneurial activities, contributing to economic empowerment and leadership in industry.</w:t>
      </w:r>
    </w:p>
    <w:p>
      <w:pPr>
        <w:spacing w:before="200" w:after="80"/>
        <w:jc w:val="left"/>
      </w:pPr>
      <w:r>
        <w:rPr>
          <w:rFonts w:ascii="Cambria" w:hAnsi="Cambria"/>
          <w:b/>
          <w:color w:val="1F3A5F"/>
          <w:sz w:val="25"/>
        </w:rPr>
        <w:t>3. Kala Shresthi Award</w:t>
      </w:r>
    </w:p>
    <w:p>
      <w:pPr>
        <w:spacing w:after="120"/>
        <w:jc w:val="both"/>
      </w:pPr>
      <w:r>
        <w:rPr>
          <w:rFonts w:ascii="Cambria" w:hAnsi="Cambria"/>
          <w:b/>
          <w:sz w:val="22"/>
        </w:rPr>
        <w:t xml:space="preserve">Purpose: </w:t>
      </w:r>
      <w:r>
        <w:rPr>
          <w:rFonts w:ascii="Cambria" w:hAnsi="Cambria"/>
          <w:i w:val="0"/>
          <w:sz w:val="22"/>
        </w:rPr>
        <w:t>To recognize exceptional talent in dance, fine arts, or performing arts.</w:t>
      </w:r>
    </w:p>
    <w:p>
      <w:pPr>
        <w:spacing w:after="120"/>
        <w:jc w:val="both"/>
      </w:pPr>
      <w:r>
        <w:rPr>
          <w:rFonts w:ascii="Cambria" w:hAnsi="Cambria"/>
          <w:b/>
          <w:i w:val="0"/>
          <w:sz w:val="22"/>
        </w:rPr>
        <w:t>Award Criteria:</w:t>
      </w:r>
    </w:p>
    <w:p>
      <w:pPr>
        <w:pStyle w:val="ListBullet"/>
        <w:ind w:left="357"/>
        <w:jc w:val="both"/>
      </w:pPr>
      <w:r>
        <w:rPr>
          <w:rFonts w:ascii="Cambria" w:hAnsi="Cambria"/>
          <w:sz w:val="22"/>
        </w:rPr>
        <w:t>Presented to students who exhibit creative excellence and dedication to artistic expression through institutional or inter-collegiate cultural events.</w:t>
      </w:r>
    </w:p>
    <w:p>
      <w:pPr>
        <w:spacing w:after="120"/>
        <w:jc w:val="both"/>
      </w:pPr>
      <w:r>
        <w:rPr>
          <w:rFonts w:ascii="Cambria" w:hAnsi="Cambria"/>
          <w:b/>
          <w:sz w:val="22"/>
        </w:rPr>
        <w:t xml:space="preserve">Impact: </w:t>
      </w:r>
      <w:r>
        <w:rPr>
          <w:rFonts w:ascii="Cambria" w:hAnsi="Cambria"/>
          <w:i w:val="0"/>
          <w:sz w:val="22"/>
        </w:rPr>
        <w:t>Encourages artistic expression among women, promoting cultural preservation and emotional intelligence through the arts.</w:t>
      </w:r>
    </w:p>
    <w:p>
      <w:pPr>
        <w:spacing w:before="200" w:after="80"/>
        <w:jc w:val="left"/>
      </w:pPr>
      <w:r>
        <w:rPr>
          <w:rFonts w:ascii="Cambria" w:hAnsi="Cambria"/>
          <w:b/>
          <w:color w:val="1F3A5F"/>
          <w:sz w:val="25"/>
        </w:rPr>
        <w:t>4. MiraBai Award</w:t>
      </w:r>
    </w:p>
    <w:p>
      <w:pPr>
        <w:spacing w:after="120"/>
        <w:jc w:val="both"/>
      </w:pPr>
      <w:r>
        <w:rPr>
          <w:rFonts w:ascii="Cambria" w:hAnsi="Cambria"/>
          <w:b/>
          <w:sz w:val="22"/>
        </w:rPr>
        <w:t xml:space="preserve">Purpose: </w:t>
      </w:r>
      <w:r>
        <w:rPr>
          <w:rFonts w:ascii="Cambria" w:hAnsi="Cambria"/>
          <w:i w:val="0"/>
          <w:sz w:val="22"/>
        </w:rPr>
        <w:t>To celebrate excellence in music and vocal/instrumental performance.</w:t>
      </w:r>
    </w:p>
    <w:p>
      <w:pPr>
        <w:spacing w:after="120"/>
        <w:jc w:val="both"/>
      </w:pPr>
      <w:r>
        <w:rPr>
          <w:rFonts w:ascii="Cambria" w:hAnsi="Cambria"/>
          <w:b/>
          <w:i w:val="0"/>
          <w:sz w:val="22"/>
        </w:rPr>
        <w:t>Award Criteria:</w:t>
      </w:r>
    </w:p>
    <w:p>
      <w:pPr>
        <w:pStyle w:val="ListBullet"/>
        <w:ind w:left="357"/>
        <w:jc w:val="both"/>
      </w:pPr>
      <w:r>
        <w:rPr>
          <w:rFonts w:ascii="Cambria" w:hAnsi="Cambria"/>
          <w:sz w:val="22"/>
        </w:rPr>
        <w:t>Awarded to a student who demonstrates exceptional musical skills, performance ability, and contribution to cultural events.</w:t>
      </w:r>
    </w:p>
    <w:p>
      <w:pPr>
        <w:spacing w:after="120"/>
        <w:jc w:val="both"/>
      </w:pPr>
      <w:r>
        <w:rPr>
          <w:rFonts w:ascii="Cambria" w:hAnsi="Cambria"/>
          <w:b/>
          <w:sz w:val="22"/>
        </w:rPr>
        <w:t xml:space="preserve">Impact: </w:t>
      </w:r>
      <w:r>
        <w:rPr>
          <w:rFonts w:ascii="Cambria" w:hAnsi="Cambria"/>
          <w:i w:val="0"/>
          <w:sz w:val="22"/>
        </w:rPr>
        <w:t>Fosters cultural and aesthetic appreciation, empowering women through creative confidence and artistic identity.</w:t>
      </w:r>
    </w:p>
    <w:p>
      <w:pPr>
        <w:spacing w:before="200" w:after="80"/>
        <w:jc w:val="left"/>
      </w:pPr>
      <w:r>
        <w:rPr>
          <w:rFonts w:ascii="Cambria" w:hAnsi="Cambria"/>
          <w:b/>
          <w:color w:val="1F3A5F"/>
          <w:sz w:val="25"/>
        </w:rPr>
        <w:t>5. Ojaswi Award</w:t>
      </w:r>
    </w:p>
    <w:p>
      <w:pPr>
        <w:spacing w:after="120"/>
        <w:jc w:val="both"/>
      </w:pPr>
      <w:r>
        <w:rPr>
          <w:rFonts w:ascii="Cambria" w:hAnsi="Cambria"/>
          <w:b/>
          <w:sz w:val="22"/>
        </w:rPr>
        <w:t xml:space="preserve">Purpose: </w:t>
      </w:r>
      <w:r>
        <w:rPr>
          <w:rFonts w:ascii="Cambria" w:hAnsi="Cambria"/>
          <w:i w:val="0"/>
          <w:sz w:val="22"/>
        </w:rPr>
        <w:t>To recognize extraordinary performance in sports and athletics.</w:t>
      </w:r>
    </w:p>
    <w:p>
      <w:pPr>
        <w:spacing w:after="120"/>
        <w:jc w:val="both"/>
      </w:pPr>
      <w:r>
        <w:rPr>
          <w:rFonts w:ascii="Cambria" w:hAnsi="Cambria"/>
          <w:b/>
          <w:i w:val="0"/>
          <w:sz w:val="22"/>
        </w:rPr>
        <w:t>Award Criteria:</w:t>
      </w:r>
    </w:p>
    <w:p>
      <w:pPr>
        <w:pStyle w:val="ListBullet"/>
        <w:ind w:left="357"/>
        <w:jc w:val="both"/>
      </w:pPr>
      <w:r>
        <w:rPr>
          <w:rFonts w:ascii="Cambria" w:hAnsi="Cambria"/>
          <w:sz w:val="22"/>
        </w:rPr>
        <w:t>Given to students who show outstanding achievements in inter-college, university, or national-level sports events.</w:t>
      </w:r>
    </w:p>
    <w:p>
      <w:pPr>
        <w:pStyle w:val="ListBullet"/>
        <w:ind w:left="357"/>
        <w:jc w:val="both"/>
      </w:pPr>
      <w:r>
        <w:rPr>
          <w:rFonts w:ascii="Cambria" w:hAnsi="Cambria"/>
          <w:sz w:val="22"/>
        </w:rPr>
        <w:t>Also considers team spirit, discipline, and contribution to institutional sports representation.</w:t>
      </w:r>
    </w:p>
    <w:p>
      <w:pPr>
        <w:spacing w:after="120"/>
        <w:jc w:val="both"/>
      </w:pPr>
      <w:r>
        <w:rPr>
          <w:rFonts w:ascii="Cambria" w:hAnsi="Cambria"/>
          <w:b/>
          <w:sz w:val="22"/>
        </w:rPr>
        <w:t xml:space="preserve">Impact: </w:t>
      </w:r>
      <w:r>
        <w:rPr>
          <w:rFonts w:ascii="Cambria" w:hAnsi="Cambria"/>
          <w:i w:val="0"/>
          <w:sz w:val="22"/>
        </w:rPr>
        <w:t>Promotes physical fitness, teamwork, and leadership among women, encouraging participation in both academic and athletic pursuits.</w:t>
      </w:r>
    </w:p>
    <w:p>
      <w:pPr>
        <w:spacing w:before="200" w:after="80"/>
        <w:jc w:val="left"/>
      </w:pPr>
      <w:r>
        <w:rPr>
          <w:rFonts w:ascii="Cambria" w:hAnsi="Cambria"/>
          <w:b/>
          <w:color w:val="1F3A5F"/>
          <w:sz w:val="25"/>
        </w:rPr>
        <w:t>6. Nivida Award</w:t>
      </w:r>
    </w:p>
    <w:p>
      <w:pPr>
        <w:spacing w:after="120"/>
        <w:jc w:val="both"/>
      </w:pPr>
      <w:r>
        <w:rPr>
          <w:rFonts w:ascii="Cambria" w:hAnsi="Cambria"/>
          <w:b/>
          <w:sz w:val="22"/>
        </w:rPr>
        <w:t xml:space="preserve">Purpose: </w:t>
      </w:r>
      <w:r>
        <w:rPr>
          <w:rFonts w:ascii="Cambria" w:hAnsi="Cambria"/>
          <w:i w:val="0"/>
          <w:sz w:val="22"/>
        </w:rPr>
        <w:t>To honor commitment to community service and social responsibility.</w:t>
      </w:r>
    </w:p>
    <w:p>
      <w:pPr>
        <w:spacing w:after="120"/>
        <w:jc w:val="both"/>
      </w:pPr>
      <w:r>
        <w:rPr>
          <w:rFonts w:ascii="Cambria" w:hAnsi="Cambria"/>
          <w:b/>
          <w:i w:val="0"/>
          <w:sz w:val="22"/>
        </w:rPr>
        <w:t>Award Criteria:</w:t>
      </w:r>
    </w:p>
    <w:p>
      <w:pPr>
        <w:pStyle w:val="ListBullet"/>
        <w:ind w:left="357"/>
        <w:jc w:val="both"/>
      </w:pPr>
      <w:r>
        <w:rPr>
          <w:rFonts w:ascii="Cambria" w:hAnsi="Cambria"/>
          <w:sz w:val="22"/>
        </w:rPr>
        <w:t>Awarded to students who contribute significantly through voluntary work, outreach programs, or social service initiatives.</w:t>
      </w:r>
    </w:p>
    <w:p>
      <w:pPr>
        <w:pStyle w:val="ListBullet"/>
        <w:ind w:left="357"/>
        <w:jc w:val="both"/>
      </w:pPr>
      <w:r>
        <w:rPr>
          <w:rFonts w:ascii="Cambria" w:hAnsi="Cambria"/>
          <w:sz w:val="22"/>
        </w:rPr>
        <w:t>Recognizes participation in NSS (National Service Scheme), environmental awareness drives, and community development projects.</w:t>
      </w:r>
    </w:p>
    <w:p>
      <w:pPr>
        <w:spacing w:after="120"/>
        <w:jc w:val="both"/>
      </w:pPr>
      <w:r>
        <w:rPr>
          <w:rFonts w:ascii="Cambria" w:hAnsi="Cambria"/>
          <w:b/>
          <w:sz w:val="22"/>
        </w:rPr>
        <w:t xml:space="preserve">Impact: </w:t>
      </w:r>
      <w:r>
        <w:rPr>
          <w:rFonts w:ascii="Cambria" w:hAnsi="Cambria"/>
          <w:i w:val="0"/>
          <w:sz w:val="22"/>
        </w:rPr>
        <w:t>Cultivates a spirit of compassion, empathy, and civic responsibility, aligning with SDG-10 (Reduced Inequalities) and SDG-16 (Peace, Justice, and Strong Institutions).</w:t>
      </w:r>
    </w:p>
    <w:p>
      <w:pPr>
        <w:spacing w:before="200" w:after="80"/>
        <w:jc w:val="left"/>
      </w:pPr>
      <w:r>
        <w:rPr>
          <w:rFonts w:ascii="Cambria" w:hAnsi="Cambria"/>
          <w:b/>
          <w:color w:val="1F3A5F"/>
          <w:sz w:val="25"/>
        </w:rPr>
        <w:t>7. Navonmesha Award</w:t>
      </w:r>
    </w:p>
    <w:p>
      <w:pPr>
        <w:spacing w:after="120"/>
        <w:jc w:val="both"/>
      </w:pPr>
      <w:r>
        <w:rPr>
          <w:rFonts w:ascii="Cambria" w:hAnsi="Cambria"/>
          <w:b/>
          <w:sz w:val="22"/>
        </w:rPr>
        <w:t xml:space="preserve">Purpose: </w:t>
      </w:r>
      <w:r>
        <w:rPr>
          <w:rFonts w:ascii="Cambria" w:hAnsi="Cambria"/>
          <w:i w:val="0"/>
          <w:sz w:val="22"/>
        </w:rPr>
        <w:t>To recognize innovation, creativity, and technological advancement by women students.</w:t>
      </w:r>
    </w:p>
    <w:p>
      <w:pPr>
        <w:spacing w:after="120"/>
        <w:jc w:val="both"/>
      </w:pPr>
      <w:r>
        <w:rPr>
          <w:rFonts w:ascii="Cambria" w:hAnsi="Cambria"/>
          <w:b/>
          <w:i w:val="0"/>
          <w:sz w:val="22"/>
        </w:rPr>
        <w:t>Award Criteria:</w:t>
      </w:r>
    </w:p>
    <w:p>
      <w:pPr>
        <w:pStyle w:val="ListBullet"/>
        <w:ind w:left="357"/>
        <w:jc w:val="both"/>
      </w:pPr>
      <w:r>
        <w:rPr>
          <w:rFonts w:ascii="Cambria" w:hAnsi="Cambria"/>
          <w:sz w:val="22"/>
        </w:rPr>
        <w:t>Presented to students who propose novel ideas, technological prototypes, or innovative research projects.</w:t>
      </w:r>
    </w:p>
    <w:p>
      <w:pPr>
        <w:pStyle w:val="ListBullet"/>
        <w:ind w:left="357"/>
        <w:jc w:val="both"/>
      </w:pPr>
      <w:r>
        <w:rPr>
          <w:rFonts w:ascii="Cambria" w:hAnsi="Cambria"/>
          <w:sz w:val="22"/>
        </w:rPr>
        <w:t>Recognizes participation in hackathons, innovation challenges, or research publications.</w:t>
      </w:r>
    </w:p>
    <w:p>
      <w:pPr>
        <w:spacing w:after="120"/>
        <w:jc w:val="both"/>
      </w:pPr>
      <w:r>
        <w:rPr>
          <w:rFonts w:ascii="Cambria" w:hAnsi="Cambria"/>
          <w:b/>
          <w:sz w:val="22"/>
        </w:rPr>
        <w:t xml:space="preserve">Impact: </w:t>
      </w:r>
      <w:r>
        <w:rPr>
          <w:rFonts w:ascii="Cambria" w:hAnsi="Cambria"/>
          <w:i w:val="0"/>
          <w:sz w:val="22"/>
        </w:rPr>
        <w:t>Encourages STEM participation and innovation-driven thinking, promoting women's leadership in technology and scientific research.</w:t>
      </w:r>
    </w:p>
    <w:p>
      <w:pPr>
        <w:spacing w:before="240" w:after="120"/>
        <w:jc w:val="left"/>
      </w:pPr>
      <w:r>
        <w:rPr>
          <w:rFonts w:ascii="Cambria" w:hAnsi="Cambria"/>
          <w:b/>
          <w:color w:val="1F3A5F"/>
          <w:sz w:val="28"/>
        </w:rPr>
        <w:t>Overall Institutional Impact</w:t>
      </w:r>
    </w:p>
    <w:p>
      <w:pPr>
        <w:pStyle w:val="ListBullet"/>
        <w:ind w:left="357"/>
        <w:jc w:val="both"/>
      </w:pPr>
      <w:r>
        <w:rPr>
          <w:rFonts w:ascii="Cambria" w:hAnsi="Cambria"/>
          <w:sz w:val="22"/>
        </w:rPr>
        <w:t>These awards collectively motivate holistic growth, nurturing intellectual, creative, athletic, and social competencies among women students.</w:t>
      </w:r>
    </w:p>
    <w:p>
      <w:pPr>
        <w:pStyle w:val="ListBullet"/>
        <w:ind w:left="357"/>
        <w:jc w:val="both"/>
      </w:pPr>
      <w:r>
        <w:rPr>
          <w:rFonts w:ascii="Cambria" w:hAnsi="Cambria"/>
          <w:sz w:val="22"/>
        </w:rPr>
        <w:t>They help institutions build a recognition-driven ecosystem where women are encouraged to excel across academic and extracurricular dimensions.</w:t>
      </w:r>
    </w:p>
    <w:p>
      <w:pPr>
        <w:pStyle w:val="ListBullet"/>
        <w:ind w:left="357"/>
        <w:jc w:val="both"/>
      </w:pPr>
      <w:r>
        <w:rPr>
          <w:rFonts w:ascii="Cambria" w:hAnsi="Cambria"/>
          <w:sz w:val="22"/>
        </w:rPr>
        <w:t>Such initiatives reinforce the principles of gender empowerment, inclusivity, and excellence, aligning institutional practices with national priorities and Sustainable Development Goal 5 (Gender Equality).</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Awards like Medhavi Chhatra, Udyamita, Kala Shresthi, MiraBai, Ojaswi, Nivida, and Navonmesha serve as catalysts for empowering women in higher education.</w:t>
      </w:r>
    </w:p>
    <w:p>
      <w:pPr>
        <w:spacing w:after="120"/>
        <w:jc w:val="both"/>
      </w:pPr>
      <w:r>
        <w:rPr>
          <w:rFonts w:ascii="Cambria" w:hAnsi="Cambria"/>
          <w:b w:val="0"/>
          <w:i w:val="0"/>
          <w:sz w:val="22"/>
        </w:rPr>
        <w:t>By honoring achievements in academics, innovation, arts, social service, and sports, HEIs foster an environment where women are inspired, recognized, and equipped to lead in building a sustainable and equitable society.</w:t>
      </w:r>
    </w:p>
    <w:p>
      <w:pPr>
        <w:spacing w:before="280" w:after="160"/>
        <w:jc w:val="left"/>
      </w:pPr>
      <w:r>
        <w:rPr>
          <w:rFonts w:ascii="Cambria" w:hAnsi="Cambria"/>
          <w:b/>
          <w:color w:val="1F3A5F"/>
          <w:sz w:val="32"/>
        </w:rPr>
        <w:t>20. Maa Saraswati Award for Excellence in Teaching and Mentorship</w:t>
      </w:r>
    </w:p>
    <w:p>
      <w:pPr>
        <w:spacing w:before="240" w:after="120"/>
        <w:jc w:val="left"/>
      </w:pPr>
      <w:r>
        <w:rPr>
          <w:rFonts w:ascii="Cambria" w:hAnsi="Cambria"/>
          <w:b/>
          <w:color w:val="1F3A5F"/>
          <w:sz w:val="28"/>
        </w:rPr>
        <w:t>Purpose and Significance</w:t>
      </w:r>
    </w:p>
    <w:p>
      <w:pPr>
        <w:pStyle w:val="ListBullet"/>
        <w:ind w:left="357"/>
        <w:jc w:val="both"/>
      </w:pPr>
      <w:r>
        <w:rPr>
          <w:rFonts w:ascii="Cambria" w:hAnsi="Cambria"/>
          <w:sz w:val="22"/>
        </w:rPr>
        <w:t>The Maa Saraswati Award is a prestigious institutional honor bestowed upon a woman faculty member who demonstrates outstanding teaching excellence, mentorship, and student engagement.</w:t>
      </w:r>
    </w:p>
    <w:p>
      <w:pPr>
        <w:pStyle w:val="ListBullet"/>
        <w:ind w:left="357"/>
        <w:jc w:val="both"/>
      </w:pPr>
      <w:r>
        <w:rPr>
          <w:rFonts w:ascii="Cambria" w:hAnsi="Cambria"/>
          <w:sz w:val="22"/>
        </w:rPr>
        <w:t>Named after Maa Saraswati, the goddess of knowledge and wisdom, the award symbolizes the educator's role in nurturing intellect, ethics, and innovation among students.</w:t>
      </w:r>
    </w:p>
    <w:p>
      <w:pPr>
        <w:pStyle w:val="ListBullet"/>
        <w:ind w:left="357"/>
        <w:jc w:val="both"/>
      </w:pPr>
      <w:r>
        <w:rPr>
          <w:rFonts w:ascii="Cambria" w:hAnsi="Cambria"/>
          <w:sz w:val="22"/>
        </w:rPr>
        <w:t>The recognition highlights the vital contribution of women educators in shaping the academic and moral foundation of higher education institutions.</w:t>
      </w:r>
    </w:p>
    <w:p>
      <w:pPr>
        <w:spacing w:before="240" w:after="120"/>
        <w:jc w:val="left"/>
      </w:pPr>
      <w:r>
        <w:rPr>
          <w:rFonts w:ascii="Cambria" w:hAnsi="Cambria"/>
          <w:b/>
          <w:color w:val="1F3A5F"/>
          <w:sz w:val="28"/>
        </w:rPr>
        <w:t>Eligibility Criteria</w:t>
      </w:r>
    </w:p>
    <w:p>
      <w:pPr>
        <w:pStyle w:val="ListBullet"/>
        <w:ind w:left="357"/>
        <w:jc w:val="both"/>
      </w:pPr>
      <w:r>
        <w:rPr>
          <w:rFonts w:ascii="Cambria" w:hAnsi="Cambria"/>
          <w:sz w:val="22"/>
        </w:rPr>
        <w:t>Open to female faculty members from any discipline who have shown excellence in teaching, student guidance, and curriculum innovation.</w:t>
      </w:r>
    </w:p>
    <w:p>
      <w:pPr>
        <w:pStyle w:val="ListBullet"/>
        <w:ind w:left="357"/>
        <w:jc w:val="both"/>
      </w:pPr>
      <w:r>
        <w:rPr>
          <w:rFonts w:ascii="Cambria" w:hAnsi="Cambria"/>
          <w:sz w:val="22"/>
        </w:rPr>
        <w:t>The nominee must have received exceptional student feedback over the academic year, indicating effective pedagogy and mentorship.</w:t>
      </w:r>
    </w:p>
    <w:p>
      <w:pPr>
        <w:pStyle w:val="ListBullet"/>
        <w:ind w:left="357"/>
        <w:jc w:val="both"/>
      </w:pPr>
      <w:r>
        <w:rPr>
          <w:rFonts w:ascii="Cambria" w:hAnsi="Cambria"/>
          <w:sz w:val="22"/>
        </w:rPr>
        <w:t>Faculty who integrate skill development, experiential learning, and value-based education into classroom teaching are given special consideration.</w:t>
      </w:r>
    </w:p>
    <w:p>
      <w:pPr>
        <w:pStyle w:val="ListBullet"/>
        <w:ind w:left="357"/>
        <w:jc w:val="both"/>
      </w:pPr>
      <w:r>
        <w:rPr>
          <w:rFonts w:ascii="Cambria" w:hAnsi="Cambria"/>
          <w:sz w:val="22"/>
        </w:rPr>
        <w:t>Must have contributed to academic enrichment programs, workshops, research mentoring, or community outreach initiatives.</w:t>
      </w:r>
    </w:p>
    <w:p>
      <w:pPr>
        <w:spacing w:before="240" w:after="120"/>
        <w:jc w:val="left"/>
      </w:pPr>
      <w:r>
        <w:rPr>
          <w:rFonts w:ascii="Cambria" w:hAnsi="Cambria"/>
          <w:b/>
          <w:color w:val="1F3A5F"/>
          <w:sz w:val="28"/>
        </w:rPr>
        <w:t>Selection Parameters</w:t>
      </w:r>
    </w:p>
    <w:p>
      <w:pPr>
        <w:pStyle w:val="ListBullet"/>
        <w:ind w:left="357"/>
        <w:jc w:val="both"/>
      </w:pPr>
      <w:r>
        <w:rPr>
          <w:rFonts w:ascii="Cambria" w:hAnsi="Cambria"/>
          <w:b/>
          <w:sz w:val="22"/>
        </w:rPr>
        <w:t xml:space="preserve">Teaching Effectiveness: </w:t>
      </w:r>
      <w:r>
        <w:rPr>
          <w:rFonts w:ascii="Cambria" w:hAnsi="Cambria"/>
          <w:sz w:val="22"/>
        </w:rPr>
        <w:t>Quality of classroom instruction, innovative teaching methodologies, and use of digital tools for enhanced learning.</w:t>
      </w:r>
    </w:p>
    <w:p>
      <w:pPr>
        <w:pStyle w:val="ListBullet"/>
        <w:ind w:left="357"/>
        <w:jc w:val="both"/>
      </w:pPr>
      <w:r>
        <w:rPr>
          <w:rFonts w:ascii="Cambria" w:hAnsi="Cambria"/>
          <w:b/>
          <w:sz w:val="22"/>
        </w:rPr>
        <w:t xml:space="preserve">Student Feedback Scores: </w:t>
      </w:r>
      <w:r>
        <w:rPr>
          <w:rFonts w:ascii="Cambria" w:hAnsi="Cambria"/>
          <w:sz w:val="22"/>
        </w:rPr>
        <w:t>High satisfaction levels in student surveys reflecting clarity, empathy, accessibility, and engagement.</w:t>
      </w:r>
    </w:p>
    <w:p>
      <w:pPr>
        <w:pStyle w:val="ListBullet"/>
        <w:ind w:left="357"/>
        <w:jc w:val="both"/>
      </w:pPr>
      <w:r>
        <w:rPr>
          <w:rFonts w:ascii="Cambria" w:hAnsi="Cambria"/>
          <w:b/>
          <w:sz w:val="22"/>
        </w:rPr>
        <w:t xml:space="preserve">Mentorship and Guidance: </w:t>
      </w:r>
      <w:r>
        <w:rPr>
          <w:rFonts w:ascii="Cambria" w:hAnsi="Cambria"/>
          <w:sz w:val="22"/>
        </w:rPr>
        <w:t>Active role in career counselling, research supervision, and overall student skill development.</w:t>
      </w:r>
    </w:p>
    <w:p>
      <w:pPr>
        <w:pStyle w:val="ListBullet"/>
        <w:ind w:left="357"/>
        <w:jc w:val="both"/>
      </w:pPr>
      <w:r>
        <w:rPr>
          <w:rFonts w:ascii="Cambria" w:hAnsi="Cambria"/>
          <w:b/>
          <w:sz w:val="22"/>
        </w:rPr>
        <w:t xml:space="preserve">Professional Development: </w:t>
      </w:r>
      <w:r>
        <w:rPr>
          <w:rFonts w:ascii="Cambria" w:hAnsi="Cambria"/>
          <w:sz w:val="22"/>
        </w:rPr>
        <w:t>Continuous efforts in upskilling through faculty development programs (FDPs), MOOCs, and pedagogical training.</w:t>
      </w:r>
    </w:p>
    <w:p>
      <w:pPr>
        <w:pStyle w:val="ListBullet"/>
        <w:ind w:left="357"/>
        <w:jc w:val="both"/>
      </w:pPr>
      <w:r>
        <w:rPr>
          <w:rFonts w:ascii="Cambria" w:hAnsi="Cambria"/>
          <w:b/>
          <w:sz w:val="22"/>
        </w:rPr>
        <w:t xml:space="preserve">Community Contribution: </w:t>
      </w:r>
      <w:r>
        <w:rPr>
          <w:rFonts w:ascii="Cambria" w:hAnsi="Cambria"/>
          <w:sz w:val="22"/>
        </w:rPr>
        <w:t>Participation in institutional initiatives promoting gender equity, leadership, and societal awareness.</w:t>
      </w:r>
    </w:p>
    <w:p>
      <w:pPr>
        <w:spacing w:before="240" w:after="120"/>
        <w:jc w:val="left"/>
      </w:pPr>
      <w:r>
        <w:rPr>
          <w:rFonts w:ascii="Cambria" w:hAnsi="Cambria"/>
          <w:b/>
          <w:color w:val="1F3A5F"/>
          <w:sz w:val="28"/>
        </w:rPr>
        <w:t>Award Components</w:t>
      </w:r>
    </w:p>
    <w:p>
      <w:pPr>
        <w:pStyle w:val="ListBullet"/>
        <w:ind w:left="357"/>
        <w:jc w:val="both"/>
      </w:pPr>
      <w:r>
        <w:rPr>
          <w:rFonts w:ascii="Cambria" w:hAnsi="Cambria"/>
          <w:sz w:val="22"/>
        </w:rPr>
        <w:t>A certificate of excellence, a memento, and a citation acknowledging the faculty member's impact on student learning and institutional growth.</w:t>
      </w:r>
    </w:p>
    <w:p>
      <w:pPr>
        <w:pStyle w:val="ListBullet"/>
        <w:ind w:left="357"/>
        <w:jc w:val="both"/>
      </w:pPr>
      <w:r>
        <w:rPr>
          <w:rFonts w:ascii="Cambria" w:hAnsi="Cambria"/>
          <w:sz w:val="22"/>
        </w:rPr>
        <w:t>Public recognition during annual academic ceremonies or International Women's Day celebrations.</w:t>
      </w:r>
    </w:p>
    <w:p>
      <w:pPr>
        <w:pStyle w:val="ListBullet"/>
        <w:ind w:left="357"/>
        <w:jc w:val="both"/>
      </w:pPr>
      <w:r>
        <w:rPr>
          <w:rFonts w:ascii="Cambria" w:hAnsi="Cambria"/>
          <w:sz w:val="22"/>
        </w:rPr>
        <w:t>Inclusion of the awardee's achievements in the institutional annual report and IQAC documentation as evidence of quality teaching and mentorship.</w:t>
      </w:r>
    </w:p>
    <w:p>
      <w:pPr>
        <w:spacing w:before="240" w:after="120"/>
        <w:jc w:val="left"/>
      </w:pPr>
      <w:r>
        <w:rPr>
          <w:rFonts w:ascii="Cambria" w:hAnsi="Cambria"/>
          <w:b/>
          <w:color w:val="1F3A5F"/>
          <w:sz w:val="28"/>
        </w:rPr>
        <w:t>Institutional Impact</w:t>
      </w:r>
    </w:p>
    <w:p>
      <w:pPr>
        <w:pStyle w:val="ListBullet"/>
        <w:ind w:left="357"/>
        <w:jc w:val="both"/>
      </w:pPr>
      <w:r>
        <w:rPr>
          <w:rFonts w:ascii="Cambria" w:hAnsi="Cambria"/>
          <w:sz w:val="22"/>
        </w:rPr>
        <w:t>Promotes a culture of academic excellence and compassionate teaching within the institution.</w:t>
      </w:r>
    </w:p>
    <w:p>
      <w:pPr>
        <w:pStyle w:val="ListBullet"/>
        <w:ind w:left="357"/>
        <w:jc w:val="both"/>
      </w:pPr>
      <w:r>
        <w:rPr>
          <w:rFonts w:ascii="Cambria" w:hAnsi="Cambria"/>
          <w:sz w:val="22"/>
        </w:rPr>
        <w:t>Encourages faculty to focus on student-centered pedagogy, mentorship, and continuous improvement.</w:t>
      </w:r>
    </w:p>
    <w:p>
      <w:pPr>
        <w:pStyle w:val="ListBullet"/>
        <w:ind w:left="357"/>
        <w:jc w:val="both"/>
      </w:pPr>
      <w:r>
        <w:rPr>
          <w:rFonts w:ascii="Cambria" w:hAnsi="Cambria"/>
          <w:sz w:val="22"/>
        </w:rPr>
        <w:t>Reinforces the significance of women educators as leaders, role models, and change agents in academia.</w:t>
      </w:r>
    </w:p>
    <w:p>
      <w:pPr>
        <w:pStyle w:val="ListBullet"/>
        <w:ind w:left="357"/>
        <w:jc w:val="both"/>
      </w:pPr>
      <w:r>
        <w:rPr>
          <w:rFonts w:ascii="Cambria" w:hAnsi="Cambria"/>
          <w:sz w:val="22"/>
        </w:rPr>
        <w:t>Strengthens the link between quality education (SDG-4) and gender equality (SDG-5) through recognition of women's intellectual leadership.</w:t>
      </w:r>
    </w:p>
    <w:p>
      <w:pPr>
        <w:spacing w:before="240" w:after="120"/>
        <w:jc w:val="left"/>
      </w:pPr>
      <w:r>
        <w:rPr>
          <w:rFonts w:ascii="Cambria" w:hAnsi="Cambria"/>
          <w:b/>
          <w:color w:val="1F3A5F"/>
          <w:sz w:val="28"/>
        </w:rPr>
        <w:t>Expected Outcomes</w:t>
      </w:r>
    </w:p>
    <w:p>
      <w:pPr>
        <w:pStyle w:val="ListBullet"/>
        <w:ind w:left="357"/>
        <w:jc w:val="both"/>
      </w:pPr>
      <w:r>
        <w:rPr>
          <w:rFonts w:ascii="Cambria" w:hAnsi="Cambria"/>
          <w:sz w:val="22"/>
        </w:rPr>
        <w:t>Enhanced faculty motivation to adopt innovative, inclusive, and student-focused teaching practices.</w:t>
      </w:r>
    </w:p>
    <w:p>
      <w:pPr>
        <w:pStyle w:val="ListBullet"/>
        <w:ind w:left="357"/>
        <w:jc w:val="both"/>
      </w:pPr>
      <w:r>
        <w:rPr>
          <w:rFonts w:ascii="Cambria" w:hAnsi="Cambria"/>
          <w:sz w:val="22"/>
        </w:rPr>
        <w:t>Improved student satisfaction, academic performance, and employability skills through dedicated mentorship.</w:t>
      </w:r>
    </w:p>
    <w:p>
      <w:pPr>
        <w:pStyle w:val="ListBullet"/>
        <w:ind w:left="357"/>
        <w:jc w:val="both"/>
      </w:pPr>
      <w:r>
        <w:rPr>
          <w:rFonts w:ascii="Cambria" w:hAnsi="Cambria"/>
          <w:sz w:val="22"/>
        </w:rPr>
        <w:t>Visibility for women faculty in leadership and pedagogical innovation roles, contributing to institutional excellence.</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The Maa Saraswati Award serves as a tribute to the transformative power of women educators who embody the spirit of knowledge, empathy, and empowerment.</w:t>
      </w:r>
    </w:p>
    <w:p>
      <w:pPr>
        <w:spacing w:after="120"/>
        <w:jc w:val="both"/>
      </w:pPr>
      <w:r>
        <w:rPr>
          <w:rFonts w:ascii="Cambria" w:hAnsi="Cambria"/>
          <w:b w:val="0"/>
          <w:i w:val="0"/>
          <w:sz w:val="22"/>
        </w:rPr>
        <w:t>By honoring exceptional teaching and mentorship, institutions uphold the ideals of equity, learning excellence, and women's empowerment, reinforcing the vision of Sustainable Development Goal 5 (Gender Equality) within higher education.</w:t>
      </w:r>
    </w:p>
    <w:p>
      <w:pPr>
        <w:spacing w:before="280" w:after="160"/>
        <w:jc w:val="left"/>
      </w:pPr>
      <w:r>
        <w:rPr>
          <w:rFonts w:ascii="Cambria" w:hAnsi="Cambria"/>
          <w:b/>
          <w:color w:val="1F3A5F"/>
          <w:sz w:val="32"/>
        </w:rPr>
        <w:t>21. AICTE's Lilavati Award and Collaboration with 'Aspire for Her' for Women Empowerment</w:t>
      </w:r>
    </w:p>
    <w:p>
      <w:pPr>
        <w:spacing w:before="240" w:after="120"/>
        <w:jc w:val="left"/>
      </w:pPr>
      <w:r>
        <w:rPr>
          <w:rFonts w:ascii="Cambria" w:hAnsi="Cambria"/>
          <w:b/>
          <w:color w:val="1F3A5F"/>
          <w:sz w:val="28"/>
        </w:rPr>
        <w:t>Introduction and Vision</w:t>
      </w:r>
    </w:p>
    <w:p>
      <w:pPr>
        <w:pStyle w:val="ListBullet"/>
        <w:ind w:left="357"/>
        <w:jc w:val="both"/>
      </w:pPr>
      <w:r>
        <w:rPr>
          <w:rFonts w:ascii="Cambria" w:hAnsi="Cambria"/>
          <w:sz w:val="22"/>
        </w:rPr>
        <w:t>The All India Council for Technical Education (AICTE) has consistently promoted initiatives that foster gender equality, women empowerment, and inclusivity across technical and higher education institutions in India.</w:t>
      </w:r>
    </w:p>
    <w:p>
      <w:pPr>
        <w:pStyle w:val="ListBullet"/>
        <w:ind w:left="357"/>
        <w:jc w:val="both"/>
      </w:pPr>
      <w:r>
        <w:rPr>
          <w:rFonts w:ascii="Cambria" w:hAnsi="Cambria"/>
          <w:sz w:val="22"/>
        </w:rPr>
        <w:t>In alignment with the United Nations Sustainable Development Goal 5 (SDG-5): Gender Equality, AICTE introduced innovative programs to encourage educational institutions to integrate fairness, equality, and empowerment into their academic and social practices.</w:t>
      </w:r>
    </w:p>
    <w:p>
      <w:pPr>
        <w:spacing w:before="240" w:after="120"/>
        <w:jc w:val="left"/>
      </w:pPr>
      <w:r>
        <w:rPr>
          <w:rFonts w:ascii="Cambria" w:hAnsi="Cambria"/>
          <w:b/>
          <w:color w:val="1F3A5F"/>
          <w:sz w:val="28"/>
        </w:rPr>
        <w:t>1. AICTE Lilavati Award (2020): Promoting Women Empowerment through Education and Equality</w:t>
      </w:r>
    </w:p>
    <w:p>
      <w:pPr>
        <w:spacing w:after="120"/>
        <w:jc w:val="both"/>
      </w:pPr>
      <w:r>
        <w:rPr>
          <w:rFonts w:ascii="Cambria" w:hAnsi="Cambria"/>
          <w:b/>
          <w:i w:val="0"/>
          <w:sz w:val="22"/>
        </w:rPr>
        <w:t>Purpose and Theme</w:t>
      </w:r>
    </w:p>
    <w:p>
      <w:pPr>
        <w:pStyle w:val="ListBullet"/>
        <w:ind w:left="357"/>
        <w:jc w:val="both"/>
      </w:pPr>
      <w:r>
        <w:rPr>
          <w:rFonts w:ascii="Cambria" w:hAnsi="Cambria"/>
          <w:sz w:val="22"/>
        </w:rPr>
        <w:t>Launched in 2020, the AICTE Lilavati Award is based on the theme “Women Empowerment”, recognizing the remarkable efforts of AICTE-approved institutions in promoting equality, inclusivity, and respect for women in all aspects of life.</w:t>
      </w:r>
    </w:p>
    <w:p>
      <w:pPr>
        <w:pStyle w:val="ListBullet"/>
        <w:ind w:left="357"/>
        <w:jc w:val="both"/>
      </w:pPr>
      <w:r>
        <w:rPr>
          <w:rFonts w:ascii="Cambria" w:hAnsi="Cambria"/>
          <w:sz w:val="22"/>
        </w:rPr>
        <w:t>The award draws inspiration from Lilavati, a historical figure symbolizing intelligence, logic, and learning, emphasizing women's contribution to the knowledge economy.</w:t>
      </w:r>
    </w:p>
    <w:p>
      <w:pPr>
        <w:spacing w:after="120"/>
        <w:jc w:val="both"/>
      </w:pPr>
      <w:r>
        <w:rPr>
          <w:rFonts w:ascii="Cambria" w:hAnsi="Cambria"/>
          <w:b/>
          <w:i w:val="0"/>
          <w:sz w:val="22"/>
        </w:rPr>
        <w:t>Objective of the Award</w:t>
      </w:r>
    </w:p>
    <w:p>
      <w:pPr>
        <w:pStyle w:val="ListBullet"/>
        <w:ind w:left="357"/>
        <w:jc w:val="both"/>
      </w:pPr>
      <w:r>
        <w:rPr>
          <w:rFonts w:ascii="Cambria" w:hAnsi="Cambria"/>
          <w:sz w:val="22"/>
        </w:rPr>
        <w:t>To recognize, encourage, and reward institutions that implement effective programs ensuring women's equal participation in education, entrepreneurship, research, and leadership.</w:t>
      </w:r>
    </w:p>
    <w:p>
      <w:pPr>
        <w:pStyle w:val="ListBullet"/>
        <w:ind w:left="357"/>
        <w:jc w:val="both"/>
      </w:pPr>
      <w:r>
        <w:rPr>
          <w:rFonts w:ascii="Cambria" w:hAnsi="Cambria"/>
          <w:sz w:val="22"/>
        </w:rPr>
        <w:t>To raise awareness about gender sensitivity, social responsibility, and empowerment within technical campuses.</w:t>
      </w:r>
    </w:p>
    <w:p>
      <w:pPr>
        <w:pStyle w:val="ListBullet"/>
        <w:ind w:left="357"/>
        <w:jc w:val="both"/>
      </w:pPr>
      <w:r>
        <w:rPr>
          <w:rFonts w:ascii="Cambria" w:hAnsi="Cambria"/>
          <w:sz w:val="22"/>
        </w:rPr>
        <w:t>To promote collaborative actions that address issues such as safety, digital literacy, skill development, and women's leadership.</w:t>
      </w:r>
    </w:p>
    <w:p>
      <w:pPr>
        <w:spacing w:after="120"/>
        <w:jc w:val="both"/>
      </w:pPr>
      <w:r>
        <w:rPr>
          <w:rFonts w:ascii="Cambria" w:hAnsi="Cambria"/>
          <w:b/>
          <w:i w:val="0"/>
          <w:sz w:val="22"/>
        </w:rPr>
        <w:t>Thematic Areas of the Award</w:t>
      </w:r>
    </w:p>
    <w:p>
      <w:pPr>
        <w:pStyle w:val="ListBullet"/>
        <w:ind w:left="357"/>
        <w:jc w:val="both"/>
      </w:pPr>
      <w:r>
        <w:rPr>
          <w:rFonts w:ascii="Cambria" w:hAnsi="Cambria"/>
          <w:sz w:val="22"/>
        </w:rPr>
        <w:t>Women's Health and Sanitation – Promoting hygiene awareness and access to healthcare.</w:t>
      </w:r>
    </w:p>
    <w:p>
      <w:pPr>
        <w:pStyle w:val="ListBullet"/>
        <w:ind w:left="357"/>
        <w:jc w:val="both"/>
      </w:pPr>
      <w:r>
        <w:rPr>
          <w:rFonts w:ascii="Cambria" w:hAnsi="Cambria"/>
          <w:sz w:val="22"/>
        </w:rPr>
        <w:t>Self-Defense and Security – Training women to ensure safety and resilience.</w:t>
      </w:r>
    </w:p>
    <w:p>
      <w:pPr>
        <w:pStyle w:val="ListBullet"/>
        <w:ind w:left="357"/>
        <w:jc w:val="both"/>
      </w:pPr>
      <w:r>
        <w:rPr>
          <w:rFonts w:ascii="Cambria" w:hAnsi="Cambria"/>
          <w:sz w:val="22"/>
        </w:rPr>
        <w:t>Literacy and Employment – Enhancing digital and financial literacy among women.</w:t>
      </w:r>
    </w:p>
    <w:p>
      <w:pPr>
        <w:pStyle w:val="ListBullet"/>
        <w:ind w:left="357"/>
        <w:jc w:val="both"/>
      </w:pPr>
      <w:r>
        <w:rPr>
          <w:rFonts w:ascii="Cambria" w:hAnsi="Cambria"/>
          <w:sz w:val="22"/>
        </w:rPr>
        <w:t>Legal Awareness – Spreading knowledge of women's rights and laws protecting them.</w:t>
      </w:r>
    </w:p>
    <w:p>
      <w:pPr>
        <w:pStyle w:val="ListBullet"/>
        <w:ind w:left="357"/>
        <w:jc w:val="both"/>
      </w:pPr>
      <w:r>
        <w:rPr>
          <w:rFonts w:ascii="Cambria" w:hAnsi="Cambria"/>
          <w:sz w:val="22"/>
        </w:rPr>
        <w:t>Social Innovation and Entrepreneurship – Encouraging women to lead change through start-ups and technology solutions.</w:t>
      </w:r>
    </w:p>
    <w:p>
      <w:pPr>
        <w:pStyle w:val="ListBullet"/>
        <w:ind w:left="357"/>
        <w:jc w:val="both"/>
      </w:pPr>
      <w:r>
        <w:rPr>
          <w:rFonts w:ascii="Cambria" w:hAnsi="Cambria"/>
          <w:sz w:val="22"/>
        </w:rPr>
        <w:t>Women Empowerment through Education – Fostering equal opportunities for women in STEM and higher education.</w:t>
      </w:r>
    </w:p>
    <w:p>
      <w:pPr>
        <w:spacing w:after="120"/>
        <w:jc w:val="both"/>
      </w:pPr>
      <w:r>
        <w:rPr>
          <w:rFonts w:ascii="Cambria" w:hAnsi="Cambria"/>
          <w:b/>
          <w:i w:val="0"/>
          <w:sz w:val="22"/>
        </w:rPr>
        <w:t>Expected Impact</w:t>
      </w:r>
    </w:p>
    <w:p>
      <w:pPr>
        <w:pStyle w:val="ListBullet"/>
        <w:ind w:left="357"/>
        <w:jc w:val="both"/>
      </w:pPr>
      <w:r>
        <w:rPr>
          <w:rFonts w:ascii="Cambria" w:hAnsi="Cambria"/>
          <w:sz w:val="22"/>
        </w:rPr>
        <w:t>The Lilavati Award aims to inspire higher participation of women in science, technology, and research.</w:t>
      </w:r>
    </w:p>
    <w:p>
      <w:pPr>
        <w:pStyle w:val="ListBullet"/>
        <w:ind w:left="357"/>
        <w:jc w:val="both"/>
      </w:pPr>
      <w:r>
        <w:rPr>
          <w:rFonts w:ascii="Cambria" w:hAnsi="Cambria"/>
          <w:sz w:val="22"/>
        </w:rPr>
        <w:t>Promotes gender-inclusive institutional cultures through documented initiatives and best practices.</w:t>
      </w:r>
    </w:p>
    <w:p>
      <w:pPr>
        <w:pStyle w:val="ListBullet"/>
        <w:ind w:left="357"/>
        <w:jc w:val="both"/>
      </w:pPr>
      <w:r>
        <w:rPr>
          <w:rFonts w:ascii="Cambria" w:hAnsi="Cambria"/>
          <w:sz w:val="22"/>
        </w:rPr>
        <w:t>Strengthens public awareness and accountability in achieving gender equality within the education ecosystem.</w:t>
      </w:r>
    </w:p>
    <w:p>
      <w:pPr>
        <w:spacing w:before="240" w:after="120"/>
        <w:jc w:val="left"/>
      </w:pPr>
      <w:r>
        <w:rPr>
          <w:rFonts w:ascii="Cambria" w:hAnsi="Cambria"/>
          <w:b/>
          <w:color w:val="1F3A5F"/>
          <w:sz w:val="28"/>
        </w:rPr>
        <w:t>2. AICTE–Aspire for Her Collaboration (2021): Building a Future-Ready and Inclusive Workforce</w:t>
      </w:r>
    </w:p>
    <w:p>
      <w:pPr>
        <w:spacing w:after="120"/>
        <w:jc w:val="both"/>
      </w:pPr>
      <w:r>
        <w:rPr>
          <w:rFonts w:ascii="Cambria" w:hAnsi="Cambria"/>
          <w:b/>
          <w:i w:val="0"/>
          <w:sz w:val="22"/>
        </w:rPr>
        <w:t>Memorandum of Understanding (MoU)</w:t>
      </w:r>
    </w:p>
    <w:p>
      <w:pPr>
        <w:pStyle w:val="ListBullet"/>
        <w:ind w:left="357"/>
        <w:jc w:val="both"/>
      </w:pPr>
      <w:r>
        <w:rPr>
          <w:rFonts w:ascii="Cambria" w:hAnsi="Cambria"/>
          <w:sz w:val="22"/>
        </w:rPr>
        <w:t>On 31st October 2021, AICTE signed an MoU with “Aspire for Her” (Consultancy Private Limited Management) to further advance women empowerment, inclusivity, and diversity initiatives across Indian institutions.</w:t>
      </w:r>
    </w:p>
    <w:p>
      <w:pPr>
        <w:pStyle w:val="ListBullet"/>
        <w:ind w:left="357"/>
        <w:jc w:val="both"/>
      </w:pPr>
      <w:r>
        <w:rPr>
          <w:rFonts w:ascii="Cambria" w:hAnsi="Cambria"/>
          <w:sz w:val="22"/>
        </w:rPr>
        <w:t>The partnership's primary vision is to enable a future-ready workforce by creating equitable opportunities for women in technical and managerial careers.</w:t>
      </w:r>
    </w:p>
    <w:p>
      <w:pPr>
        <w:spacing w:after="120"/>
        <w:jc w:val="both"/>
      </w:pPr>
      <w:r>
        <w:rPr>
          <w:rFonts w:ascii="Cambria" w:hAnsi="Cambria"/>
          <w:b/>
          <w:i w:val="0"/>
          <w:sz w:val="22"/>
        </w:rPr>
        <w:t>Focus and Strategic Areas of Collaboration</w:t>
      </w:r>
    </w:p>
    <w:p>
      <w:pPr>
        <w:pStyle w:val="ListBullet"/>
        <w:ind w:left="357"/>
        <w:jc w:val="both"/>
      </w:pPr>
      <w:r>
        <w:rPr>
          <w:rFonts w:ascii="Cambria" w:hAnsi="Cambria"/>
          <w:b/>
          <w:sz w:val="22"/>
        </w:rPr>
        <w:t xml:space="preserve">Diversity and Inclusion (D&amp;I): </w:t>
      </w:r>
      <w:r>
        <w:rPr>
          <w:rFonts w:ascii="Cambria" w:hAnsi="Cambria"/>
          <w:sz w:val="22"/>
        </w:rPr>
        <w:t>Strengthening gender representation in academia, research, and industry linkages.</w:t>
      </w:r>
    </w:p>
    <w:p>
      <w:pPr>
        <w:pStyle w:val="ListBullet"/>
        <w:ind w:left="357"/>
        <w:jc w:val="both"/>
      </w:pPr>
      <w:r>
        <w:rPr>
          <w:rFonts w:ascii="Cambria" w:hAnsi="Cambria"/>
          <w:b/>
          <w:sz w:val="22"/>
        </w:rPr>
        <w:t xml:space="preserve">Skill Development and Employability: </w:t>
      </w:r>
      <w:r>
        <w:rPr>
          <w:rFonts w:ascii="Cambria" w:hAnsi="Cambria"/>
          <w:sz w:val="22"/>
        </w:rPr>
        <w:t>Empowering women students through leadership training, soft-skill programs, and mentorship from industry professionals.</w:t>
      </w:r>
    </w:p>
    <w:p>
      <w:pPr>
        <w:pStyle w:val="ListBullet"/>
        <w:ind w:left="357"/>
        <w:jc w:val="both"/>
      </w:pPr>
      <w:r>
        <w:rPr>
          <w:rFonts w:ascii="Cambria" w:hAnsi="Cambria"/>
          <w:b/>
          <w:sz w:val="22"/>
        </w:rPr>
        <w:t xml:space="preserve">Networking and Industry Exposure: </w:t>
      </w:r>
      <w:r>
        <w:rPr>
          <w:rFonts w:ascii="Cambria" w:hAnsi="Cambria"/>
          <w:sz w:val="22"/>
        </w:rPr>
        <w:t>Creating professional networks connecting students with global organizations promoting diversity.</w:t>
      </w:r>
    </w:p>
    <w:p>
      <w:pPr>
        <w:pStyle w:val="ListBullet"/>
        <w:ind w:left="357"/>
        <w:jc w:val="both"/>
      </w:pPr>
      <w:r>
        <w:rPr>
          <w:rFonts w:ascii="Cambria" w:hAnsi="Cambria"/>
          <w:b/>
          <w:sz w:val="22"/>
        </w:rPr>
        <w:t xml:space="preserve">Policy and Awareness Initiatives: </w:t>
      </w:r>
      <w:r>
        <w:rPr>
          <w:rFonts w:ascii="Cambria" w:hAnsi="Cambria"/>
          <w:sz w:val="22"/>
        </w:rPr>
        <w:t>Conducting national campaigns, seminars, and mentorship programs for awareness about women's rights and workplace inclusivity.</w:t>
      </w:r>
    </w:p>
    <w:p>
      <w:pPr>
        <w:pStyle w:val="ListBullet"/>
        <w:ind w:left="357"/>
        <w:jc w:val="both"/>
      </w:pPr>
      <w:r>
        <w:rPr>
          <w:rFonts w:ascii="Cambria" w:hAnsi="Cambria"/>
          <w:b/>
          <w:sz w:val="22"/>
        </w:rPr>
        <w:t xml:space="preserve">Entrepreneurial Support: </w:t>
      </w:r>
      <w:r>
        <w:rPr>
          <w:rFonts w:ascii="Cambria" w:hAnsi="Cambria"/>
          <w:sz w:val="22"/>
        </w:rPr>
        <w:t>Encouraging women entrepreneurs by linking them with incubation centers, funding platforms, and mentorship networks.</w:t>
      </w:r>
    </w:p>
    <w:p>
      <w:pPr>
        <w:spacing w:after="120"/>
        <w:jc w:val="both"/>
      </w:pPr>
      <w:r>
        <w:rPr>
          <w:rFonts w:ascii="Cambria" w:hAnsi="Cambria"/>
          <w:b/>
          <w:i w:val="0"/>
          <w:sz w:val="22"/>
        </w:rPr>
        <w:t>Contribution Toward Sustainable Development Goals</w:t>
      </w:r>
    </w:p>
    <w:p>
      <w:pPr>
        <w:spacing w:after="120"/>
        <w:jc w:val="both"/>
      </w:pPr>
      <w:r>
        <w:rPr>
          <w:rFonts w:ascii="Cambria" w:hAnsi="Cambria"/>
          <w:b w:val="0"/>
          <w:i w:val="0"/>
          <w:sz w:val="22"/>
        </w:rPr>
        <w:t>The AICTE–Aspire for Her partnership directly supports the achievement of:</w:t>
      </w:r>
    </w:p>
    <w:p>
      <w:pPr>
        <w:pStyle w:val="ListBullet2"/>
        <w:ind w:left="720"/>
        <w:jc w:val="both"/>
      </w:pPr>
      <w:r>
        <w:rPr>
          <w:rFonts w:ascii="Cambria" w:hAnsi="Cambria"/>
          <w:b/>
          <w:sz w:val="22"/>
        </w:rPr>
        <w:t xml:space="preserve">SDG-4: </w:t>
      </w:r>
      <w:r>
        <w:rPr>
          <w:rFonts w:ascii="Cambria" w:hAnsi="Cambria"/>
          <w:sz w:val="22"/>
        </w:rPr>
        <w:t>Quality Education</w:t>
      </w:r>
    </w:p>
    <w:p>
      <w:pPr>
        <w:pStyle w:val="ListBullet2"/>
        <w:ind w:left="720"/>
        <w:jc w:val="both"/>
      </w:pPr>
      <w:r>
        <w:rPr>
          <w:rFonts w:ascii="Cambria" w:hAnsi="Cambria"/>
          <w:b/>
          <w:sz w:val="22"/>
        </w:rPr>
        <w:t xml:space="preserve">SDG-5: </w:t>
      </w:r>
      <w:r>
        <w:rPr>
          <w:rFonts w:ascii="Cambria" w:hAnsi="Cambria"/>
          <w:sz w:val="22"/>
        </w:rPr>
        <w:t>Gender Equality</w:t>
      </w:r>
    </w:p>
    <w:p>
      <w:pPr>
        <w:pStyle w:val="ListBullet2"/>
        <w:ind w:left="720"/>
        <w:jc w:val="both"/>
      </w:pPr>
      <w:r>
        <w:rPr>
          <w:rFonts w:ascii="Cambria" w:hAnsi="Cambria"/>
          <w:b/>
          <w:sz w:val="22"/>
        </w:rPr>
        <w:t xml:space="preserve">SDG-8: </w:t>
      </w:r>
      <w:r>
        <w:rPr>
          <w:rFonts w:ascii="Cambria" w:hAnsi="Cambria"/>
          <w:sz w:val="22"/>
        </w:rPr>
        <w:t>Decent Work and Economic Growth</w:t>
      </w:r>
    </w:p>
    <w:p>
      <w:pPr>
        <w:pStyle w:val="ListBullet2"/>
        <w:ind w:left="720"/>
        <w:jc w:val="both"/>
      </w:pPr>
      <w:r>
        <w:rPr>
          <w:rFonts w:ascii="Cambria" w:hAnsi="Cambria"/>
          <w:b/>
          <w:sz w:val="22"/>
        </w:rPr>
        <w:t xml:space="preserve">SDG-10: </w:t>
      </w:r>
      <w:r>
        <w:rPr>
          <w:rFonts w:ascii="Cambria" w:hAnsi="Cambria"/>
          <w:sz w:val="22"/>
        </w:rPr>
        <w:t>Reduced Inequalities</w:t>
      </w:r>
    </w:p>
    <w:p>
      <w:pPr>
        <w:spacing w:after="120"/>
        <w:jc w:val="both"/>
      </w:pPr>
      <w:r>
        <w:rPr>
          <w:rFonts w:ascii="Cambria" w:hAnsi="Cambria"/>
          <w:b w:val="0"/>
          <w:i w:val="0"/>
          <w:sz w:val="22"/>
        </w:rPr>
        <w:t>The collaboration envisions an inclusive, diverse, and globally competitive education ecosystem that enables women to contribute effectively to India's socio-economic growth.</w:t>
      </w:r>
    </w:p>
    <w:p>
      <w:pPr>
        <w:spacing w:before="240" w:after="120"/>
        <w:jc w:val="left"/>
      </w:pPr>
      <w:r>
        <w:rPr>
          <w:rFonts w:ascii="Cambria" w:hAnsi="Cambria"/>
          <w:b/>
          <w:color w:val="1F3A5F"/>
          <w:sz w:val="28"/>
        </w:rPr>
        <w:t>3. Outcomes and Broader Impact</w:t>
      </w:r>
    </w:p>
    <w:p>
      <w:pPr>
        <w:pStyle w:val="ListBullet"/>
        <w:ind w:left="357"/>
        <w:jc w:val="both"/>
      </w:pPr>
      <w:r>
        <w:rPr>
          <w:rFonts w:ascii="Cambria" w:hAnsi="Cambria"/>
          <w:sz w:val="22"/>
        </w:rPr>
        <w:t>Strengthens AICTE's commitment to institutionalizing gender sensitivity in technical education across India.</w:t>
      </w:r>
    </w:p>
    <w:p>
      <w:pPr>
        <w:pStyle w:val="ListBullet"/>
        <w:ind w:left="357"/>
        <w:jc w:val="both"/>
      </w:pPr>
      <w:r>
        <w:rPr>
          <w:rFonts w:ascii="Cambria" w:hAnsi="Cambria"/>
          <w:sz w:val="22"/>
        </w:rPr>
        <w:t>Creates a structured pathway for women's professional development, career progression, and leadership roles.</w:t>
      </w:r>
    </w:p>
    <w:p>
      <w:pPr>
        <w:pStyle w:val="ListBullet"/>
        <w:ind w:left="357"/>
        <w:jc w:val="both"/>
      </w:pPr>
      <w:r>
        <w:rPr>
          <w:rFonts w:ascii="Cambria" w:hAnsi="Cambria"/>
          <w:sz w:val="22"/>
        </w:rPr>
        <w:t>Fosters a culture of equality and respect that eliminates gender bias and encourages collaboration.</w:t>
      </w:r>
    </w:p>
    <w:p>
      <w:pPr>
        <w:pStyle w:val="ListBullet"/>
        <w:ind w:left="357"/>
        <w:jc w:val="both"/>
      </w:pPr>
      <w:r>
        <w:rPr>
          <w:rFonts w:ascii="Cambria" w:hAnsi="Cambria"/>
          <w:sz w:val="22"/>
        </w:rPr>
        <w:t>Promotes the creation of role models and success stories that inspire future generations of women in technology, science, and business.</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The AICTE Lilavati Award (2020) and the AICTE–Aspire for Her partnership (2021) are landmark initiatives reinforcing India's commitment to gender equality and women empowerment in higher education.</w:t>
      </w:r>
    </w:p>
    <w:p>
      <w:pPr>
        <w:spacing w:after="120"/>
        <w:jc w:val="both"/>
      </w:pPr>
      <w:r>
        <w:rPr>
          <w:rFonts w:ascii="Cambria" w:hAnsi="Cambria"/>
          <w:b w:val="0"/>
          <w:i w:val="0"/>
          <w:sz w:val="22"/>
        </w:rPr>
        <w:t>These programs move beyond symbolic recognition by embedding structural and cultural reforms that encourage diversity, inclusivity, and excellence.</w:t>
      </w:r>
    </w:p>
    <w:p>
      <w:pPr>
        <w:spacing w:after="120"/>
        <w:jc w:val="both"/>
      </w:pPr>
      <w:r>
        <w:rPr>
          <w:rFonts w:ascii="Cambria" w:hAnsi="Cambria"/>
          <w:b w:val="0"/>
          <w:i w:val="0"/>
          <w:sz w:val="22"/>
        </w:rPr>
        <w:t>Through these efforts, AICTE not only fulfills its national responsibility but also contributes significantly to India's progress toward the 2030 Sustainable Development Agenda, empowering women to become leaders, innovators, and changemakers in a sustainable and equitable world.</w:t>
      </w:r>
    </w:p>
    <w:p>
      <w:pPr>
        <w:spacing w:before="280" w:after="160"/>
        <w:jc w:val="left"/>
      </w:pPr>
      <w:r>
        <w:rPr>
          <w:rFonts w:ascii="Cambria" w:hAnsi="Cambria"/>
          <w:b/>
          <w:color w:val="1F3A5F"/>
          <w:sz w:val="32"/>
        </w:rPr>
        <w:t>22. National Assessment and Accreditation Council (NAAC) and Gender Equity in Higher Education Institutions</w:t>
      </w:r>
    </w:p>
    <w:p>
      <w:pPr>
        <w:spacing w:before="240" w:after="120"/>
        <w:jc w:val="left"/>
      </w:pPr>
      <w:r>
        <w:rPr>
          <w:rFonts w:ascii="Cambria" w:hAnsi="Cambria"/>
          <w:b/>
          <w:color w:val="1F3A5F"/>
          <w:sz w:val="28"/>
        </w:rPr>
        <w:t>Introduction to NAAC's Role</w:t>
      </w:r>
    </w:p>
    <w:p>
      <w:pPr>
        <w:pStyle w:val="ListBullet"/>
        <w:ind w:left="357"/>
        <w:jc w:val="both"/>
      </w:pPr>
      <w:r>
        <w:rPr>
          <w:rFonts w:ascii="Cambria" w:hAnsi="Cambria"/>
          <w:sz w:val="22"/>
        </w:rPr>
        <w:t>The National Assessment and Accreditation Council (NAAC) is an autonomous body established by the University Grants Commission (UGC) to evaluate and accredit higher education institutions (HEIs) in India.</w:t>
      </w:r>
    </w:p>
    <w:p>
      <w:pPr>
        <w:pStyle w:val="ListBullet"/>
        <w:ind w:left="357"/>
        <w:jc w:val="both"/>
      </w:pPr>
      <w:r>
        <w:rPr>
          <w:rFonts w:ascii="Cambria" w:hAnsi="Cambria"/>
          <w:sz w:val="22"/>
        </w:rPr>
        <w:t>NAAC's assessment framework promotes quality assurance, inclusivity, and institutional accountability, aligning with the principles of the National Education Policy (NEP) 2020 and Sustainable Development Goal 5 (Gender Equality).</w:t>
      </w:r>
    </w:p>
    <w:p>
      <w:pPr>
        <w:pStyle w:val="ListBullet"/>
        <w:ind w:left="357"/>
        <w:jc w:val="both"/>
      </w:pPr>
      <w:r>
        <w:rPr>
          <w:rFonts w:ascii="Cambria" w:hAnsi="Cambria"/>
          <w:sz w:val="22"/>
        </w:rPr>
        <w:t>Among its various quality benchmarks, gender equity has emerged as a core criterion in assessing institutional performance and social responsibility.</w:t>
      </w:r>
    </w:p>
    <w:p>
      <w:pPr>
        <w:spacing w:before="240" w:after="120"/>
        <w:jc w:val="left"/>
      </w:pPr>
      <w:r>
        <w:rPr>
          <w:rFonts w:ascii="Cambria" w:hAnsi="Cambria"/>
          <w:b/>
          <w:color w:val="1F3A5F"/>
          <w:sz w:val="28"/>
        </w:rPr>
        <w:t>1. Gender Equity as a Major Criterion in NAAC Assessment</w:t>
      </w:r>
    </w:p>
    <w:p>
      <w:pPr>
        <w:spacing w:after="120"/>
        <w:jc w:val="both"/>
      </w:pPr>
      <w:r>
        <w:rPr>
          <w:rFonts w:ascii="Cambria" w:hAnsi="Cambria"/>
          <w:b/>
          <w:i w:val="0"/>
          <w:sz w:val="22"/>
        </w:rPr>
        <w:t>Criterion VII – Institutional Values and Best Practices</w:t>
      </w:r>
    </w:p>
    <w:p>
      <w:pPr>
        <w:pStyle w:val="ListBullet"/>
        <w:ind w:left="357"/>
        <w:jc w:val="both"/>
      </w:pPr>
      <w:r>
        <w:rPr>
          <w:rFonts w:ascii="Cambria" w:hAnsi="Cambria"/>
          <w:b/>
          <w:sz w:val="22"/>
        </w:rPr>
        <w:t xml:space="preserve">Under Criterion VII: </w:t>
      </w:r>
      <w:r>
        <w:rPr>
          <w:rFonts w:ascii="Cambria" w:hAnsi="Cambria"/>
          <w:sz w:val="22"/>
        </w:rPr>
        <w:t>Institutional Values and Best Practices, NAAC emphasizes gender equity and inclusion as a key component of institutional evaluation.</w:t>
      </w:r>
    </w:p>
    <w:p>
      <w:pPr>
        <w:pStyle w:val="ListBullet"/>
        <w:ind w:left="357"/>
        <w:jc w:val="both"/>
      </w:pPr>
      <w:r>
        <w:rPr>
          <w:rFonts w:ascii="Cambria" w:hAnsi="Cambria"/>
          <w:sz w:val="22"/>
        </w:rPr>
        <w:t>This criterion assesses how effectively HEIs promote gender justice, ensure safety, and foster empowerment among all genders.</w:t>
      </w:r>
    </w:p>
    <w:p>
      <w:pPr>
        <w:pStyle w:val="ListBullet"/>
        <w:ind w:left="357"/>
        <w:jc w:val="both"/>
      </w:pPr>
      <w:r>
        <w:rPr>
          <w:rFonts w:ascii="Cambria" w:hAnsi="Cambria"/>
          <w:sz w:val="22"/>
        </w:rPr>
        <w:t>The focus extends to gender inclusivity in teaching-learning processes, administrative structures, and campus life.</w:t>
      </w:r>
    </w:p>
    <w:p>
      <w:pPr>
        <w:spacing w:after="120"/>
        <w:jc w:val="both"/>
      </w:pPr>
      <w:r>
        <w:rPr>
          <w:rFonts w:ascii="Cambria" w:hAnsi="Cambria"/>
          <w:b/>
          <w:i w:val="0"/>
          <w:sz w:val="22"/>
        </w:rPr>
        <w:t>Mandatory Evidence and Documentation</w:t>
      </w:r>
    </w:p>
    <w:p>
      <w:pPr>
        <w:pStyle w:val="ListBullet"/>
        <w:ind w:left="357"/>
        <w:jc w:val="both"/>
      </w:pPr>
      <w:r>
        <w:rPr>
          <w:rFonts w:ascii="Cambria" w:hAnsi="Cambria"/>
          <w:sz w:val="22"/>
        </w:rPr>
        <w:t>Every institution applying for NAAC accreditation is required to upload data and verifiable supporting documents on gender equity initiatives conducted during the previous five consecutive years.</w:t>
      </w:r>
    </w:p>
    <w:p>
      <w:pPr>
        <w:pStyle w:val="ListBullet"/>
        <w:ind w:left="357"/>
        <w:jc w:val="both"/>
      </w:pPr>
      <w:r>
        <w:rPr>
          <w:rFonts w:ascii="Cambria" w:hAnsi="Cambria"/>
          <w:sz w:val="22"/>
        </w:rPr>
        <w:t>These documents serve as evidence of institutional commitment toward equality, inclusiveness, and women's empowerment.</w:t>
      </w:r>
    </w:p>
    <w:p>
      <w:pPr>
        <w:pStyle w:val="ListBullet"/>
        <w:ind w:left="357"/>
        <w:jc w:val="both"/>
      </w:pPr>
      <w:r>
        <w:rPr>
          <w:rFonts w:ascii="Cambria" w:hAnsi="Cambria"/>
          <w:sz w:val="22"/>
        </w:rPr>
        <w:t>NAAC uses these records to evaluate the depth, continuity, and impact of gender equity programs on the institutional community.</w:t>
      </w:r>
    </w:p>
    <w:p>
      <w:pPr>
        <w:spacing w:before="240" w:after="120"/>
        <w:jc w:val="left"/>
      </w:pPr>
      <w:r>
        <w:rPr>
          <w:rFonts w:ascii="Cambria" w:hAnsi="Cambria"/>
          <w:b/>
          <w:color w:val="1F3A5F"/>
          <w:sz w:val="28"/>
        </w:rPr>
        <w:t>2. Parameters Assessed under Gender Equity Criterion</w:t>
      </w:r>
    </w:p>
    <w:p>
      <w:pPr>
        <w:spacing w:after="120"/>
        <w:jc w:val="both"/>
      </w:pPr>
      <w:r>
        <w:rPr>
          <w:rFonts w:ascii="Cambria" w:hAnsi="Cambria"/>
          <w:b/>
          <w:i w:val="0"/>
          <w:sz w:val="22"/>
        </w:rPr>
        <w:t>Gender Equity Programs and Activities</w:t>
      </w:r>
    </w:p>
    <w:p>
      <w:pPr>
        <w:pStyle w:val="ListBullet"/>
        <w:ind w:left="357"/>
        <w:jc w:val="both"/>
      </w:pPr>
      <w:r>
        <w:rPr>
          <w:rFonts w:ascii="Cambria" w:hAnsi="Cambria"/>
          <w:sz w:val="22"/>
        </w:rPr>
        <w:t>Workshops, awareness sessions, and seminars on gender sensitization and women's rights.</w:t>
      </w:r>
    </w:p>
    <w:p>
      <w:pPr>
        <w:pStyle w:val="ListBullet"/>
        <w:ind w:left="357"/>
        <w:jc w:val="both"/>
      </w:pPr>
      <w:r>
        <w:rPr>
          <w:rFonts w:ascii="Cambria" w:hAnsi="Cambria"/>
          <w:sz w:val="22"/>
        </w:rPr>
        <w:t>Campaigns and capacity-building initiatives promoting leadership, safety, and empowerment for women students and staff.</w:t>
      </w:r>
    </w:p>
    <w:p>
      <w:pPr>
        <w:pStyle w:val="ListBullet"/>
        <w:ind w:left="357"/>
        <w:jc w:val="both"/>
      </w:pPr>
      <w:r>
        <w:rPr>
          <w:rFonts w:ascii="Cambria" w:hAnsi="Cambria"/>
          <w:sz w:val="22"/>
        </w:rPr>
        <w:t>Gender equity cells, Internal Complaints Committees (ICC), and grievance redressal systems functioning under the POSH Act (2013).</w:t>
      </w:r>
    </w:p>
    <w:p>
      <w:pPr>
        <w:spacing w:after="120"/>
        <w:jc w:val="both"/>
      </w:pPr>
      <w:r>
        <w:rPr>
          <w:rFonts w:ascii="Cambria" w:hAnsi="Cambria"/>
          <w:b/>
          <w:i w:val="0"/>
          <w:sz w:val="22"/>
        </w:rPr>
        <w:t>Infrastructure and Safety Provisions</w:t>
      </w:r>
    </w:p>
    <w:p>
      <w:pPr>
        <w:pStyle w:val="ListBullet"/>
        <w:ind w:left="357"/>
        <w:jc w:val="both"/>
      </w:pPr>
      <w:r>
        <w:rPr>
          <w:rFonts w:ascii="Cambria" w:hAnsi="Cambria"/>
          <w:sz w:val="22"/>
        </w:rPr>
        <w:t>Availability of separate restrooms, common rooms, childcare centers, and safe hostel accommodations for women.</w:t>
      </w:r>
    </w:p>
    <w:p>
      <w:pPr>
        <w:pStyle w:val="ListBullet"/>
        <w:ind w:left="357"/>
        <w:jc w:val="both"/>
      </w:pPr>
      <w:r>
        <w:rPr>
          <w:rFonts w:ascii="Cambria" w:hAnsi="Cambria"/>
          <w:sz w:val="22"/>
        </w:rPr>
        <w:t>Implementation of campus lighting, security systems, CCTV surveillance, and transport facilities for female students and staff.</w:t>
      </w:r>
    </w:p>
    <w:p>
      <w:pPr>
        <w:pStyle w:val="ListBullet"/>
        <w:ind w:left="357"/>
        <w:jc w:val="both"/>
      </w:pPr>
      <w:r>
        <w:rPr>
          <w:rFonts w:ascii="Cambria" w:hAnsi="Cambria"/>
          <w:sz w:val="22"/>
        </w:rPr>
        <w:t>Presence of emergency helplines, security guards, and awareness boards around the campus.</w:t>
      </w:r>
    </w:p>
    <w:p>
      <w:pPr>
        <w:spacing w:after="120"/>
        <w:jc w:val="both"/>
      </w:pPr>
      <w:r>
        <w:rPr>
          <w:rFonts w:ascii="Cambria" w:hAnsi="Cambria"/>
          <w:b/>
          <w:i w:val="0"/>
          <w:sz w:val="22"/>
        </w:rPr>
        <w:t>Gender Sensitization and Inclusivity Measures</w:t>
      </w:r>
    </w:p>
    <w:p>
      <w:pPr>
        <w:pStyle w:val="ListBullet"/>
        <w:ind w:left="357"/>
        <w:jc w:val="both"/>
      </w:pPr>
      <w:r>
        <w:rPr>
          <w:rFonts w:ascii="Cambria" w:hAnsi="Cambria"/>
          <w:sz w:val="22"/>
        </w:rPr>
        <w:t>Regular gender awareness and equality drives, including observance of Women's Day and gender sensitization weeks.</w:t>
      </w:r>
    </w:p>
    <w:p>
      <w:pPr>
        <w:pStyle w:val="ListBullet"/>
        <w:ind w:left="357"/>
        <w:jc w:val="both"/>
      </w:pPr>
      <w:r>
        <w:rPr>
          <w:rFonts w:ascii="Cambria" w:hAnsi="Cambria"/>
          <w:sz w:val="22"/>
        </w:rPr>
        <w:t>Inclusion of gender perspectives in curriculum design, research projects, and extension activities.</w:t>
      </w:r>
    </w:p>
    <w:p>
      <w:pPr>
        <w:pStyle w:val="ListBullet"/>
        <w:ind w:left="357"/>
        <w:jc w:val="both"/>
      </w:pPr>
      <w:r>
        <w:rPr>
          <w:rFonts w:ascii="Cambria" w:hAnsi="Cambria"/>
          <w:sz w:val="22"/>
        </w:rPr>
        <w:t>Initiatives for transgender inclusion and non-discrimination policies within institutional frameworks.</w:t>
      </w:r>
    </w:p>
    <w:p>
      <w:pPr>
        <w:spacing w:after="120"/>
        <w:jc w:val="both"/>
      </w:pPr>
      <w:r>
        <w:rPr>
          <w:rFonts w:ascii="Cambria" w:hAnsi="Cambria"/>
          <w:b/>
          <w:i w:val="0"/>
          <w:sz w:val="22"/>
        </w:rPr>
        <w:t>Statistical and Qualitative Data</w:t>
      </w:r>
    </w:p>
    <w:p>
      <w:pPr>
        <w:pStyle w:val="ListBullet"/>
        <w:ind w:left="357"/>
        <w:jc w:val="both"/>
      </w:pPr>
      <w:r>
        <w:rPr>
          <w:rFonts w:ascii="Cambria" w:hAnsi="Cambria"/>
          <w:sz w:val="22"/>
        </w:rPr>
        <w:t>Gender-wise data on student enrollment, faculty representation, promotion rates, and leadership roles.</w:t>
      </w:r>
    </w:p>
    <w:p>
      <w:pPr>
        <w:pStyle w:val="ListBullet"/>
        <w:ind w:left="357"/>
        <w:jc w:val="both"/>
      </w:pPr>
      <w:r>
        <w:rPr>
          <w:rFonts w:ascii="Cambria" w:hAnsi="Cambria"/>
          <w:sz w:val="22"/>
        </w:rPr>
        <w:t>Documentation of mentorship programs, scholarships, and awards supporting women's academic and professional growth.</w:t>
      </w:r>
    </w:p>
    <w:p>
      <w:pPr>
        <w:pStyle w:val="ListBullet"/>
        <w:ind w:left="357"/>
        <w:jc w:val="both"/>
      </w:pPr>
      <w:r>
        <w:rPr>
          <w:rFonts w:ascii="Cambria" w:hAnsi="Cambria"/>
          <w:sz w:val="22"/>
        </w:rPr>
        <w:t>Reports of outreach programs involving rural or marginalized women, promoting inclusivity and social equity.</w:t>
      </w:r>
    </w:p>
    <w:p>
      <w:pPr>
        <w:spacing w:before="240" w:after="120"/>
        <w:jc w:val="left"/>
      </w:pPr>
      <w:r>
        <w:rPr>
          <w:rFonts w:ascii="Cambria" w:hAnsi="Cambria"/>
          <w:b/>
          <w:color w:val="1F3A5F"/>
          <w:sz w:val="28"/>
        </w:rPr>
        <w:t>3. Evaluation and Grading Process</w:t>
      </w:r>
    </w:p>
    <w:p>
      <w:pPr>
        <w:spacing w:after="120"/>
        <w:jc w:val="both"/>
      </w:pPr>
      <w:r>
        <w:rPr>
          <w:rFonts w:ascii="Cambria" w:hAnsi="Cambria"/>
          <w:b/>
          <w:i w:val="0"/>
          <w:sz w:val="22"/>
        </w:rPr>
        <w:t>Five-Year Assessment Period</w:t>
      </w:r>
    </w:p>
    <w:p>
      <w:pPr>
        <w:pStyle w:val="ListBullet"/>
        <w:ind w:left="357"/>
        <w:jc w:val="both"/>
      </w:pPr>
      <w:r>
        <w:rPr>
          <w:rFonts w:ascii="Cambria" w:hAnsi="Cambria"/>
          <w:sz w:val="22"/>
        </w:rPr>
        <w:t>NAAC considers gender equity programs implemented continuously for at least five years as part of its evaluation cycle.</w:t>
      </w:r>
    </w:p>
    <w:p>
      <w:pPr>
        <w:pStyle w:val="ListBullet"/>
        <w:ind w:left="357"/>
        <w:jc w:val="both"/>
      </w:pPr>
      <w:r>
        <w:rPr>
          <w:rFonts w:ascii="Cambria" w:hAnsi="Cambria"/>
          <w:sz w:val="22"/>
        </w:rPr>
        <w:t>The continuity of efforts demonstrates an institution's sustained commitment to gender inclusion, rather than ad-hoc or one-time initiatives.</w:t>
      </w:r>
    </w:p>
    <w:p>
      <w:pPr>
        <w:spacing w:after="120"/>
        <w:jc w:val="both"/>
      </w:pPr>
      <w:r>
        <w:rPr>
          <w:rFonts w:ascii="Cambria" w:hAnsi="Cambria"/>
          <w:b/>
          <w:i w:val="0"/>
          <w:sz w:val="22"/>
        </w:rPr>
        <w:t>Quantitative and Qualitative Metrics (QnM and QlM)</w:t>
      </w:r>
    </w:p>
    <w:p>
      <w:pPr>
        <w:pStyle w:val="ListBullet"/>
        <w:ind w:left="357"/>
        <w:jc w:val="both"/>
      </w:pPr>
      <w:r>
        <w:rPr>
          <w:rFonts w:ascii="Cambria" w:hAnsi="Cambria"/>
          <w:b/>
          <w:sz w:val="22"/>
        </w:rPr>
        <w:t xml:space="preserve">Quantitative Metrics (QnM): </w:t>
      </w:r>
      <w:r>
        <w:rPr>
          <w:rFonts w:ascii="Cambria" w:hAnsi="Cambria"/>
          <w:sz w:val="22"/>
        </w:rPr>
        <w:t>Include measurable data such as the number of women faculty, students, and gender-based initiatives conducted.</w:t>
      </w:r>
    </w:p>
    <w:p>
      <w:pPr>
        <w:pStyle w:val="ListBullet"/>
        <w:ind w:left="357"/>
        <w:jc w:val="both"/>
      </w:pPr>
      <w:r>
        <w:rPr>
          <w:rFonts w:ascii="Cambria" w:hAnsi="Cambria"/>
          <w:b/>
          <w:sz w:val="22"/>
        </w:rPr>
        <w:t xml:space="preserve">Qualitative Metrics (QlM): </w:t>
      </w:r>
      <w:r>
        <w:rPr>
          <w:rFonts w:ascii="Cambria" w:hAnsi="Cambria"/>
          <w:sz w:val="22"/>
        </w:rPr>
        <w:t>Assess the qualitative impact of policies, cultural transformation, and long-term institutional practices promoting gender justice.</w:t>
      </w:r>
    </w:p>
    <w:p>
      <w:pPr>
        <w:spacing w:after="120"/>
        <w:jc w:val="both"/>
      </w:pPr>
      <w:r>
        <w:rPr>
          <w:rFonts w:ascii="Cambria" w:hAnsi="Cambria"/>
          <w:b/>
          <w:i w:val="0"/>
          <w:sz w:val="22"/>
        </w:rPr>
        <w:t>Supporting Documentation Required</w:t>
      </w:r>
    </w:p>
    <w:p>
      <w:pPr>
        <w:pStyle w:val="ListBullet"/>
        <w:ind w:left="357"/>
        <w:jc w:val="both"/>
      </w:pPr>
      <w:r>
        <w:rPr>
          <w:rFonts w:ascii="Cambria" w:hAnsi="Cambria"/>
          <w:sz w:val="22"/>
        </w:rPr>
        <w:t>Gender equity policy documents and annual activity reports.</w:t>
      </w:r>
    </w:p>
    <w:p>
      <w:pPr>
        <w:pStyle w:val="ListBullet"/>
        <w:ind w:left="357"/>
        <w:jc w:val="both"/>
      </w:pPr>
      <w:r>
        <w:rPr>
          <w:rFonts w:ascii="Cambria" w:hAnsi="Cambria"/>
          <w:sz w:val="22"/>
        </w:rPr>
        <w:t>Photographs, attendance sheets, and brochures of gender-related events.</w:t>
      </w:r>
    </w:p>
    <w:p>
      <w:pPr>
        <w:pStyle w:val="ListBullet"/>
        <w:ind w:left="357"/>
        <w:jc w:val="both"/>
      </w:pPr>
      <w:r>
        <w:rPr>
          <w:rFonts w:ascii="Cambria" w:hAnsi="Cambria"/>
          <w:sz w:val="22"/>
        </w:rPr>
        <w:t>Evidence of ICC meetings, safety committee reports, and gender audit findings.</w:t>
      </w:r>
    </w:p>
    <w:p>
      <w:pPr>
        <w:pStyle w:val="ListBullet"/>
        <w:ind w:left="357"/>
        <w:jc w:val="both"/>
      </w:pPr>
      <w:r>
        <w:rPr>
          <w:rFonts w:ascii="Cambria" w:hAnsi="Cambria"/>
          <w:sz w:val="22"/>
        </w:rPr>
        <w:t>Institutional annual reports submitted to the IQAC reflecting gender-sensitive actions and outcomes.</w:t>
      </w:r>
    </w:p>
    <w:p>
      <w:pPr>
        <w:spacing w:before="240" w:after="120"/>
        <w:jc w:val="left"/>
      </w:pPr>
      <w:r>
        <w:rPr>
          <w:rFonts w:ascii="Cambria" w:hAnsi="Cambria"/>
          <w:b/>
          <w:color w:val="1F3A5F"/>
          <w:sz w:val="28"/>
        </w:rPr>
        <w:t>4. Institutional Benefits and Impact</w:t>
      </w:r>
    </w:p>
    <w:p>
      <w:pPr>
        <w:spacing w:after="120"/>
        <w:jc w:val="both"/>
      </w:pPr>
      <w:r>
        <w:rPr>
          <w:rFonts w:ascii="Cambria" w:hAnsi="Cambria"/>
          <w:b/>
          <w:i w:val="0"/>
          <w:sz w:val="22"/>
        </w:rPr>
        <w:t>Enhanced Accreditation Grade</w:t>
      </w:r>
    </w:p>
    <w:p>
      <w:pPr>
        <w:pStyle w:val="ListBullet"/>
        <w:ind w:left="357"/>
        <w:jc w:val="both"/>
      </w:pPr>
      <w:r>
        <w:rPr>
          <w:rFonts w:ascii="Cambria" w:hAnsi="Cambria"/>
          <w:sz w:val="22"/>
        </w:rPr>
        <w:t>Demonstrating effective gender equity programs can positively influence the NAAC grade of the institution under Criterion VII.</w:t>
      </w:r>
    </w:p>
    <w:p>
      <w:pPr>
        <w:pStyle w:val="ListBullet"/>
        <w:ind w:left="357"/>
        <w:jc w:val="both"/>
      </w:pPr>
      <w:r>
        <w:rPr>
          <w:rFonts w:ascii="Cambria" w:hAnsi="Cambria"/>
          <w:sz w:val="22"/>
        </w:rPr>
        <w:t>Institutions showcasing measurable improvements in gender balance, safety, and empowerment often receive commendations for best practices.</w:t>
      </w:r>
    </w:p>
    <w:p>
      <w:pPr>
        <w:spacing w:after="120"/>
        <w:jc w:val="both"/>
      </w:pPr>
      <w:r>
        <w:rPr>
          <w:rFonts w:ascii="Cambria" w:hAnsi="Cambria"/>
          <w:b/>
          <w:i w:val="0"/>
          <w:sz w:val="22"/>
        </w:rPr>
        <w:t>Cultural Transformation</w:t>
      </w:r>
    </w:p>
    <w:p>
      <w:pPr>
        <w:pStyle w:val="ListBullet"/>
        <w:ind w:left="357"/>
        <w:jc w:val="both"/>
      </w:pPr>
      <w:r>
        <w:rPr>
          <w:rFonts w:ascii="Cambria" w:hAnsi="Cambria"/>
          <w:sz w:val="22"/>
        </w:rPr>
        <w:t>Regular gender equity programs foster inclusive campus environments, free from discrimination and bias.</w:t>
      </w:r>
    </w:p>
    <w:p>
      <w:pPr>
        <w:pStyle w:val="ListBullet"/>
        <w:ind w:left="357"/>
        <w:jc w:val="both"/>
      </w:pPr>
      <w:r>
        <w:rPr>
          <w:rFonts w:ascii="Cambria" w:hAnsi="Cambria"/>
          <w:sz w:val="22"/>
        </w:rPr>
        <w:t>They cultivate awareness, empathy, and respect for diversity among students and staff, reinforcing ethical institutional values.</w:t>
      </w:r>
    </w:p>
    <w:p>
      <w:pPr>
        <w:spacing w:after="120"/>
        <w:jc w:val="both"/>
      </w:pPr>
      <w:r>
        <w:rPr>
          <w:rFonts w:ascii="Cambria" w:hAnsi="Cambria"/>
          <w:b/>
          <w:i w:val="0"/>
          <w:sz w:val="22"/>
        </w:rPr>
        <w:t>Alignment with SDGs and NEP-2020</w:t>
      </w:r>
    </w:p>
    <w:p>
      <w:pPr>
        <w:pStyle w:val="ListBullet"/>
        <w:ind w:left="357"/>
        <w:jc w:val="both"/>
      </w:pPr>
      <w:r>
        <w:rPr>
          <w:rFonts w:ascii="Cambria" w:hAnsi="Cambria"/>
          <w:sz w:val="22"/>
        </w:rPr>
        <w:t>Integrating gender equity practices supports India's national and global commitments to SDG-5 (Gender Equality) and SDG-4 (Quality Education).</w:t>
      </w:r>
    </w:p>
    <w:p>
      <w:pPr>
        <w:pStyle w:val="ListBullet"/>
        <w:ind w:left="357"/>
        <w:jc w:val="both"/>
      </w:pPr>
      <w:r>
        <w:rPr>
          <w:rFonts w:ascii="Cambria" w:hAnsi="Cambria"/>
          <w:sz w:val="22"/>
        </w:rPr>
        <w:t>Promotes equitable access to learning, leadership, and employment opportunities for all genders.</w:t>
      </w:r>
    </w:p>
    <w:p>
      <w:pPr>
        <w:spacing w:before="240" w:after="120"/>
        <w:jc w:val="left"/>
      </w:pPr>
      <w:r>
        <w:rPr>
          <w:rFonts w:ascii="Cambria" w:hAnsi="Cambria"/>
          <w:b/>
          <w:color w:val="1F3A5F"/>
          <w:sz w:val="28"/>
        </w:rPr>
        <w:t>5. Conclusion</w:t>
      </w:r>
    </w:p>
    <w:p>
      <w:pPr>
        <w:spacing w:after="120"/>
        <w:jc w:val="both"/>
      </w:pPr>
      <w:r>
        <w:rPr>
          <w:rFonts w:ascii="Cambria" w:hAnsi="Cambria"/>
          <w:b w:val="0"/>
          <w:i w:val="0"/>
          <w:sz w:val="22"/>
        </w:rPr>
        <w:t>The National Assessment and Accreditation Council (NAAC) plays a crucial role in institutionalizing gender equity within the higher education ecosystem.</w:t>
      </w:r>
    </w:p>
    <w:p>
      <w:pPr>
        <w:spacing w:after="120"/>
        <w:jc w:val="both"/>
      </w:pPr>
      <w:r>
        <w:rPr>
          <w:rFonts w:ascii="Cambria" w:hAnsi="Cambria"/>
          <w:b w:val="0"/>
          <w:i w:val="0"/>
          <w:sz w:val="22"/>
        </w:rPr>
        <w:t>By making gender equity a mandatory assessment criterion, NAAC ensures that HEIs move beyond tokenism to adopt sustainable, structured, and measurable practices promoting equality and empowerment.</w:t>
      </w:r>
    </w:p>
    <w:p>
      <w:pPr>
        <w:spacing w:after="120"/>
        <w:jc w:val="both"/>
      </w:pPr>
      <w:r>
        <w:rPr>
          <w:rFonts w:ascii="Cambria" w:hAnsi="Cambria"/>
          <w:b w:val="0"/>
          <w:i w:val="0"/>
          <w:sz w:val="22"/>
        </w:rPr>
        <w:t>Continuous documentation of gender initiatives not only strengthens accreditation outcomes but also reinforces the broader vision of inclusive, fair, and gender-just education in India.</w:t>
      </w:r>
    </w:p>
    <w:p>
      <w:pPr>
        <w:spacing w:before="280" w:after="160"/>
        <w:jc w:val="left"/>
      </w:pPr>
      <w:r>
        <w:rPr>
          <w:rFonts w:ascii="Cambria" w:hAnsi="Cambria"/>
          <w:b/>
          <w:color w:val="1F3A5F"/>
          <w:sz w:val="32"/>
        </w:rPr>
        <w:t>23. University Grants Commission (UGC) Initiatives for Promoting Gender Equality in Higher Education Institutions</w:t>
      </w:r>
    </w:p>
    <w:p>
      <w:pPr>
        <w:spacing w:before="240" w:after="120"/>
        <w:jc w:val="left"/>
      </w:pPr>
      <w:r>
        <w:rPr>
          <w:rFonts w:ascii="Cambria" w:hAnsi="Cambria"/>
          <w:b/>
          <w:color w:val="1F3A5F"/>
          <w:sz w:val="28"/>
        </w:rPr>
        <w:t>Introduction and Vision</w:t>
      </w:r>
    </w:p>
    <w:p>
      <w:pPr>
        <w:pStyle w:val="ListBullet"/>
        <w:ind w:left="357"/>
        <w:jc w:val="both"/>
      </w:pPr>
      <w:r>
        <w:rPr>
          <w:rFonts w:ascii="Cambria" w:hAnsi="Cambria"/>
          <w:sz w:val="22"/>
        </w:rPr>
        <w:t>The University Grants Commission (UGC) of India has been a key national body driving policies to ensure gender equality, inclusivity, and women's empowerment across universities and colleges.</w:t>
      </w:r>
    </w:p>
    <w:p>
      <w:pPr>
        <w:pStyle w:val="ListBullet"/>
        <w:ind w:left="357"/>
        <w:jc w:val="both"/>
      </w:pPr>
      <w:r>
        <w:rPr>
          <w:rFonts w:ascii="Cambria" w:hAnsi="Cambria"/>
          <w:sz w:val="22"/>
        </w:rPr>
        <w:t>In alignment with the Government of India's gender sensitization mission and Sustainable Development Goal 5 (SDG-5: Gender Equality), UGC mandates institutions to create safe, equitable, and respectful learning environments for all genders.</w:t>
      </w:r>
    </w:p>
    <w:p>
      <w:pPr>
        <w:pStyle w:val="ListBullet"/>
        <w:ind w:left="357"/>
        <w:jc w:val="both"/>
      </w:pPr>
      <w:r>
        <w:rPr>
          <w:rFonts w:ascii="Cambria" w:hAnsi="Cambria"/>
          <w:sz w:val="22"/>
        </w:rPr>
        <w:t>UGC's directives aim to move beyond policy compliance and embed gender equity as a lived institutional value in higher education.</w:t>
      </w:r>
    </w:p>
    <w:p>
      <w:pPr>
        <w:spacing w:before="240" w:after="120"/>
        <w:jc w:val="left"/>
      </w:pPr>
      <w:r>
        <w:rPr>
          <w:rFonts w:ascii="Cambria" w:hAnsi="Cambria"/>
          <w:b/>
          <w:color w:val="1F3A5F"/>
          <w:sz w:val="28"/>
        </w:rPr>
        <w:t>1. UGC Directive on Gender Equality Implementation</w:t>
      </w:r>
    </w:p>
    <w:p>
      <w:pPr>
        <w:spacing w:after="120"/>
        <w:jc w:val="both"/>
      </w:pPr>
      <w:r>
        <w:rPr>
          <w:rFonts w:ascii="Cambria" w:hAnsi="Cambria"/>
          <w:b/>
          <w:i w:val="0"/>
          <w:sz w:val="22"/>
        </w:rPr>
        <w:t>Mandatory Adoption of Gender Equality Guidelines</w:t>
      </w:r>
    </w:p>
    <w:p>
      <w:pPr>
        <w:pStyle w:val="ListBullet"/>
        <w:ind w:left="357"/>
        <w:jc w:val="both"/>
      </w:pPr>
      <w:r>
        <w:rPr>
          <w:rFonts w:ascii="Cambria" w:hAnsi="Cambria"/>
          <w:sz w:val="22"/>
        </w:rPr>
        <w:t>The UGC has issued clear instructions to all universities and colleges under its jurisdiction to immediately adopt gender equality measures in both academic and administrative domains.</w:t>
      </w:r>
    </w:p>
    <w:p>
      <w:pPr>
        <w:pStyle w:val="ListBullet"/>
        <w:ind w:left="357"/>
        <w:jc w:val="both"/>
      </w:pPr>
      <w:r>
        <w:rPr>
          <w:rFonts w:ascii="Cambria" w:hAnsi="Cambria"/>
          <w:sz w:val="22"/>
        </w:rPr>
        <w:t>Institutions are directed to implement proactive policies that promote respect, dignity, and fairness toward women students and staff.</w:t>
      </w:r>
    </w:p>
    <w:p>
      <w:pPr>
        <w:pStyle w:val="ListBullet"/>
        <w:ind w:left="357"/>
        <w:jc w:val="both"/>
      </w:pPr>
      <w:r>
        <w:rPr>
          <w:rFonts w:ascii="Cambria" w:hAnsi="Cambria"/>
          <w:sz w:val="22"/>
        </w:rPr>
        <w:t>The directive reinforces India's constitutional commitment to equality and the NEP-2020 vision of inclusive, equitable, and gender-just education.</w:t>
      </w:r>
    </w:p>
    <w:p>
      <w:pPr>
        <w:spacing w:after="120"/>
        <w:jc w:val="both"/>
      </w:pPr>
      <w:r>
        <w:rPr>
          <w:rFonts w:ascii="Cambria" w:hAnsi="Cambria"/>
          <w:b/>
          <w:i w:val="0"/>
          <w:sz w:val="22"/>
        </w:rPr>
        <w:t>Institutional Accountability</w:t>
      </w:r>
    </w:p>
    <w:p>
      <w:pPr>
        <w:pStyle w:val="ListBullet"/>
        <w:ind w:left="357"/>
        <w:jc w:val="both"/>
      </w:pPr>
      <w:r>
        <w:rPr>
          <w:rFonts w:ascii="Cambria" w:hAnsi="Cambria"/>
          <w:sz w:val="22"/>
        </w:rPr>
        <w:t>Every UGC-affiliated institution must establish gender sensitization cells, Internal Complaints Committees (ICC) under the POSH Act (2013), and Women Development Cells (WDC).</w:t>
      </w:r>
    </w:p>
    <w:p>
      <w:pPr>
        <w:pStyle w:val="ListBullet"/>
        <w:ind w:left="357"/>
        <w:jc w:val="both"/>
      </w:pPr>
      <w:r>
        <w:rPr>
          <w:rFonts w:ascii="Cambria" w:hAnsi="Cambria"/>
          <w:sz w:val="22"/>
        </w:rPr>
        <w:t>Regular awareness programs, workshops, and campaigns must be conducted to build a culture of inclusivity and mutual respect.</w:t>
      </w:r>
    </w:p>
    <w:p>
      <w:pPr>
        <w:pStyle w:val="ListBullet"/>
        <w:ind w:left="357"/>
        <w:jc w:val="both"/>
      </w:pPr>
      <w:r>
        <w:rPr>
          <w:rFonts w:ascii="Cambria" w:hAnsi="Cambria"/>
          <w:sz w:val="22"/>
        </w:rPr>
        <w:t>Institutions are required to report progress and submit compliance documentation to UGC and affiliating universities.</w:t>
      </w:r>
    </w:p>
    <w:p>
      <w:pPr>
        <w:spacing w:before="240" w:after="120"/>
        <w:jc w:val="left"/>
      </w:pPr>
      <w:r>
        <w:rPr>
          <w:rFonts w:ascii="Cambria" w:hAnsi="Cambria"/>
          <w:b/>
          <w:color w:val="1F3A5F"/>
          <w:sz w:val="28"/>
        </w:rPr>
        <w:t>2. Introduction of the 'Gender Champion' Initiative</w:t>
      </w:r>
    </w:p>
    <w:p>
      <w:pPr>
        <w:spacing w:after="120"/>
        <w:jc w:val="both"/>
      </w:pPr>
      <w:r>
        <w:rPr>
          <w:rFonts w:ascii="Cambria" w:hAnsi="Cambria"/>
          <w:b/>
          <w:i w:val="0"/>
          <w:sz w:val="22"/>
        </w:rPr>
        <w:t>Concept and Purpose</w:t>
      </w:r>
    </w:p>
    <w:p>
      <w:pPr>
        <w:pStyle w:val="ListBullet"/>
        <w:ind w:left="357"/>
        <w:jc w:val="both"/>
      </w:pPr>
      <w:r>
        <w:rPr>
          <w:rFonts w:ascii="Cambria" w:hAnsi="Cambria"/>
          <w:sz w:val="22"/>
        </w:rPr>
        <w:t>To enhance outreach and foster equal treatment across campuses, the Government of India, in collaboration with the UGC, introduced the 'Gender Champion' initiative in educational institutions nationwide.</w:t>
      </w:r>
    </w:p>
    <w:p>
      <w:pPr>
        <w:pStyle w:val="ListBullet"/>
        <w:ind w:left="357"/>
        <w:jc w:val="both"/>
      </w:pPr>
      <w:r>
        <w:rPr>
          <w:rFonts w:ascii="Cambria" w:hAnsi="Cambria"/>
          <w:sz w:val="22"/>
        </w:rPr>
        <w:t>The program encourages student leadership in promoting gender sensitization and equality.</w:t>
      </w:r>
    </w:p>
    <w:p>
      <w:pPr>
        <w:pStyle w:val="ListBullet"/>
        <w:ind w:left="357"/>
        <w:jc w:val="both"/>
      </w:pPr>
      <w:r>
        <w:rPr>
          <w:rFonts w:ascii="Cambria" w:hAnsi="Cambria"/>
          <w:sz w:val="22"/>
        </w:rPr>
        <w:t>Gender Champions act as peer role models and advocates who work toward building a campus culture of respect, empathy, and non-discrimination.</w:t>
      </w:r>
    </w:p>
    <w:p>
      <w:pPr>
        <w:spacing w:after="120"/>
        <w:jc w:val="both"/>
      </w:pPr>
      <w:r>
        <w:rPr>
          <w:rFonts w:ascii="Cambria" w:hAnsi="Cambria"/>
          <w:b/>
          <w:i w:val="0"/>
          <w:sz w:val="22"/>
        </w:rPr>
        <w:t>Official UGC Communication</w:t>
      </w:r>
    </w:p>
    <w:p>
      <w:pPr>
        <w:spacing w:after="120"/>
        <w:jc w:val="both"/>
      </w:pPr>
      <w:r>
        <w:rPr>
          <w:rFonts w:ascii="Cambria" w:hAnsi="Cambria"/>
          <w:b w:val="0"/>
          <w:i w:val="0"/>
          <w:sz w:val="22"/>
        </w:rPr>
        <w:t>In its letter to universities, UGC emphasizes that:</w:t>
      </w:r>
    </w:p>
    <w:p>
      <w:pPr>
        <w:ind w:left="567"/>
        <w:jc w:val="both"/>
      </w:pPr>
      <w:r>
        <w:rPr>
          <w:rFonts w:ascii="Cambria" w:hAnsi="Cambria"/>
          <w:i/>
          <w:sz w:val="22"/>
        </w:rPr>
        <w:t>“To increase the outreach for creating an environment that fosters equal treatment, the Government of India envisages engagement of 'Gender Champions' in all educational institutions across the country.”</w:t>
      </w:r>
    </w:p>
    <w:p>
      <w:pPr>
        <w:spacing w:after="120"/>
        <w:jc w:val="both"/>
      </w:pPr>
      <w:r>
        <w:rPr>
          <w:rFonts w:ascii="Cambria" w:hAnsi="Cambria"/>
          <w:b w:val="0"/>
          <w:i w:val="0"/>
          <w:sz w:val="22"/>
        </w:rPr>
        <w:t>Further, it states:</w:t>
      </w:r>
    </w:p>
    <w:p>
      <w:pPr>
        <w:ind w:left="567"/>
        <w:jc w:val="both"/>
      </w:pPr>
      <w:r>
        <w:rPr>
          <w:rFonts w:ascii="Cambria" w:hAnsi="Cambria"/>
          <w:i/>
          <w:sz w:val="22"/>
        </w:rPr>
        <w:t>“Gender Champions are envisaged as responsible leaders who will facilitate an enabling environment within their academic institutions where girls are treated with dignity and respect.”</w:t>
      </w:r>
    </w:p>
    <w:p>
      <w:pPr>
        <w:spacing w:before="240" w:after="120"/>
        <w:jc w:val="left"/>
      </w:pPr>
      <w:r>
        <w:rPr>
          <w:rFonts w:ascii="Cambria" w:hAnsi="Cambria"/>
          <w:b/>
          <w:color w:val="1F3A5F"/>
          <w:sz w:val="28"/>
        </w:rPr>
        <w:t>3. Roles and Responsibilities of Gender Champions</w:t>
      </w:r>
    </w:p>
    <w:p>
      <w:pPr>
        <w:spacing w:after="120"/>
        <w:jc w:val="both"/>
      </w:pPr>
      <w:r>
        <w:rPr>
          <w:rFonts w:ascii="Cambria" w:hAnsi="Cambria"/>
          <w:b/>
          <w:i w:val="0"/>
          <w:sz w:val="22"/>
        </w:rPr>
        <w:t>Awareness and Sensitization Activities</w:t>
      </w:r>
    </w:p>
    <w:p>
      <w:pPr>
        <w:pStyle w:val="ListBullet"/>
        <w:ind w:left="357"/>
        <w:jc w:val="both"/>
      </w:pPr>
      <w:r>
        <w:rPr>
          <w:rFonts w:ascii="Cambria" w:hAnsi="Cambria"/>
          <w:sz w:val="22"/>
        </w:rPr>
        <w:t>Conduct gender sensitization drives, seminars, and workshops for students and faculty on equality, consent, and respect.</w:t>
      </w:r>
    </w:p>
    <w:p>
      <w:pPr>
        <w:pStyle w:val="ListBullet"/>
        <w:ind w:left="357"/>
        <w:jc w:val="both"/>
      </w:pPr>
      <w:r>
        <w:rPr>
          <w:rFonts w:ascii="Cambria" w:hAnsi="Cambria"/>
          <w:sz w:val="22"/>
        </w:rPr>
        <w:t>Organize poster campaigns, debates, street plays, and digital awareness programs focusing on gender rights and inclusivity.</w:t>
      </w:r>
    </w:p>
    <w:p>
      <w:pPr>
        <w:spacing w:after="120"/>
        <w:jc w:val="both"/>
      </w:pPr>
      <w:r>
        <w:rPr>
          <w:rFonts w:ascii="Cambria" w:hAnsi="Cambria"/>
          <w:b/>
          <w:i w:val="0"/>
          <w:sz w:val="22"/>
        </w:rPr>
        <w:t>Leadership and Advocacy</w:t>
      </w:r>
    </w:p>
    <w:p>
      <w:pPr>
        <w:pStyle w:val="ListBullet"/>
        <w:ind w:left="357"/>
        <w:jc w:val="both"/>
      </w:pPr>
      <w:r>
        <w:rPr>
          <w:rFonts w:ascii="Cambria" w:hAnsi="Cambria"/>
          <w:sz w:val="22"/>
        </w:rPr>
        <w:t>Serve as student ambassadors for equality and act as liaisons between students and institutional gender cells.</w:t>
      </w:r>
    </w:p>
    <w:p>
      <w:pPr>
        <w:pStyle w:val="ListBullet"/>
        <w:ind w:left="357"/>
        <w:jc w:val="both"/>
      </w:pPr>
      <w:r>
        <w:rPr>
          <w:rFonts w:ascii="Cambria" w:hAnsi="Cambria"/>
          <w:sz w:val="22"/>
        </w:rPr>
        <w:t>Promote zero tolerance toward gender-based discrimination, bullying, or harassment on campus.</w:t>
      </w:r>
    </w:p>
    <w:p>
      <w:pPr>
        <w:pStyle w:val="ListBullet"/>
        <w:ind w:left="357"/>
        <w:jc w:val="both"/>
      </w:pPr>
      <w:r>
        <w:rPr>
          <w:rFonts w:ascii="Cambria" w:hAnsi="Cambria"/>
          <w:sz w:val="22"/>
        </w:rPr>
        <w:t>Encourage equal participation of male and female students in academic, cultural, and leadership activities.</w:t>
      </w:r>
    </w:p>
    <w:p>
      <w:pPr>
        <w:spacing w:after="120"/>
        <w:jc w:val="both"/>
      </w:pPr>
      <w:r>
        <w:rPr>
          <w:rFonts w:ascii="Cambria" w:hAnsi="Cambria"/>
          <w:b/>
          <w:i w:val="0"/>
          <w:sz w:val="22"/>
        </w:rPr>
        <w:t>Monitoring and Feedback</w:t>
      </w:r>
    </w:p>
    <w:p>
      <w:pPr>
        <w:pStyle w:val="ListBullet"/>
        <w:ind w:left="357"/>
        <w:jc w:val="both"/>
      </w:pPr>
      <w:r>
        <w:rPr>
          <w:rFonts w:ascii="Cambria" w:hAnsi="Cambria"/>
          <w:sz w:val="22"/>
        </w:rPr>
        <w:t>Help monitor gender-related issues and report concerns to the Women Development Cell (WDC) or Internal Complaints Committee (ICC).</w:t>
      </w:r>
    </w:p>
    <w:p>
      <w:pPr>
        <w:pStyle w:val="ListBullet"/>
        <w:ind w:left="357"/>
        <w:jc w:val="both"/>
      </w:pPr>
      <w:r>
        <w:rPr>
          <w:rFonts w:ascii="Cambria" w:hAnsi="Cambria"/>
          <w:sz w:val="22"/>
        </w:rPr>
        <w:t>Support the institution in conducting gender audits and surveys to assess inclusivity and safety perceptions.</w:t>
      </w:r>
    </w:p>
    <w:p>
      <w:pPr>
        <w:pStyle w:val="ListBullet"/>
        <w:ind w:left="357"/>
        <w:jc w:val="both"/>
      </w:pPr>
      <w:r>
        <w:rPr>
          <w:rFonts w:ascii="Cambria" w:hAnsi="Cambria"/>
          <w:sz w:val="22"/>
        </w:rPr>
        <w:t>Assist in disseminating information about government schemes, women's rights, and legal protections.</w:t>
      </w:r>
    </w:p>
    <w:p>
      <w:pPr>
        <w:spacing w:before="240" w:after="120"/>
        <w:jc w:val="left"/>
      </w:pPr>
      <w:r>
        <w:rPr>
          <w:rFonts w:ascii="Cambria" w:hAnsi="Cambria"/>
          <w:b/>
          <w:color w:val="1F3A5F"/>
          <w:sz w:val="28"/>
        </w:rPr>
        <w:t>4. Expected Institutional and Social Outcomes</w:t>
      </w:r>
    </w:p>
    <w:p>
      <w:pPr>
        <w:spacing w:after="120"/>
        <w:jc w:val="both"/>
      </w:pPr>
      <w:r>
        <w:rPr>
          <w:rFonts w:ascii="Cambria" w:hAnsi="Cambria"/>
          <w:b/>
          <w:i w:val="0"/>
          <w:sz w:val="22"/>
        </w:rPr>
        <w:t>Inclusive Campus Environment</w:t>
      </w:r>
    </w:p>
    <w:p>
      <w:pPr>
        <w:pStyle w:val="ListBullet"/>
        <w:ind w:left="357"/>
        <w:jc w:val="both"/>
      </w:pPr>
      <w:r>
        <w:rPr>
          <w:rFonts w:ascii="Cambria" w:hAnsi="Cambria"/>
          <w:sz w:val="22"/>
        </w:rPr>
        <w:t>The initiative nurtures campuses where equality, empathy, and respect for women are institutional values rather than slogans.</w:t>
      </w:r>
    </w:p>
    <w:p>
      <w:pPr>
        <w:pStyle w:val="ListBullet"/>
        <w:ind w:left="357"/>
        <w:jc w:val="both"/>
      </w:pPr>
      <w:r>
        <w:rPr>
          <w:rFonts w:ascii="Cambria" w:hAnsi="Cambria"/>
          <w:sz w:val="22"/>
        </w:rPr>
        <w:t>Gender Champions encourage the breakdown of stereotypes and patriarchal norms, creating spaces of dialogue and awareness.</w:t>
      </w:r>
    </w:p>
    <w:p>
      <w:pPr>
        <w:spacing w:after="120"/>
        <w:jc w:val="both"/>
      </w:pPr>
      <w:r>
        <w:rPr>
          <w:rFonts w:ascii="Cambria" w:hAnsi="Cambria"/>
          <w:b/>
          <w:i w:val="0"/>
          <w:sz w:val="22"/>
        </w:rPr>
        <w:t>Empowerment through Leadership</w:t>
      </w:r>
    </w:p>
    <w:p>
      <w:pPr>
        <w:pStyle w:val="ListBullet"/>
        <w:ind w:left="357"/>
        <w:jc w:val="both"/>
      </w:pPr>
      <w:r>
        <w:rPr>
          <w:rFonts w:ascii="Cambria" w:hAnsi="Cambria"/>
          <w:sz w:val="22"/>
        </w:rPr>
        <w:t>The program helps young students develop leadership qualities and become advocates for gender justice in society.</w:t>
      </w:r>
    </w:p>
    <w:p>
      <w:pPr>
        <w:pStyle w:val="ListBullet"/>
        <w:ind w:left="357"/>
        <w:jc w:val="both"/>
      </w:pPr>
      <w:r>
        <w:rPr>
          <w:rFonts w:ascii="Cambria" w:hAnsi="Cambria"/>
          <w:sz w:val="22"/>
        </w:rPr>
        <w:t>It fosters student-led social transformation through peer influence and participatory engagement.</w:t>
      </w:r>
    </w:p>
    <w:p>
      <w:pPr>
        <w:spacing w:after="120"/>
        <w:jc w:val="both"/>
      </w:pPr>
      <w:r>
        <w:rPr>
          <w:rFonts w:ascii="Cambria" w:hAnsi="Cambria"/>
          <w:b/>
          <w:i w:val="0"/>
          <w:sz w:val="22"/>
        </w:rPr>
        <w:t>Alignment with National and Global Goals</w:t>
      </w:r>
    </w:p>
    <w:p>
      <w:pPr>
        <w:pStyle w:val="ListBullet"/>
        <w:ind w:left="357"/>
        <w:jc w:val="both"/>
      </w:pPr>
      <w:r>
        <w:rPr>
          <w:rFonts w:ascii="Cambria" w:hAnsi="Cambria"/>
          <w:sz w:val="22"/>
        </w:rPr>
        <w:t>Supports national policies like Beti Bachao Beti Padhao, National Policy for Women (2016), and POSH Act (2013).</w:t>
      </w:r>
    </w:p>
    <w:p>
      <w:pPr>
        <w:pStyle w:val="ListBullet"/>
        <w:ind w:left="357"/>
        <w:jc w:val="both"/>
      </w:pPr>
      <w:r>
        <w:rPr>
          <w:rFonts w:ascii="Cambria" w:hAnsi="Cambria"/>
          <w:sz w:val="22"/>
        </w:rPr>
        <w:t>Directly contributes to the achievement of SDG-5 (Gender Equality) and SDG-16 (Peace, Justice, and Strong Institutions) through education-based interventions.</w:t>
      </w:r>
    </w:p>
    <w:p>
      <w:pPr>
        <w:spacing w:before="240" w:after="120"/>
        <w:jc w:val="left"/>
      </w:pPr>
      <w:r>
        <w:rPr>
          <w:rFonts w:ascii="Cambria" w:hAnsi="Cambria"/>
          <w:b/>
          <w:color w:val="1F3A5F"/>
          <w:sz w:val="28"/>
        </w:rPr>
        <w:t>5. Conclusion</w:t>
      </w:r>
    </w:p>
    <w:p>
      <w:pPr>
        <w:spacing w:after="120"/>
        <w:jc w:val="both"/>
      </w:pPr>
      <w:r>
        <w:rPr>
          <w:rFonts w:ascii="Cambria" w:hAnsi="Cambria"/>
          <w:b w:val="0"/>
          <w:i w:val="0"/>
          <w:sz w:val="22"/>
        </w:rPr>
        <w:t>The UGC's Gender Equality Guidelines and the 'Gender Champion' initiative mark a significant step toward embedding gender sensitivity into the culture of Indian higher education.</w:t>
      </w:r>
    </w:p>
    <w:p>
      <w:pPr>
        <w:spacing w:after="120"/>
        <w:jc w:val="both"/>
      </w:pPr>
      <w:r>
        <w:rPr>
          <w:rFonts w:ascii="Cambria" w:hAnsi="Cambria"/>
          <w:b w:val="0"/>
          <w:i w:val="0"/>
          <w:sz w:val="22"/>
        </w:rPr>
        <w:t>By empowering students to lead awareness and behavioral change efforts, UGC ensures that campuses become models of respect, inclusivity, and empowerment.</w:t>
      </w:r>
    </w:p>
    <w:p>
      <w:pPr>
        <w:spacing w:after="120"/>
        <w:jc w:val="both"/>
      </w:pPr>
      <w:r>
        <w:rPr>
          <w:rFonts w:ascii="Cambria" w:hAnsi="Cambria"/>
          <w:b w:val="0"/>
          <w:i w:val="0"/>
          <w:sz w:val="22"/>
        </w:rPr>
        <w:t>This initiative transforms higher education institutions into agents of social reform, ensuring that equality and dignity for women and all genders are upheld as fundamental academic and societal values.</w:t>
      </w:r>
    </w:p>
    <w:p>
      <w:pPr>
        <w:spacing w:before="280" w:after="160"/>
        <w:jc w:val="left"/>
      </w:pPr>
      <w:r>
        <w:rPr>
          <w:rFonts w:ascii="Cambria" w:hAnsi="Cambria"/>
          <w:b/>
          <w:color w:val="1F3A5F"/>
          <w:sz w:val="32"/>
        </w:rPr>
        <w:t>24. Role of Higher Education Institutions (HEIs) in Achieving Sustainable Development Goal 5 (Gender Equality and Women Empowerment)</w:t>
      </w:r>
    </w:p>
    <w:p>
      <w:pPr>
        <w:spacing w:before="240" w:after="120"/>
        <w:jc w:val="left"/>
      </w:pPr>
      <w:r>
        <w:rPr>
          <w:rFonts w:ascii="Cambria" w:hAnsi="Cambria"/>
          <w:b/>
          <w:color w:val="1F3A5F"/>
          <w:sz w:val="28"/>
        </w:rPr>
        <w:t>Global Relevance and Context</w:t>
      </w:r>
    </w:p>
    <w:p>
      <w:pPr>
        <w:pStyle w:val="ListBullet"/>
        <w:ind w:left="357"/>
        <w:jc w:val="both"/>
      </w:pPr>
      <w:r>
        <w:rPr>
          <w:rFonts w:ascii="Cambria" w:hAnsi="Cambria"/>
          <w:sz w:val="22"/>
        </w:rPr>
        <w:t>In recent years, Higher Education Institutions (HEIs) have emerged as critical actors in advancing the United Nations Sustainable Development Goals (SDGs), particularly SDG-5: Gender Equality and Women Empowerment.</w:t>
      </w:r>
    </w:p>
    <w:p>
      <w:pPr>
        <w:pStyle w:val="ListBullet"/>
        <w:ind w:left="357"/>
        <w:jc w:val="both"/>
      </w:pPr>
      <w:r>
        <w:rPr>
          <w:rFonts w:ascii="Cambria" w:hAnsi="Cambria"/>
          <w:sz w:val="22"/>
        </w:rPr>
        <w:t>The SDGs emphasize three interconnected dimensions — social, economic, and ecological sustainability — aiming to end poverty, protect the planet, and ensure prosperity for all.</w:t>
      </w:r>
    </w:p>
    <w:p>
      <w:pPr>
        <w:pStyle w:val="ListBullet"/>
        <w:ind w:left="357"/>
        <w:jc w:val="both"/>
      </w:pPr>
      <w:r>
        <w:rPr>
          <w:rFonts w:ascii="Cambria" w:hAnsi="Cambria"/>
          <w:sz w:val="22"/>
        </w:rPr>
        <w:t>Despite global progress, gender inequality remains a persistent issue worldwide, restricting women's access to education, employment, and leadership opportunities, especially in higher education sectors.</w:t>
      </w:r>
    </w:p>
    <w:p>
      <w:pPr>
        <w:pStyle w:val="ListBullet"/>
        <w:ind w:left="357"/>
        <w:jc w:val="both"/>
      </w:pPr>
      <w:r>
        <w:rPr>
          <w:rFonts w:ascii="Cambria" w:hAnsi="Cambria"/>
          <w:sz w:val="22"/>
        </w:rPr>
        <w:t>A United Nations report highlights that this gender disparity continues to deprive women of basic human rights and inhibits their full participation in global development.</w:t>
      </w:r>
    </w:p>
    <w:p>
      <w:pPr>
        <w:spacing w:before="240" w:after="120"/>
        <w:jc w:val="left"/>
      </w:pPr>
      <w:r>
        <w:rPr>
          <w:rFonts w:ascii="Cambria" w:hAnsi="Cambria"/>
          <w:b/>
          <w:color w:val="1F3A5F"/>
          <w:sz w:val="28"/>
        </w:rPr>
        <w:t>Higher Education as a Driver of Sustainable Development</w:t>
      </w:r>
    </w:p>
    <w:p>
      <w:pPr>
        <w:pStyle w:val="ListBullet"/>
        <w:ind w:left="357"/>
        <w:jc w:val="both"/>
      </w:pPr>
      <w:r>
        <w:rPr>
          <w:rFonts w:ascii="Cambria" w:hAnsi="Cambria"/>
          <w:sz w:val="22"/>
        </w:rPr>
        <w:t>Education serves as the foundation of all Sustainable Development Goals since it transforms human capital through knowledge, skills, and competencies, preparing individuals to tackle complex societal challenges.</w:t>
      </w:r>
    </w:p>
    <w:p>
      <w:pPr>
        <w:pStyle w:val="ListBullet"/>
        <w:ind w:left="357"/>
        <w:jc w:val="both"/>
      </w:pPr>
      <w:r>
        <w:rPr>
          <w:rFonts w:ascii="Cambria" w:hAnsi="Cambria"/>
          <w:sz w:val="22"/>
        </w:rPr>
        <w:t>Higher education enables societies to cultivate critical thinkers, innovators, and ethical leaders who can contribute to achieving equitable and sustainable growth.</w:t>
      </w:r>
    </w:p>
    <w:p>
      <w:pPr>
        <w:pStyle w:val="ListBullet"/>
        <w:ind w:left="357"/>
        <w:jc w:val="both"/>
      </w:pPr>
      <w:r>
        <w:rPr>
          <w:rFonts w:ascii="Cambria" w:hAnsi="Cambria"/>
          <w:sz w:val="22"/>
        </w:rPr>
        <w:t>HEIs are uniquely positioned to integrate teaching, research, and community engagement in ways that promote sustainability, equality, and social justice.</w:t>
      </w:r>
    </w:p>
    <w:p>
      <w:pPr>
        <w:spacing w:before="240" w:after="120"/>
        <w:jc w:val="left"/>
      </w:pPr>
      <w:r>
        <w:rPr>
          <w:rFonts w:ascii="Cambria" w:hAnsi="Cambria"/>
          <w:b/>
          <w:color w:val="1F3A5F"/>
          <w:sz w:val="28"/>
        </w:rPr>
        <w:t>Relationship Between Higher Education and Gender Equality</w:t>
      </w:r>
    </w:p>
    <w:p>
      <w:pPr>
        <w:pStyle w:val="ListBullet"/>
        <w:ind w:left="357"/>
        <w:jc w:val="both"/>
      </w:pPr>
      <w:r>
        <w:rPr>
          <w:rFonts w:ascii="Cambria" w:hAnsi="Cambria"/>
          <w:sz w:val="22"/>
        </w:rPr>
        <w:t>There exists a positive correlation between higher education and gender equality, as education equips women with tools for empowerment, self-reliance, and leadership.</w:t>
      </w:r>
    </w:p>
    <w:p>
      <w:pPr>
        <w:pStyle w:val="ListBullet"/>
        <w:ind w:left="357"/>
        <w:jc w:val="both"/>
      </w:pPr>
      <w:r>
        <w:rPr>
          <w:rFonts w:ascii="Cambria" w:hAnsi="Cambria"/>
          <w:sz w:val="22"/>
        </w:rPr>
        <w:t>Access to higher education reduces women's economic dependency, enhances self-confidence, decision-making abilities, and leadership skills, and promotes critical thinking and self-efficacy.</w:t>
      </w:r>
    </w:p>
    <w:p>
      <w:pPr>
        <w:pStyle w:val="ListBullet"/>
        <w:ind w:left="357"/>
        <w:jc w:val="both"/>
      </w:pPr>
      <w:r>
        <w:rPr>
          <w:rFonts w:ascii="Cambria" w:hAnsi="Cambria"/>
          <w:sz w:val="22"/>
        </w:rPr>
        <w:t>Educated women are more likely to participate in public life, economic decision-making, and innovation ecosystems, thereby strengthening democratic governance and social progress.</w:t>
      </w:r>
    </w:p>
    <w:p>
      <w:pPr>
        <w:pStyle w:val="ListBullet"/>
        <w:ind w:left="357"/>
        <w:jc w:val="both"/>
      </w:pPr>
      <w:r>
        <w:rPr>
          <w:rFonts w:ascii="Cambria" w:hAnsi="Cambria"/>
          <w:sz w:val="22"/>
        </w:rPr>
        <w:t>Inclusion of women in higher education also contributes to diverse research perspectives, innovation, and more equitable institutional outcomes.</w:t>
      </w:r>
    </w:p>
    <w:p>
      <w:pPr>
        <w:spacing w:before="240" w:after="120"/>
        <w:jc w:val="left"/>
      </w:pPr>
      <w:r>
        <w:rPr>
          <w:rFonts w:ascii="Cambria" w:hAnsi="Cambria"/>
          <w:b/>
          <w:color w:val="1F3A5F"/>
          <w:sz w:val="28"/>
        </w:rPr>
        <w:t>Institutional Responsibility and Leadership Role of HEIs</w:t>
      </w:r>
    </w:p>
    <w:p>
      <w:pPr>
        <w:pStyle w:val="ListBullet"/>
        <w:ind w:left="357"/>
        <w:jc w:val="both"/>
      </w:pPr>
      <w:r>
        <w:rPr>
          <w:rFonts w:ascii="Cambria" w:hAnsi="Cambria"/>
          <w:sz w:val="22"/>
        </w:rPr>
        <w:t>HEIs hold a moral, academic, and social responsibility to not only educate but also empower and uplift women by closing gender gaps in admissions, employment, and leadership.</w:t>
      </w:r>
    </w:p>
    <w:p>
      <w:pPr>
        <w:pStyle w:val="ListBullet"/>
        <w:ind w:left="357"/>
        <w:jc w:val="both"/>
      </w:pPr>
      <w:r>
        <w:rPr>
          <w:rFonts w:ascii="Cambria" w:hAnsi="Cambria"/>
          <w:sz w:val="22"/>
        </w:rPr>
        <w:t>Institutions must develop and implement gender-inclusive leadership models that encourage women's participation in governance, administration, and academia.</w:t>
      </w:r>
    </w:p>
    <w:p>
      <w:pPr>
        <w:pStyle w:val="ListBullet"/>
        <w:ind w:left="357"/>
        <w:jc w:val="both"/>
      </w:pPr>
      <w:r>
        <w:rPr>
          <w:rFonts w:ascii="Cambria" w:hAnsi="Cambria"/>
          <w:sz w:val="22"/>
        </w:rPr>
        <w:t>HEIs should foster environments that provide equal access to education, scholarships, mentorship, and career advancement opportunities.</w:t>
      </w:r>
    </w:p>
    <w:p>
      <w:pPr>
        <w:pStyle w:val="ListBullet"/>
        <w:ind w:left="357"/>
        <w:jc w:val="both"/>
      </w:pPr>
      <w:r>
        <w:rPr>
          <w:rFonts w:ascii="Cambria" w:hAnsi="Cambria"/>
          <w:sz w:val="22"/>
        </w:rPr>
        <w:t>Gender equality initiatives must extend beyond symbolic actions to become part of institutional strategic planning, policies, and quality assurance frameworks.</w:t>
      </w:r>
    </w:p>
    <w:p>
      <w:pPr>
        <w:pStyle w:val="ListBullet"/>
        <w:ind w:left="357"/>
        <w:jc w:val="both"/>
      </w:pPr>
      <w:r>
        <w:rPr>
          <w:rFonts w:ascii="Cambria" w:hAnsi="Cambria"/>
          <w:sz w:val="22"/>
        </w:rPr>
        <w:t>The goal is to cultivate a new generation of leaders and professionals who champion inclusivity, fairness, and equity at global, national, and local levels.</w:t>
      </w:r>
    </w:p>
    <w:p>
      <w:pPr>
        <w:spacing w:before="240" w:after="120"/>
        <w:jc w:val="left"/>
      </w:pPr>
      <w:r>
        <w:rPr>
          <w:rFonts w:ascii="Cambria" w:hAnsi="Cambria"/>
          <w:b/>
          <w:color w:val="1F3A5F"/>
          <w:sz w:val="28"/>
        </w:rPr>
        <w:t>Key Institutional Interventions for Promoting SDG-5</w:t>
      </w:r>
    </w:p>
    <w:p>
      <w:pPr>
        <w:pStyle w:val="ListBullet"/>
        <w:ind w:left="357"/>
        <w:jc w:val="both"/>
      </w:pPr>
      <w:r>
        <w:rPr>
          <w:rFonts w:ascii="Cambria" w:hAnsi="Cambria"/>
          <w:b/>
          <w:sz w:val="22"/>
        </w:rPr>
        <w:t xml:space="preserve">Policy Integration: </w:t>
      </w:r>
      <w:r>
        <w:rPr>
          <w:rFonts w:ascii="Cambria" w:hAnsi="Cambria"/>
          <w:sz w:val="22"/>
        </w:rPr>
        <w:t>Embed gender equality objectives in institutional policies, curricula, and campus governance.</w:t>
      </w:r>
    </w:p>
    <w:p>
      <w:pPr>
        <w:pStyle w:val="ListBullet"/>
        <w:ind w:left="357"/>
        <w:jc w:val="both"/>
      </w:pPr>
      <w:r>
        <w:rPr>
          <w:rFonts w:ascii="Cambria" w:hAnsi="Cambria"/>
          <w:b/>
          <w:sz w:val="22"/>
        </w:rPr>
        <w:t xml:space="preserve">Capacity Building: </w:t>
      </w:r>
      <w:r>
        <w:rPr>
          <w:rFonts w:ascii="Cambria" w:hAnsi="Cambria"/>
          <w:sz w:val="22"/>
        </w:rPr>
        <w:t>Conduct training and mentorship programs that enhance women's participation in leadership and research.</w:t>
      </w:r>
    </w:p>
    <w:p>
      <w:pPr>
        <w:pStyle w:val="ListBullet"/>
        <w:ind w:left="357"/>
        <w:jc w:val="both"/>
      </w:pPr>
      <w:r>
        <w:rPr>
          <w:rFonts w:ascii="Cambria" w:hAnsi="Cambria"/>
          <w:b/>
          <w:sz w:val="22"/>
        </w:rPr>
        <w:t xml:space="preserve">Inclusive Infrastructure: </w:t>
      </w:r>
      <w:r>
        <w:rPr>
          <w:rFonts w:ascii="Cambria" w:hAnsi="Cambria"/>
          <w:sz w:val="22"/>
        </w:rPr>
        <w:t>Ensure safe, accessible, and gender-sensitive facilities that support the well-being of all genders.</w:t>
      </w:r>
    </w:p>
    <w:p>
      <w:pPr>
        <w:pStyle w:val="ListBullet"/>
        <w:ind w:left="357"/>
        <w:jc w:val="both"/>
      </w:pPr>
      <w:r>
        <w:rPr>
          <w:rFonts w:ascii="Cambria" w:hAnsi="Cambria"/>
          <w:b/>
          <w:sz w:val="22"/>
        </w:rPr>
        <w:t xml:space="preserve">Research and Innovation: </w:t>
      </w:r>
      <w:r>
        <w:rPr>
          <w:rFonts w:ascii="Cambria" w:hAnsi="Cambria"/>
          <w:sz w:val="22"/>
        </w:rPr>
        <w:t>Promote research on gender studies, women's health, entrepreneurship, and leadership.</w:t>
      </w:r>
    </w:p>
    <w:p>
      <w:pPr>
        <w:pStyle w:val="ListBullet"/>
        <w:ind w:left="357"/>
        <w:jc w:val="both"/>
      </w:pPr>
      <w:r>
        <w:rPr>
          <w:rFonts w:ascii="Cambria" w:hAnsi="Cambria"/>
          <w:b/>
          <w:sz w:val="22"/>
        </w:rPr>
        <w:t xml:space="preserve">Community Engagement: </w:t>
      </w:r>
      <w:r>
        <w:rPr>
          <w:rFonts w:ascii="Cambria" w:hAnsi="Cambria"/>
          <w:sz w:val="22"/>
        </w:rPr>
        <w:t>Collaborate with local communities to raise awareness about gender rights, violence prevention, and women's education.</w:t>
      </w:r>
    </w:p>
    <w:p>
      <w:pPr>
        <w:pStyle w:val="ListBullet"/>
        <w:ind w:left="357"/>
        <w:jc w:val="both"/>
      </w:pPr>
      <w:r>
        <w:rPr>
          <w:rFonts w:ascii="Cambria" w:hAnsi="Cambria"/>
          <w:b/>
          <w:sz w:val="22"/>
        </w:rPr>
        <w:t xml:space="preserve">Monitoring and Evaluation: </w:t>
      </w:r>
      <w:r>
        <w:rPr>
          <w:rFonts w:ascii="Cambria" w:hAnsi="Cambria"/>
          <w:sz w:val="22"/>
        </w:rPr>
        <w:t>Implement gender audits, track progress, and publish reports on equity measures in alignment with NAAC and UGC frameworks.</w:t>
      </w:r>
    </w:p>
    <w:p>
      <w:pPr>
        <w:spacing w:before="240" w:after="120"/>
        <w:jc w:val="left"/>
      </w:pPr>
      <w:r>
        <w:rPr>
          <w:rFonts w:ascii="Cambria" w:hAnsi="Cambria"/>
          <w:b/>
          <w:color w:val="1F3A5F"/>
          <w:sz w:val="28"/>
        </w:rPr>
        <w:t>Academic Perspective (Nilsson, 2018)</w:t>
      </w:r>
    </w:p>
    <w:p>
      <w:pPr>
        <w:pStyle w:val="ListBullet"/>
        <w:ind w:left="357"/>
        <w:jc w:val="both"/>
      </w:pPr>
      <w:r>
        <w:rPr>
          <w:rFonts w:ascii="Cambria" w:hAnsi="Cambria"/>
          <w:sz w:val="22"/>
        </w:rPr>
        <w:t>As stated by Nilsson (2018), higher education institutions have a dual responsibility — to train future leaders and to drive societal transformation by fostering inclusivity and reducing gender disparities.</w:t>
      </w:r>
    </w:p>
    <w:p>
      <w:pPr>
        <w:pStyle w:val="ListBullet"/>
        <w:ind w:left="357"/>
        <w:jc w:val="both"/>
      </w:pPr>
      <w:r>
        <w:rPr>
          <w:rFonts w:ascii="Cambria" w:hAnsi="Cambria"/>
          <w:sz w:val="22"/>
        </w:rPr>
        <w:t>HEIs must serve as role models for equitable practices, ensuring that their institutional culture reflects the principles of equality, respect, and diversity.</w:t>
      </w:r>
    </w:p>
    <w:p>
      <w:pPr>
        <w:pStyle w:val="ListBullet"/>
        <w:ind w:left="357"/>
        <w:jc w:val="both"/>
      </w:pPr>
      <w:r>
        <w:rPr>
          <w:rFonts w:ascii="Cambria" w:hAnsi="Cambria"/>
          <w:sz w:val="22"/>
        </w:rPr>
        <w:t>The integration of gender inclusivity into curriculum design, institutional policies, and governance frameworks can significantly accelerate progress toward SDG-5.</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The role of HEIs in achieving gender equality extends beyond education—it is about transforming mindsets, policies, and practices.</w:t>
      </w:r>
    </w:p>
    <w:p>
      <w:pPr>
        <w:spacing w:after="120"/>
        <w:jc w:val="both"/>
      </w:pPr>
      <w:r>
        <w:rPr>
          <w:rFonts w:ascii="Cambria" w:hAnsi="Cambria"/>
          <w:b w:val="0"/>
          <w:i w:val="0"/>
          <w:sz w:val="22"/>
        </w:rPr>
        <w:t>By ensuring equal access, nurturing leadership, and promoting inclusivity, HEIs become agents of social reform and sustainable development.</w:t>
      </w:r>
    </w:p>
    <w:p>
      <w:pPr>
        <w:spacing w:after="120"/>
        <w:jc w:val="both"/>
      </w:pPr>
      <w:r>
        <w:rPr>
          <w:rFonts w:ascii="Cambria" w:hAnsi="Cambria"/>
          <w:b w:val="0"/>
          <w:i w:val="0"/>
          <w:sz w:val="22"/>
        </w:rPr>
        <w:t>Gender equality in higher education is not just an ethical obligation but a strategic investment toward building peaceful, just, and prosperous societies.</w:t>
      </w:r>
    </w:p>
    <w:p>
      <w:pPr>
        <w:spacing w:after="120"/>
        <w:jc w:val="both"/>
      </w:pPr>
      <w:r>
        <w:rPr>
          <w:rFonts w:ascii="Cambria" w:hAnsi="Cambria"/>
          <w:b w:val="0"/>
          <w:i w:val="0"/>
          <w:sz w:val="22"/>
        </w:rPr>
        <w:t>Therefore, HEIs must take an active stance in bridging gender gaps, empowering women, and fostering educational environments that contribute holistically to the achievement of the United Nations' Sustainable Development Goals.</w:t>
      </w:r>
    </w:p>
    <w:p>
      <w:pPr>
        <w:spacing w:before="280" w:after="160"/>
        <w:jc w:val="left"/>
      </w:pPr>
      <w:r>
        <w:rPr>
          <w:rFonts w:ascii="Cambria" w:hAnsi="Cambria"/>
          <w:b/>
          <w:color w:val="1F3A5F"/>
          <w:sz w:val="32"/>
        </w:rPr>
        <w:t>25. Policy Reforms in Higher Education Institutions (HEIs) for Promoting Gender Equality and Women's Participation</w:t>
      </w:r>
    </w:p>
    <w:p>
      <w:pPr>
        <w:spacing w:before="240" w:after="120"/>
        <w:jc w:val="left"/>
      </w:pPr>
      <w:r>
        <w:rPr>
          <w:rFonts w:ascii="Cambria" w:hAnsi="Cambria"/>
          <w:b/>
          <w:color w:val="1F3A5F"/>
          <w:sz w:val="28"/>
        </w:rPr>
        <w:t>1. Revisiting Institutional Policies for Gender Inclusivity</w:t>
      </w:r>
    </w:p>
    <w:p>
      <w:pPr>
        <w:pStyle w:val="ListBullet"/>
        <w:ind w:left="357"/>
        <w:jc w:val="both"/>
      </w:pPr>
      <w:r>
        <w:rPr>
          <w:rFonts w:ascii="Cambria" w:hAnsi="Cambria"/>
          <w:sz w:val="22"/>
        </w:rPr>
        <w:t>Higher Education Institutions (HEIs) must review and reform their existing policies to ensure that they provide an enabling and supportive environment for female students to continue and succeed in higher education.</w:t>
      </w:r>
    </w:p>
    <w:p>
      <w:pPr>
        <w:pStyle w:val="ListBullet"/>
        <w:ind w:left="357"/>
        <w:jc w:val="both"/>
      </w:pPr>
      <w:r>
        <w:rPr>
          <w:rFonts w:ascii="Cambria" w:hAnsi="Cambria"/>
          <w:sz w:val="22"/>
        </w:rPr>
        <w:t>Institutional frameworks should integrate gender-responsive measures such as scholarships, mentorship programs, flexible attendance policies, and campus safety mechanisms to address barriers faced by women.</w:t>
      </w:r>
    </w:p>
    <w:p>
      <w:pPr>
        <w:pStyle w:val="ListBullet"/>
        <w:ind w:left="357"/>
        <w:jc w:val="both"/>
      </w:pPr>
      <w:r>
        <w:rPr>
          <w:rFonts w:ascii="Cambria" w:hAnsi="Cambria"/>
          <w:sz w:val="22"/>
        </w:rPr>
        <w:t>HEIs must develop comprehensive gender equity policies that focus on the entire student lifecycle — from admission to graduation and employment.</w:t>
      </w:r>
    </w:p>
    <w:p>
      <w:pPr>
        <w:pStyle w:val="ListBullet"/>
        <w:ind w:left="357"/>
        <w:jc w:val="both"/>
      </w:pPr>
      <w:r>
        <w:rPr>
          <w:rFonts w:ascii="Cambria" w:hAnsi="Cambria"/>
          <w:sz w:val="22"/>
        </w:rPr>
        <w:t>Creating a student-friendly ecosystem that includes academic counselling, career guidance, and mental health support can significantly reduce dropout rates among female students.</w:t>
      </w:r>
    </w:p>
    <w:p>
      <w:pPr>
        <w:pStyle w:val="ListBullet"/>
        <w:ind w:left="357"/>
        <w:jc w:val="both"/>
      </w:pPr>
      <w:r>
        <w:rPr>
          <w:rFonts w:ascii="Cambria" w:hAnsi="Cambria"/>
          <w:sz w:val="22"/>
        </w:rPr>
        <w:t>Institutional Quality Assurance Cells (IQAC) should include gender inclusivity indicators as part of their performance metrics to ensure continuous monitoring and improvement.</w:t>
      </w:r>
    </w:p>
    <w:p>
      <w:pPr>
        <w:spacing w:before="240" w:after="120"/>
        <w:jc w:val="left"/>
      </w:pPr>
      <w:r>
        <w:rPr>
          <w:rFonts w:ascii="Cambria" w:hAnsi="Cambria"/>
          <w:b/>
          <w:color w:val="1F3A5F"/>
          <w:sz w:val="28"/>
        </w:rPr>
        <w:t>2. Recognizing Higher Education as a Right under the Broader Framework of Education</w:t>
      </w:r>
    </w:p>
    <w:p>
      <w:pPr>
        <w:pStyle w:val="ListBullet"/>
        <w:ind w:left="357"/>
        <w:jc w:val="both"/>
      </w:pPr>
      <w:r>
        <w:rPr>
          <w:rFonts w:ascii="Cambria" w:hAnsi="Cambria"/>
          <w:sz w:val="22"/>
        </w:rPr>
        <w:t>The Right to Education (RTE) should not be limited to primary and secondary education but should be expanded to encompass higher education as an essential right for all.</w:t>
      </w:r>
    </w:p>
    <w:p>
      <w:pPr>
        <w:pStyle w:val="ListBullet"/>
        <w:ind w:left="357"/>
        <w:jc w:val="both"/>
      </w:pPr>
      <w:r>
        <w:rPr>
          <w:rFonts w:ascii="Cambria" w:hAnsi="Cambria"/>
          <w:sz w:val="22"/>
        </w:rPr>
        <w:t>Making higher education free or subsidized for girls, particularly from economically weaker sections, can dramatically improve enrollment, retention, and completion rates.</w:t>
      </w:r>
    </w:p>
    <w:p>
      <w:pPr>
        <w:pStyle w:val="ListBullet"/>
        <w:ind w:left="357"/>
        <w:jc w:val="both"/>
      </w:pPr>
      <w:r>
        <w:rPr>
          <w:rFonts w:ascii="Cambria" w:hAnsi="Cambria"/>
          <w:sz w:val="22"/>
        </w:rPr>
        <w:t>Free or affordable access to degree programs promotes social equity, empowerment, and social mobility among women who otherwise face financial constraints.</w:t>
      </w:r>
    </w:p>
    <w:p>
      <w:pPr>
        <w:pStyle w:val="ListBullet"/>
        <w:ind w:left="357"/>
        <w:jc w:val="both"/>
      </w:pPr>
      <w:r>
        <w:rPr>
          <w:rFonts w:ascii="Cambria" w:hAnsi="Cambria"/>
          <w:sz w:val="22"/>
        </w:rPr>
        <w:t>HEIs, with government support, can introduce fee waivers, stipends, or tuition reimbursements for female students pursuing undergraduate and postgraduate degrees.</w:t>
      </w:r>
    </w:p>
    <w:p>
      <w:pPr>
        <w:pStyle w:val="ListBullet"/>
        <w:ind w:left="357"/>
        <w:jc w:val="both"/>
      </w:pPr>
      <w:r>
        <w:rPr>
          <w:rFonts w:ascii="Cambria" w:hAnsi="Cambria"/>
          <w:sz w:val="22"/>
        </w:rPr>
        <w:t>Recognizing higher education as a fundamental right aligns with the vision of SDG-4 (Quality Education) and SDG-5 (Gender Equality), ensuring that education becomes an instrument of empowerment rather than privilege.</w:t>
      </w:r>
    </w:p>
    <w:p>
      <w:pPr>
        <w:spacing w:before="240" w:after="120"/>
        <w:jc w:val="left"/>
      </w:pPr>
      <w:r>
        <w:rPr>
          <w:rFonts w:ascii="Cambria" w:hAnsi="Cambria"/>
          <w:b/>
          <w:color w:val="1F3A5F"/>
          <w:sz w:val="28"/>
        </w:rPr>
        <w:t>3. Ensuring Equal Access to Career and Skill Development Opportunities</w:t>
      </w:r>
    </w:p>
    <w:p>
      <w:pPr>
        <w:pStyle w:val="ListBullet"/>
        <w:ind w:left="357"/>
        <w:jc w:val="both"/>
      </w:pPr>
      <w:r>
        <w:rPr>
          <w:rFonts w:ascii="Cambria" w:hAnsi="Cambria"/>
          <w:sz w:val="22"/>
        </w:rPr>
        <w:t>Equal access to career development, vocational training, and skill enhancement programs is crucial for motivating girls to pursue and sustain higher education.</w:t>
      </w:r>
    </w:p>
    <w:p>
      <w:pPr>
        <w:pStyle w:val="ListBullet"/>
        <w:ind w:left="357"/>
        <w:jc w:val="both"/>
      </w:pPr>
      <w:r>
        <w:rPr>
          <w:rFonts w:ascii="Cambria" w:hAnsi="Cambria"/>
          <w:sz w:val="22"/>
        </w:rPr>
        <w:t>HEIs should collaborate with industry partners, skill councils, and government schemes such as Skill India, Nai Manzil, and Udaan to provide gender-inclusive opportunities.</w:t>
      </w:r>
    </w:p>
    <w:p>
      <w:pPr>
        <w:pStyle w:val="ListBullet"/>
        <w:ind w:left="357"/>
        <w:jc w:val="both"/>
      </w:pPr>
      <w:r>
        <w:rPr>
          <w:rFonts w:ascii="Cambria" w:hAnsi="Cambria"/>
          <w:sz w:val="22"/>
        </w:rPr>
        <w:t>Establish on-campus skill and innovation hubs that promote women's participation in entrepreneurship, research, technology, and creative industries.</w:t>
      </w:r>
    </w:p>
    <w:p>
      <w:pPr>
        <w:pStyle w:val="ListBullet"/>
        <w:ind w:left="357"/>
        <w:jc w:val="both"/>
      </w:pPr>
      <w:r>
        <w:rPr>
          <w:rFonts w:ascii="Cambria" w:hAnsi="Cambria"/>
          <w:sz w:val="22"/>
        </w:rPr>
        <w:t>Conduct career counselling sessions, internships, and placement drives specifically designed to address the career aspirations and challenges faced by women.</w:t>
      </w:r>
    </w:p>
    <w:p>
      <w:pPr>
        <w:pStyle w:val="ListBullet"/>
        <w:ind w:left="357"/>
        <w:jc w:val="both"/>
      </w:pPr>
      <w:r>
        <w:rPr>
          <w:rFonts w:ascii="Cambria" w:hAnsi="Cambria"/>
          <w:sz w:val="22"/>
        </w:rPr>
        <w:t>Promote equal representation in STEM disciplines through targeted initiatives like coding workshops, innovation challenges, and mentorship by women professionals.</w:t>
      </w:r>
    </w:p>
    <w:p>
      <w:pPr>
        <w:pStyle w:val="ListBullet"/>
        <w:ind w:left="357"/>
        <w:jc w:val="both"/>
      </w:pPr>
      <w:r>
        <w:rPr>
          <w:rFonts w:ascii="Cambria" w:hAnsi="Cambria"/>
          <w:sz w:val="22"/>
        </w:rPr>
        <w:t>Institutions should create gender-neutral recruitment and promotion frameworks ensuring fair opportunities for women faculty and staff as well.</w:t>
      </w:r>
    </w:p>
    <w:p>
      <w:pPr>
        <w:spacing w:before="240" w:after="120"/>
        <w:jc w:val="left"/>
      </w:pPr>
      <w:r>
        <w:rPr>
          <w:rFonts w:ascii="Cambria" w:hAnsi="Cambria"/>
          <w:b/>
          <w:color w:val="1F3A5F"/>
          <w:sz w:val="28"/>
        </w:rPr>
        <w:t>4. Addressing Socio-Economic Barriers to Women's Higher Education</w:t>
      </w:r>
    </w:p>
    <w:p>
      <w:pPr>
        <w:pStyle w:val="ListBullet"/>
        <w:ind w:left="357"/>
        <w:jc w:val="both"/>
      </w:pPr>
      <w:r>
        <w:rPr>
          <w:rFonts w:ascii="Cambria" w:hAnsi="Cambria"/>
          <w:sz w:val="22"/>
        </w:rPr>
        <w:t>Persistent poverty, social norms, and family responsibilities often discourage girls from continuing higher education.</w:t>
      </w:r>
    </w:p>
    <w:p>
      <w:pPr>
        <w:pStyle w:val="ListBullet"/>
        <w:ind w:left="357"/>
        <w:jc w:val="both"/>
      </w:pPr>
      <w:r>
        <w:rPr>
          <w:rFonts w:ascii="Cambria" w:hAnsi="Cambria"/>
          <w:sz w:val="22"/>
        </w:rPr>
        <w:t>To overcome these challenges, HEIs and governments must jointly implement financial assistance programs, hostel facilities, safe transport, and childcare support for women learners.</w:t>
      </w:r>
    </w:p>
    <w:p>
      <w:pPr>
        <w:pStyle w:val="ListBullet"/>
        <w:ind w:left="357"/>
        <w:jc w:val="both"/>
      </w:pPr>
      <w:r>
        <w:rPr>
          <w:rFonts w:ascii="Cambria" w:hAnsi="Cambria"/>
          <w:sz w:val="22"/>
        </w:rPr>
        <w:t>Awareness campaigns targeting rural and marginalized communities should emphasize the long-term social and economic value of women's education.</w:t>
      </w:r>
    </w:p>
    <w:p>
      <w:pPr>
        <w:pStyle w:val="ListBullet"/>
        <w:ind w:left="357"/>
        <w:jc w:val="both"/>
      </w:pPr>
      <w:r>
        <w:rPr>
          <w:rFonts w:ascii="Cambria" w:hAnsi="Cambria"/>
          <w:sz w:val="22"/>
        </w:rPr>
        <w:t>Encouraging families to invest in girls' education can be achieved by showcasing successful women alumni and role models from similar backgrounds.</w:t>
      </w:r>
    </w:p>
    <w:p>
      <w:pPr>
        <w:spacing w:before="240" w:after="120"/>
        <w:jc w:val="left"/>
      </w:pPr>
      <w:r>
        <w:rPr>
          <w:rFonts w:ascii="Cambria" w:hAnsi="Cambria"/>
          <w:b/>
          <w:color w:val="1F3A5F"/>
          <w:sz w:val="28"/>
        </w:rPr>
        <w:t>5. Institutional and National Alignment</w:t>
      </w:r>
    </w:p>
    <w:p>
      <w:pPr>
        <w:pStyle w:val="ListBullet"/>
        <w:ind w:left="357"/>
        <w:jc w:val="both"/>
      </w:pPr>
      <w:r>
        <w:rPr>
          <w:rFonts w:ascii="Cambria" w:hAnsi="Cambria"/>
          <w:sz w:val="22"/>
        </w:rPr>
        <w:t>These reforms require close coordination between HEIs, the University Grants Commission (UGC), AICTE, and the Ministry of Education.</w:t>
      </w:r>
    </w:p>
    <w:p>
      <w:pPr>
        <w:pStyle w:val="ListBullet"/>
        <w:ind w:left="357"/>
        <w:jc w:val="both"/>
      </w:pPr>
      <w:r>
        <w:rPr>
          <w:rFonts w:ascii="Cambria" w:hAnsi="Cambria"/>
          <w:sz w:val="22"/>
        </w:rPr>
        <w:t>Policies should be aligned with national frameworks such as the National Education Policy (NEP) 2020, which advocates equity, inclusion, and lifelong learning opportunities.</w:t>
      </w:r>
    </w:p>
    <w:p>
      <w:pPr>
        <w:pStyle w:val="ListBullet"/>
        <w:ind w:left="357"/>
        <w:jc w:val="both"/>
      </w:pPr>
      <w:r>
        <w:rPr>
          <w:rFonts w:ascii="Cambria" w:hAnsi="Cambria"/>
          <w:sz w:val="22"/>
        </w:rPr>
        <w:t>Periodic gender audits, feedback systems, and reporting mechanisms should be implemented to measure progress and ensure accountability.</w:t>
      </w:r>
    </w:p>
    <w:p>
      <w:pPr>
        <w:spacing w:before="240" w:after="120"/>
        <w:jc w:val="left"/>
      </w:pPr>
      <w:r>
        <w:rPr>
          <w:rFonts w:ascii="Cambria" w:hAnsi="Cambria"/>
          <w:b/>
          <w:color w:val="1F3A5F"/>
          <w:sz w:val="28"/>
        </w:rPr>
        <w:t>6. Expected Outcomes</w:t>
      </w:r>
    </w:p>
    <w:p>
      <w:pPr>
        <w:pStyle w:val="ListBullet"/>
        <w:ind w:left="357"/>
        <w:jc w:val="both"/>
      </w:pPr>
      <w:r>
        <w:rPr>
          <w:rFonts w:ascii="Cambria" w:hAnsi="Cambria"/>
          <w:sz w:val="22"/>
        </w:rPr>
        <w:t>Increased retention and graduation rates among women in higher education.</w:t>
      </w:r>
    </w:p>
    <w:p>
      <w:pPr>
        <w:pStyle w:val="ListBullet"/>
        <w:ind w:left="357"/>
        <w:jc w:val="both"/>
      </w:pPr>
      <w:r>
        <w:rPr>
          <w:rFonts w:ascii="Cambria" w:hAnsi="Cambria"/>
          <w:sz w:val="22"/>
        </w:rPr>
        <w:t>Enhanced participation of women in STEM, research, entrepreneurship, and leadership roles.</w:t>
      </w:r>
    </w:p>
    <w:p>
      <w:pPr>
        <w:pStyle w:val="ListBullet"/>
        <w:ind w:left="357"/>
        <w:jc w:val="both"/>
      </w:pPr>
      <w:r>
        <w:rPr>
          <w:rFonts w:ascii="Cambria" w:hAnsi="Cambria"/>
          <w:sz w:val="22"/>
        </w:rPr>
        <w:t>Reduction of the gender gap in employment and income generation.</w:t>
      </w:r>
    </w:p>
    <w:p>
      <w:pPr>
        <w:pStyle w:val="ListBullet"/>
        <w:ind w:left="357"/>
        <w:jc w:val="both"/>
      </w:pPr>
      <w:r>
        <w:rPr>
          <w:rFonts w:ascii="Cambria" w:hAnsi="Cambria"/>
          <w:sz w:val="22"/>
        </w:rPr>
        <w:t>Strengthening of women's self-reliance, decision-making abilities, and leadership potential.</w:t>
      </w:r>
    </w:p>
    <w:p>
      <w:pPr>
        <w:pStyle w:val="ListBullet"/>
        <w:ind w:left="357"/>
        <w:jc w:val="both"/>
      </w:pPr>
      <w:r>
        <w:rPr>
          <w:rFonts w:ascii="Cambria" w:hAnsi="Cambria"/>
          <w:sz w:val="22"/>
        </w:rPr>
        <w:t>Contribution to national goals of inclusive growth, gender justice, and sustainable development.</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For India to realize the full potential of its demographic dividend, gender equality in higher education must be a policy priority.</w:t>
      </w:r>
    </w:p>
    <w:p>
      <w:pPr>
        <w:spacing w:after="120"/>
        <w:jc w:val="both"/>
      </w:pPr>
      <w:r>
        <w:rPr>
          <w:rFonts w:ascii="Cambria" w:hAnsi="Cambria"/>
          <w:b w:val="0"/>
          <w:i w:val="0"/>
          <w:sz w:val="22"/>
        </w:rPr>
        <w:t>HEIs, by revisiting policies, ensuring free and inclusive access, and providing equal career opportunities, can transform education into a powerful tool for empowerment and social equity.</w:t>
      </w:r>
    </w:p>
    <w:p>
      <w:pPr>
        <w:spacing w:after="120"/>
        <w:jc w:val="both"/>
      </w:pPr>
      <w:r>
        <w:rPr>
          <w:rFonts w:ascii="Cambria" w:hAnsi="Cambria"/>
          <w:b w:val="0"/>
          <w:i w:val="0"/>
          <w:sz w:val="22"/>
        </w:rPr>
        <w:t>These collective measures will ensure that every girl perceives higher education not as a privilege but as a rightful, attainable, and empowering pathway toward personal growth and national progress.</w:t>
      </w:r>
    </w:p>
    <w:p>
      <w:pPr>
        <w:spacing w:before="280" w:after="160"/>
        <w:jc w:val="left"/>
      </w:pPr>
      <w:r>
        <w:rPr>
          <w:rFonts w:ascii="Cambria" w:hAnsi="Cambria"/>
          <w:b/>
          <w:color w:val="1F3A5F"/>
          <w:sz w:val="32"/>
        </w:rPr>
        <w:t>26. Feminist Strategic Alliances and the Need for Regulatory Enforcement of Gender Equality in HEIs</w:t>
      </w:r>
    </w:p>
    <w:p>
      <w:pPr>
        <w:spacing w:before="240" w:after="120"/>
        <w:jc w:val="left"/>
      </w:pPr>
      <w:r>
        <w:rPr>
          <w:rFonts w:ascii="Cambria" w:hAnsi="Cambria"/>
          <w:b/>
          <w:color w:val="1F3A5F"/>
          <w:sz w:val="28"/>
        </w:rPr>
        <w:t>1. Concept of Feminist Strategic Alliances in Higher Education</w:t>
      </w:r>
    </w:p>
    <w:p>
      <w:pPr>
        <w:pStyle w:val="ListBullet"/>
        <w:ind w:left="357"/>
        <w:jc w:val="both"/>
      </w:pPr>
      <w:r>
        <w:rPr>
          <w:rFonts w:ascii="Cambria" w:hAnsi="Cambria"/>
          <w:sz w:val="22"/>
        </w:rPr>
        <w:t>Higher Education Institutions (HEIs) have increasingly begun adopting “feminist strategic alliances” — collaborative frameworks that promote gender equity through collective advocacy, capacity building, and institutional reform.</w:t>
      </w:r>
    </w:p>
    <w:p>
      <w:pPr>
        <w:pStyle w:val="ListBullet"/>
        <w:ind w:left="357"/>
        <w:jc w:val="both"/>
      </w:pPr>
      <w:r>
        <w:rPr>
          <w:rFonts w:ascii="Cambria" w:hAnsi="Cambria"/>
          <w:sz w:val="22"/>
        </w:rPr>
        <w:t>As noted by Bustelo (2017) and Mazur (2017), these alliances seek to transform academic structures by integrating gender-sensitive pedagogy, research, and leadership practices.</w:t>
      </w:r>
    </w:p>
    <w:p>
      <w:pPr>
        <w:pStyle w:val="ListBullet"/>
        <w:ind w:left="357"/>
        <w:jc w:val="both"/>
      </w:pPr>
      <w:r>
        <w:rPr>
          <w:rFonts w:ascii="Cambria" w:hAnsi="Cambria"/>
          <w:sz w:val="22"/>
        </w:rPr>
        <w:t>The objective is to develop gender-blind knowledge, skills, and competencies — meaning knowledge creation and dissemination processes that are free from gender bias or exclusionary perspectives.</w:t>
      </w:r>
    </w:p>
    <w:p>
      <w:pPr>
        <w:pStyle w:val="ListBullet"/>
        <w:ind w:left="357"/>
        <w:jc w:val="both"/>
      </w:pPr>
      <w:r>
        <w:rPr>
          <w:rFonts w:ascii="Cambria" w:hAnsi="Cambria"/>
          <w:sz w:val="22"/>
        </w:rPr>
        <w:t>Such alliances foster interdisciplinary cooperation among faculty, administrators, and students to address gender inequality through academic and policy innovation.</w:t>
      </w:r>
    </w:p>
    <w:p>
      <w:pPr>
        <w:spacing w:before="240" w:after="120"/>
        <w:jc w:val="left"/>
      </w:pPr>
      <w:r>
        <w:rPr>
          <w:rFonts w:ascii="Cambria" w:hAnsi="Cambria"/>
          <w:b/>
          <w:color w:val="1F3A5F"/>
          <w:sz w:val="28"/>
        </w:rPr>
        <w:t>2. Significance of Feminist Strategic Alliances</w:t>
      </w:r>
    </w:p>
    <w:p>
      <w:pPr>
        <w:pStyle w:val="ListBullet"/>
        <w:ind w:left="357"/>
        <w:jc w:val="both"/>
      </w:pPr>
      <w:r>
        <w:rPr>
          <w:rFonts w:ascii="Cambria" w:hAnsi="Cambria"/>
          <w:sz w:val="22"/>
        </w:rPr>
        <w:t>These alliances promote inclusive academic cultures, ensuring that women's experiences and contributions are valued across teaching, research, and governance.</w:t>
      </w:r>
    </w:p>
    <w:p>
      <w:pPr>
        <w:pStyle w:val="ListBullet"/>
        <w:ind w:left="357"/>
        <w:jc w:val="both"/>
      </w:pPr>
      <w:r>
        <w:rPr>
          <w:rFonts w:ascii="Cambria" w:hAnsi="Cambria"/>
          <w:sz w:val="22"/>
        </w:rPr>
        <w:t>They challenge structural and cultural barriers in academia — such as gender stereotyping, unequal pay, and underrepresentation in leadership positions.</w:t>
      </w:r>
    </w:p>
    <w:p>
      <w:pPr>
        <w:pStyle w:val="ListBullet"/>
        <w:ind w:left="357"/>
        <w:jc w:val="both"/>
      </w:pPr>
      <w:r>
        <w:rPr>
          <w:rFonts w:ascii="Cambria" w:hAnsi="Cambria"/>
          <w:sz w:val="22"/>
        </w:rPr>
        <w:t>By encouraging collaboration over competition, feminist alliances help create safer, more empowering spaces for women and marginalized genders.</w:t>
      </w:r>
    </w:p>
    <w:p>
      <w:pPr>
        <w:pStyle w:val="ListBullet"/>
        <w:ind w:left="357"/>
        <w:jc w:val="both"/>
      </w:pPr>
      <w:r>
        <w:rPr>
          <w:rFonts w:ascii="Cambria" w:hAnsi="Cambria"/>
          <w:sz w:val="22"/>
        </w:rPr>
        <w:t>They contribute directly to SDG-5 (Gender Equality) by aligning academic missions with the global agenda for empowerment, equity, and fairness.</w:t>
      </w:r>
    </w:p>
    <w:p>
      <w:pPr>
        <w:spacing w:before="240" w:after="120"/>
        <w:jc w:val="left"/>
      </w:pPr>
      <w:r>
        <w:rPr>
          <w:rFonts w:ascii="Cambria" w:hAnsi="Cambria"/>
          <w:b/>
          <w:color w:val="1F3A5F"/>
          <w:sz w:val="28"/>
        </w:rPr>
        <w:t>3. The Need for Regulatory Mandates for Gender Equality Action Plans</w:t>
      </w:r>
    </w:p>
    <w:p>
      <w:pPr>
        <w:pStyle w:val="ListBullet"/>
        <w:ind w:left="357"/>
        <w:jc w:val="both"/>
      </w:pPr>
      <w:r>
        <w:rPr>
          <w:rFonts w:ascii="Cambria" w:hAnsi="Cambria"/>
          <w:sz w:val="22"/>
        </w:rPr>
        <w:t>As emphasized by Verge, Ferrer-Fons, and González (2018), voluntary institutional initiatives are not sufficient — central governments must mandate HEIs to adopt and implement Gender Equality Action Plans (GEAPs).</w:t>
      </w:r>
    </w:p>
    <w:p>
      <w:pPr>
        <w:pStyle w:val="ListBullet"/>
        <w:ind w:left="357"/>
        <w:jc w:val="both"/>
      </w:pPr>
      <w:r>
        <w:rPr>
          <w:rFonts w:ascii="Cambria" w:hAnsi="Cambria"/>
          <w:sz w:val="22"/>
        </w:rPr>
        <w:t>Such action plans should be legally binding frameworks requiring institutions to:</w:t>
      </w:r>
    </w:p>
    <w:p>
      <w:pPr>
        <w:pStyle w:val="ListBullet2"/>
        <w:ind w:left="720"/>
        <w:jc w:val="both"/>
      </w:pPr>
      <w:r>
        <w:rPr>
          <w:rFonts w:ascii="Cambria" w:hAnsi="Cambria"/>
          <w:sz w:val="22"/>
        </w:rPr>
        <w:t>Conduct gender audits and gap analyses.</w:t>
      </w:r>
    </w:p>
    <w:p>
      <w:pPr>
        <w:pStyle w:val="ListBullet2"/>
        <w:ind w:left="720"/>
        <w:jc w:val="both"/>
      </w:pPr>
      <w:r>
        <w:rPr>
          <w:rFonts w:ascii="Cambria" w:hAnsi="Cambria"/>
          <w:sz w:val="22"/>
        </w:rPr>
        <w:t>Set measurable targets for women's representation in academia and administration.</w:t>
      </w:r>
    </w:p>
    <w:p>
      <w:pPr>
        <w:pStyle w:val="ListBullet2"/>
        <w:ind w:left="720"/>
        <w:jc w:val="both"/>
      </w:pPr>
      <w:r>
        <w:rPr>
          <w:rFonts w:ascii="Cambria" w:hAnsi="Cambria"/>
          <w:sz w:val="22"/>
        </w:rPr>
        <w:t>Establish monitoring mechanisms for equity programs and inclusion practices.</w:t>
      </w:r>
    </w:p>
    <w:p>
      <w:pPr>
        <w:pStyle w:val="ListBullet2"/>
        <w:ind w:left="720"/>
        <w:jc w:val="both"/>
      </w:pPr>
      <w:r>
        <w:rPr>
          <w:rFonts w:ascii="Cambria" w:hAnsi="Cambria"/>
          <w:sz w:val="22"/>
        </w:rPr>
        <w:t>Report annually on progress, challenges, and corrective measures.</w:t>
      </w:r>
    </w:p>
    <w:p>
      <w:pPr>
        <w:pStyle w:val="ListBullet"/>
        <w:ind w:left="357"/>
        <w:jc w:val="both"/>
      </w:pPr>
      <w:r>
        <w:rPr>
          <w:rFonts w:ascii="Cambria" w:hAnsi="Cambria"/>
          <w:sz w:val="22"/>
        </w:rPr>
        <w:t>Mandatory GEAPs ensure institutional accountability, moving gender equity from being a symbolic effort to a systemic policy requirement.</w:t>
      </w:r>
    </w:p>
    <w:p>
      <w:pPr>
        <w:pStyle w:val="ListBullet"/>
        <w:ind w:left="357"/>
        <w:jc w:val="both"/>
      </w:pPr>
      <w:r>
        <w:rPr>
          <w:rFonts w:ascii="Cambria" w:hAnsi="Cambria"/>
          <w:sz w:val="22"/>
        </w:rPr>
        <w:t>These plans also help integrate gender perspectives into strategic planning, budgeting, research evaluation, and recruitment policies.</w:t>
      </w:r>
    </w:p>
    <w:p>
      <w:pPr>
        <w:spacing w:before="240" w:after="120"/>
        <w:jc w:val="left"/>
      </w:pPr>
      <w:r>
        <w:rPr>
          <w:rFonts w:ascii="Cambria" w:hAnsi="Cambria"/>
          <w:b/>
          <w:color w:val="1F3A5F"/>
          <w:sz w:val="28"/>
        </w:rPr>
        <w:t>4. Challenges and Weak Implementation</w:t>
      </w:r>
    </w:p>
    <w:p>
      <w:pPr>
        <w:pStyle w:val="ListBullet"/>
        <w:ind w:left="357"/>
        <w:jc w:val="both"/>
      </w:pPr>
      <w:r>
        <w:rPr>
          <w:rFonts w:ascii="Cambria" w:hAnsi="Cambria"/>
          <w:sz w:val="22"/>
        </w:rPr>
        <w:t>Despite regulatory frameworks and national policies promoting gender equality, implementation across HEIs remains poor and inconsistent.</w:t>
      </w:r>
    </w:p>
    <w:p>
      <w:pPr>
        <w:spacing w:after="120"/>
        <w:jc w:val="both"/>
      </w:pPr>
      <w:r>
        <w:rPr>
          <w:rFonts w:ascii="Cambria" w:hAnsi="Cambria"/>
          <w:b w:val="0"/>
          <w:i w:val="0"/>
          <w:sz w:val="22"/>
        </w:rPr>
        <w:t>Common challenges include:</w:t>
      </w:r>
    </w:p>
    <w:p>
      <w:pPr>
        <w:pStyle w:val="ListBullet2"/>
        <w:ind w:left="720"/>
        <w:jc w:val="both"/>
      </w:pPr>
      <w:r>
        <w:rPr>
          <w:rFonts w:ascii="Cambria" w:hAnsi="Cambria"/>
          <w:sz w:val="22"/>
        </w:rPr>
        <w:t>Lack of institutional commitment and leadership prioritization.</w:t>
      </w:r>
    </w:p>
    <w:p>
      <w:pPr>
        <w:pStyle w:val="ListBullet2"/>
        <w:ind w:left="720"/>
        <w:jc w:val="both"/>
      </w:pPr>
      <w:r>
        <w:rPr>
          <w:rFonts w:ascii="Cambria" w:hAnsi="Cambria"/>
          <w:sz w:val="22"/>
        </w:rPr>
        <w:t>Absence of dedicated funding for gender-related programs.</w:t>
      </w:r>
    </w:p>
    <w:p>
      <w:pPr>
        <w:pStyle w:val="ListBullet2"/>
        <w:ind w:left="720"/>
        <w:jc w:val="both"/>
      </w:pPr>
      <w:r>
        <w:rPr>
          <w:rFonts w:ascii="Cambria" w:hAnsi="Cambria"/>
          <w:sz w:val="22"/>
        </w:rPr>
        <w:t>Limited awareness and capacity among staff to operationalize GEAPs.</w:t>
      </w:r>
    </w:p>
    <w:p>
      <w:pPr>
        <w:pStyle w:val="ListBullet2"/>
        <w:ind w:left="720"/>
        <w:jc w:val="both"/>
      </w:pPr>
      <w:r>
        <w:rPr>
          <w:rFonts w:ascii="Cambria" w:hAnsi="Cambria"/>
          <w:sz w:val="22"/>
        </w:rPr>
        <w:t>Resistance to change and persistence of patriarchal academic cultures.</w:t>
      </w:r>
    </w:p>
    <w:p>
      <w:pPr>
        <w:pStyle w:val="ListBullet"/>
        <w:ind w:left="357"/>
        <w:jc w:val="both"/>
      </w:pPr>
      <w:r>
        <w:rPr>
          <w:rFonts w:ascii="Cambria" w:hAnsi="Cambria"/>
          <w:sz w:val="22"/>
        </w:rPr>
        <w:t>In many institutions, gender equality policies exist only on paper and are not integrated into performance indicators or accreditation criteria.</w:t>
      </w:r>
    </w:p>
    <w:p>
      <w:pPr>
        <w:pStyle w:val="ListBullet"/>
        <w:ind w:left="357"/>
        <w:jc w:val="both"/>
      </w:pPr>
      <w:r>
        <w:rPr>
          <w:rFonts w:ascii="Cambria" w:hAnsi="Cambria"/>
          <w:sz w:val="22"/>
        </w:rPr>
        <w:t>The absence of evaluation metrics and penalties for non-compliance further weakens enforcement.</w:t>
      </w:r>
    </w:p>
    <w:p>
      <w:pPr>
        <w:spacing w:before="240" w:after="120"/>
        <w:jc w:val="left"/>
      </w:pPr>
      <w:r>
        <w:rPr>
          <w:rFonts w:ascii="Cambria" w:hAnsi="Cambria"/>
          <w:b/>
          <w:color w:val="1F3A5F"/>
          <w:sz w:val="28"/>
        </w:rPr>
        <w:t>5. Policy Recommendations for Strengthening Implementation</w:t>
      </w:r>
    </w:p>
    <w:p>
      <w:pPr>
        <w:pStyle w:val="ListBullet"/>
        <w:ind w:left="357"/>
        <w:jc w:val="both"/>
      </w:pPr>
      <w:r>
        <w:rPr>
          <w:rFonts w:ascii="Cambria" w:hAnsi="Cambria"/>
          <w:b/>
          <w:sz w:val="22"/>
        </w:rPr>
        <w:t xml:space="preserve">Regulatory Enforcement: </w:t>
      </w:r>
      <w:r>
        <w:rPr>
          <w:rFonts w:ascii="Cambria" w:hAnsi="Cambria"/>
          <w:sz w:val="22"/>
        </w:rPr>
        <w:t>Central and state governments must make Gender Equality Action Plans a mandatory compliance requirement under accreditation and funding frameworks (UGC, AICTE, NAAC).</w:t>
      </w:r>
    </w:p>
    <w:p>
      <w:pPr>
        <w:pStyle w:val="ListBullet"/>
        <w:ind w:left="357"/>
        <w:jc w:val="both"/>
      </w:pPr>
      <w:r>
        <w:rPr>
          <w:rFonts w:ascii="Cambria" w:hAnsi="Cambria"/>
          <w:b/>
          <w:sz w:val="22"/>
        </w:rPr>
        <w:t xml:space="preserve">Institutional Accountability: </w:t>
      </w:r>
      <w:r>
        <w:rPr>
          <w:rFonts w:ascii="Cambria" w:hAnsi="Cambria"/>
          <w:sz w:val="22"/>
        </w:rPr>
        <w:t>Require HEIs to submit annual gender equity reports with clear indicators such as representation, promotion ratios, and inclusion initiatives.</w:t>
      </w:r>
    </w:p>
    <w:p>
      <w:pPr>
        <w:pStyle w:val="ListBullet"/>
        <w:ind w:left="357"/>
        <w:jc w:val="both"/>
      </w:pPr>
      <w:r>
        <w:rPr>
          <w:rFonts w:ascii="Cambria" w:hAnsi="Cambria"/>
          <w:b/>
          <w:sz w:val="22"/>
        </w:rPr>
        <w:t xml:space="preserve">Capacity Building: </w:t>
      </w:r>
      <w:r>
        <w:rPr>
          <w:rFonts w:ascii="Cambria" w:hAnsi="Cambria"/>
          <w:sz w:val="22"/>
        </w:rPr>
        <w:t>Establish gender resource centers and training programs to help HEIs design, execute, and monitor feminist strategies effectively.</w:t>
      </w:r>
    </w:p>
    <w:p>
      <w:pPr>
        <w:pStyle w:val="ListBullet"/>
        <w:ind w:left="357"/>
        <w:jc w:val="both"/>
      </w:pPr>
      <w:r>
        <w:rPr>
          <w:rFonts w:ascii="Cambria" w:hAnsi="Cambria"/>
          <w:b/>
          <w:sz w:val="22"/>
        </w:rPr>
        <w:t xml:space="preserve">Financial Incentives: </w:t>
      </w:r>
      <w:r>
        <w:rPr>
          <w:rFonts w:ascii="Cambria" w:hAnsi="Cambria"/>
          <w:sz w:val="22"/>
        </w:rPr>
        <w:t>Introduce grants or incentives for institutions that demonstrate excellence in gender mainstreaming, diversity hiring, and women-led research.</w:t>
      </w:r>
    </w:p>
    <w:p>
      <w:pPr>
        <w:pStyle w:val="ListBullet"/>
        <w:ind w:left="357"/>
        <w:jc w:val="both"/>
      </w:pPr>
      <w:r>
        <w:rPr>
          <w:rFonts w:ascii="Cambria" w:hAnsi="Cambria"/>
          <w:b/>
          <w:sz w:val="22"/>
        </w:rPr>
        <w:t xml:space="preserve">International Collaboration: </w:t>
      </w:r>
      <w:r>
        <w:rPr>
          <w:rFonts w:ascii="Cambria" w:hAnsi="Cambria"/>
          <w:sz w:val="22"/>
        </w:rPr>
        <w:t>Encourage partnerships with global networks promoting Gender Equality in Academia and Research (GEAR) to exchange best practices.</w:t>
      </w:r>
    </w:p>
    <w:p>
      <w:pPr>
        <w:pStyle w:val="ListBullet"/>
        <w:ind w:left="357"/>
        <w:jc w:val="both"/>
      </w:pPr>
      <w:r>
        <w:rPr>
          <w:rFonts w:ascii="Cambria" w:hAnsi="Cambria"/>
          <w:b/>
          <w:sz w:val="22"/>
        </w:rPr>
        <w:t xml:space="preserve">Cultural Change Programs: </w:t>
      </w:r>
      <w:r>
        <w:rPr>
          <w:rFonts w:ascii="Cambria" w:hAnsi="Cambria"/>
          <w:sz w:val="22"/>
        </w:rPr>
        <w:t>Incorporate gender studies, ethics, and inclusivity training across all academic disciplines to cultivate long-term attitudinal transformation.</w:t>
      </w:r>
    </w:p>
    <w:p>
      <w:pPr>
        <w:spacing w:before="240" w:after="120"/>
        <w:jc w:val="left"/>
      </w:pPr>
      <w:r>
        <w:rPr>
          <w:rFonts w:ascii="Cambria" w:hAnsi="Cambria"/>
          <w:b/>
          <w:color w:val="1F3A5F"/>
          <w:sz w:val="28"/>
        </w:rPr>
        <w:t>6. Expected Outcomes</w:t>
      </w:r>
    </w:p>
    <w:p>
      <w:pPr>
        <w:pStyle w:val="ListBullet"/>
        <w:ind w:left="357"/>
        <w:jc w:val="both"/>
      </w:pPr>
      <w:r>
        <w:rPr>
          <w:rFonts w:ascii="Cambria" w:hAnsi="Cambria"/>
          <w:sz w:val="22"/>
        </w:rPr>
        <w:t>Systematic and measurable advancement in women's participation in leadership, research, and governance roles.</w:t>
      </w:r>
    </w:p>
    <w:p>
      <w:pPr>
        <w:pStyle w:val="ListBullet"/>
        <w:ind w:left="357"/>
        <w:jc w:val="both"/>
      </w:pPr>
      <w:r>
        <w:rPr>
          <w:rFonts w:ascii="Cambria" w:hAnsi="Cambria"/>
          <w:sz w:val="22"/>
        </w:rPr>
        <w:t>Institutionalization of gender mainstreaming as a core principle in all academic and administrative policies.</w:t>
      </w:r>
    </w:p>
    <w:p>
      <w:pPr>
        <w:pStyle w:val="ListBullet"/>
        <w:ind w:left="357"/>
        <w:jc w:val="both"/>
      </w:pPr>
      <w:r>
        <w:rPr>
          <w:rFonts w:ascii="Cambria" w:hAnsi="Cambria"/>
          <w:sz w:val="22"/>
        </w:rPr>
        <w:t>Reduction of the gender gap in pay, representation, and promotion opportunities.</w:t>
      </w:r>
    </w:p>
    <w:p>
      <w:pPr>
        <w:pStyle w:val="ListBullet"/>
        <w:ind w:left="357"/>
        <w:jc w:val="both"/>
      </w:pPr>
      <w:r>
        <w:rPr>
          <w:rFonts w:ascii="Cambria" w:hAnsi="Cambria"/>
          <w:sz w:val="22"/>
        </w:rPr>
        <w:t>Enhanced accountability, transparency, and inclusivity within the higher education system.</w:t>
      </w:r>
    </w:p>
    <w:p>
      <w:pPr>
        <w:pStyle w:val="ListBullet"/>
        <w:ind w:left="357"/>
        <w:jc w:val="both"/>
      </w:pPr>
      <w:r>
        <w:rPr>
          <w:rFonts w:ascii="Cambria" w:hAnsi="Cambria"/>
          <w:sz w:val="22"/>
        </w:rPr>
        <w:t>Contribution to India's and the global community's progress toward SDG-5 (Gender Equality) and SDG-4 (Quality Education).</w:t>
      </w:r>
    </w:p>
    <w:p>
      <w:pPr>
        <w:spacing w:before="240" w:after="120"/>
        <w:jc w:val="left"/>
      </w:pPr>
      <w:r>
        <w:rPr>
          <w:rFonts w:ascii="Cambria" w:hAnsi="Cambria"/>
          <w:b/>
          <w:color w:val="1F3A5F"/>
          <w:sz w:val="28"/>
        </w:rPr>
        <w:t>7. Conclusion</w:t>
      </w:r>
    </w:p>
    <w:p>
      <w:pPr>
        <w:spacing w:after="120"/>
        <w:jc w:val="both"/>
      </w:pPr>
      <w:r>
        <w:rPr>
          <w:rFonts w:ascii="Cambria" w:hAnsi="Cambria"/>
          <w:b w:val="0"/>
          <w:i w:val="0"/>
          <w:sz w:val="22"/>
        </w:rPr>
        <w:t>While feminist strategic alliances have laid a valuable foundation for gender transformation in higher education, their impact will remain limited without mandatory government-backed enforcement.</w:t>
      </w:r>
    </w:p>
    <w:p>
      <w:pPr>
        <w:spacing w:after="120"/>
        <w:jc w:val="both"/>
      </w:pPr>
      <w:r>
        <w:rPr>
          <w:rFonts w:ascii="Cambria" w:hAnsi="Cambria"/>
          <w:b w:val="0"/>
          <w:i w:val="0"/>
          <w:sz w:val="22"/>
        </w:rPr>
        <w:t>Effective implementation of Gender Equality Action Plans (GEAPs) requires regulatory compulsion, adequate funding, and continuous monitoring.</w:t>
      </w:r>
    </w:p>
    <w:p>
      <w:pPr>
        <w:spacing w:after="120"/>
        <w:jc w:val="both"/>
      </w:pPr>
      <w:r>
        <w:rPr>
          <w:rFonts w:ascii="Cambria" w:hAnsi="Cambria"/>
          <w:b w:val="0"/>
          <w:i w:val="0"/>
          <w:sz w:val="22"/>
        </w:rPr>
        <w:t>HEIs must evolve from being passive supporters to active enablers of gender justice, ensuring that equality is embedded in their governance, curriculum, and institutional culture.</w:t>
      </w:r>
    </w:p>
    <w:p>
      <w:pPr>
        <w:spacing w:after="120"/>
        <w:jc w:val="both"/>
      </w:pPr>
      <w:r>
        <w:rPr>
          <w:rFonts w:ascii="Cambria" w:hAnsi="Cambria"/>
          <w:b w:val="0"/>
          <w:i w:val="0"/>
          <w:sz w:val="22"/>
        </w:rPr>
        <w:t>Only through a synergy between feminist alliances and strong regulatory frameworks can higher education truly fulfill its mission of empowerment, inclusivity, and sustainable societal progress.</w:t>
      </w:r>
    </w:p>
    <w:p>
      <w:pPr>
        <w:spacing w:before="280" w:after="160"/>
        <w:jc w:val="left"/>
      </w:pPr>
      <w:r>
        <w:rPr>
          <w:rFonts w:ascii="Cambria" w:hAnsi="Cambria"/>
          <w:b/>
          <w:color w:val="1F3A5F"/>
          <w:sz w:val="32"/>
        </w:rPr>
        <w:t>27. Women's Leadership in Higher Education: Global and Indian Perspectives</w:t>
      </w:r>
    </w:p>
    <w:p>
      <w:pPr>
        <w:spacing w:before="240" w:after="120"/>
        <w:jc w:val="left"/>
      </w:pPr>
      <w:r>
        <w:rPr>
          <w:rFonts w:ascii="Cambria" w:hAnsi="Cambria"/>
          <w:b/>
          <w:color w:val="1F3A5F"/>
          <w:sz w:val="28"/>
        </w:rPr>
        <w:t>1. Global Overview of Women's Representation in Academic Leadership</w:t>
      </w:r>
    </w:p>
    <w:p>
      <w:pPr>
        <w:pStyle w:val="ListBullet"/>
        <w:ind w:left="357"/>
        <w:jc w:val="both"/>
      </w:pPr>
      <w:r>
        <w:rPr>
          <w:rFonts w:ascii="Cambria" w:hAnsi="Cambria"/>
          <w:sz w:val="22"/>
        </w:rPr>
        <w:t>Despite steady progress toward gender equality in education, women's representation in leadership positions across Higher Education Institutions (HEIs) remains alarmingly low.</w:t>
      </w:r>
    </w:p>
    <w:p>
      <w:pPr>
        <w:pStyle w:val="ListBullet"/>
        <w:ind w:left="357"/>
        <w:jc w:val="both"/>
      </w:pPr>
      <w:r>
        <w:rPr>
          <w:rFonts w:ascii="Cambria" w:hAnsi="Cambria"/>
          <w:sz w:val="22"/>
        </w:rPr>
        <w:t>According to the Times Higher Education (THE) World University Rankings 2021, only 20% of the top 200 universities worldwide are led by women.</w:t>
      </w:r>
    </w:p>
    <w:p>
      <w:pPr>
        <w:pStyle w:val="ListBullet"/>
        <w:ind w:left="357"/>
        <w:jc w:val="both"/>
      </w:pPr>
      <w:r>
        <w:rPr>
          <w:rFonts w:ascii="Cambria" w:hAnsi="Cambria"/>
          <w:sz w:val="22"/>
        </w:rPr>
        <w:t>This data reveals a persistent gender gap in higher education leadership, reflecting underlying structural and cultural biases within academic systems.</w:t>
      </w:r>
    </w:p>
    <w:p>
      <w:pPr>
        <w:pStyle w:val="ListBullet"/>
        <w:ind w:left="357"/>
        <w:jc w:val="both"/>
      </w:pPr>
      <w:r>
        <w:rPr>
          <w:rFonts w:ascii="Cambria" w:hAnsi="Cambria"/>
          <w:sz w:val="22"/>
        </w:rPr>
        <w:t>While women now constitute a significant portion of students and faculty globally, their transition to senior administrative roles—such as Vice-Chancellor, Dean, or Director—remains limited due to entrenched institutional hierarchies.</w:t>
      </w:r>
    </w:p>
    <w:p>
      <w:pPr>
        <w:spacing w:before="240" w:after="120"/>
        <w:jc w:val="left"/>
      </w:pPr>
      <w:r>
        <w:rPr>
          <w:rFonts w:ascii="Cambria" w:hAnsi="Cambria"/>
          <w:b/>
          <w:color w:val="1F3A5F"/>
          <w:sz w:val="28"/>
        </w:rPr>
        <w:t>2. Barriers to Women's Leadership in Higher Education</w:t>
      </w:r>
    </w:p>
    <w:p>
      <w:pPr>
        <w:pStyle w:val="ListBullet"/>
        <w:ind w:left="357"/>
        <w:jc w:val="both"/>
      </w:pPr>
      <w:r>
        <w:rPr>
          <w:rFonts w:ascii="Cambria" w:hAnsi="Cambria"/>
          <w:b/>
          <w:sz w:val="22"/>
        </w:rPr>
        <w:t xml:space="preserve">Structural Barriers: </w:t>
      </w:r>
      <w:r>
        <w:rPr>
          <w:rFonts w:ascii="Cambria" w:hAnsi="Cambria"/>
          <w:sz w:val="22"/>
        </w:rPr>
        <w:t>Gender bias in recruitment and promotion, lack of transparency in leadership selection, and minimal institutional support hinder women's upward mobility.</w:t>
      </w:r>
    </w:p>
    <w:p>
      <w:pPr>
        <w:pStyle w:val="ListBullet"/>
        <w:ind w:left="357"/>
        <w:jc w:val="both"/>
      </w:pPr>
      <w:r>
        <w:rPr>
          <w:rFonts w:ascii="Cambria" w:hAnsi="Cambria"/>
          <w:b/>
          <w:sz w:val="22"/>
        </w:rPr>
        <w:t xml:space="preserve">Cultural Barriers: </w:t>
      </w:r>
      <w:r>
        <w:rPr>
          <w:rFonts w:ascii="Cambria" w:hAnsi="Cambria"/>
          <w:sz w:val="22"/>
        </w:rPr>
        <w:t>Patriarchal attitudes and gender stereotypes often frame leadership as a male domain, discouraging women from aspiring to top roles.</w:t>
      </w:r>
    </w:p>
    <w:p>
      <w:pPr>
        <w:pStyle w:val="ListBullet"/>
        <w:ind w:left="357"/>
        <w:jc w:val="both"/>
      </w:pPr>
      <w:r>
        <w:rPr>
          <w:rFonts w:ascii="Cambria" w:hAnsi="Cambria"/>
          <w:b/>
          <w:sz w:val="22"/>
        </w:rPr>
        <w:t xml:space="preserve">Work-Life Balance: </w:t>
      </w:r>
      <w:r>
        <w:rPr>
          <w:rFonts w:ascii="Cambria" w:hAnsi="Cambria"/>
          <w:sz w:val="22"/>
        </w:rPr>
        <w:t>The dual burden of professional responsibilities and family duties restricts women's ability to commit to administrative positions.</w:t>
      </w:r>
    </w:p>
    <w:p>
      <w:pPr>
        <w:pStyle w:val="ListBullet"/>
        <w:ind w:left="357"/>
        <w:jc w:val="both"/>
      </w:pPr>
      <w:r>
        <w:rPr>
          <w:rFonts w:ascii="Cambria" w:hAnsi="Cambria"/>
          <w:b/>
          <w:sz w:val="22"/>
        </w:rPr>
        <w:t xml:space="preserve">Networking and Mentorship Gaps: </w:t>
      </w:r>
      <w:r>
        <w:rPr>
          <w:rFonts w:ascii="Cambria" w:hAnsi="Cambria"/>
          <w:sz w:val="22"/>
        </w:rPr>
        <w:t>Limited access to professional networks and mentorship programs results in fewer women being groomed for senior positions.</w:t>
      </w:r>
    </w:p>
    <w:p>
      <w:pPr>
        <w:pStyle w:val="ListBullet"/>
        <w:ind w:left="357"/>
        <w:jc w:val="both"/>
      </w:pPr>
      <w:r>
        <w:rPr>
          <w:rFonts w:ascii="Cambria" w:hAnsi="Cambria"/>
          <w:b/>
          <w:sz w:val="22"/>
        </w:rPr>
        <w:t xml:space="preserve">Perception of Leadership: </w:t>
      </w:r>
      <w:r>
        <w:rPr>
          <w:rFonts w:ascii="Cambria" w:hAnsi="Cambria"/>
          <w:sz w:val="22"/>
        </w:rPr>
        <w:t>Women leaders often face the “double bind”—expected to display authority while being judged for not fitting traditional gender norms.</w:t>
      </w:r>
    </w:p>
    <w:p>
      <w:pPr>
        <w:spacing w:before="240" w:after="120"/>
        <w:jc w:val="left"/>
      </w:pPr>
      <w:r>
        <w:rPr>
          <w:rFonts w:ascii="Cambria" w:hAnsi="Cambria"/>
          <w:b/>
          <w:color w:val="1F3A5F"/>
          <w:sz w:val="28"/>
        </w:rPr>
        <w:t>3. The Indian Scenario: Underrepresentation in Leadership</w:t>
      </w:r>
    </w:p>
    <w:p>
      <w:pPr>
        <w:pStyle w:val="ListBullet"/>
        <w:ind w:left="357"/>
        <w:jc w:val="both"/>
      </w:pPr>
      <w:r>
        <w:rPr>
          <w:rFonts w:ascii="Cambria" w:hAnsi="Cambria"/>
          <w:sz w:val="22"/>
        </w:rPr>
        <w:t>In India, the statistics on women's leadership in higher education present a more concerning picture compared to global trends.</w:t>
      </w:r>
    </w:p>
    <w:p>
      <w:pPr>
        <w:pStyle w:val="ListBullet"/>
        <w:ind w:left="357"/>
        <w:jc w:val="both"/>
      </w:pPr>
      <w:r>
        <w:rPr>
          <w:rFonts w:ascii="Cambria" w:hAnsi="Cambria"/>
          <w:sz w:val="22"/>
        </w:rPr>
        <w:t>As per recent data, less than 7% of Vice Chancellors in Indian universities are women.</w:t>
      </w:r>
    </w:p>
    <w:p>
      <w:pPr>
        <w:pStyle w:val="ListBullet"/>
        <w:ind w:left="357"/>
        <w:jc w:val="both"/>
      </w:pPr>
      <w:r>
        <w:rPr>
          <w:rFonts w:ascii="Cambria" w:hAnsi="Cambria"/>
          <w:sz w:val="22"/>
        </w:rPr>
        <w:t>Moreover, this representation is inflated by the fact that most of these appointments are confined to women-only universities, where the Vice-Chancellor position is mandated by policy to be held by a woman.</w:t>
      </w:r>
    </w:p>
    <w:p>
      <w:pPr>
        <w:pStyle w:val="ListBullet"/>
        <w:ind w:left="357"/>
        <w:jc w:val="both"/>
      </w:pPr>
      <w:r>
        <w:rPr>
          <w:rFonts w:ascii="Cambria" w:hAnsi="Cambria"/>
          <w:sz w:val="22"/>
        </w:rPr>
        <w:t>Across co-educational and public universities, women's presence in senior roles such as Registrars, Deans, and Directors remains disproportionately low.</w:t>
      </w:r>
    </w:p>
    <w:p>
      <w:pPr>
        <w:pStyle w:val="ListBullet"/>
        <w:ind w:left="357"/>
        <w:jc w:val="both"/>
      </w:pPr>
      <w:r>
        <w:rPr>
          <w:rFonts w:ascii="Cambria" w:hAnsi="Cambria"/>
          <w:sz w:val="22"/>
        </w:rPr>
        <w:t>Despite the large number of women graduates and research scholars emerging from Indian HEIs, leadership opportunities remain largely inaccessible to them.</w:t>
      </w:r>
    </w:p>
    <w:p>
      <w:pPr>
        <w:spacing w:before="240" w:after="120"/>
        <w:jc w:val="left"/>
      </w:pPr>
      <w:r>
        <w:rPr>
          <w:rFonts w:ascii="Cambria" w:hAnsi="Cambria"/>
          <w:b/>
          <w:color w:val="1F3A5F"/>
          <w:sz w:val="28"/>
        </w:rPr>
        <w:t>4. Factors Contributing to Limited Leadership Opportunities in India</w:t>
      </w:r>
    </w:p>
    <w:p>
      <w:pPr>
        <w:pStyle w:val="ListBullet"/>
        <w:ind w:left="357"/>
        <w:jc w:val="both"/>
      </w:pPr>
      <w:r>
        <w:rPr>
          <w:rFonts w:ascii="Cambria" w:hAnsi="Cambria"/>
          <w:b/>
          <w:sz w:val="22"/>
        </w:rPr>
        <w:t xml:space="preserve">Institutional Patriarchy: </w:t>
      </w:r>
      <w:r>
        <w:rPr>
          <w:rFonts w:ascii="Cambria" w:hAnsi="Cambria"/>
          <w:sz w:val="22"/>
        </w:rPr>
        <w:t>Leadership recruitment processes in many HEIs continue to favor male candidates, reflecting deep-seated patriarchal biases.</w:t>
      </w:r>
    </w:p>
    <w:p>
      <w:pPr>
        <w:pStyle w:val="ListBullet"/>
        <w:ind w:left="357"/>
        <w:jc w:val="both"/>
      </w:pPr>
      <w:r>
        <w:rPr>
          <w:rFonts w:ascii="Cambria" w:hAnsi="Cambria"/>
          <w:b/>
          <w:sz w:val="22"/>
        </w:rPr>
        <w:t xml:space="preserve">Lack of Policy Enforcement: </w:t>
      </w:r>
      <w:r>
        <w:rPr>
          <w:rFonts w:ascii="Cambria" w:hAnsi="Cambria"/>
          <w:sz w:val="22"/>
        </w:rPr>
        <w:t>Although frameworks like UGC's Gender Equity Guidelines and NAAC's Criterion VII promote inclusivity, enforcement remains weak.</w:t>
      </w:r>
    </w:p>
    <w:p>
      <w:pPr>
        <w:pStyle w:val="ListBullet"/>
        <w:ind w:left="357"/>
        <w:jc w:val="both"/>
      </w:pPr>
      <w:r>
        <w:rPr>
          <w:rFonts w:ascii="Cambria" w:hAnsi="Cambria"/>
          <w:b/>
          <w:sz w:val="22"/>
        </w:rPr>
        <w:t xml:space="preserve">Insufficient Mentorship and Capacity Building: </w:t>
      </w:r>
      <w:r>
        <w:rPr>
          <w:rFonts w:ascii="Cambria" w:hAnsi="Cambria"/>
          <w:sz w:val="22"/>
        </w:rPr>
        <w:t>The absence of structured leadership development programs for women faculty limits career progression.</w:t>
      </w:r>
    </w:p>
    <w:p>
      <w:pPr>
        <w:pStyle w:val="ListBullet"/>
        <w:ind w:left="357"/>
        <w:jc w:val="both"/>
      </w:pPr>
      <w:r>
        <w:rPr>
          <w:rFonts w:ascii="Cambria" w:hAnsi="Cambria"/>
          <w:b/>
          <w:sz w:val="22"/>
        </w:rPr>
        <w:t xml:space="preserve">Social Norms and Gender Roles: </w:t>
      </w:r>
      <w:r>
        <w:rPr>
          <w:rFonts w:ascii="Cambria" w:hAnsi="Cambria"/>
          <w:sz w:val="22"/>
        </w:rPr>
        <w:t>Traditional expectations around marriage and caregiving often discourage women from pursuing leadership careers that require geographic mobility or long hours.</w:t>
      </w:r>
    </w:p>
    <w:p>
      <w:pPr>
        <w:pStyle w:val="ListBullet"/>
        <w:ind w:left="357"/>
        <w:jc w:val="both"/>
      </w:pPr>
      <w:r>
        <w:rPr>
          <w:rFonts w:ascii="Cambria" w:hAnsi="Cambria"/>
          <w:b/>
          <w:sz w:val="22"/>
        </w:rPr>
        <w:t xml:space="preserve">Lack of Role Models: </w:t>
      </w:r>
      <w:r>
        <w:rPr>
          <w:rFonts w:ascii="Cambria" w:hAnsi="Cambria"/>
          <w:sz w:val="22"/>
        </w:rPr>
        <w:t>Few visible women leaders in academia result in fewer aspirational pathways for younger women academics.</w:t>
      </w:r>
    </w:p>
    <w:p>
      <w:pPr>
        <w:spacing w:before="240" w:after="120"/>
        <w:jc w:val="left"/>
      </w:pPr>
      <w:r>
        <w:rPr>
          <w:rFonts w:ascii="Cambria" w:hAnsi="Cambria"/>
          <w:b/>
          <w:color w:val="1F3A5F"/>
          <w:sz w:val="28"/>
        </w:rPr>
        <w:t>5. The Way Forward: Strengthening Women's Leadership in HEIs</w:t>
      </w:r>
    </w:p>
    <w:p>
      <w:pPr>
        <w:pStyle w:val="ListBullet"/>
        <w:ind w:left="357"/>
        <w:jc w:val="both"/>
      </w:pPr>
      <w:r>
        <w:rPr>
          <w:rFonts w:ascii="Cambria" w:hAnsi="Cambria"/>
          <w:b/>
          <w:sz w:val="22"/>
        </w:rPr>
        <w:t xml:space="preserve">Policy Mandates: </w:t>
      </w:r>
      <w:r>
        <w:rPr>
          <w:rFonts w:ascii="Cambria" w:hAnsi="Cambria"/>
          <w:sz w:val="22"/>
        </w:rPr>
        <w:t>The Ministry of Education and UGC should set minimum representation quotas for women in leadership and administrative positions across all HEIs.</w:t>
      </w:r>
    </w:p>
    <w:p>
      <w:pPr>
        <w:pStyle w:val="ListBullet"/>
        <w:ind w:left="357"/>
        <w:jc w:val="both"/>
      </w:pPr>
      <w:r>
        <w:rPr>
          <w:rFonts w:ascii="Cambria" w:hAnsi="Cambria"/>
          <w:b/>
          <w:sz w:val="22"/>
        </w:rPr>
        <w:t xml:space="preserve">Leadership Training Programs: </w:t>
      </w:r>
      <w:r>
        <w:rPr>
          <w:rFonts w:ascii="Cambria" w:hAnsi="Cambria"/>
          <w:sz w:val="22"/>
        </w:rPr>
        <w:t>Establish Women Leadership Academies under UGC and AICTE to train women faculty in management, policy-making, and governance.</w:t>
      </w:r>
    </w:p>
    <w:p>
      <w:pPr>
        <w:pStyle w:val="ListBullet"/>
        <w:ind w:left="357"/>
        <w:jc w:val="both"/>
      </w:pPr>
      <w:r>
        <w:rPr>
          <w:rFonts w:ascii="Cambria" w:hAnsi="Cambria"/>
          <w:b/>
          <w:sz w:val="22"/>
        </w:rPr>
        <w:t xml:space="preserve">Mentorship Networks: </w:t>
      </w:r>
      <w:r>
        <w:rPr>
          <w:rFonts w:ascii="Cambria" w:hAnsi="Cambria"/>
          <w:sz w:val="22"/>
        </w:rPr>
        <w:t>Create national and institutional mentorship platforms connecting senior women leaders with emerging female academics.</w:t>
      </w:r>
    </w:p>
    <w:p>
      <w:pPr>
        <w:pStyle w:val="ListBullet"/>
        <w:ind w:left="357"/>
        <w:jc w:val="both"/>
      </w:pPr>
      <w:r>
        <w:rPr>
          <w:rFonts w:ascii="Cambria" w:hAnsi="Cambria"/>
          <w:b/>
          <w:sz w:val="22"/>
        </w:rPr>
        <w:t xml:space="preserve">Transparent Recruitment Processes: </w:t>
      </w:r>
      <w:r>
        <w:rPr>
          <w:rFonts w:ascii="Cambria" w:hAnsi="Cambria"/>
          <w:sz w:val="22"/>
        </w:rPr>
        <w:t>Mandate gender-balanced selection committees and objective evaluation parameters for appointments to leadership roles.</w:t>
      </w:r>
    </w:p>
    <w:p>
      <w:pPr>
        <w:pStyle w:val="ListBullet"/>
        <w:ind w:left="357"/>
        <w:jc w:val="both"/>
      </w:pPr>
      <w:r>
        <w:rPr>
          <w:rFonts w:ascii="Cambria" w:hAnsi="Cambria"/>
          <w:b/>
          <w:sz w:val="22"/>
        </w:rPr>
        <w:t xml:space="preserve">Workplace Flexibility: </w:t>
      </w:r>
      <w:r>
        <w:rPr>
          <w:rFonts w:ascii="Cambria" w:hAnsi="Cambria"/>
          <w:sz w:val="22"/>
        </w:rPr>
        <w:t>Encourage flexible work hours, research sabbaticals, and family-friendly policies to support women in leadership pipelines.</w:t>
      </w:r>
    </w:p>
    <w:p>
      <w:pPr>
        <w:pStyle w:val="ListBullet"/>
        <w:ind w:left="357"/>
        <w:jc w:val="both"/>
      </w:pPr>
      <w:r>
        <w:rPr>
          <w:rFonts w:ascii="Cambria" w:hAnsi="Cambria"/>
          <w:b/>
          <w:sz w:val="22"/>
        </w:rPr>
        <w:t xml:space="preserve">Recognition and Incentives: </w:t>
      </w:r>
      <w:r>
        <w:rPr>
          <w:rFonts w:ascii="Cambria" w:hAnsi="Cambria"/>
          <w:sz w:val="22"/>
        </w:rPr>
        <w:t>Introduce national awards and institutional incentives recognizing excellence in women's academic leadership and administration.</w:t>
      </w:r>
    </w:p>
    <w:p>
      <w:pPr>
        <w:pStyle w:val="ListBullet"/>
        <w:ind w:left="357"/>
        <w:jc w:val="both"/>
      </w:pPr>
      <w:r>
        <w:rPr>
          <w:rFonts w:ascii="Cambria" w:hAnsi="Cambria"/>
          <w:b/>
          <w:sz w:val="22"/>
        </w:rPr>
        <w:t xml:space="preserve">Cultural Transformation: </w:t>
      </w:r>
      <w:r>
        <w:rPr>
          <w:rFonts w:ascii="Cambria" w:hAnsi="Cambria"/>
          <w:sz w:val="22"/>
        </w:rPr>
        <w:t>Promote gender sensitization among faculty and governing bodies to dismantle stereotypes that associate leadership with masculinity.</w:t>
      </w:r>
    </w:p>
    <w:p>
      <w:pPr>
        <w:spacing w:before="240" w:after="120"/>
        <w:jc w:val="left"/>
      </w:pPr>
      <w:r>
        <w:rPr>
          <w:rFonts w:ascii="Cambria" w:hAnsi="Cambria"/>
          <w:b/>
          <w:color w:val="1F3A5F"/>
          <w:sz w:val="28"/>
        </w:rPr>
        <w:t>6. Global Best Practices for Inspiration</w:t>
      </w:r>
    </w:p>
    <w:p>
      <w:pPr>
        <w:pStyle w:val="ListBullet"/>
        <w:ind w:left="357"/>
        <w:jc w:val="both"/>
      </w:pPr>
      <w:r>
        <w:rPr>
          <w:rFonts w:ascii="Cambria" w:hAnsi="Cambria"/>
          <w:sz w:val="22"/>
        </w:rPr>
        <w:t>Many universities worldwide have implemented Gender Equality Action Plans (GEAPs) and Athena SWAN Charters to monitor and promote women's advancement in academia.</w:t>
      </w:r>
    </w:p>
    <w:p>
      <w:pPr>
        <w:pStyle w:val="ListBullet"/>
        <w:ind w:left="357"/>
        <w:jc w:val="both"/>
      </w:pPr>
      <w:r>
        <w:rPr>
          <w:rFonts w:ascii="Cambria" w:hAnsi="Cambria"/>
          <w:sz w:val="22"/>
        </w:rPr>
        <w:t>Scandinavian and European models demonstrate the effectiveness of quota-based representation, leadership fellowships, and mentorship programs for women in education governance.</w:t>
      </w:r>
    </w:p>
    <w:p>
      <w:pPr>
        <w:pStyle w:val="ListBullet"/>
        <w:ind w:left="357"/>
        <w:jc w:val="both"/>
      </w:pPr>
      <w:r>
        <w:rPr>
          <w:rFonts w:ascii="Cambria" w:hAnsi="Cambria"/>
          <w:sz w:val="22"/>
        </w:rPr>
        <w:t>Indian HEIs can adapt these frameworks to develop institution-specific action plans aligned with the NEP 2020 and SDG-5 objectives.</w:t>
      </w:r>
    </w:p>
    <w:p>
      <w:pPr>
        <w:spacing w:before="240" w:after="120"/>
        <w:jc w:val="left"/>
      </w:pPr>
      <w:r>
        <w:rPr>
          <w:rFonts w:ascii="Cambria" w:hAnsi="Cambria"/>
          <w:b/>
          <w:color w:val="1F3A5F"/>
          <w:sz w:val="28"/>
        </w:rPr>
        <w:t>7. Conclusion</w:t>
      </w:r>
    </w:p>
    <w:p>
      <w:pPr>
        <w:spacing w:after="120"/>
        <w:jc w:val="both"/>
      </w:pPr>
      <w:r>
        <w:rPr>
          <w:rFonts w:ascii="Cambria" w:hAnsi="Cambria"/>
          <w:b w:val="0"/>
          <w:i w:val="0"/>
          <w:sz w:val="22"/>
        </w:rPr>
        <w:t>The underrepresentation of women in leadership across HEIs is a global and national challenge that undermines the principles of equality and inclusivity in education.</w:t>
      </w:r>
    </w:p>
    <w:p>
      <w:pPr>
        <w:spacing w:after="120"/>
        <w:jc w:val="both"/>
      </w:pPr>
      <w:r>
        <w:rPr>
          <w:rFonts w:ascii="Cambria" w:hAnsi="Cambria"/>
          <w:b w:val="0"/>
          <w:i w:val="0"/>
          <w:sz w:val="22"/>
        </w:rPr>
        <w:t>While women increasingly dominate the academic workforce, their marginal presence in leadership exposes a structural imbalance of power and opportunity.</w:t>
      </w:r>
    </w:p>
    <w:p>
      <w:pPr>
        <w:spacing w:after="120"/>
        <w:jc w:val="both"/>
      </w:pPr>
      <w:r>
        <w:rPr>
          <w:rFonts w:ascii="Cambria" w:hAnsi="Cambria"/>
          <w:b w:val="0"/>
          <w:i w:val="0"/>
          <w:sz w:val="22"/>
        </w:rPr>
        <w:t>HEIs must therefore go beyond policy declarations and actively implement gender-transformative leadership reforms supported by government regulation, mentorship, and accountability mechanisms.</w:t>
      </w:r>
    </w:p>
    <w:p>
      <w:pPr>
        <w:spacing w:after="120"/>
        <w:jc w:val="both"/>
      </w:pPr>
      <w:r>
        <w:rPr>
          <w:rFonts w:ascii="Cambria" w:hAnsi="Cambria"/>
          <w:b w:val="0"/>
          <w:i w:val="0"/>
          <w:sz w:val="22"/>
        </w:rPr>
        <w:t>Empowering women to lead in higher education is not only a question of fairness—it is a strategic imperative for institutional innovation, social justice, and sustainable development aligned with SDG-5 (Gender Equality) and SDG-4 (Quality Education).</w:t>
      </w:r>
    </w:p>
    <w:p>
      <w:pPr>
        <w:spacing w:before="280" w:after="160"/>
        <w:jc w:val="left"/>
      </w:pPr>
      <w:r>
        <w:rPr>
          <w:rFonts w:ascii="Cambria" w:hAnsi="Cambria"/>
          <w:b/>
          <w:color w:val="1F3A5F"/>
          <w:sz w:val="32"/>
        </w:rPr>
        <w:t>28. Times Higher Education (THE) World University Rankings and India's Performance under SDG-5: Gender Equality</w:t>
      </w:r>
    </w:p>
    <w:p>
      <w:pPr>
        <w:spacing w:before="240" w:after="120"/>
        <w:jc w:val="left"/>
      </w:pPr>
      <w:r>
        <w:rPr>
          <w:rFonts w:ascii="Cambria" w:hAnsi="Cambria"/>
          <w:b/>
          <w:color w:val="1F3A5F"/>
          <w:sz w:val="28"/>
        </w:rPr>
        <w:t>1. Overview of SDG-5 in the Times Higher Education (THE) World University Rankings</w:t>
      </w:r>
    </w:p>
    <w:p>
      <w:pPr>
        <w:pStyle w:val="ListBullet"/>
        <w:ind w:left="357"/>
        <w:jc w:val="both"/>
      </w:pPr>
      <w:r>
        <w:rPr>
          <w:rFonts w:ascii="Cambria" w:hAnsi="Cambria"/>
          <w:sz w:val="22"/>
        </w:rPr>
        <w:t>The Times Higher Education (THE) Impact Rankings, aligned with the United Nations Sustainable Development Goals (SDGs), evaluate universities worldwide based on their contributions to sustainability, equity, and inclusion.</w:t>
      </w:r>
    </w:p>
    <w:p>
      <w:pPr>
        <w:pStyle w:val="ListBullet"/>
        <w:ind w:left="357"/>
        <w:jc w:val="both"/>
      </w:pPr>
      <w:r>
        <w:rPr>
          <w:rFonts w:ascii="Cambria" w:hAnsi="Cambria"/>
          <w:b/>
          <w:sz w:val="22"/>
        </w:rPr>
        <w:t xml:space="preserve">Under SDG-5: </w:t>
      </w:r>
      <w:r>
        <w:rPr>
          <w:rFonts w:ascii="Cambria" w:hAnsi="Cambria"/>
          <w:sz w:val="22"/>
        </w:rPr>
        <w:t>Gender Equality, institutions are ranked based on measurable indicators that assess their commitment to gender justice, inclusivity, and empowerment of women within academic environments.</w:t>
      </w:r>
    </w:p>
    <w:p>
      <w:pPr>
        <w:spacing w:after="120"/>
        <w:jc w:val="both"/>
      </w:pPr>
      <w:r>
        <w:rPr>
          <w:rFonts w:ascii="Cambria" w:hAnsi="Cambria"/>
          <w:b w:val="0"/>
          <w:i w:val="0"/>
          <w:sz w:val="22"/>
        </w:rPr>
        <w:t>The parameters of assessment under SDG-5 include:</w:t>
      </w:r>
    </w:p>
    <w:p>
      <w:pPr>
        <w:pStyle w:val="ListBullet2"/>
        <w:ind w:left="720"/>
        <w:jc w:val="both"/>
      </w:pPr>
      <w:r>
        <w:rPr>
          <w:rFonts w:ascii="Cambria" w:hAnsi="Cambria"/>
          <w:sz w:val="22"/>
        </w:rPr>
        <w:t>Research on the study of gender and publication output addressing gender-related issues.</w:t>
      </w:r>
    </w:p>
    <w:p>
      <w:pPr>
        <w:pStyle w:val="ListBullet2"/>
        <w:ind w:left="720"/>
        <w:jc w:val="both"/>
      </w:pPr>
      <w:r>
        <w:rPr>
          <w:rFonts w:ascii="Cambria" w:hAnsi="Cambria"/>
          <w:sz w:val="22"/>
        </w:rPr>
        <w:t>Institutional policies promoting gender equality, anti-discrimination, and inclusivity.</w:t>
      </w:r>
    </w:p>
    <w:p>
      <w:pPr>
        <w:pStyle w:val="ListBullet2"/>
        <w:ind w:left="720"/>
        <w:jc w:val="both"/>
      </w:pPr>
      <w:r>
        <w:rPr>
          <w:rFonts w:ascii="Cambria" w:hAnsi="Cambria"/>
          <w:sz w:val="22"/>
        </w:rPr>
        <w:t>Representation of women in leadership and governance positions within the institution.</w:t>
      </w:r>
    </w:p>
    <w:p>
      <w:pPr>
        <w:pStyle w:val="ListBullet2"/>
        <w:ind w:left="720"/>
        <w:jc w:val="both"/>
      </w:pPr>
      <w:r>
        <w:rPr>
          <w:rFonts w:ascii="Cambria" w:hAnsi="Cambria"/>
          <w:sz w:val="22"/>
        </w:rPr>
        <w:t>Commitment to recruiting, retaining, and promoting women in faculty, administrative, and research roles.</w:t>
      </w:r>
    </w:p>
    <w:p>
      <w:pPr>
        <w:pStyle w:val="ListBullet2"/>
        <w:ind w:left="720"/>
        <w:jc w:val="both"/>
      </w:pPr>
      <w:r>
        <w:rPr>
          <w:rFonts w:ascii="Cambria" w:hAnsi="Cambria"/>
          <w:sz w:val="22"/>
        </w:rPr>
        <w:t>Provision of facilities and initiatives that ensure equal opportunities, safety, and respect for women in higher education.</w:t>
      </w:r>
    </w:p>
    <w:p>
      <w:pPr>
        <w:spacing w:before="240" w:after="120"/>
        <w:jc w:val="left"/>
      </w:pPr>
      <w:r>
        <w:rPr>
          <w:rFonts w:ascii="Cambria" w:hAnsi="Cambria"/>
          <w:b/>
          <w:color w:val="1F3A5F"/>
          <w:sz w:val="28"/>
        </w:rPr>
        <w:t>2. Significance of SDG-5 Rankings for Higher Education Institutions (HEIs)</w:t>
      </w:r>
    </w:p>
    <w:p>
      <w:pPr>
        <w:pStyle w:val="ListBullet"/>
        <w:ind w:left="357"/>
        <w:jc w:val="both"/>
      </w:pPr>
      <w:r>
        <w:rPr>
          <w:rFonts w:ascii="Cambria" w:hAnsi="Cambria"/>
          <w:sz w:val="22"/>
        </w:rPr>
        <w:t>The SDG-5 ranking serves as a global benchmark for universities to measure their progress in achieving gender equality.</w:t>
      </w:r>
    </w:p>
    <w:p>
      <w:pPr>
        <w:pStyle w:val="ListBullet"/>
        <w:ind w:left="357"/>
        <w:jc w:val="both"/>
      </w:pPr>
      <w:r>
        <w:rPr>
          <w:rFonts w:ascii="Cambria" w:hAnsi="Cambria"/>
          <w:sz w:val="22"/>
        </w:rPr>
        <w:t>It provides international visibility to institutions that excel in fostering diversity, inclusiveness, and women's empowerment.</w:t>
      </w:r>
    </w:p>
    <w:p>
      <w:pPr>
        <w:pStyle w:val="ListBullet"/>
        <w:ind w:left="357"/>
        <w:jc w:val="both"/>
      </w:pPr>
      <w:r>
        <w:rPr>
          <w:rFonts w:ascii="Cambria" w:hAnsi="Cambria"/>
          <w:sz w:val="22"/>
        </w:rPr>
        <w:t>Rankings under this category promote a culture of accountability and transparency, encouraging universities to adopt gender-responsive policies and practices.</w:t>
      </w:r>
    </w:p>
    <w:p>
      <w:pPr>
        <w:pStyle w:val="ListBullet"/>
        <w:ind w:left="357"/>
        <w:jc w:val="both"/>
      </w:pPr>
      <w:r>
        <w:rPr>
          <w:rFonts w:ascii="Cambria" w:hAnsi="Cambria"/>
          <w:sz w:val="22"/>
        </w:rPr>
        <w:t>By integrating gender equality into institutional planning and research, HEIs contribute directly to sustainable societal transformation.</w:t>
      </w:r>
    </w:p>
    <w:p>
      <w:pPr>
        <w:spacing w:before="240" w:after="120"/>
        <w:jc w:val="left"/>
      </w:pPr>
      <w:r>
        <w:rPr>
          <w:rFonts w:ascii="Cambria" w:hAnsi="Cambria"/>
          <w:b/>
          <w:color w:val="1F3A5F"/>
          <w:sz w:val="28"/>
        </w:rPr>
        <w:t>3. Indian HEIs and Their Limited Participation in SDG-5 Rankings</w:t>
      </w:r>
    </w:p>
    <w:p>
      <w:pPr>
        <w:pStyle w:val="ListBullet"/>
        <w:ind w:left="357"/>
        <w:jc w:val="both"/>
      </w:pPr>
      <w:r>
        <w:rPr>
          <w:rFonts w:ascii="Cambria" w:hAnsi="Cambria"/>
          <w:sz w:val="22"/>
        </w:rPr>
        <w:t>Despite India's strong policy framework for promoting women's education and empowerment, the participation of Indian Higher Education Institutions (HEIs) in THE Impact Rankings under SDG-5 remains remarkably low.</w:t>
      </w:r>
    </w:p>
    <w:p>
      <w:pPr>
        <w:pStyle w:val="ListBullet"/>
        <w:ind w:left="357"/>
        <w:jc w:val="both"/>
      </w:pPr>
      <w:r>
        <w:rPr>
          <w:rFonts w:ascii="Cambria" w:hAnsi="Cambria"/>
          <w:sz w:val="22"/>
        </w:rPr>
        <w:t>Only a handful of Indian universities have submitted data or demonstrated measurable outcomes related to gender equality, compared to leading global institutions.</w:t>
      </w:r>
    </w:p>
    <w:p>
      <w:pPr>
        <w:spacing w:after="120"/>
        <w:jc w:val="both"/>
      </w:pPr>
      <w:r>
        <w:rPr>
          <w:rFonts w:ascii="Cambria" w:hAnsi="Cambria"/>
          <w:b w:val="0"/>
          <w:i w:val="0"/>
          <w:sz w:val="22"/>
        </w:rPr>
        <w:t>This limited engagement reflects:</w:t>
      </w:r>
    </w:p>
    <w:p>
      <w:pPr>
        <w:pStyle w:val="ListBullet2"/>
        <w:ind w:left="720"/>
        <w:jc w:val="both"/>
      </w:pPr>
      <w:r>
        <w:rPr>
          <w:rFonts w:ascii="Cambria" w:hAnsi="Cambria"/>
          <w:sz w:val="22"/>
        </w:rPr>
        <w:t>Insufficient institutional prioritization of gender equality metrics in academic governance.</w:t>
      </w:r>
    </w:p>
    <w:p>
      <w:pPr>
        <w:pStyle w:val="ListBullet2"/>
        <w:ind w:left="720"/>
        <w:jc w:val="both"/>
      </w:pPr>
      <w:r>
        <w:rPr>
          <w:rFonts w:ascii="Cambria" w:hAnsi="Cambria"/>
          <w:sz w:val="22"/>
        </w:rPr>
        <w:t>Weak documentation and reporting mechanisms for gender-related initiatives and outcomes.</w:t>
      </w:r>
    </w:p>
    <w:p>
      <w:pPr>
        <w:pStyle w:val="ListBullet2"/>
        <w:ind w:left="720"/>
        <w:jc w:val="both"/>
      </w:pPr>
      <w:r>
        <w:rPr>
          <w:rFonts w:ascii="Cambria" w:hAnsi="Cambria"/>
          <w:sz w:val="22"/>
        </w:rPr>
        <w:t>Lack of awareness and capacity among HEIs to align institutional activities with SDG parameters.</w:t>
      </w:r>
    </w:p>
    <w:p>
      <w:pPr>
        <w:pStyle w:val="ListBullet2"/>
        <w:ind w:left="720"/>
        <w:jc w:val="both"/>
      </w:pPr>
      <w:r>
        <w:rPr>
          <w:rFonts w:ascii="Cambria" w:hAnsi="Cambria"/>
          <w:sz w:val="22"/>
        </w:rPr>
        <w:t>A disconnect between national gender policies (e.g., UGC and NAAC guidelines) and their operational implementation at institutional levels.</w:t>
      </w:r>
    </w:p>
    <w:p>
      <w:pPr>
        <w:spacing w:before="240" w:after="120"/>
        <w:jc w:val="left"/>
      </w:pPr>
      <w:r>
        <w:rPr>
          <w:rFonts w:ascii="Cambria" w:hAnsi="Cambria"/>
          <w:b/>
          <w:color w:val="1F3A5F"/>
          <w:sz w:val="28"/>
        </w:rPr>
        <w:t>4. Societal and Institutional Implications of Low Participation</w:t>
      </w:r>
    </w:p>
    <w:p>
      <w:pPr>
        <w:pStyle w:val="ListBullet"/>
        <w:ind w:left="357"/>
        <w:jc w:val="both"/>
      </w:pPr>
      <w:r>
        <w:rPr>
          <w:rFonts w:ascii="Cambria" w:hAnsi="Cambria"/>
          <w:sz w:val="22"/>
        </w:rPr>
        <w:t>The low visibility of Indian institutions in global SDG-5 rankings highlights persistent gender gaps in higher education, including underrepresentation of women in faculty and leadership roles.</w:t>
      </w:r>
    </w:p>
    <w:p>
      <w:pPr>
        <w:pStyle w:val="ListBullet"/>
        <w:ind w:left="357"/>
        <w:jc w:val="both"/>
      </w:pPr>
      <w:r>
        <w:rPr>
          <w:rFonts w:ascii="Cambria" w:hAnsi="Cambria"/>
          <w:sz w:val="22"/>
        </w:rPr>
        <w:t>It mirrors broader societal inequalities, such as gender bias in employment, research funding, and academic recognition.</w:t>
      </w:r>
    </w:p>
    <w:p>
      <w:pPr>
        <w:pStyle w:val="ListBullet"/>
        <w:ind w:left="357"/>
        <w:jc w:val="both"/>
      </w:pPr>
      <w:r>
        <w:rPr>
          <w:rFonts w:ascii="Cambria" w:hAnsi="Cambria"/>
          <w:sz w:val="22"/>
        </w:rPr>
        <w:t>Without active participation in such global initiatives, Indian HEIs risk lagging behind in international competitiveness and global collaborations that increasingly prioritize equity and inclusion.</w:t>
      </w:r>
    </w:p>
    <w:p>
      <w:pPr>
        <w:pStyle w:val="ListBullet"/>
        <w:ind w:left="357"/>
        <w:jc w:val="both"/>
      </w:pPr>
      <w:r>
        <w:rPr>
          <w:rFonts w:ascii="Cambria" w:hAnsi="Cambria"/>
          <w:sz w:val="22"/>
        </w:rPr>
        <w:t>The gap also underscores the urgent need for policy enforcement and data-driven monitoring of gender equality practices within universities and colleges.</w:t>
      </w:r>
    </w:p>
    <w:p>
      <w:pPr>
        <w:spacing w:before="240" w:after="120"/>
        <w:jc w:val="left"/>
      </w:pPr>
      <w:r>
        <w:rPr>
          <w:rFonts w:ascii="Cambria" w:hAnsi="Cambria"/>
          <w:b/>
          <w:color w:val="1F3A5F"/>
          <w:sz w:val="28"/>
        </w:rPr>
        <w:t>5. The Need for Institutional Accountability and Policy Integration</w:t>
      </w:r>
    </w:p>
    <w:p>
      <w:pPr>
        <w:pStyle w:val="ListBullet"/>
        <w:ind w:left="357"/>
        <w:jc w:val="both"/>
      </w:pPr>
      <w:r>
        <w:rPr>
          <w:rFonts w:ascii="Cambria" w:hAnsi="Cambria"/>
          <w:sz w:val="22"/>
        </w:rPr>
        <w:t>Indian HEIs must treat gender equality not as a peripheral issue but as a strategic development goal, integral to their mission and governance.</w:t>
      </w:r>
    </w:p>
    <w:p>
      <w:pPr>
        <w:spacing w:after="120"/>
        <w:jc w:val="both"/>
      </w:pPr>
      <w:r>
        <w:rPr>
          <w:rFonts w:ascii="Cambria" w:hAnsi="Cambria"/>
          <w:b w:val="0"/>
          <w:i w:val="0"/>
          <w:sz w:val="22"/>
        </w:rPr>
        <w:t>Steps to strengthen participation include:</w:t>
      </w:r>
    </w:p>
    <w:p>
      <w:pPr>
        <w:pStyle w:val="ListBullet2"/>
        <w:ind w:left="720"/>
        <w:jc w:val="both"/>
      </w:pPr>
      <w:r>
        <w:rPr>
          <w:rFonts w:ascii="Cambria" w:hAnsi="Cambria"/>
          <w:sz w:val="22"/>
        </w:rPr>
        <w:t>Establishing Gender Equity Cells and linking them with Institutional Quality Assurance Cells (IQAC) to collect measurable data.</w:t>
      </w:r>
    </w:p>
    <w:p>
      <w:pPr>
        <w:pStyle w:val="ListBullet2"/>
        <w:ind w:left="720"/>
        <w:jc w:val="both"/>
      </w:pPr>
      <w:r>
        <w:rPr>
          <w:rFonts w:ascii="Cambria" w:hAnsi="Cambria"/>
          <w:sz w:val="22"/>
        </w:rPr>
        <w:t>Conducting annual gender audits and publishing institutional gender equity reports.</w:t>
      </w:r>
    </w:p>
    <w:p>
      <w:pPr>
        <w:pStyle w:val="ListBullet2"/>
        <w:ind w:left="720"/>
        <w:jc w:val="both"/>
      </w:pPr>
      <w:r>
        <w:rPr>
          <w:rFonts w:ascii="Cambria" w:hAnsi="Cambria"/>
          <w:sz w:val="22"/>
        </w:rPr>
        <w:t>Encouraging gender-related research, publications, and funded projects in collaboration with national and international agencies.</w:t>
      </w:r>
    </w:p>
    <w:p>
      <w:pPr>
        <w:pStyle w:val="ListBullet2"/>
        <w:ind w:left="720"/>
        <w:jc w:val="both"/>
      </w:pPr>
      <w:r>
        <w:rPr>
          <w:rFonts w:ascii="Cambria" w:hAnsi="Cambria"/>
          <w:sz w:val="22"/>
        </w:rPr>
        <w:t>Ensuring equal representation in recruitment and promotion committees and leadership positions.</w:t>
      </w:r>
    </w:p>
    <w:p>
      <w:pPr>
        <w:pStyle w:val="ListBullet2"/>
        <w:ind w:left="720"/>
        <w:jc w:val="both"/>
      </w:pPr>
      <w:r>
        <w:rPr>
          <w:rFonts w:ascii="Cambria" w:hAnsi="Cambria"/>
          <w:sz w:val="22"/>
        </w:rPr>
        <w:t>Promoting awareness campaigns and training programs for gender sensitization among faculty, staff, and students.</w:t>
      </w:r>
    </w:p>
    <w:p>
      <w:pPr>
        <w:pStyle w:val="ListBullet"/>
        <w:ind w:left="357"/>
        <w:jc w:val="both"/>
      </w:pPr>
      <w:r>
        <w:rPr>
          <w:rFonts w:ascii="Cambria" w:hAnsi="Cambria"/>
          <w:sz w:val="22"/>
        </w:rPr>
        <w:t>Institutional performance on SDG-5 should be monitored and rewarded through national accreditation and ranking systems (NAAC, NIRF) to align domestic frameworks with global standards.</w:t>
      </w:r>
    </w:p>
    <w:p>
      <w:pPr>
        <w:spacing w:before="240" w:after="120"/>
        <w:jc w:val="left"/>
      </w:pPr>
      <w:r>
        <w:rPr>
          <w:rFonts w:ascii="Cambria" w:hAnsi="Cambria"/>
          <w:b/>
          <w:color w:val="1F3A5F"/>
          <w:sz w:val="28"/>
        </w:rPr>
        <w:t>6. The Way Forward for India's Gender-Inclusive Growth</w:t>
      </w:r>
    </w:p>
    <w:p>
      <w:pPr>
        <w:pStyle w:val="ListBullet"/>
        <w:ind w:left="357"/>
        <w:jc w:val="both"/>
      </w:pPr>
      <w:r>
        <w:rPr>
          <w:rFonts w:ascii="Cambria" w:hAnsi="Cambria"/>
          <w:sz w:val="22"/>
        </w:rPr>
        <w:t>For India to achieve gender-inclusive growth, HEIs must play a proactive role as agents of equality and social change.</w:t>
      </w:r>
    </w:p>
    <w:p>
      <w:pPr>
        <w:pStyle w:val="ListBullet"/>
        <w:ind w:left="357"/>
        <w:jc w:val="both"/>
      </w:pPr>
      <w:r>
        <w:rPr>
          <w:rFonts w:ascii="Cambria" w:hAnsi="Cambria"/>
          <w:sz w:val="22"/>
        </w:rPr>
        <w:t>Integrating gender equality into higher education is essential for achieving broader national goals of economic empowerment, innovation, and sustainable development.</w:t>
      </w:r>
    </w:p>
    <w:p>
      <w:pPr>
        <w:pStyle w:val="ListBullet"/>
        <w:ind w:left="357"/>
        <w:jc w:val="both"/>
      </w:pPr>
      <w:r>
        <w:rPr>
          <w:rFonts w:ascii="Cambria" w:hAnsi="Cambria"/>
          <w:sz w:val="22"/>
        </w:rPr>
        <w:t>Institutions must internalize SDG-5 objectives by transforming their policies, curriculum, and culture to reflect inclusivity and respect for all genders.</w:t>
      </w:r>
    </w:p>
    <w:p>
      <w:pPr>
        <w:pStyle w:val="ListBullet"/>
        <w:ind w:left="357"/>
        <w:jc w:val="both"/>
      </w:pPr>
      <w:r>
        <w:rPr>
          <w:rFonts w:ascii="Cambria" w:hAnsi="Cambria"/>
          <w:sz w:val="22"/>
        </w:rPr>
        <w:t>Collaborations with international organizations, participation in global ranking frameworks, and sharing of best practices can help Indian HEIs strengthen their gender equality performance.</w:t>
      </w:r>
    </w:p>
    <w:p>
      <w:pPr>
        <w:spacing w:before="240" w:after="120"/>
        <w:jc w:val="left"/>
      </w:pPr>
      <w:r>
        <w:rPr>
          <w:rFonts w:ascii="Cambria" w:hAnsi="Cambria"/>
          <w:b/>
          <w:color w:val="1F3A5F"/>
          <w:sz w:val="28"/>
        </w:rPr>
        <w:t>7. Conclusion</w:t>
      </w:r>
    </w:p>
    <w:p>
      <w:pPr>
        <w:spacing w:after="120"/>
        <w:jc w:val="both"/>
      </w:pPr>
      <w:r>
        <w:rPr>
          <w:rFonts w:ascii="Cambria" w:hAnsi="Cambria"/>
          <w:b w:val="0"/>
          <w:i w:val="0"/>
          <w:sz w:val="22"/>
        </w:rPr>
        <w:t>The low participation of Indian institutions in the Times Higher Education (THE) SDG-5 rankings is a wake-up call that reflects systemic gaps in gender inclusivity and institutional accountability.</w:t>
      </w:r>
    </w:p>
    <w:p>
      <w:pPr>
        <w:spacing w:after="120"/>
        <w:jc w:val="both"/>
      </w:pPr>
      <w:r>
        <w:rPr>
          <w:rFonts w:ascii="Cambria" w:hAnsi="Cambria"/>
          <w:b w:val="0"/>
          <w:i w:val="0"/>
          <w:sz w:val="22"/>
        </w:rPr>
        <w:t>Unless Indian HEIs actively assume their responsibility toward gender equality, progress toward achieving SDG-5 and SDG-4 (Quality Education) will remain slow and fragmented.</w:t>
      </w:r>
    </w:p>
    <w:p>
      <w:pPr>
        <w:spacing w:after="120"/>
        <w:jc w:val="both"/>
      </w:pPr>
      <w:r>
        <w:rPr>
          <w:rFonts w:ascii="Cambria" w:hAnsi="Cambria"/>
          <w:b w:val="0"/>
          <w:i w:val="0"/>
          <w:sz w:val="22"/>
        </w:rPr>
        <w:t>A collective effort involving policy enforcement, institutional leadership, and societal awareness is essential to ensure that higher education becomes a driving force for gender-equitable and sustainable national development.</w:t>
      </w:r>
    </w:p>
    <w:p>
      <w:pPr>
        <w:spacing w:before="280" w:after="160"/>
        <w:jc w:val="left"/>
      </w:pPr>
      <w:r>
        <w:rPr>
          <w:rFonts w:ascii="Cambria" w:hAnsi="Cambria"/>
          <w:b/>
          <w:color w:val="1F3A5F"/>
          <w:sz w:val="32"/>
        </w:rPr>
        <w:t>29. Massive Open Online Courses (MOOCs) Related to SDG-5: Gender Equality and Women Empowerment</w:t>
      </w:r>
    </w:p>
    <w:p>
      <w:pPr>
        <w:spacing w:before="240" w:after="120"/>
        <w:jc w:val="left"/>
      </w:pPr>
      <w:r>
        <w:rPr>
          <w:rFonts w:ascii="Cambria" w:hAnsi="Cambria"/>
          <w:b/>
          <w:color w:val="1F3A5F"/>
          <w:sz w:val="28"/>
        </w:rPr>
        <w:t>Overview</w:t>
      </w:r>
    </w:p>
    <w:p>
      <w:pPr>
        <w:pStyle w:val="ListBullet"/>
        <w:ind w:left="357"/>
        <w:jc w:val="both"/>
      </w:pPr>
      <w:r>
        <w:rPr>
          <w:rFonts w:ascii="Cambria" w:hAnsi="Cambria"/>
          <w:sz w:val="22"/>
        </w:rPr>
        <w:t>Massive Open Online Courses (MOOCs) play a crucial role in advancing awareness and education related to Sustainable Development Goal 5 (SDG-5): Gender Equality.</w:t>
      </w:r>
    </w:p>
    <w:p>
      <w:pPr>
        <w:pStyle w:val="ListBullet"/>
        <w:ind w:left="357"/>
        <w:jc w:val="both"/>
      </w:pPr>
      <w:r>
        <w:rPr>
          <w:rFonts w:ascii="Cambria" w:hAnsi="Cambria"/>
          <w:sz w:val="22"/>
        </w:rPr>
        <w:t>These courses, offered by globally reputed universities and platforms, focus on key issues such as gender diversity, human rights, women's health, workplace inclusion, and social change.</w:t>
      </w:r>
    </w:p>
    <w:p>
      <w:pPr>
        <w:pStyle w:val="ListBullet"/>
        <w:ind w:left="357"/>
        <w:jc w:val="both"/>
      </w:pPr>
      <w:r>
        <w:rPr>
          <w:rFonts w:ascii="Cambria" w:hAnsi="Cambria"/>
          <w:sz w:val="22"/>
        </w:rPr>
        <w:t>By providing open access to quality learning, MOOCs empower learners, educators, and professionals to understand and contribute toward gender-inclusive growth and sustainable development.</w:t>
      </w:r>
    </w:p>
    <w:p>
      <w:pPr>
        <w:pStyle w:val="ListBullet"/>
        <w:ind w:left="357"/>
        <w:jc w:val="both"/>
      </w:pPr>
      <w:r>
        <w:rPr>
          <w:rFonts w:ascii="Cambria" w:hAnsi="Cambria"/>
          <w:sz w:val="22"/>
        </w:rPr>
        <w:t>The following table lists major MOOCs aligned with SDG-5, offered by various Higher Education Institutions (HEIs) and United Nations–aligned initiatives.</w:t>
      </w:r>
    </w:p>
    <w:tbl>
      <w:tblPr>
        <w:tblW w:type="auto" w:w="0"/>
        <w:jc w:val="center"/>
        <w:tblLook w:firstColumn="1" w:firstRow="1" w:lastColumn="0" w:lastRow="0" w:noHBand="0" w:noVBand="1" w:val="04A0"/>
        <w:tblLayout w:type="fixed"/>
      </w:tblPr>
      <w:tblGrid>
        <w:gridCol w:w="1882"/>
        <w:gridCol w:w="1882"/>
        <w:gridCol w:w="1882"/>
        <w:gridCol w:w="1882"/>
        <w:gridCol w:w="1882"/>
      </w:tblGrid>
      <w:tr>
        <w:tc>
          <w:tcPr>
            <w:tcW w:type="dxa" w:w="567"/>
            <w:shd w:val="clear" w:color="auto" w:fill="1F3A5F"/>
            <w:tcW w:w="567" w:type="dxa"/>
          </w:tcPr>
          <w:p>
            <w:pPr>
              <w:jc w:val="left"/>
            </w:pPr>
            <w:r/>
            <w:r>
              <w:rPr>
                <w:rFonts w:ascii="Cambria" w:hAnsi="Cambria"/>
                <w:b/>
                <w:i w:val="0"/>
                <w:color w:val="FFFFFF"/>
                <w:sz w:val="22"/>
              </w:rPr>
              <w:t>No.</w:t>
            </w:r>
          </w:p>
        </w:tc>
        <w:tc>
          <w:tcPr>
            <w:tcW w:type="dxa" w:w="1871"/>
            <w:shd w:val="clear" w:color="auto" w:fill="1F3A5F"/>
            <w:tcW w:w="1871" w:type="dxa"/>
          </w:tcPr>
          <w:p>
            <w:pPr>
              <w:jc w:val="left"/>
            </w:pPr>
            <w:r/>
            <w:r>
              <w:rPr>
                <w:rFonts w:ascii="Cambria" w:hAnsi="Cambria"/>
                <w:b/>
                <w:i w:val="0"/>
                <w:color w:val="FFFFFF"/>
                <w:sz w:val="22"/>
              </w:rPr>
              <w:t>Course Title</w:t>
            </w:r>
          </w:p>
        </w:tc>
        <w:tc>
          <w:tcPr>
            <w:tcW w:type="dxa" w:w="1020"/>
            <w:shd w:val="clear" w:color="auto" w:fill="1F3A5F"/>
            <w:tcW w:w="1020" w:type="dxa"/>
          </w:tcPr>
          <w:p>
            <w:pPr>
              <w:jc w:val="left"/>
            </w:pPr>
            <w:r/>
            <w:r>
              <w:rPr>
                <w:rFonts w:ascii="Cambria" w:hAnsi="Cambria"/>
                <w:b/>
                <w:i w:val="0"/>
                <w:color w:val="FFFFFF"/>
                <w:sz w:val="22"/>
              </w:rPr>
              <w:t>Platform</w:t>
            </w:r>
          </w:p>
        </w:tc>
        <w:tc>
          <w:tcPr>
            <w:tcW w:type="dxa" w:w="1871"/>
            <w:shd w:val="clear" w:color="auto" w:fill="1F3A5F"/>
            <w:tcW w:w="1871" w:type="dxa"/>
          </w:tcPr>
          <w:p>
            <w:pPr>
              <w:jc w:val="left"/>
            </w:pPr>
            <w:r/>
            <w:r>
              <w:rPr>
                <w:rFonts w:ascii="Cambria" w:hAnsi="Cambria"/>
                <w:b/>
                <w:i w:val="0"/>
                <w:color w:val="FFFFFF"/>
                <w:sz w:val="22"/>
              </w:rPr>
              <w:t>Sponsor / Offering Institution</w:t>
            </w:r>
          </w:p>
        </w:tc>
        <w:tc>
          <w:tcPr>
            <w:tcW w:type="dxa" w:w="4082"/>
            <w:shd w:val="clear" w:color="auto" w:fill="1F3A5F"/>
            <w:tcW w:w="4082" w:type="dxa"/>
          </w:tcPr>
          <w:p>
            <w:pPr>
              <w:jc w:val="left"/>
            </w:pPr>
            <w:r/>
            <w:r>
              <w:rPr>
                <w:rFonts w:ascii="Cambria" w:hAnsi="Cambria"/>
                <w:b/>
                <w:i w:val="0"/>
                <w:color w:val="FFFFFF"/>
                <w:sz w:val="22"/>
              </w:rPr>
              <w:t>SDG Target / Focus Area</w:t>
            </w:r>
          </w:p>
        </w:tc>
      </w:tr>
      <w:tr>
        <w:tc>
          <w:tcPr>
            <w:tcW w:type="dxa" w:w="567"/>
            <w:tcW w:w="567" w:type="dxa"/>
          </w:tcPr>
          <w:p>
            <w:pPr>
              <w:jc w:val="left"/>
            </w:pPr>
            <w:r/>
            <w:r>
              <w:rPr>
                <w:rFonts w:ascii="Cambria" w:hAnsi="Cambria"/>
                <w:b w:val="0"/>
                <w:i w:val="0"/>
                <w:sz w:val="22"/>
              </w:rPr>
              <w:t>1</w:t>
            </w:r>
          </w:p>
        </w:tc>
        <w:tc>
          <w:tcPr>
            <w:tcW w:type="dxa" w:w="1871"/>
            <w:tcW w:w="1871" w:type="dxa"/>
          </w:tcPr>
          <w:p>
            <w:pPr>
              <w:jc w:val="left"/>
            </w:pPr>
            <w:r/>
            <w:r>
              <w:rPr>
                <w:rFonts w:ascii="Cambria" w:hAnsi="Cambria"/>
                <w:b w:val="0"/>
                <w:i w:val="0"/>
                <w:sz w:val="22"/>
              </w:rPr>
              <w:t>Gender Equality and Sexual Diversity</w:t>
            </w:r>
          </w:p>
        </w:tc>
        <w:tc>
          <w:tcPr>
            <w:tcW w:type="dxa" w:w="1020"/>
            <w:tcW w:w="1020" w:type="dxa"/>
          </w:tcPr>
          <w:p>
            <w:pPr>
              <w:jc w:val="left"/>
            </w:pPr>
            <w:r/>
            <w:r>
              <w:rPr>
                <w:rFonts w:ascii="Cambria" w:hAnsi="Cambria"/>
                <w:b w:val="0"/>
                <w:i w:val="0"/>
                <w:sz w:val="22"/>
              </w:rPr>
              <w:t>Udemy</w:t>
            </w:r>
          </w:p>
        </w:tc>
        <w:tc>
          <w:tcPr>
            <w:tcW w:type="dxa" w:w="1871"/>
            <w:tcW w:w="1871" w:type="dxa"/>
          </w:tcPr>
          <w:p>
            <w:pPr>
              <w:jc w:val="left"/>
            </w:pPr>
            <w:r/>
            <w:r>
              <w:rPr>
                <w:rFonts w:ascii="Cambria" w:hAnsi="Cambria"/>
                <w:b w:val="0"/>
                <w:i w:val="0"/>
                <w:sz w:val="22"/>
              </w:rPr>
              <w:t>Diego Portales University, Chile, South America</w:t>
            </w:r>
          </w:p>
        </w:tc>
        <w:tc>
          <w:tcPr>
            <w:tcW w:type="dxa" w:w="4082"/>
            <w:tcW w:w="4082" w:type="dxa"/>
          </w:tcPr>
          <w:p>
            <w:pPr>
              <w:jc w:val="left"/>
            </w:pPr>
            <w:r/>
            <w:r>
              <w:rPr>
                <w:rFonts w:ascii="Cambria" w:hAnsi="Cambria"/>
                <w:b w:val="0"/>
                <w:i w:val="0"/>
                <w:sz w:val="22"/>
              </w:rPr>
              <w:t>Promotes awareness on gender diversity, equality, and social inclusion aligned with SDG Target 5.1 – End all forms of discrimination against women and girls.</w:t>
            </w:r>
          </w:p>
        </w:tc>
      </w:tr>
      <w:tr>
        <w:tc>
          <w:tcPr>
            <w:tcW w:type="dxa" w:w="567"/>
            <w:tcW w:w="567" w:type="dxa"/>
            <w:shd w:val="clear" w:color="auto" w:fill="DCE6F1"/>
          </w:tcPr>
          <w:p>
            <w:pPr>
              <w:jc w:val="left"/>
            </w:pPr>
            <w:r/>
            <w:r>
              <w:rPr>
                <w:rFonts w:ascii="Cambria" w:hAnsi="Cambria"/>
                <w:b w:val="0"/>
                <w:i w:val="0"/>
                <w:sz w:val="22"/>
              </w:rPr>
              <w:t>2</w:t>
            </w:r>
          </w:p>
        </w:tc>
        <w:tc>
          <w:tcPr>
            <w:tcW w:type="dxa" w:w="1871"/>
            <w:tcW w:w="1871" w:type="dxa"/>
            <w:shd w:val="clear" w:color="auto" w:fill="DCE6F1"/>
          </w:tcPr>
          <w:p>
            <w:pPr>
              <w:jc w:val="left"/>
            </w:pPr>
            <w:r/>
            <w:r>
              <w:rPr>
                <w:rFonts w:ascii="Cambria" w:hAnsi="Cambria"/>
                <w:b w:val="0"/>
                <w:i w:val="0"/>
                <w:sz w:val="22"/>
              </w:rPr>
              <w:t>International Women's Health and Human Rights</w:t>
            </w:r>
          </w:p>
        </w:tc>
        <w:tc>
          <w:tcPr>
            <w:tcW w:type="dxa" w:w="1020"/>
            <w:tcW w:w="1020" w:type="dxa"/>
            <w:shd w:val="clear" w:color="auto" w:fill="DCE6F1"/>
          </w:tcPr>
          <w:p>
            <w:pPr>
              <w:jc w:val="left"/>
            </w:pPr>
            <w:r/>
            <w:r>
              <w:rPr>
                <w:rFonts w:ascii="Cambria" w:hAnsi="Cambria"/>
                <w:b w:val="0"/>
                <w:i w:val="0"/>
                <w:sz w:val="22"/>
              </w:rPr>
              <w:t>Coursera</w:t>
            </w:r>
          </w:p>
        </w:tc>
        <w:tc>
          <w:tcPr>
            <w:tcW w:type="dxa" w:w="1871"/>
            <w:tcW w:w="1871" w:type="dxa"/>
            <w:shd w:val="clear" w:color="auto" w:fill="DCE6F1"/>
          </w:tcPr>
          <w:p>
            <w:pPr>
              <w:jc w:val="left"/>
            </w:pPr>
            <w:r/>
            <w:r>
              <w:rPr>
                <w:rFonts w:ascii="Cambria" w:hAnsi="Cambria"/>
                <w:b w:val="0"/>
                <w:i w:val="0"/>
                <w:sz w:val="22"/>
              </w:rPr>
              <w:t>Stanford University</w:t>
            </w:r>
          </w:p>
        </w:tc>
        <w:tc>
          <w:tcPr>
            <w:tcW w:type="dxa" w:w="4082"/>
            <w:tcW w:w="4082" w:type="dxa"/>
            <w:shd w:val="clear" w:color="auto" w:fill="DCE6F1"/>
          </w:tcPr>
          <w:p>
            <w:pPr>
              <w:jc w:val="left"/>
            </w:pPr>
            <w:r/>
            <w:r>
              <w:rPr>
                <w:rFonts w:ascii="Cambria" w:hAnsi="Cambria"/>
                <w:b w:val="0"/>
                <w:i w:val="0"/>
                <w:sz w:val="22"/>
              </w:rPr>
              <w:t>Addresses women's health, rights, and empowerment; focuses on SDG Target 5.6 – Ensure universal access to sexual and reproductive health and rights.</w:t>
            </w:r>
          </w:p>
        </w:tc>
      </w:tr>
      <w:tr>
        <w:tc>
          <w:tcPr>
            <w:tcW w:type="dxa" w:w="567"/>
            <w:tcW w:w="567" w:type="dxa"/>
          </w:tcPr>
          <w:p>
            <w:pPr>
              <w:jc w:val="left"/>
            </w:pPr>
            <w:r/>
            <w:r>
              <w:rPr>
                <w:rFonts w:ascii="Cambria" w:hAnsi="Cambria"/>
                <w:b w:val="0"/>
                <w:i w:val="0"/>
                <w:sz w:val="22"/>
              </w:rPr>
              <w:t>3</w:t>
            </w:r>
          </w:p>
        </w:tc>
        <w:tc>
          <w:tcPr>
            <w:tcW w:type="dxa" w:w="1871"/>
            <w:tcW w:w="1871" w:type="dxa"/>
          </w:tcPr>
          <w:p>
            <w:pPr>
              <w:jc w:val="left"/>
            </w:pPr>
            <w:r/>
            <w:r>
              <w:rPr>
                <w:rFonts w:ascii="Cambria" w:hAnsi="Cambria"/>
                <w:b w:val="0"/>
                <w:i w:val="0"/>
                <w:sz w:val="22"/>
              </w:rPr>
              <w:t>Queering Identities: LGBTQ+ Sexuality and Gender Identity</w:t>
            </w:r>
          </w:p>
        </w:tc>
        <w:tc>
          <w:tcPr>
            <w:tcW w:type="dxa" w:w="1020"/>
            <w:tcW w:w="1020" w:type="dxa"/>
          </w:tcPr>
          <w:p>
            <w:pPr>
              <w:jc w:val="left"/>
            </w:pPr>
            <w:r/>
            <w:r>
              <w:rPr>
                <w:rFonts w:ascii="Cambria" w:hAnsi="Cambria"/>
                <w:b w:val="0"/>
                <w:i w:val="0"/>
                <w:sz w:val="22"/>
              </w:rPr>
              <w:t>Coursera</w:t>
            </w:r>
          </w:p>
        </w:tc>
        <w:tc>
          <w:tcPr>
            <w:tcW w:type="dxa" w:w="1871"/>
            <w:tcW w:w="1871" w:type="dxa"/>
          </w:tcPr>
          <w:p>
            <w:pPr>
              <w:jc w:val="left"/>
            </w:pPr>
            <w:r/>
            <w:r>
              <w:rPr>
                <w:rFonts w:ascii="Cambria" w:hAnsi="Cambria"/>
                <w:b w:val="0"/>
                <w:i w:val="0"/>
                <w:sz w:val="22"/>
              </w:rPr>
              <w:t>University of Colorado System</w:t>
            </w:r>
          </w:p>
        </w:tc>
        <w:tc>
          <w:tcPr>
            <w:tcW w:type="dxa" w:w="4082"/>
            <w:tcW w:w="4082" w:type="dxa"/>
          </w:tcPr>
          <w:p>
            <w:pPr>
              <w:jc w:val="left"/>
            </w:pPr>
            <w:r/>
            <w:r>
              <w:rPr>
                <w:rFonts w:ascii="Cambria" w:hAnsi="Cambria"/>
                <w:b w:val="0"/>
                <w:i w:val="0"/>
                <w:sz w:val="22"/>
              </w:rPr>
              <w:t>Explores gender identity and LGBTQ+ inclusion; relates to SDG Target 5.1 &amp; 10.3 – Eliminate discrimination and ensure equal opportunity.</w:t>
            </w:r>
          </w:p>
        </w:tc>
      </w:tr>
      <w:tr>
        <w:tc>
          <w:tcPr>
            <w:tcW w:type="dxa" w:w="567"/>
            <w:tcW w:w="567" w:type="dxa"/>
            <w:shd w:val="clear" w:color="auto" w:fill="DCE6F1"/>
          </w:tcPr>
          <w:p>
            <w:pPr>
              <w:jc w:val="left"/>
            </w:pPr>
            <w:r/>
            <w:r>
              <w:rPr>
                <w:rFonts w:ascii="Cambria" w:hAnsi="Cambria"/>
                <w:b w:val="0"/>
                <w:i w:val="0"/>
                <w:sz w:val="22"/>
              </w:rPr>
              <w:t>4</w:t>
            </w:r>
          </w:p>
        </w:tc>
        <w:tc>
          <w:tcPr>
            <w:tcW w:type="dxa" w:w="1871"/>
            <w:tcW w:w="1871" w:type="dxa"/>
            <w:shd w:val="clear" w:color="auto" w:fill="DCE6F1"/>
          </w:tcPr>
          <w:p>
            <w:pPr>
              <w:jc w:val="left"/>
            </w:pPr>
            <w:r/>
            <w:r>
              <w:rPr>
                <w:rFonts w:ascii="Cambria" w:hAnsi="Cambria"/>
                <w:b w:val="0"/>
                <w:i w:val="0"/>
                <w:sz w:val="22"/>
              </w:rPr>
              <w:t>Gender and Sexuality: Diversity and Inclusion in the Workplace</w:t>
            </w:r>
          </w:p>
        </w:tc>
        <w:tc>
          <w:tcPr>
            <w:tcW w:type="dxa" w:w="1020"/>
            <w:tcW w:w="1020" w:type="dxa"/>
            <w:shd w:val="clear" w:color="auto" w:fill="DCE6F1"/>
          </w:tcPr>
          <w:p>
            <w:pPr>
              <w:jc w:val="left"/>
            </w:pPr>
            <w:r/>
            <w:r>
              <w:rPr>
                <w:rFonts w:ascii="Cambria" w:hAnsi="Cambria"/>
                <w:b w:val="0"/>
                <w:i w:val="0"/>
                <w:sz w:val="22"/>
              </w:rPr>
              <w:t>Coursera</w:t>
            </w:r>
          </w:p>
        </w:tc>
        <w:tc>
          <w:tcPr>
            <w:tcW w:type="dxa" w:w="1871"/>
            <w:tcW w:w="1871" w:type="dxa"/>
            <w:shd w:val="clear" w:color="auto" w:fill="DCE6F1"/>
          </w:tcPr>
          <w:p>
            <w:pPr>
              <w:jc w:val="left"/>
            </w:pPr>
            <w:r/>
            <w:r>
              <w:rPr>
                <w:rFonts w:ascii="Cambria" w:hAnsi="Cambria"/>
                <w:b w:val="0"/>
                <w:i w:val="0"/>
                <w:sz w:val="22"/>
              </w:rPr>
              <w:t>University of Toronto</w:t>
            </w:r>
          </w:p>
        </w:tc>
        <w:tc>
          <w:tcPr>
            <w:tcW w:type="dxa" w:w="4082"/>
            <w:tcW w:w="4082" w:type="dxa"/>
            <w:shd w:val="clear" w:color="auto" w:fill="DCE6F1"/>
          </w:tcPr>
          <w:p>
            <w:pPr>
              <w:jc w:val="left"/>
            </w:pPr>
            <w:r/>
            <w:r>
              <w:rPr>
                <w:rFonts w:ascii="Cambria" w:hAnsi="Cambria"/>
                <w:b w:val="0"/>
                <w:i w:val="0"/>
                <w:sz w:val="22"/>
              </w:rPr>
              <w:t>Focuses on inclusive workplace practices, leadership, and equality; supports SDG Target 5.5 – Ensure full participation of women in leadership roles.</w:t>
            </w:r>
          </w:p>
        </w:tc>
      </w:tr>
      <w:tr>
        <w:tc>
          <w:tcPr>
            <w:tcW w:type="dxa" w:w="567"/>
            <w:tcW w:w="567" w:type="dxa"/>
          </w:tcPr>
          <w:p>
            <w:pPr>
              <w:jc w:val="left"/>
            </w:pPr>
            <w:r/>
            <w:r>
              <w:rPr>
                <w:rFonts w:ascii="Cambria" w:hAnsi="Cambria"/>
                <w:b w:val="0"/>
                <w:i w:val="0"/>
                <w:sz w:val="22"/>
              </w:rPr>
              <w:t>5</w:t>
            </w:r>
          </w:p>
        </w:tc>
        <w:tc>
          <w:tcPr>
            <w:tcW w:type="dxa" w:w="1871"/>
            <w:tcW w:w="1871" w:type="dxa"/>
          </w:tcPr>
          <w:p>
            <w:pPr>
              <w:jc w:val="left"/>
            </w:pPr>
            <w:r/>
            <w:r>
              <w:rPr>
                <w:rFonts w:ascii="Cambria" w:hAnsi="Cambria"/>
                <w:b w:val="0"/>
                <w:i w:val="0"/>
                <w:sz w:val="22"/>
              </w:rPr>
              <w:t>Gender Analytics for Innovation</w:t>
            </w:r>
          </w:p>
        </w:tc>
        <w:tc>
          <w:tcPr>
            <w:tcW w:type="dxa" w:w="1020"/>
            <w:tcW w:w="1020" w:type="dxa"/>
          </w:tcPr>
          <w:p>
            <w:pPr>
              <w:jc w:val="left"/>
            </w:pPr>
            <w:r/>
            <w:r>
              <w:rPr>
                <w:rFonts w:ascii="Cambria" w:hAnsi="Cambria"/>
                <w:b w:val="0"/>
                <w:i w:val="0"/>
                <w:sz w:val="22"/>
              </w:rPr>
              <w:t>Coursera</w:t>
            </w:r>
          </w:p>
        </w:tc>
        <w:tc>
          <w:tcPr>
            <w:tcW w:type="dxa" w:w="1871"/>
            <w:tcW w:w="1871" w:type="dxa"/>
          </w:tcPr>
          <w:p>
            <w:pPr>
              <w:jc w:val="left"/>
            </w:pPr>
            <w:r/>
            <w:r>
              <w:rPr>
                <w:rFonts w:ascii="Cambria" w:hAnsi="Cambria"/>
                <w:b w:val="0"/>
                <w:i w:val="0"/>
                <w:sz w:val="22"/>
              </w:rPr>
              <w:t>University of Toronto</w:t>
            </w:r>
          </w:p>
        </w:tc>
        <w:tc>
          <w:tcPr>
            <w:tcW w:type="dxa" w:w="4082"/>
            <w:tcW w:w="4082" w:type="dxa"/>
          </w:tcPr>
          <w:p>
            <w:pPr>
              <w:jc w:val="left"/>
            </w:pPr>
            <w:r/>
            <w:r>
              <w:rPr>
                <w:rFonts w:ascii="Cambria" w:hAnsi="Cambria"/>
                <w:b w:val="0"/>
                <w:i w:val="0"/>
                <w:sz w:val="22"/>
              </w:rPr>
              <w:t>Connects gender inclusivity with innovation and business strategy; linked to SDG Target 5.c – Adopt and strengthen policies for gender equality.</w:t>
            </w:r>
          </w:p>
        </w:tc>
      </w:tr>
      <w:tr>
        <w:tc>
          <w:tcPr>
            <w:tcW w:type="dxa" w:w="567"/>
            <w:tcW w:w="567" w:type="dxa"/>
            <w:shd w:val="clear" w:color="auto" w:fill="DCE6F1"/>
          </w:tcPr>
          <w:p>
            <w:pPr>
              <w:jc w:val="left"/>
            </w:pPr>
            <w:r/>
            <w:r>
              <w:rPr>
                <w:rFonts w:ascii="Cambria" w:hAnsi="Cambria"/>
                <w:b w:val="0"/>
                <w:i w:val="0"/>
                <w:sz w:val="22"/>
              </w:rPr>
              <w:t>6</w:t>
            </w:r>
          </w:p>
        </w:tc>
        <w:tc>
          <w:tcPr>
            <w:tcW w:type="dxa" w:w="1871"/>
            <w:tcW w:w="1871" w:type="dxa"/>
            <w:shd w:val="clear" w:color="auto" w:fill="DCE6F1"/>
          </w:tcPr>
          <w:p>
            <w:pPr>
              <w:jc w:val="left"/>
            </w:pPr>
            <w:r/>
            <w:r>
              <w:rPr>
                <w:rFonts w:ascii="Cambria" w:hAnsi="Cambria"/>
                <w:b w:val="0"/>
                <w:i w:val="0"/>
                <w:sz w:val="22"/>
              </w:rPr>
              <w:t>Confronting Gender-Based Violence: Global Lessons for Healthcare Workers</w:t>
            </w:r>
          </w:p>
        </w:tc>
        <w:tc>
          <w:tcPr>
            <w:tcW w:type="dxa" w:w="1020"/>
            <w:tcW w:w="1020" w:type="dxa"/>
            <w:shd w:val="clear" w:color="auto" w:fill="DCE6F1"/>
          </w:tcPr>
          <w:p>
            <w:pPr>
              <w:jc w:val="left"/>
            </w:pPr>
            <w:r/>
            <w:r>
              <w:rPr>
                <w:rFonts w:ascii="Cambria" w:hAnsi="Cambria"/>
                <w:b w:val="0"/>
                <w:i w:val="0"/>
                <w:sz w:val="22"/>
              </w:rPr>
              <w:t>Coursera</w:t>
            </w:r>
          </w:p>
        </w:tc>
        <w:tc>
          <w:tcPr>
            <w:tcW w:type="dxa" w:w="1871"/>
            <w:tcW w:w="1871" w:type="dxa"/>
            <w:shd w:val="clear" w:color="auto" w:fill="DCE6F1"/>
          </w:tcPr>
          <w:p>
            <w:pPr>
              <w:jc w:val="left"/>
            </w:pPr>
            <w:r/>
            <w:r>
              <w:rPr>
                <w:rFonts w:ascii="Cambria" w:hAnsi="Cambria"/>
                <w:b w:val="0"/>
                <w:i w:val="0"/>
                <w:sz w:val="22"/>
              </w:rPr>
              <w:t>Johns Hopkins University</w:t>
            </w:r>
          </w:p>
        </w:tc>
        <w:tc>
          <w:tcPr>
            <w:tcW w:type="dxa" w:w="4082"/>
            <w:tcW w:w="4082" w:type="dxa"/>
            <w:shd w:val="clear" w:color="auto" w:fill="DCE6F1"/>
          </w:tcPr>
          <w:p>
            <w:pPr>
              <w:jc w:val="left"/>
            </w:pPr>
            <w:r/>
            <w:r>
              <w:rPr>
                <w:rFonts w:ascii="Cambria" w:hAnsi="Cambria"/>
                <w:b w:val="0"/>
                <w:i w:val="0"/>
                <w:sz w:val="22"/>
              </w:rPr>
              <w:t>Provides global perspectives on preventing gender-based violence; aligns with SDG Target 5.2 – Eliminate violence against women and girls.</w:t>
            </w:r>
          </w:p>
        </w:tc>
      </w:tr>
      <w:tr>
        <w:tc>
          <w:tcPr>
            <w:tcW w:type="dxa" w:w="567"/>
            <w:tcW w:w="567" w:type="dxa"/>
          </w:tcPr>
          <w:p>
            <w:pPr>
              <w:jc w:val="left"/>
            </w:pPr>
            <w:r/>
            <w:r>
              <w:rPr>
                <w:rFonts w:ascii="Cambria" w:hAnsi="Cambria"/>
                <w:b w:val="0"/>
                <w:i w:val="0"/>
                <w:sz w:val="22"/>
              </w:rPr>
              <w:t>7</w:t>
            </w:r>
          </w:p>
        </w:tc>
        <w:tc>
          <w:tcPr>
            <w:tcW w:type="dxa" w:w="1871"/>
            <w:tcW w:w="1871" w:type="dxa"/>
          </w:tcPr>
          <w:p>
            <w:pPr>
              <w:jc w:val="left"/>
            </w:pPr>
            <w:r/>
            <w:r>
              <w:rPr>
                <w:rFonts w:ascii="Cambria" w:hAnsi="Cambria"/>
                <w:b w:val="0"/>
                <w:i w:val="0"/>
                <w:sz w:val="22"/>
              </w:rPr>
              <w:t>Impact Measurement and Management for the SDGs</w:t>
            </w:r>
          </w:p>
        </w:tc>
        <w:tc>
          <w:tcPr>
            <w:tcW w:type="dxa" w:w="1020"/>
            <w:tcW w:w="1020" w:type="dxa"/>
          </w:tcPr>
          <w:p>
            <w:pPr>
              <w:jc w:val="left"/>
            </w:pPr>
            <w:r/>
            <w:r>
              <w:rPr>
                <w:rFonts w:ascii="Cambria" w:hAnsi="Cambria"/>
                <w:b w:val="0"/>
                <w:i w:val="0"/>
                <w:sz w:val="22"/>
              </w:rPr>
              <w:t>Coursera</w:t>
            </w:r>
          </w:p>
        </w:tc>
        <w:tc>
          <w:tcPr>
            <w:tcW w:type="dxa" w:w="1871"/>
            <w:tcW w:w="1871" w:type="dxa"/>
          </w:tcPr>
          <w:p>
            <w:pPr>
              <w:jc w:val="left"/>
            </w:pPr>
            <w:r/>
            <w:r>
              <w:rPr>
                <w:rFonts w:ascii="Cambria" w:hAnsi="Cambria"/>
                <w:b w:val="0"/>
                <w:i w:val="0"/>
                <w:sz w:val="22"/>
              </w:rPr>
              <w:t>Duke University</w:t>
            </w:r>
          </w:p>
        </w:tc>
        <w:tc>
          <w:tcPr>
            <w:tcW w:type="dxa" w:w="4082"/>
            <w:tcW w:w="4082" w:type="dxa"/>
          </w:tcPr>
          <w:p>
            <w:pPr>
              <w:jc w:val="left"/>
            </w:pPr>
            <w:r/>
            <w:r>
              <w:rPr>
                <w:rFonts w:ascii="Cambria" w:hAnsi="Cambria"/>
                <w:b w:val="0"/>
                <w:i w:val="0"/>
                <w:sz w:val="22"/>
              </w:rPr>
              <w:t>Trains learners to assess social and gender impact in sustainable projects; supports SDG Target 5.a – Strengthen women's access to economic resources.</w:t>
            </w:r>
          </w:p>
        </w:tc>
      </w:tr>
      <w:tr>
        <w:tc>
          <w:tcPr>
            <w:tcW w:type="dxa" w:w="567"/>
            <w:tcW w:w="567" w:type="dxa"/>
            <w:shd w:val="clear" w:color="auto" w:fill="DCE6F1"/>
          </w:tcPr>
          <w:p>
            <w:pPr>
              <w:jc w:val="left"/>
            </w:pPr>
            <w:r/>
            <w:r>
              <w:rPr>
                <w:rFonts w:ascii="Cambria" w:hAnsi="Cambria"/>
                <w:b w:val="0"/>
                <w:i w:val="0"/>
                <w:sz w:val="22"/>
              </w:rPr>
              <w:t>8</w:t>
            </w:r>
          </w:p>
        </w:tc>
        <w:tc>
          <w:tcPr>
            <w:tcW w:type="dxa" w:w="1871"/>
            <w:tcW w:w="1871" w:type="dxa"/>
            <w:shd w:val="clear" w:color="auto" w:fill="DCE6F1"/>
          </w:tcPr>
          <w:p>
            <w:pPr>
              <w:jc w:val="left"/>
            </w:pPr>
            <w:r/>
            <w:r>
              <w:rPr>
                <w:rFonts w:ascii="Cambria" w:hAnsi="Cambria"/>
                <w:b w:val="0"/>
                <w:i w:val="0"/>
                <w:sz w:val="22"/>
              </w:rPr>
              <w:t>Gender, Family, and Social Change in Contemporary South Korea</w:t>
            </w:r>
          </w:p>
        </w:tc>
        <w:tc>
          <w:tcPr>
            <w:tcW w:type="dxa" w:w="1020"/>
            <w:tcW w:w="1020" w:type="dxa"/>
            <w:shd w:val="clear" w:color="auto" w:fill="DCE6F1"/>
          </w:tcPr>
          <w:p>
            <w:pPr>
              <w:jc w:val="left"/>
            </w:pPr>
            <w:r/>
            <w:r>
              <w:rPr>
                <w:rFonts w:ascii="Cambria" w:hAnsi="Cambria"/>
                <w:b w:val="0"/>
                <w:i w:val="0"/>
                <w:sz w:val="22"/>
              </w:rPr>
              <w:t>Coursera</w:t>
            </w:r>
          </w:p>
        </w:tc>
        <w:tc>
          <w:tcPr>
            <w:tcW w:type="dxa" w:w="1871"/>
            <w:tcW w:w="1871" w:type="dxa"/>
            <w:shd w:val="clear" w:color="auto" w:fill="DCE6F1"/>
          </w:tcPr>
          <w:p>
            <w:pPr>
              <w:jc w:val="left"/>
            </w:pPr>
            <w:r/>
            <w:r>
              <w:rPr>
                <w:rFonts w:ascii="Cambria" w:hAnsi="Cambria"/>
                <w:b w:val="0"/>
                <w:i w:val="0"/>
                <w:sz w:val="22"/>
              </w:rPr>
              <w:t>Yonsei University</w:t>
            </w:r>
          </w:p>
        </w:tc>
        <w:tc>
          <w:tcPr>
            <w:tcW w:type="dxa" w:w="4082"/>
            <w:tcW w:w="4082" w:type="dxa"/>
            <w:shd w:val="clear" w:color="auto" w:fill="DCE6F1"/>
          </w:tcPr>
          <w:p>
            <w:pPr>
              <w:jc w:val="left"/>
            </w:pPr>
            <w:r/>
            <w:r>
              <w:rPr>
                <w:rFonts w:ascii="Cambria" w:hAnsi="Cambria"/>
                <w:b w:val="0"/>
                <w:i w:val="0"/>
                <w:sz w:val="22"/>
              </w:rPr>
              <w:t>Examines gender dynamics, family roles, and societal evolution; connects to SDG Target 5.4 – Recognize and value unpaid care and domestic work.</w:t>
            </w:r>
          </w:p>
        </w:tc>
      </w:tr>
    </w:tbl>
    <w:p>
      <w:pPr>
        <w:spacing w:before="240" w:after="120"/>
        <w:jc w:val="left"/>
      </w:pPr>
      <w:r>
        <w:rPr>
          <w:rFonts w:ascii="Cambria" w:hAnsi="Cambria"/>
          <w:b/>
          <w:color w:val="1F3A5F"/>
          <w:sz w:val="28"/>
        </w:rPr>
        <w:t>Key Insights and Relevance</w:t>
      </w:r>
    </w:p>
    <w:p>
      <w:pPr>
        <w:pStyle w:val="ListBullet"/>
        <w:ind w:left="357"/>
        <w:jc w:val="both"/>
      </w:pPr>
      <w:r>
        <w:rPr>
          <w:rFonts w:ascii="Cambria" w:hAnsi="Cambria"/>
          <w:sz w:val="22"/>
        </w:rPr>
        <w:t>These MOOCs provide interdisciplinary learning experiences, integrating gender studies, sociology, public health, economics, and policy analysis.</w:t>
      </w:r>
    </w:p>
    <w:p>
      <w:pPr>
        <w:pStyle w:val="ListBullet"/>
        <w:ind w:left="357"/>
        <w:jc w:val="both"/>
      </w:pPr>
      <w:r>
        <w:rPr>
          <w:rFonts w:ascii="Cambria" w:hAnsi="Cambria"/>
          <w:sz w:val="22"/>
        </w:rPr>
        <w:t>They serve as vital resources for students, educators, researchers, policymakers, and social advocates working toward achieving gender equality.</w:t>
      </w:r>
    </w:p>
    <w:p>
      <w:pPr>
        <w:pStyle w:val="ListBullet"/>
        <w:ind w:left="357"/>
        <w:jc w:val="both"/>
      </w:pPr>
      <w:r>
        <w:rPr>
          <w:rFonts w:ascii="Cambria" w:hAnsi="Cambria"/>
          <w:sz w:val="22"/>
        </w:rPr>
        <w:t>By promoting open and inclusive education, these courses align with both SDG-4 (Quality Education) and SDG-5 (Gender Equality).</w:t>
      </w:r>
    </w:p>
    <w:p>
      <w:pPr>
        <w:pStyle w:val="ListBullet"/>
        <w:ind w:left="357"/>
        <w:jc w:val="both"/>
      </w:pPr>
      <w:r>
        <w:rPr>
          <w:rFonts w:ascii="Cambria" w:hAnsi="Cambria"/>
          <w:sz w:val="22"/>
        </w:rPr>
        <w:t>The inclusion of global perspectives—from universities in North America, South America, and Asia—reflects a diverse cultural approach to gender issues.</w:t>
      </w:r>
    </w:p>
    <w:p>
      <w:pPr>
        <w:spacing w:before="240" w:after="120"/>
        <w:jc w:val="left"/>
      </w:pPr>
      <w:r>
        <w:rPr>
          <w:rFonts w:ascii="Cambria" w:hAnsi="Cambria"/>
          <w:b/>
          <w:color w:val="1F3A5F"/>
          <w:sz w:val="28"/>
        </w:rPr>
        <w:t>Expected Outcomes of SDG-5 MOOCs</w:t>
      </w:r>
    </w:p>
    <w:p>
      <w:pPr>
        <w:pStyle w:val="ListBullet"/>
        <w:ind w:left="357"/>
        <w:jc w:val="both"/>
      </w:pPr>
      <w:r>
        <w:rPr>
          <w:rFonts w:ascii="Cambria" w:hAnsi="Cambria"/>
          <w:sz w:val="22"/>
        </w:rPr>
        <w:t>Strengthened understanding of gender rights, empowerment, and inclusive leadership.</w:t>
      </w:r>
    </w:p>
    <w:p>
      <w:pPr>
        <w:pStyle w:val="ListBullet"/>
        <w:ind w:left="357"/>
        <w:jc w:val="both"/>
      </w:pPr>
      <w:r>
        <w:rPr>
          <w:rFonts w:ascii="Cambria" w:hAnsi="Cambria"/>
          <w:sz w:val="22"/>
        </w:rPr>
        <w:t>Development of practical skills in policy design, community engagement, and gender analytics.</w:t>
      </w:r>
    </w:p>
    <w:p>
      <w:pPr>
        <w:pStyle w:val="ListBullet"/>
        <w:ind w:left="357"/>
        <w:jc w:val="both"/>
      </w:pPr>
      <w:r>
        <w:rPr>
          <w:rFonts w:ascii="Cambria" w:hAnsi="Cambria"/>
          <w:sz w:val="22"/>
        </w:rPr>
        <w:t>Promotion of cross-cultural collaboration in addressing gender-related global challenges.</w:t>
      </w:r>
    </w:p>
    <w:p>
      <w:pPr>
        <w:pStyle w:val="ListBullet"/>
        <w:ind w:left="357"/>
        <w:jc w:val="both"/>
      </w:pPr>
      <w:r>
        <w:rPr>
          <w:rFonts w:ascii="Cambria" w:hAnsi="Cambria"/>
          <w:sz w:val="22"/>
        </w:rPr>
        <w:t>Encouragement of learners to become advocates for equality in their professional and community settings.</w:t>
      </w:r>
    </w:p>
    <w:p>
      <w:pPr>
        <w:spacing w:before="240" w:after="120"/>
        <w:jc w:val="left"/>
      </w:pPr>
      <w:r>
        <w:rPr>
          <w:rFonts w:ascii="Cambria" w:hAnsi="Cambria"/>
          <w:b/>
          <w:color w:val="1F3A5F"/>
          <w:sz w:val="28"/>
        </w:rPr>
        <w:t>Conclusion</w:t>
      </w:r>
    </w:p>
    <w:p>
      <w:pPr>
        <w:spacing w:after="120"/>
        <w:jc w:val="both"/>
      </w:pPr>
      <w:r>
        <w:rPr>
          <w:rFonts w:ascii="Cambria" w:hAnsi="Cambria"/>
          <w:b w:val="0"/>
          <w:i w:val="0"/>
          <w:sz w:val="22"/>
        </w:rPr>
        <w:t>MOOCs centered on SDG-5 represent a transformative educational approach to bridge global gender awareness gaps through accessible learning.</w:t>
      </w:r>
    </w:p>
    <w:p>
      <w:pPr>
        <w:spacing w:after="120"/>
        <w:jc w:val="both"/>
      </w:pPr>
      <w:r>
        <w:rPr>
          <w:rFonts w:ascii="Cambria" w:hAnsi="Cambria"/>
          <w:b w:val="0"/>
          <w:i w:val="0"/>
          <w:sz w:val="22"/>
        </w:rPr>
        <w:t>Institutions offering such courses demonstrate a commitment to social justice, inclusion, and human rights education.</w:t>
      </w:r>
    </w:p>
    <w:p>
      <w:pPr>
        <w:spacing w:after="120"/>
        <w:jc w:val="both"/>
      </w:pPr>
      <w:r>
        <w:rPr>
          <w:rFonts w:ascii="Cambria" w:hAnsi="Cambria"/>
          <w:b w:val="0"/>
          <w:i w:val="0"/>
          <w:sz w:val="22"/>
        </w:rPr>
        <w:t>By leveraging these online platforms, HEIs and the UN contribute to building a gender-equal, informed, and empowered global community, advancing the 2030 Agenda for Sustainable Development.</w:t>
      </w:r>
    </w:p>
    <w:p>
      <w:pPr>
        <w:spacing w:before="280" w:after="160"/>
        <w:jc w:val="left"/>
      </w:pPr>
      <w:r>
        <w:rPr>
          <w:rFonts w:ascii="Cambria" w:hAnsi="Cambria"/>
          <w:b/>
          <w:color w:val="1F3A5F"/>
          <w:sz w:val="32"/>
        </w:rPr>
        <w:t>30. Access to Higher Education: Strategies for Promoting Women's Participation and Empowerment</w:t>
      </w:r>
    </w:p>
    <w:p>
      <w:pPr>
        <w:spacing w:before="240" w:after="120"/>
        <w:jc w:val="left"/>
      </w:pPr>
      <w:r>
        <w:rPr>
          <w:rFonts w:ascii="Cambria" w:hAnsi="Cambria"/>
          <w:b/>
          <w:color w:val="1F3A5F"/>
          <w:sz w:val="28"/>
        </w:rPr>
        <w:t>1. Schemes to Ensure Women's Access to Higher Education</w:t>
      </w:r>
    </w:p>
    <w:p>
      <w:pPr>
        <w:spacing w:after="120"/>
        <w:jc w:val="both"/>
      </w:pPr>
      <w:r>
        <w:rPr>
          <w:rFonts w:ascii="Cambria" w:hAnsi="Cambria"/>
          <w:b/>
          <w:i w:val="0"/>
          <w:sz w:val="22"/>
        </w:rPr>
        <w:t>Scholarships and Financial Aid</w:t>
      </w:r>
    </w:p>
    <w:p>
      <w:pPr>
        <w:pStyle w:val="ListBullet"/>
        <w:ind w:left="357"/>
        <w:jc w:val="both"/>
      </w:pPr>
      <w:r>
        <w:rPr>
          <w:rFonts w:ascii="Cambria" w:hAnsi="Cambria"/>
          <w:sz w:val="22"/>
        </w:rPr>
        <w:t>Implementation of targeted scholarships such as the Pragati Scholarship Scheme (AICTE), Indira Gandhi Postgraduate Scholarship for Single Girl Child (UGC), and Kiran Fellowship (DST) to promote women's higher education.</w:t>
      </w:r>
    </w:p>
    <w:p>
      <w:pPr>
        <w:pStyle w:val="ListBullet"/>
        <w:ind w:left="357"/>
        <w:jc w:val="both"/>
      </w:pPr>
      <w:r>
        <w:rPr>
          <w:rFonts w:ascii="Cambria" w:hAnsi="Cambria"/>
          <w:sz w:val="22"/>
        </w:rPr>
        <w:t>Provision of fee waivers, stipends, and contingency grants for women students from economically weaker backgrounds and marginalized communities.</w:t>
      </w:r>
    </w:p>
    <w:p>
      <w:pPr>
        <w:pStyle w:val="ListBullet"/>
        <w:ind w:left="357"/>
        <w:jc w:val="both"/>
      </w:pPr>
      <w:r>
        <w:rPr>
          <w:rFonts w:ascii="Cambria" w:hAnsi="Cambria"/>
          <w:sz w:val="22"/>
        </w:rPr>
        <w:t>Introduction of university-level scholarship programs supported through alumni contributions, CSR initiatives, or endowments dedicated to women's education.</w:t>
      </w:r>
    </w:p>
    <w:p>
      <w:pPr>
        <w:spacing w:after="120"/>
        <w:jc w:val="both"/>
      </w:pPr>
      <w:r>
        <w:rPr>
          <w:rFonts w:ascii="Cambria" w:hAnsi="Cambria"/>
          <w:b/>
          <w:i w:val="0"/>
          <w:sz w:val="22"/>
        </w:rPr>
        <w:t>Mentorship and Guidance Programs</w:t>
      </w:r>
    </w:p>
    <w:p>
      <w:pPr>
        <w:pStyle w:val="ListBullet"/>
        <w:ind w:left="357"/>
        <w:jc w:val="both"/>
      </w:pPr>
      <w:r>
        <w:rPr>
          <w:rFonts w:ascii="Cambria" w:hAnsi="Cambria"/>
          <w:sz w:val="22"/>
        </w:rPr>
        <w:t>Establish structured mentorship cells where senior women faculty guide young female students and researchers.</w:t>
      </w:r>
    </w:p>
    <w:p>
      <w:pPr>
        <w:pStyle w:val="ListBullet"/>
        <w:ind w:left="357"/>
        <w:jc w:val="both"/>
      </w:pPr>
      <w:r>
        <w:rPr>
          <w:rFonts w:ascii="Cambria" w:hAnsi="Cambria"/>
          <w:sz w:val="22"/>
        </w:rPr>
        <w:t>Create career counselling and skill development units offering training in leadership, digital literacy, research methods, and entrepreneurship.</w:t>
      </w:r>
    </w:p>
    <w:p>
      <w:pPr>
        <w:pStyle w:val="ListBullet"/>
        <w:ind w:left="357"/>
        <w:jc w:val="both"/>
      </w:pPr>
      <w:r>
        <w:rPr>
          <w:rFonts w:ascii="Cambria" w:hAnsi="Cambria"/>
          <w:sz w:val="22"/>
        </w:rPr>
        <w:t>Conduct capacity-building workshops to prepare women for competitive examinations, fellowships, and research careers.</w:t>
      </w:r>
    </w:p>
    <w:p>
      <w:pPr>
        <w:spacing w:after="120"/>
        <w:jc w:val="both"/>
      </w:pPr>
      <w:r>
        <w:rPr>
          <w:rFonts w:ascii="Cambria" w:hAnsi="Cambria"/>
          <w:b/>
          <w:i w:val="0"/>
          <w:sz w:val="22"/>
        </w:rPr>
        <w:t>Institutional Support Mechanisms</w:t>
      </w:r>
    </w:p>
    <w:p>
      <w:pPr>
        <w:pStyle w:val="ListBullet"/>
        <w:ind w:left="357"/>
        <w:jc w:val="both"/>
      </w:pPr>
      <w:r>
        <w:rPr>
          <w:rFonts w:ascii="Cambria" w:hAnsi="Cambria"/>
          <w:sz w:val="22"/>
        </w:rPr>
        <w:t>Formation of Women Development Cells (WDC) and Gender Equity Centres within Higher Education Institutions (HEIs) to promote inclusivity and welfare.</w:t>
      </w:r>
    </w:p>
    <w:p>
      <w:pPr>
        <w:pStyle w:val="ListBullet"/>
        <w:ind w:left="357"/>
        <w:jc w:val="both"/>
      </w:pPr>
      <w:r>
        <w:rPr>
          <w:rFonts w:ascii="Cambria" w:hAnsi="Cambria"/>
          <w:sz w:val="22"/>
        </w:rPr>
        <w:t>Provide safe accommodation, transport, and childcare facilities to make campuses accessible and supportive for women learners.</w:t>
      </w:r>
    </w:p>
    <w:p>
      <w:pPr>
        <w:pStyle w:val="ListBullet"/>
        <w:ind w:left="357"/>
        <w:jc w:val="both"/>
      </w:pPr>
      <w:r>
        <w:rPr>
          <w:rFonts w:ascii="Cambria" w:hAnsi="Cambria"/>
          <w:sz w:val="22"/>
        </w:rPr>
        <w:t>Ensure gender-sensitive grievance redressal systems and compliance with the Prevention of Sexual Harassment (POSH) Act (2013) to create safe educational environments.</w:t>
      </w:r>
    </w:p>
    <w:p>
      <w:pPr>
        <w:spacing w:before="240" w:after="120"/>
        <w:jc w:val="left"/>
      </w:pPr>
      <w:r>
        <w:rPr>
          <w:rFonts w:ascii="Cambria" w:hAnsi="Cambria"/>
          <w:b/>
          <w:color w:val="1F3A5F"/>
          <w:sz w:val="28"/>
        </w:rPr>
        <w:t>2. Outreach Activities to Encourage Women in Underrepresented Subjects (STEM)</w:t>
      </w:r>
    </w:p>
    <w:p>
      <w:pPr>
        <w:spacing w:after="120"/>
        <w:jc w:val="both"/>
      </w:pPr>
      <w:r>
        <w:rPr>
          <w:rFonts w:ascii="Cambria" w:hAnsi="Cambria"/>
          <w:b/>
          <w:i w:val="0"/>
          <w:sz w:val="22"/>
        </w:rPr>
        <w:t>STEM Participation Initiatives</w:t>
      </w:r>
    </w:p>
    <w:p>
      <w:pPr>
        <w:pStyle w:val="ListBullet"/>
        <w:ind w:left="357"/>
        <w:jc w:val="both"/>
      </w:pPr>
      <w:r>
        <w:rPr>
          <w:rFonts w:ascii="Cambria" w:hAnsi="Cambria"/>
          <w:sz w:val="22"/>
        </w:rPr>
        <w:t>Conduct awareness campaigns and bridge programs in schools and rural communities to inspire girls to pursue STEM disciplines.</w:t>
      </w:r>
    </w:p>
    <w:p>
      <w:pPr>
        <w:pStyle w:val="ListBullet"/>
        <w:ind w:left="357"/>
        <w:jc w:val="both"/>
      </w:pPr>
      <w:r>
        <w:rPr>
          <w:rFonts w:ascii="Cambria" w:hAnsi="Cambria"/>
          <w:sz w:val="22"/>
        </w:rPr>
        <w:t>Launch STEM mentorship programs connecting women students with industry professionals, researchers, and innovators.</w:t>
      </w:r>
    </w:p>
    <w:p>
      <w:pPr>
        <w:pStyle w:val="ListBullet"/>
        <w:ind w:left="357"/>
        <w:jc w:val="both"/>
      </w:pPr>
      <w:r>
        <w:rPr>
          <w:rFonts w:ascii="Cambria" w:hAnsi="Cambria"/>
          <w:sz w:val="22"/>
        </w:rPr>
        <w:t>Offer exclusive research fellowships, hackathons, and competitions for women in engineering, technology, and science domains.</w:t>
      </w:r>
    </w:p>
    <w:p>
      <w:pPr>
        <w:spacing w:after="120"/>
        <w:jc w:val="both"/>
      </w:pPr>
      <w:r>
        <w:rPr>
          <w:rFonts w:ascii="Cambria" w:hAnsi="Cambria"/>
          <w:b/>
          <w:i w:val="0"/>
          <w:sz w:val="22"/>
        </w:rPr>
        <w:t>Educational Programs and Fellowships</w:t>
      </w:r>
    </w:p>
    <w:p>
      <w:pPr>
        <w:pStyle w:val="ListBullet"/>
        <w:ind w:left="357"/>
        <w:jc w:val="both"/>
      </w:pPr>
      <w:r>
        <w:rPr>
          <w:rFonts w:ascii="Cambria" w:hAnsi="Cambria"/>
          <w:sz w:val="22"/>
        </w:rPr>
        <w:t>Promote government-led initiatives like Vigyan Jyoti (Department of Science &amp; Technology) and Women Scientists Scheme (WOS) to support women in research and innovation.</w:t>
      </w:r>
    </w:p>
    <w:p>
      <w:pPr>
        <w:pStyle w:val="ListBullet"/>
        <w:ind w:left="357"/>
        <w:jc w:val="both"/>
      </w:pPr>
      <w:r>
        <w:rPr>
          <w:rFonts w:ascii="Cambria" w:hAnsi="Cambria"/>
          <w:sz w:val="22"/>
        </w:rPr>
        <w:t>Introduce introductory coding, robotics, and AI boot camps tailored for girls in secondary schools and early college years.</w:t>
      </w:r>
    </w:p>
    <w:p>
      <w:pPr>
        <w:pStyle w:val="ListBullet"/>
        <w:ind w:left="357"/>
        <w:jc w:val="both"/>
      </w:pPr>
      <w:r>
        <w:rPr>
          <w:rFonts w:ascii="Cambria" w:hAnsi="Cambria"/>
          <w:sz w:val="22"/>
        </w:rPr>
        <w:t>Encourage universities to collaborate with STEM-focused NGOs to provide learning kits, mentorship, and exposure visits.</w:t>
      </w:r>
    </w:p>
    <w:p>
      <w:pPr>
        <w:spacing w:after="120"/>
        <w:jc w:val="both"/>
      </w:pPr>
      <w:r>
        <w:rPr>
          <w:rFonts w:ascii="Cambria" w:hAnsi="Cambria"/>
          <w:b/>
          <w:i w:val="0"/>
          <w:sz w:val="22"/>
        </w:rPr>
        <w:t>Visibility and Representation</w:t>
      </w:r>
    </w:p>
    <w:p>
      <w:pPr>
        <w:pStyle w:val="ListBullet"/>
        <w:ind w:left="357"/>
        <w:jc w:val="both"/>
      </w:pPr>
      <w:r>
        <w:rPr>
          <w:rFonts w:ascii="Cambria" w:hAnsi="Cambria"/>
          <w:sz w:val="22"/>
        </w:rPr>
        <w:t>Highlight successful women scientists, engineers, and technologists through lectures, media, and student events.</w:t>
      </w:r>
    </w:p>
    <w:p>
      <w:pPr>
        <w:pStyle w:val="ListBullet"/>
        <w:ind w:left="357"/>
        <w:jc w:val="both"/>
      </w:pPr>
      <w:r>
        <w:rPr>
          <w:rFonts w:ascii="Cambria" w:hAnsi="Cambria"/>
          <w:sz w:val="22"/>
        </w:rPr>
        <w:t>Create “Women in STEM” clubs on campuses to foster peer learning and innovation-driven engagement.</w:t>
      </w:r>
    </w:p>
    <w:p>
      <w:pPr>
        <w:spacing w:before="240" w:after="120"/>
        <w:jc w:val="left"/>
      </w:pPr>
      <w:r>
        <w:rPr>
          <w:rFonts w:ascii="Cambria" w:hAnsi="Cambria"/>
          <w:b/>
          <w:color w:val="1F3A5F"/>
          <w:sz w:val="28"/>
        </w:rPr>
        <w:t>3. Collaboration with Institutions, Community Groups, Government, or NGOs</w:t>
      </w:r>
    </w:p>
    <w:p>
      <w:pPr>
        <w:spacing w:after="120"/>
        <w:jc w:val="both"/>
      </w:pPr>
      <w:r>
        <w:rPr>
          <w:rFonts w:ascii="Cambria" w:hAnsi="Cambria"/>
          <w:b/>
          <w:i w:val="0"/>
          <w:sz w:val="22"/>
        </w:rPr>
        <w:t>Multi-Stakeholder Partnerships</w:t>
      </w:r>
    </w:p>
    <w:p>
      <w:pPr>
        <w:pStyle w:val="ListBullet"/>
        <w:ind w:left="357"/>
        <w:jc w:val="both"/>
      </w:pPr>
      <w:r>
        <w:rPr>
          <w:rFonts w:ascii="Cambria" w:hAnsi="Cambria"/>
          <w:sz w:val="22"/>
        </w:rPr>
        <w:t>Build partnerships with government departments, local bodies, and international organizations (e.g., UN Women, UNICEF, UNESCO) to fund and co-develop gender equity projects.</w:t>
      </w:r>
    </w:p>
    <w:p>
      <w:pPr>
        <w:pStyle w:val="ListBullet"/>
        <w:ind w:left="357"/>
        <w:jc w:val="both"/>
      </w:pPr>
      <w:r>
        <w:rPr>
          <w:rFonts w:ascii="Cambria" w:hAnsi="Cambria"/>
          <w:sz w:val="22"/>
        </w:rPr>
        <w:t>Collaborate with NGOs and social organizations working on women's education, health, and empowerment to extend outreach into rural and semi-urban areas.</w:t>
      </w:r>
    </w:p>
    <w:p>
      <w:pPr>
        <w:pStyle w:val="ListBullet"/>
        <w:ind w:left="357"/>
        <w:jc w:val="both"/>
      </w:pPr>
      <w:r>
        <w:rPr>
          <w:rFonts w:ascii="Cambria" w:hAnsi="Cambria"/>
          <w:sz w:val="22"/>
        </w:rPr>
        <w:t>Establish community learning hubs and digital literacy centres for women outside formal education systems.</w:t>
      </w:r>
    </w:p>
    <w:p>
      <w:pPr>
        <w:spacing w:after="120"/>
        <w:jc w:val="both"/>
      </w:pPr>
      <w:r>
        <w:rPr>
          <w:rFonts w:ascii="Cambria" w:hAnsi="Cambria"/>
          <w:b/>
          <w:i w:val="0"/>
          <w:sz w:val="22"/>
        </w:rPr>
        <w:t>Regional and National Campaigns</w:t>
      </w:r>
    </w:p>
    <w:p>
      <w:pPr>
        <w:pStyle w:val="ListBullet"/>
        <w:ind w:left="357"/>
        <w:jc w:val="both"/>
      </w:pPr>
      <w:r>
        <w:rPr>
          <w:rFonts w:ascii="Cambria" w:hAnsi="Cambria"/>
          <w:sz w:val="22"/>
        </w:rPr>
        <w:t>Participate in nationwide campaigns such as Beti Bachao Beti Padhao and National Girl Child Day to raise awareness about higher education opportunities.</w:t>
      </w:r>
    </w:p>
    <w:p>
      <w:pPr>
        <w:pStyle w:val="ListBullet"/>
        <w:ind w:left="357"/>
        <w:jc w:val="both"/>
      </w:pPr>
      <w:r>
        <w:rPr>
          <w:rFonts w:ascii="Cambria" w:hAnsi="Cambria"/>
          <w:sz w:val="22"/>
        </w:rPr>
        <w:t>Partner with local schools to host career fairs, motivational talks, and STEM exhibitions aimed at encouraging girls to pursue higher education.</w:t>
      </w:r>
    </w:p>
    <w:p>
      <w:pPr>
        <w:pStyle w:val="ListBullet"/>
        <w:ind w:left="357"/>
        <w:jc w:val="both"/>
      </w:pPr>
      <w:r>
        <w:rPr>
          <w:rFonts w:ascii="Cambria" w:hAnsi="Cambria"/>
          <w:sz w:val="22"/>
        </w:rPr>
        <w:t>Engage in media and social awareness drives promoting success stories of women achievers from the institution.</w:t>
      </w:r>
    </w:p>
    <w:p>
      <w:pPr>
        <w:spacing w:before="240" w:after="120"/>
        <w:jc w:val="left"/>
      </w:pPr>
      <w:r>
        <w:rPr>
          <w:rFonts w:ascii="Cambria" w:hAnsi="Cambria"/>
          <w:b/>
          <w:color w:val="1F3A5F"/>
          <w:sz w:val="28"/>
        </w:rPr>
        <w:t>4. Promoting Self-Employability and Entrepreneurship through Incubation Centres</w:t>
      </w:r>
    </w:p>
    <w:p>
      <w:pPr>
        <w:spacing w:after="120"/>
        <w:jc w:val="both"/>
      </w:pPr>
      <w:r>
        <w:rPr>
          <w:rFonts w:ascii="Cambria" w:hAnsi="Cambria"/>
          <w:b/>
          <w:i w:val="0"/>
          <w:sz w:val="22"/>
        </w:rPr>
        <w:t>Women-Centric Incubation Initiatives</w:t>
      </w:r>
    </w:p>
    <w:p>
      <w:pPr>
        <w:pStyle w:val="ListBullet"/>
        <w:ind w:left="357"/>
        <w:jc w:val="both"/>
      </w:pPr>
      <w:r>
        <w:rPr>
          <w:rFonts w:ascii="Cambria" w:hAnsi="Cambria"/>
          <w:sz w:val="22"/>
        </w:rPr>
        <w:t>Establish incubation and innovation centres exclusively for women entrepreneurs, offering training, mentorship, and funding assistance.</w:t>
      </w:r>
    </w:p>
    <w:p>
      <w:pPr>
        <w:pStyle w:val="ListBullet"/>
        <w:ind w:left="357"/>
        <w:jc w:val="both"/>
      </w:pPr>
      <w:r>
        <w:rPr>
          <w:rFonts w:ascii="Cambria" w:hAnsi="Cambria"/>
          <w:sz w:val="22"/>
        </w:rPr>
        <w:t>Collaborate with MSME, Startup India, and NITI Aayog's Women Entrepreneurship Platform (WEP) to promote start-ups led by women graduates.</w:t>
      </w:r>
    </w:p>
    <w:p>
      <w:pPr>
        <w:pStyle w:val="ListBullet"/>
        <w:ind w:left="357"/>
        <w:jc w:val="both"/>
      </w:pPr>
      <w:r>
        <w:rPr>
          <w:rFonts w:ascii="Cambria" w:hAnsi="Cambria"/>
          <w:sz w:val="22"/>
        </w:rPr>
        <w:t>Organize entrepreneurship boot camps and skill development programs in areas like product design, digital marketing, and social innovation.</w:t>
      </w:r>
    </w:p>
    <w:p>
      <w:pPr>
        <w:spacing w:after="120"/>
        <w:jc w:val="both"/>
      </w:pPr>
      <w:r>
        <w:rPr>
          <w:rFonts w:ascii="Cambria" w:hAnsi="Cambria"/>
          <w:b/>
          <w:i w:val="0"/>
          <w:sz w:val="22"/>
        </w:rPr>
        <w:t>Funding and Mentorship Support</w:t>
      </w:r>
    </w:p>
    <w:p>
      <w:pPr>
        <w:pStyle w:val="ListBullet"/>
        <w:ind w:left="357"/>
        <w:jc w:val="both"/>
      </w:pPr>
      <w:r>
        <w:rPr>
          <w:rFonts w:ascii="Cambria" w:hAnsi="Cambria"/>
          <w:sz w:val="22"/>
        </w:rPr>
        <w:t>Provide seed funding and access to venture capital networks for women-led business ideas.</w:t>
      </w:r>
    </w:p>
    <w:p>
      <w:pPr>
        <w:pStyle w:val="ListBullet"/>
        <w:ind w:left="357"/>
        <w:jc w:val="both"/>
      </w:pPr>
      <w:r>
        <w:rPr>
          <w:rFonts w:ascii="Cambria" w:hAnsi="Cambria"/>
          <w:sz w:val="22"/>
        </w:rPr>
        <w:t>Connect women innovators with industry mentors and business accelerators for market exposure and sustainability.</w:t>
      </w:r>
    </w:p>
    <w:p>
      <w:pPr>
        <w:pStyle w:val="ListBullet"/>
        <w:ind w:left="357"/>
        <w:jc w:val="both"/>
      </w:pPr>
      <w:r>
        <w:rPr>
          <w:rFonts w:ascii="Cambria" w:hAnsi="Cambria"/>
          <w:sz w:val="22"/>
        </w:rPr>
        <w:t>Encourage faculty-student collaborations to translate research into commercial ventures and social enterprises.</w:t>
      </w:r>
    </w:p>
    <w:p>
      <w:pPr>
        <w:spacing w:after="120"/>
        <w:jc w:val="both"/>
      </w:pPr>
      <w:r>
        <w:rPr>
          <w:rFonts w:ascii="Cambria" w:hAnsi="Cambria"/>
          <w:b/>
          <w:i w:val="0"/>
          <w:sz w:val="22"/>
        </w:rPr>
        <w:t>Integration with Academic Curriculum</w:t>
      </w:r>
    </w:p>
    <w:p>
      <w:pPr>
        <w:pStyle w:val="ListBullet"/>
        <w:ind w:left="357"/>
        <w:jc w:val="both"/>
      </w:pPr>
      <w:r>
        <w:rPr>
          <w:rFonts w:ascii="Cambria" w:hAnsi="Cambria"/>
          <w:sz w:val="22"/>
        </w:rPr>
        <w:t>Introduce entrepreneurship development courses within degree programs to build an entrepreneurial mindset.</w:t>
      </w:r>
    </w:p>
    <w:p>
      <w:pPr>
        <w:pStyle w:val="ListBullet"/>
        <w:ind w:left="357"/>
        <w:jc w:val="both"/>
      </w:pPr>
      <w:r>
        <w:rPr>
          <w:rFonts w:ascii="Cambria" w:hAnsi="Cambria"/>
          <w:sz w:val="22"/>
        </w:rPr>
        <w:t>Offer credit-based internships and innovation projects in collaboration with industry partners focusing on women-led enterprises.</w:t>
      </w:r>
    </w:p>
    <w:p>
      <w:pPr>
        <w:spacing w:before="240" w:after="120"/>
        <w:jc w:val="left"/>
      </w:pPr>
      <w:r>
        <w:rPr>
          <w:rFonts w:ascii="Cambria" w:hAnsi="Cambria"/>
          <w:b/>
          <w:color w:val="1F3A5F"/>
          <w:sz w:val="28"/>
        </w:rPr>
        <w:t>Expected Outcomes</w:t>
      </w:r>
    </w:p>
    <w:p>
      <w:pPr>
        <w:pStyle w:val="ListBullet"/>
        <w:ind w:left="357"/>
        <w:jc w:val="both"/>
      </w:pPr>
      <w:r>
        <w:rPr>
          <w:rFonts w:ascii="Cambria" w:hAnsi="Cambria"/>
          <w:sz w:val="22"/>
        </w:rPr>
        <w:t>Increased female enrollment and retention rates in higher education, particularly in STEM and innovation sectors.</w:t>
      </w:r>
    </w:p>
    <w:p>
      <w:pPr>
        <w:pStyle w:val="ListBullet"/>
        <w:ind w:left="357"/>
        <w:jc w:val="both"/>
      </w:pPr>
      <w:r>
        <w:rPr>
          <w:rFonts w:ascii="Cambria" w:hAnsi="Cambria"/>
          <w:sz w:val="22"/>
        </w:rPr>
        <w:t>Enhanced economic empowerment and self-reliance among women through entrepreneurship and employment.</w:t>
      </w:r>
    </w:p>
    <w:p>
      <w:pPr>
        <w:pStyle w:val="ListBullet"/>
        <w:ind w:left="357"/>
        <w:jc w:val="both"/>
      </w:pPr>
      <w:r>
        <w:rPr>
          <w:rFonts w:ascii="Cambria" w:hAnsi="Cambria"/>
          <w:sz w:val="22"/>
        </w:rPr>
        <w:t>Stronger collaboration between academia, government, and civil society in promoting gender-inclusive education.</w:t>
      </w:r>
    </w:p>
    <w:p>
      <w:pPr>
        <w:pStyle w:val="ListBullet"/>
        <w:ind w:left="357"/>
        <w:jc w:val="both"/>
      </w:pPr>
      <w:r>
        <w:rPr>
          <w:rFonts w:ascii="Cambria" w:hAnsi="Cambria"/>
          <w:sz w:val="22"/>
        </w:rPr>
        <w:t>Improved visibility of women leaders, innovators, and entrepreneurs, fostering a culture of inclusivity and equality.</w:t>
      </w:r>
    </w:p>
    <w:p>
      <w:pPr>
        <w:spacing w:before="240" w:after="120"/>
        <w:jc w:val="left"/>
      </w:pPr>
      <w:r>
        <w:rPr>
          <w:rFonts w:ascii="Cambria" w:hAnsi="Cambria"/>
          <w:b/>
          <w:color w:val="1F3A5F"/>
          <w:sz w:val="28"/>
        </w:rPr>
        <w:t>Conclusion</w:t>
      </w:r>
    </w:p>
    <w:p>
      <w:pPr>
        <w:pStyle w:val="ListBullet"/>
        <w:ind w:left="357"/>
        <w:jc w:val="both"/>
      </w:pPr>
      <w:r>
        <w:rPr>
          <w:rFonts w:ascii="Cambria" w:hAnsi="Cambria"/>
          <w:sz w:val="22"/>
        </w:rPr>
        <w:t>Expanding access to higher education for women is essential for achieving Sustainable Development Goal 5 (Gender Equality) and Sustainable Development Goal 4 (Quality Education).</w:t>
      </w:r>
    </w:p>
    <w:p>
      <w:pPr>
        <w:pStyle w:val="ListBullet"/>
        <w:ind w:left="357"/>
        <w:jc w:val="both"/>
      </w:pPr>
      <w:r>
        <w:rPr>
          <w:rFonts w:ascii="Cambria" w:hAnsi="Cambria"/>
          <w:sz w:val="22"/>
        </w:rPr>
        <w:t>By implementing scholarships, outreach programs, partnerships, and incubation initiatives, HEIs can transform into agents of social and economic empowerment.</w:t>
      </w:r>
    </w:p>
    <w:p>
      <w:pPr>
        <w:pStyle w:val="ListBullet"/>
        <w:ind w:left="357"/>
        <w:jc w:val="both"/>
      </w:pPr>
      <w:r>
        <w:rPr>
          <w:rFonts w:ascii="Cambria" w:hAnsi="Cambria"/>
          <w:sz w:val="22"/>
        </w:rPr>
        <w:t>Ensuring equal opportunities in learning, research, and entrepreneurship not only benefits women but also contributes to national growth, innovation, and sustainable development.</w:t>
      </w:r>
    </w:p>
    <w:p>
      <w:pPr>
        <w:spacing w:before="280" w:after="160"/>
        <w:jc w:val="left"/>
      </w:pPr>
      <w:r>
        <w:rPr>
          <w:rFonts w:ascii="Cambria" w:hAnsi="Cambria"/>
          <w:b/>
          <w:color w:val="1F3A5F"/>
          <w:sz w:val="32"/>
        </w:rPr>
        <w:t>31. Teaching and Learning: Integrating Gender Equality and Women Empowerment into Higher Education</w:t>
      </w:r>
    </w:p>
    <w:p>
      <w:pPr>
        <w:spacing w:before="240" w:after="120"/>
        <w:jc w:val="left"/>
      </w:pPr>
      <w:r>
        <w:rPr>
          <w:rFonts w:ascii="Cambria" w:hAnsi="Cambria"/>
          <w:b/>
          <w:color w:val="1F3A5F"/>
          <w:sz w:val="28"/>
        </w:rPr>
        <w:t>1. Integration of Gender Studies into the Curriculum</w:t>
      </w:r>
    </w:p>
    <w:p>
      <w:pPr>
        <w:spacing w:after="120"/>
        <w:jc w:val="both"/>
      </w:pPr>
      <w:r>
        <w:rPr>
          <w:rFonts w:ascii="Cambria" w:hAnsi="Cambria"/>
          <w:b/>
          <w:i w:val="0"/>
          <w:sz w:val="22"/>
        </w:rPr>
        <w:t>Inclusion of Gender-Focused Courses</w:t>
      </w:r>
    </w:p>
    <w:p>
      <w:pPr>
        <w:pStyle w:val="ListBullet"/>
        <w:ind w:left="357"/>
        <w:jc w:val="both"/>
      </w:pPr>
      <w:r>
        <w:rPr>
          <w:rFonts w:ascii="Cambria" w:hAnsi="Cambria"/>
          <w:sz w:val="22"/>
        </w:rPr>
        <w:t>Introduce mandatory and elective courses on Gender Studies, Women's Rights, and Equality Frameworks within undergraduate and postgraduate programs.</w:t>
      </w:r>
    </w:p>
    <w:p>
      <w:pPr>
        <w:pStyle w:val="ListBullet"/>
        <w:ind w:left="357"/>
        <w:jc w:val="both"/>
      </w:pPr>
      <w:r>
        <w:rPr>
          <w:rFonts w:ascii="Cambria" w:hAnsi="Cambria"/>
          <w:sz w:val="22"/>
        </w:rPr>
        <w:t>The curriculum should cover topics such as gender discrimination, social justice, inclusive leadership, intersectionality, and gender-based policy frameworks.</w:t>
      </w:r>
    </w:p>
    <w:p>
      <w:pPr>
        <w:pStyle w:val="ListBullet"/>
        <w:ind w:left="357"/>
        <w:jc w:val="both"/>
      </w:pPr>
      <w:r>
        <w:rPr>
          <w:rFonts w:ascii="Cambria" w:hAnsi="Cambria"/>
          <w:sz w:val="22"/>
        </w:rPr>
        <w:t>Collaborate with experts from social sciences, law, psychology, and development studies to create an interdisciplinary course structure.</w:t>
      </w:r>
    </w:p>
    <w:p>
      <w:pPr>
        <w:pStyle w:val="ListBullet"/>
        <w:ind w:left="357"/>
        <w:jc w:val="both"/>
      </w:pPr>
      <w:r>
        <w:rPr>
          <w:rFonts w:ascii="Cambria" w:hAnsi="Cambria"/>
          <w:sz w:val="22"/>
        </w:rPr>
        <w:t>Include case studies, UN frameworks (like CEDAW and SDG-5), and examples from India's national gender policies for contextual learning.</w:t>
      </w:r>
    </w:p>
    <w:p>
      <w:pPr>
        <w:pStyle w:val="ListBullet"/>
        <w:ind w:left="357"/>
        <w:jc w:val="both"/>
      </w:pPr>
      <w:r>
        <w:rPr>
          <w:rFonts w:ascii="Cambria" w:hAnsi="Cambria"/>
          <w:sz w:val="22"/>
        </w:rPr>
        <w:t>Encourage the use of open educational resources (OERs), documentaries, and MOOCs related to gender issues from reputed global universities and UN platforms.</w:t>
      </w:r>
    </w:p>
    <w:p>
      <w:pPr>
        <w:spacing w:after="120"/>
        <w:jc w:val="both"/>
      </w:pPr>
      <w:r>
        <w:rPr>
          <w:rFonts w:ascii="Cambria" w:hAnsi="Cambria"/>
          <w:b/>
          <w:i w:val="0"/>
          <w:sz w:val="22"/>
        </w:rPr>
        <w:t>Learning Outcomes</w:t>
      </w:r>
    </w:p>
    <w:p>
      <w:pPr>
        <w:pStyle w:val="ListBullet"/>
        <w:ind w:left="357"/>
        <w:jc w:val="both"/>
      </w:pPr>
      <w:r>
        <w:rPr>
          <w:rFonts w:ascii="Cambria" w:hAnsi="Cambria"/>
          <w:sz w:val="22"/>
        </w:rPr>
        <w:t>Develop awareness and sensitivity toward gender issues among students.</w:t>
      </w:r>
    </w:p>
    <w:p>
      <w:pPr>
        <w:pStyle w:val="ListBullet"/>
        <w:ind w:left="357"/>
        <w:jc w:val="both"/>
      </w:pPr>
      <w:r>
        <w:rPr>
          <w:rFonts w:ascii="Cambria" w:hAnsi="Cambria"/>
          <w:sz w:val="22"/>
        </w:rPr>
        <w:t>Empower learners with critical thinking and problem-solving skills to address real-world gender challenges.</w:t>
      </w:r>
    </w:p>
    <w:p>
      <w:pPr>
        <w:pStyle w:val="ListBullet"/>
        <w:ind w:left="357"/>
        <w:jc w:val="both"/>
      </w:pPr>
      <w:r>
        <w:rPr>
          <w:rFonts w:ascii="Cambria" w:hAnsi="Cambria"/>
          <w:sz w:val="22"/>
        </w:rPr>
        <w:t>Foster values of equality, respect, and social responsibility as part of holistic education.</w:t>
      </w:r>
    </w:p>
    <w:p>
      <w:pPr>
        <w:spacing w:before="240" w:after="120"/>
        <w:jc w:val="left"/>
      </w:pPr>
      <w:r>
        <w:rPr>
          <w:rFonts w:ascii="Cambria" w:hAnsi="Cambria"/>
          <w:b/>
          <w:color w:val="1F3A5F"/>
          <w:sz w:val="28"/>
        </w:rPr>
        <w:t>2. Academic, Vocational, and Self-Defence Training</w:t>
      </w:r>
    </w:p>
    <w:p>
      <w:pPr>
        <w:spacing w:after="120"/>
        <w:jc w:val="both"/>
      </w:pPr>
      <w:r>
        <w:rPr>
          <w:rFonts w:ascii="Cambria" w:hAnsi="Cambria"/>
          <w:b/>
          <w:i w:val="0"/>
          <w:sz w:val="22"/>
        </w:rPr>
        <w:t>Academic and Vocational Skill Development</w:t>
      </w:r>
    </w:p>
    <w:p>
      <w:pPr>
        <w:pStyle w:val="ListBullet"/>
        <w:ind w:left="357"/>
        <w:jc w:val="both"/>
      </w:pPr>
      <w:r>
        <w:rPr>
          <w:rFonts w:ascii="Cambria" w:hAnsi="Cambria"/>
          <w:sz w:val="22"/>
        </w:rPr>
        <w:t>Introduce vocational training modules for women students focusing on employability skills such as communication, digital literacy, financial management, and entrepreneurship.</w:t>
      </w:r>
    </w:p>
    <w:p>
      <w:pPr>
        <w:pStyle w:val="ListBullet"/>
        <w:ind w:left="357"/>
        <w:jc w:val="both"/>
      </w:pPr>
      <w:r>
        <w:rPr>
          <w:rFonts w:ascii="Cambria" w:hAnsi="Cambria"/>
          <w:sz w:val="22"/>
        </w:rPr>
        <w:t>Encourage women's participation in technical and STEM-based vocational programs to bridge gender skill gaps in emerging sectors.</w:t>
      </w:r>
    </w:p>
    <w:p>
      <w:pPr>
        <w:pStyle w:val="ListBullet"/>
        <w:ind w:left="357"/>
        <w:jc w:val="both"/>
      </w:pPr>
      <w:r>
        <w:rPr>
          <w:rFonts w:ascii="Cambria" w:hAnsi="Cambria"/>
          <w:sz w:val="22"/>
        </w:rPr>
        <w:t>Integrate career readiness programs, including internships and industry tie-ups, to enhance professional competencies and independence.</w:t>
      </w:r>
    </w:p>
    <w:p>
      <w:pPr>
        <w:spacing w:after="120"/>
        <w:jc w:val="both"/>
      </w:pPr>
      <w:r>
        <w:rPr>
          <w:rFonts w:ascii="Cambria" w:hAnsi="Cambria"/>
          <w:b/>
          <w:i w:val="0"/>
          <w:sz w:val="22"/>
        </w:rPr>
        <w:t>Self-Defence and Safety Awareness Programs</w:t>
      </w:r>
    </w:p>
    <w:p>
      <w:pPr>
        <w:pStyle w:val="ListBullet"/>
        <w:ind w:left="357"/>
        <w:jc w:val="both"/>
      </w:pPr>
      <w:r>
        <w:rPr>
          <w:rFonts w:ascii="Cambria" w:hAnsi="Cambria"/>
          <w:sz w:val="22"/>
        </w:rPr>
        <w:t>Conduct self-defence workshops in collaboration with law enforcement agencies or certified trainers to ensure women's physical safety and confidence.</w:t>
      </w:r>
    </w:p>
    <w:p>
      <w:pPr>
        <w:pStyle w:val="ListBullet"/>
        <w:ind w:left="357"/>
        <w:jc w:val="both"/>
      </w:pPr>
      <w:r>
        <w:rPr>
          <w:rFonts w:ascii="Cambria" w:hAnsi="Cambria"/>
          <w:sz w:val="22"/>
        </w:rPr>
        <w:t>Include safety awareness modules covering topics like cyber safety, workplace harassment, and rights under the POSH Act (2013).</w:t>
      </w:r>
    </w:p>
    <w:p>
      <w:pPr>
        <w:pStyle w:val="ListBullet"/>
        <w:ind w:left="357"/>
        <w:jc w:val="both"/>
      </w:pPr>
      <w:r>
        <w:rPr>
          <w:rFonts w:ascii="Cambria" w:hAnsi="Cambria"/>
          <w:sz w:val="22"/>
        </w:rPr>
        <w:t>Promote psychological counselling and emotional resilience programs to empower women to handle stress, discrimination, or violence.</w:t>
      </w:r>
    </w:p>
    <w:p>
      <w:pPr>
        <w:spacing w:after="120"/>
        <w:jc w:val="both"/>
      </w:pPr>
      <w:r>
        <w:rPr>
          <w:rFonts w:ascii="Cambria" w:hAnsi="Cambria"/>
          <w:b/>
          <w:i w:val="0"/>
          <w:sz w:val="22"/>
        </w:rPr>
        <w:t>Outcomes</w:t>
      </w:r>
    </w:p>
    <w:p>
      <w:pPr>
        <w:pStyle w:val="ListBullet"/>
        <w:ind w:left="357"/>
        <w:jc w:val="both"/>
      </w:pPr>
      <w:r>
        <w:rPr>
          <w:rFonts w:ascii="Cambria" w:hAnsi="Cambria"/>
          <w:sz w:val="22"/>
        </w:rPr>
        <w:t>Students gain holistic empowerment — academic, emotional, and physical.</w:t>
      </w:r>
    </w:p>
    <w:p>
      <w:pPr>
        <w:pStyle w:val="ListBullet"/>
        <w:ind w:left="357"/>
        <w:jc w:val="both"/>
      </w:pPr>
      <w:r>
        <w:rPr>
          <w:rFonts w:ascii="Cambria" w:hAnsi="Cambria"/>
          <w:sz w:val="22"/>
        </w:rPr>
        <w:t>Increases confidence and resilience among women, enabling them to participate fully in academic and professional life.</w:t>
      </w:r>
    </w:p>
    <w:p>
      <w:pPr>
        <w:spacing w:before="240" w:after="120"/>
        <w:jc w:val="left"/>
      </w:pPr>
      <w:r>
        <w:rPr>
          <w:rFonts w:ascii="Cambria" w:hAnsi="Cambria"/>
          <w:b/>
          <w:color w:val="1F3A5F"/>
          <w:sz w:val="28"/>
        </w:rPr>
        <w:t>3. Capacity Building for Students, Faculty, and Staff</w:t>
      </w:r>
    </w:p>
    <w:p>
      <w:pPr>
        <w:spacing w:after="120"/>
        <w:jc w:val="both"/>
      </w:pPr>
      <w:r>
        <w:rPr>
          <w:rFonts w:ascii="Cambria" w:hAnsi="Cambria"/>
          <w:b/>
          <w:i w:val="0"/>
          <w:sz w:val="22"/>
        </w:rPr>
        <w:t>Training and Professional Development</w:t>
      </w:r>
    </w:p>
    <w:p>
      <w:pPr>
        <w:pStyle w:val="ListBullet"/>
        <w:ind w:left="357"/>
        <w:jc w:val="both"/>
      </w:pPr>
      <w:r>
        <w:rPr>
          <w:rFonts w:ascii="Cambria" w:hAnsi="Cambria"/>
          <w:sz w:val="22"/>
        </w:rPr>
        <w:t>Organize gender sensitization workshops for faculty and staff to promote inclusive teaching and equitable classroom practices.</w:t>
      </w:r>
    </w:p>
    <w:p>
      <w:pPr>
        <w:pStyle w:val="ListBullet"/>
        <w:ind w:left="357"/>
        <w:jc w:val="both"/>
      </w:pPr>
      <w:r>
        <w:rPr>
          <w:rFonts w:ascii="Cambria" w:hAnsi="Cambria"/>
          <w:sz w:val="22"/>
        </w:rPr>
        <w:t>Conduct Faculty Development Programs (FDPs) on gender-responsive pedagogy, curriculum design, and mentoring.</w:t>
      </w:r>
    </w:p>
    <w:p>
      <w:pPr>
        <w:pStyle w:val="ListBullet"/>
        <w:ind w:left="357"/>
        <w:jc w:val="both"/>
      </w:pPr>
      <w:r>
        <w:rPr>
          <w:rFonts w:ascii="Cambria" w:hAnsi="Cambria"/>
          <w:sz w:val="22"/>
        </w:rPr>
        <w:t>Offer leadership training for women faculty and administrative staff to strengthen their participation in decision-making processes.</w:t>
      </w:r>
    </w:p>
    <w:p>
      <w:pPr>
        <w:pStyle w:val="ListBullet"/>
        <w:ind w:left="357"/>
        <w:jc w:val="both"/>
      </w:pPr>
      <w:r>
        <w:rPr>
          <w:rFonts w:ascii="Cambria" w:hAnsi="Cambria"/>
          <w:sz w:val="22"/>
        </w:rPr>
        <w:t>Develop peer learning circles and communities of practice for faculty and students focusing on gender research, case analysis, and policy review.</w:t>
      </w:r>
    </w:p>
    <w:p>
      <w:pPr>
        <w:spacing w:after="120"/>
        <w:jc w:val="both"/>
      </w:pPr>
      <w:r>
        <w:rPr>
          <w:rFonts w:ascii="Cambria" w:hAnsi="Cambria"/>
          <w:b/>
          <w:i w:val="0"/>
          <w:sz w:val="22"/>
        </w:rPr>
        <w:t>Institutional Initiatives for Empowerment</w:t>
      </w:r>
    </w:p>
    <w:p>
      <w:pPr>
        <w:pStyle w:val="ListBullet"/>
        <w:ind w:left="357"/>
        <w:jc w:val="both"/>
      </w:pPr>
      <w:r>
        <w:rPr>
          <w:rFonts w:ascii="Cambria" w:hAnsi="Cambria"/>
          <w:sz w:val="22"/>
        </w:rPr>
        <w:t>Establish Gender Equity and Inclusion Cells (GEICs) within HEIs for coordination of awareness programs, training sessions, and campaigns.</w:t>
      </w:r>
    </w:p>
    <w:p>
      <w:pPr>
        <w:pStyle w:val="ListBullet"/>
        <w:ind w:left="357"/>
        <w:jc w:val="both"/>
      </w:pPr>
      <w:r>
        <w:rPr>
          <w:rFonts w:ascii="Cambria" w:hAnsi="Cambria"/>
          <w:sz w:val="22"/>
        </w:rPr>
        <w:t>Collaborate with national and international institutions for research and training projects addressing gender equality, diversity, and inclusion.</w:t>
      </w:r>
    </w:p>
    <w:p>
      <w:pPr>
        <w:pStyle w:val="ListBullet"/>
        <w:ind w:left="357"/>
        <w:jc w:val="both"/>
      </w:pPr>
      <w:r>
        <w:rPr>
          <w:rFonts w:ascii="Cambria" w:hAnsi="Cambria"/>
          <w:sz w:val="22"/>
        </w:rPr>
        <w:t>Provide access to online certification programs and MOOCs that promote continuous learning on gender topics.</w:t>
      </w:r>
    </w:p>
    <w:p>
      <w:pPr>
        <w:spacing w:after="120"/>
        <w:jc w:val="both"/>
      </w:pPr>
      <w:r>
        <w:rPr>
          <w:rFonts w:ascii="Cambria" w:hAnsi="Cambria"/>
          <w:b/>
          <w:i w:val="0"/>
          <w:sz w:val="22"/>
        </w:rPr>
        <w:t>Impact</w:t>
      </w:r>
    </w:p>
    <w:p>
      <w:pPr>
        <w:pStyle w:val="ListBullet"/>
        <w:ind w:left="357"/>
        <w:jc w:val="both"/>
      </w:pPr>
      <w:r>
        <w:rPr>
          <w:rFonts w:ascii="Cambria" w:hAnsi="Cambria"/>
          <w:sz w:val="22"/>
        </w:rPr>
        <w:t>Builds an informed and empathetic academic community capable of addressing gender-related challenges.</w:t>
      </w:r>
    </w:p>
    <w:p>
      <w:pPr>
        <w:pStyle w:val="ListBullet"/>
        <w:ind w:left="357"/>
        <w:jc w:val="both"/>
      </w:pPr>
      <w:r>
        <w:rPr>
          <w:rFonts w:ascii="Cambria" w:hAnsi="Cambria"/>
          <w:sz w:val="22"/>
        </w:rPr>
        <w:t>Strengthens institutional capacity to align with SDG-5 (Gender Equality) and SDG-4 (Quality Education).</w:t>
      </w:r>
    </w:p>
    <w:p>
      <w:pPr>
        <w:spacing w:before="240" w:after="120"/>
        <w:jc w:val="left"/>
      </w:pPr>
      <w:r>
        <w:rPr>
          <w:rFonts w:ascii="Cambria" w:hAnsi="Cambria"/>
          <w:b/>
          <w:color w:val="1F3A5F"/>
          <w:sz w:val="28"/>
        </w:rPr>
        <w:t>4. Experiential Learning through Real-World Collaborative Projects</w:t>
      </w:r>
    </w:p>
    <w:p>
      <w:pPr>
        <w:spacing w:after="120"/>
        <w:jc w:val="both"/>
      </w:pPr>
      <w:r>
        <w:rPr>
          <w:rFonts w:ascii="Cambria" w:hAnsi="Cambria"/>
          <w:b/>
          <w:i w:val="0"/>
          <w:sz w:val="22"/>
        </w:rPr>
        <w:t>Project-Based Learning (PBL) Approach</w:t>
      </w:r>
    </w:p>
    <w:p>
      <w:pPr>
        <w:pStyle w:val="ListBullet"/>
        <w:ind w:left="357"/>
        <w:jc w:val="both"/>
      </w:pPr>
      <w:r>
        <w:rPr>
          <w:rFonts w:ascii="Cambria" w:hAnsi="Cambria"/>
          <w:sz w:val="22"/>
        </w:rPr>
        <w:t>Design courses that include community-based or research-oriented projects on gender-related challenges such as workplace discrimination, access to education, and women's health.</w:t>
      </w:r>
    </w:p>
    <w:p>
      <w:pPr>
        <w:pStyle w:val="ListBullet"/>
        <w:ind w:left="357"/>
        <w:jc w:val="both"/>
      </w:pPr>
      <w:r>
        <w:rPr>
          <w:rFonts w:ascii="Cambria" w:hAnsi="Cambria"/>
          <w:sz w:val="22"/>
        </w:rPr>
        <w:t>Encourage student-led action research projects in partnership with NGOs, local bodies, or women's development organizations.</w:t>
      </w:r>
    </w:p>
    <w:p>
      <w:pPr>
        <w:pStyle w:val="ListBullet"/>
        <w:ind w:left="357"/>
        <w:jc w:val="both"/>
      </w:pPr>
      <w:r>
        <w:rPr>
          <w:rFonts w:ascii="Cambria" w:hAnsi="Cambria"/>
          <w:sz w:val="22"/>
        </w:rPr>
        <w:t>Facilitate internships, field visits, and surveys that expose students to real-world gender issues in rural, urban, and corporate contexts.</w:t>
      </w:r>
    </w:p>
    <w:p>
      <w:pPr>
        <w:pStyle w:val="ListBullet"/>
        <w:ind w:left="357"/>
        <w:jc w:val="both"/>
      </w:pPr>
      <w:r>
        <w:rPr>
          <w:rFonts w:ascii="Cambria" w:hAnsi="Cambria"/>
          <w:sz w:val="22"/>
        </w:rPr>
        <w:t>Integrate service-learning models where students contribute to social campaigns, gender literacy programs, or entrepreneurship initiatives for women.</w:t>
      </w:r>
    </w:p>
    <w:p>
      <w:pPr>
        <w:spacing w:after="120"/>
        <w:jc w:val="both"/>
      </w:pPr>
      <w:r>
        <w:rPr>
          <w:rFonts w:ascii="Cambria" w:hAnsi="Cambria"/>
          <w:b/>
          <w:i w:val="0"/>
          <w:sz w:val="22"/>
        </w:rPr>
        <w:t>Collaborative and Multidisciplinary Framework</w:t>
      </w:r>
    </w:p>
    <w:p>
      <w:pPr>
        <w:pStyle w:val="ListBullet"/>
        <w:ind w:left="357"/>
        <w:jc w:val="both"/>
      </w:pPr>
      <w:r>
        <w:rPr>
          <w:rFonts w:ascii="Cambria" w:hAnsi="Cambria"/>
          <w:sz w:val="22"/>
        </w:rPr>
        <w:t>Promote interdisciplinary collaboration between departments like Sociology, Law, Economics, Public Policy, and Engineering to address gender issues holistically.</w:t>
      </w:r>
    </w:p>
    <w:p>
      <w:pPr>
        <w:pStyle w:val="ListBullet"/>
        <w:ind w:left="357"/>
        <w:jc w:val="both"/>
      </w:pPr>
      <w:r>
        <w:rPr>
          <w:rFonts w:ascii="Cambria" w:hAnsi="Cambria"/>
          <w:sz w:val="22"/>
        </w:rPr>
        <w:t>Involve students in policy drafting, advocacy campaigns, and awareness drives at institutional or community levels.</w:t>
      </w:r>
    </w:p>
    <w:p>
      <w:pPr>
        <w:pStyle w:val="ListBullet"/>
        <w:ind w:left="357"/>
        <w:jc w:val="both"/>
      </w:pPr>
      <w:r>
        <w:rPr>
          <w:rFonts w:ascii="Cambria" w:hAnsi="Cambria"/>
          <w:sz w:val="22"/>
        </w:rPr>
        <w:t>Utilize data analytics, storytelling, and media as tools for social change through academic projects.</w:t>
      </w:r>
    </w:p>
    <w:p>
      <w:pPr>
        <w:spacing w:after="120"/>
        <w:jc w:val="both"/>
      </w:pPr>
      <w:r>
        <w:rPr>
          <w:rFonts w:ascii="Cambria" w:hAnsi="Cambria"/>
          <w:b/>
          <w:i w:val="0"/>
          <w:sz w:val="22"/>
        </w:rPr>
        <w:t>Expected Outcomes</w:t>
      </w:r>
    </w:p>
    <w:p>
      <w:pPr>
        <w:pStyle w:val="ListBullet"/>
        <w:ind w:left="357"/>
        <w:jc w:val="both"/>
      </w:pPr>
      <w:r>
        <w:rPr>
          <w:rFonts w:ascii="Cambria" w:hAnsi="Cambria"/>
          <w:sz w:val="22"/>
        </w:rPr>
        <w:t>Students develop adaptive, analytical, and problem-solving skills applicable to real-world social challenges.</w:t>
      </w:r>
    </w:p>
    <w:p>
      <w:pPr>
        <w:pStyle w:val="ListBullet"/>
        <w:ind w:left="357"/>
        <w:jc w:val="both"/>
      </w:pPr>
      <w:r>
        <w:rPr>
          <w:rFonts w:ascii="Cambria" w:hAnsi="Cambria"/>
          <w:sz w:val="22"/>
        </w:rPr>
        <w:t>Enhances empathy, collaboration, and civic engagement among students.</w:t>
      </w:r>
    </w:p>
    <w:p>
      <w:pPr>
        <w:pStyle w:val="ListBullet"/>
        <w:ind w:left="357"/>
        <w:jc w:val="both"/>
      </w:pPr>
      <w:r>
        <w:rPr>
          <w:rFonts w:ascii="Cambria" w:hAnsi="Cambria"/>
          <w:sz w:val="22"/>
        </w:rPr>
        <w:t>Builds a generation of graduates capable of implementing gender-sensitive solutions in workplaces, communities, and governance.</w:t>
      </w:r>
    </w:p>
    <w:p>
      <w:pPr>
        <w:spacing w:before="240" w:after="120"/>
        <w:jc w:val="left"/>
      </w:pPr>
      <w:r>
        <w:rPr>
          <w:rFonts w:ascii="Cambria" w:hAnsi="Cambria"/>
          <w:b/>
          <w:color w:val="1F3A5F"/>
          <w:sz w:val="28"/>
        </w:rPr>
        <w:t>Conclusion</w:t>
      </w:r>
    </w:p>
    <w:p>
      <w:pPr>
        <w:pStyle w:val="ListBullet"/>
        <w:ind w:left="357"/>
        <w:jc w:val="both"/>
      </w:pPr>
      <w:r>
        <w:rPr>
          <w:rFonts w:ascii="Cambria" w:hAnsi="Cambria"/>
          <w:sz w:val="22"/>
        </w:rPr>
        <w:t>Integrating gender issues into teaching and learning is essential for nurturing socially conscious, inclusive, and empowered graduates.</w:t>
      </w:r>
    </w:p>
    <w:p>
      <w:pPr>
        <w:pStyle w:val="ListBullet"/>
        <w:ind w:left="357"/>
        <w:jc w:val="both"/>
      </w:pPr>
      <w:r>
        <w:rPr>
          <w:rFonts w:ascii="Cambria" w:hAnsi="Cambria"/>
          <w:sz w:val="22"/>
        </w:rPr>
        <w:t>Through academic inclusion, vocational and self-defence training, capacity building, and experiential learning, HEIs can translate policy into practice.</w:t>
      </w:r>
    </w:p>
    <w:p>
      <w:pPr>
        <w:pStyle w:val="ListBullet"/>
        <w:ind w:left="357"/>
        <w:jc w:val="both"/>
      </w:pPr>
      <w:r>
        <w:rPr>
          <w:rFonts w:ascii="Cambria" w:hAnsi="Cambria"/>
          <w:sz w:val="22"/>
        </w:rPr>
        <w:t>These interventions enable universities to act as catalysts of gender transformation, fulfilling their role in advancing Sustainable Development Goal 5 (Gender Equality) while preparing students for ethical leadership and equitable citizenship.</w:t>
      </w:r>
    </w:p>
    <w:p>
      <w:pPr>
        <w:spacing w:before="280" w:after="160"/>
        <w:jc w:val="left"/>
      </w:pPr>
      <w:r>
        <w:rPr>
          <w:rFonts w:ascii="Cambria" w:hAnsi="Cambria"/>
          <w:b/>
          <w:color w:val="1F3A5F"/>
          <w:sz w:val="32"/>
        </w:rPr>
        <w:t>32. Organizational Governance, Operations, and Culture of the University: Promoting Gender Equity and Inclusive Leadership</w:t>
      </w:r>
    </w:p>
    <w:p>
      <w:pPr>
        <w:spacing w:before="240" w:after="120"/>
        <w:jc w:val="left"/>
      </w:pPr>
      <w:r>
        <w:rPr>
          <w:rFonts w:ascii="Cambria" w:hAnsi="Cambria"/>
          <w:b/>
          <w:color w:val="1F3A5F"/>
          <w:sz w:val="28"/>
        </w:rPr>
        <w:t>1. Promoting Women's Leadership and Participation in Decision-Making</w:t>
      </w:r>
    </w:p>
    <w:p>
      <w:pPr>
        <w:spacing w:after="120"/>
        <w:jc w:val="both"/>
      </w:pPr>
      <w:r>
        <w:rPr>
          <w:rFonts w:ascii="Cambria" w:hAnsi="Cambria"/>
          <w:b/>
          <w:i w:val="0"/>
          <w:sz w:val="22"/>
        </w:rPr>
        <w:t>Inclusive Leadership Framework</w:t>
      </w:r>
    </w:p>
    <w:p>
      <w:pPr>
        <w:pStyle w:val="ListBullet"/>
        <w:ind w:left="357"/>
        <w:jc w:val="both"/>
      </w:pPr>
      <w:r>
        <w:rPr>
          <w:rFonts w:ascii="Cambria" w:hAnsi="Cambria"/>
          <w:sz w:val="22"/>
        </w:rPr>
        <w:t>Universities should strategically increase the representation of women in leadership roles such as Vice-Chancellors, Pro-Vice Chancellors, Deans, Directors, and Heads of Departments.</w:t>
      </w:r>
    </w:p>
    <w:p>
      <w:pPr>
        <w:pStyle w:val="ListBullet"/>
        <w:ind w:left="357"/>
        <w:jc w:val="both"/>
      </w:pPr>
      <w:r>
        <w:rPr>
          <w:rFonts w:ascii="Cambria" w:hAnsi="Cambria"/>
          <w:sz w:val="22"/>
        </w:rPr>
        <w:t>Institutional policies must emphasize gender equity in recruitment, promotion, and nomination processes to ensure balanced participation in administrative and academic governance.</w:t>
      </w:r>
    </w:p>
    <w:p>
      <w:pPr>
        <w:pStyle w:val="ListBullet"/>
        <w:ind w:left="357"/>
        <w:jc w:val="both"/>
      </w:pPr>
      <w:r>
        <w:rPr>
          <w:rFonts w:ascii="Cambria" w:hAnsi="Cambria"/>
          <w:sz w:val="22"/>
        </w:rPr>
        <w:t>Establish leadership development programs and mentorship networks to prepare women faculty for senior administrative positions.</w:t>
      </w:r>
    </w:p>
    <w:p>
      <w:pPr>
        <w:pStyle w:val="ListBullet"/>
        <w:ind w:left="357"/>
        <w:jc w:val="both"/>
      </w:pPr>
      <w:r>
        <w:rPr>
          <w:rFonts w:ascii="Cambria" w:hAnsi="Cambria"/>
          <w:sz w:val="22"/>
        </w:rPr>
        <w:t>Introduce gender-balanced selection and promotion committees to ensure fairness and minimize unconscious bias.</w:t>
      </w:r>
    </w:p>
    <w:p>
      <w:pPr>
        <w:pStyle w:val="ListBullet"/>
        <w:ind w:left="357"/>
        <w:jc w:val="both"/>
      </w:pPr>
      <w:r>
        <w:rPr>
          <w:rFonts w:ascii="Cambria" w:hAnsi="Cambria"/>
          <w:sz w:val="22"/>
        </w:rPr>
        <w:t>Align institutional leadership policies with SDG-5 (Gender Equality) and SDG-10 (Reduced Inequalities) for equitable governance structures.</w:t>
      </w:r>
    </w:p>
    <w:p>
      <w:pPr>
        <w:spacing w:before="240" w:after="120"/>
        <w:jc w:val="left"/>
      </w:pPr>
      <w:r>
        <w:rPr>
          <w:rFonts w:ascii="Cambria" w:hAnsi="Cambria"/>
          <w:b/>
          <w:color w:val="1F3A5F"/>
          <w:sz w:val="28"/>
        </w:rPr>
        <w:t>2. Ensuring Gender Balance in Decision-Making Leadership</w:t>
      </w:r>
    </w:p>
    <w:p>
      <w:pPr>
        <w:spacing w:after="120"/>
        <w:jc w:val="both"/>
      </w:pPr>
      <w:r>
        <w:rPr>
          <w:rFonts w:ascii="Cambria" w:hAnsi="Cambria"/>
          <w:b/>
          <w:i w:val="0"/>
          <w:sz w:val="22"/>
        </w:rPr>
        <w:t>Policy Inclusion and Structural Reforms</w:t>
      </w:r>
    </w:p>
    <w:p>
      <w:pPr>
        <w:pStyle w:val="ListBullet"/>
        <w:ind w:left="357"/>
        <w:jc w:val="both"/>
      </w:pPr>
      <w:r>
        <w:rPr>
          <w:rFonts w:ascii="Cambria" w:hAnsi="Cambria"/>
          <w:sz w:val="22"/>
        </w:rPr>
        <w:t>Integrate gender parity objectives within the University's Statutes, Academic Councils, and Governing Bodies.</w:t>
      </w:r>
    </w:p>
    <w:p>
      <w:pPr>
        <w:pStyle w:val="ListBullet"/>
        <w:ind w:left="357"/>
        <w:jc w:val="both"/>
      </w:pPr>
      <w:r>
        <w:rPr>
          <w:rFonts w:ascii="Cambria" w:hAnsi="Cambria"/>
          <w:sz w:val="22"/>
        </w:rPr>
        <w:t>Set measurable gender representation targets (minimum 40–50%) in all decision-making boards, committees, and panels.</w:t>
      </w:r>
    </w:p>
    <w:p>
      <w:pPr>
        <w:pStyle w:val="ListBullet"/>
        <w:ind w:left="357"/>
        <w:jc w:val="both"/>
      </w:pPr>
      <w:r>
        <w:rPr>
          <w:rFonts w:ascii="Cambria" w:hAnsi="Cambria"/>
          <w:sz w:val="22"/>
        </w:rPr>
        <w:t>Encourage shared leadership models, promoting both men and women as co-chairs or co-directors in academic and administrative committees.</w:t>
      </w:r>
    </w:p>
    <w:p>
      <w:pPr>
        <w:pStyle w:val="ListBullet"/>
        <w:ind w:left="357"/>
        <w:jc w:val="both"/>
      </w:pPr>
      <w:r>
        <w:rPr>
          <w:rFonts w:ascii="Cambria" w:hAnsi="Cambria"/>
          <w:sz w:val="22"/>
        </w:rPr>
        <w:t>Conduct annual leadership audits to assess progress toward achieving gender balance and equitable participation in decision-making.</w:t>
      </w:r>
    </w:p>
    <w:p>
      <w:pPr>
        <w:spacing w:after="120"/>
        <w:jc w:val="both"/>
      </w:pPr>
      <w:r>
        <w:rPr>
          <w:rFonts w:ascii="Cambria" w:hAnsi="Cambria"/>
          <w:b/>
          <w:i w:val="0"/>
          <w:sz w:val="22"/>
        </w:rPr>
        <w:t>Expected Outcomes</w:t>
      </w:r>
    </w:p>
    <w:p>
      <w:pPr>
        <w:pStyle w:val="ListBullet"/>
        <w:ind w:left="357"/>
        <w:jc w:val="both"/>
      </w:pPr>
      <w:r>
        <w:rPr>
          <w:rFonts w:ascii="Cambria" w:hAnsi="Cambria"/>
          <w:sz w:val="22"/>
        </w:rPr>
        <w:t>Enhanced diversity in leadership perspectives, leading to better governance and inclusive institutional policies.</w:t>
      </w:r>
    </w:p>
    <w:p>
      <w:pPr>
        <w:pStyle w:val="ListBullet"/>
        <w:ind w:left="357"/>
        <w:jc w:val="both"/>
      </w:pPr>
      <w:r>
        <w:rPr>
          <w:rFonts w:ascii="Cambria" w:hAnsi="Cambria"/>
          <w:sz w:val="22"/>
        </w:rPr>
        <w:t>Creation of a collaborative culture where women's voices influence strategic priorities and innovation.</w:t>
      </w:r>
    </w:p>
    <w:p>
      <w:pPr>
        <w:spacing w:before="240" w:after="120"/>
        <w:jc w:val="left"/>
      </w:pPr>
      <w:r>
        <w:rPr>
          <w:rFonts w:ascii="Cambria" w:hAnsi="Cambria"/>
          <w:b/>
          <w:color w:val="1F3A5F"/>
          <w:sz w:val="28"/>
        </w:rPr>
        <w:t>3. Reducing the Gender Pay Gap</w:t>
      </w:r>
    </w:p>
    <w:p>
      <w:pPr>
        <w:spacing w:after="120"/>
        <w:jc w:val="both"/>
      </w:pPr>
      <w:r>
        <w:rPr>
          <w:rFonts w:ascii="Cambria" w:hAnsi="Cambria"/>
          <w:b/>
          <w:i w:val="0"/>
          <w:sz w:val="22"/>
        </w:rPr>
        <w:t>Pay Equity Audits and Transparency</w:t>
      </w:r>
    </w:p>
    <w:p>
      <w:pPr>
        <w:pStyle w:val="ListBullet"/>
        <w:ind w:left="357"/>
        <w:jc w:val="both"/>
      </w:pPr>
      <w:r>
        <w:rPr>
          <w:rFonts w:ascii="Cambria" w:hAnsi="Cambria"/>
          <w:sz w:val="22"/>
        </w:rPr>
        <w:t>Conduct regular gender pay audits to identify disparities in compensation across academic and non-academic roles.</w:t>
      </w:r>
    </w:p>
    <w:p>
      <w:pPr>
        <w:spacing w:after="120"/>
        <w:ind w:left="720"/>
      </w:pPr>
      <w:r>
        <w:rPr>
          <w:rFonts w:ascii="Cambria" w:hAnsi="Cambria"/>
          <w:sz w:val="22"/>
        </w:rPr>
        <w:t xml:space="preserve">• Develop a transparent salary structure ensuring equal pay for equal work, in line with the </w:t>
      </w:r>
      <w:r>
        <w:rPr>
          <w:rFonts w:ascii="Cambria" w:hAnsi="Cambria"/>
          <w:i/>
          <w:sz w:val="22"/>
        </w:rPr>
        <w:t>Equal Remuneration Act (1976)</w:t>
      </w:r>
      <w:r>
        <w:rPr>
          <w:rFonts w:ascii="Cambria" w:hAnsi="Cambria"/>
          <w:sz w:val="22"/>
        </w:rPr>
        <w:t>.</w:t>
      </w:r>
    </w:p>
    <w:p>
      <w:pPr>
        <w:pStyle w:val="ListBullet"/>
        <w:ind w:left="357"/>
        <w:jc w:val="both"/>
      </w:pPr>
      <w:r>
        <w:rPr>
          <w:rFonts w:ascii="Cambria" w:hAnsi="Cambria"/>
          <w:sz w:val="22"/>
        </w:rPr>
        <w:t>Establish Gender Equity Review Committees to address complaints or discrepancies in pay, promotions, and performance appraisals.</w:t>
      </w:r>
    </w:p>
    <w:p>
      <w:pPr>
        <w:pStyle w:val="ListBullet"/>
        <w:ind w:left="357"/>
        <w:jc w:val="both"/>
      </w:pPr>
      <w:r>
        <w:rPr>
          <w:rFonts w:ascii="Cambria" w:hAnsi="Cambria"/>
          <w:sz w:val="22"/>
        </w:rPr>
        <w:t>Encourage open reporting of pay scales, annual increments, and allowances to maintain fairness and trust.</w:t>
      </w:r>
    </w:p>
    <w:p>
      <w:pPr>
        <w:spacing w:after="120"/>
        <w:jc w:val="both"/>
      </w:pPr>
      <w:r>
        <w:rPr>
          <w:rFonts w:ascii="Cambria" w:hAnsi="Cambria"/>
          <w:b/>
          <w:i w:val="0"/>
          <w:sz w:val="22"/>
        </w:rPr>
        <w:t>Supportive Measures</w:t>
      </w:r>
    </w:p>
    <w:p>
      <w:pPr>
        <w:pStyle w:val="ListBullet"/>
        <w:ind w:left="357"/>
        <w:jc w:val="both"/>
      </w:pPr>
      <w:r>
        <w:rPr>
          <w:rFonts w:ascii="Cambria" w:hAnsi="Cambria"/>
          <w:sz w:val="22"/>
        </w:rPr>
        <w:t>Introduce research grants, awards, and incentive schemes specifically for women faculty and researchers.</w:t>
      </w:r>
    </w:p>
    <w:p>
      <w:pPr>
        <w:pStyle w:val="ListBullet"/>
        <w:ind w:left="357"/>
        <w:jc w:val="both"/>
      </w:pPr>
      <w:r>
        <w:rPr>
          <w:rFonts w:ascii="Cambria" w:hAnsi="Cambria"/>
          <w:sz w:val="22"/>
        </w:rPr>
        <w:t>Ensure equitable access to funding, conferences, and professional development programs to eliminate structural disadvantages in career progression.</w:t>
      </w:r>
    </w:p>
    <w:p>
      <w:pPr>
        <w:spacing w:before="240" w:after="120"/>
        <w:jc w:val="left"/>
      </w:pPr>
      <w:r>
        <w:rPr>
          <w:rFonts w:ascii="Cambria" w:hAnsi="Cambria"/>
          <w:b/>
          <w:color w:val="1F3A5F"/>
          <w:sz w:val="28"/>
        </w:rPr>
        <w:t>4. Creating Gender-Enabling Work Environments</w:t>
      </w:r>
    </w:p>
    <w:p>
      <w:pPr>
        <w:spacing w:after="120"/>
        <w:jc w:val="both"/>
      </w:pPr>
      <w:r>
        <w:rPr>
          <w:rFonts w:ascii="Cambria" w:hAnsi="Cambria"/>
          <w:b/>
          <w:i w:val="0"/>
          <w:sz w:val="22"/>
        </w:rPr>
        <w:t>Workplace Flexibility and Support Systems</w:t>
      </w:r>
    </w:p>
    <w:p>
      <w:pPr>
        <w:pStyle w:val="ListBullet"/>
        <w:ind w:left="357"/>
        <w:jc w:val="both"/>
      </w:pPr>
      <w:r>
        <w:rPr>
          <w:rFonts w:ascii="Cambria" w:hAnsi="Cambria"/>
          <w:sz w:val="22"/>
        </w:rPr>
        <w:t>Implement flexible working hours, remote work options, and sabbatical leaves to support women balancing professional and personal responsibilities.</w:t>
      </w:r>
    </w:p>
    <w:p>
      <w:pPr>
        <w:pStyle w:val="ListBullet"/>
        <w:ind w:left="357"/>
        <w:jc w:val="both"/>
      </w:pPr>
      <w:r>
        <w:rPr>
          <w:rFonts w:ascii="Cambria" w:hAnsi="Cambria"/>
          <w:sz w:val="22"/>
        </w:rPr>
        <w:t>Establish mandatory childcare centres (crèches) on campus to assist working parents, especially mothers with young children.</w:t>
      </w:r>
    </w:p>
    <w:p>
      <w:pPr>
        <w:pStyle w:val="ListBullet"/>
        <w:ind w:left="357"/>
        <w:jc w:val="both"/>
      </w:pPr>
      <w:r>
        <w:rPr>
          <w:rFonts w:ascii="Cambria" w:hAnsi="Cambria"/>
          <w:sz w:val="22"/>
        </w:rPr>
        <w:t>Provide parental leave policies (maternity, paternity, and adoption leave) to promote shared caregiving responsibilities.</w:t>
      </w:r>
    </w:p>
    <w:p>
      <w:pPr>
        <w:pStyle w:val="ListBullet"/>
        <w:ind w:left="357"/>
        <w:jc w:val="both"/>
      </w:pPr>
      <w:r>
        <w:rPr>
          <w:rFonts w:ascii="Cambria" w:hAnsi="Cambria"/>
          <w:sz w:val="22"/>
        </w:rPr>
        <w:t>Develop gender-sensitive infrastructure including accessible restrooms, lactation rooms, and well-lit pathways for safety.</w:t>
      </w:r>
    </w:p>
    <w:p>
      <w:pPr>
        <w:pStyle w:val="ListBullet"/>
        <w:ind w:left="357"/>
        <w:jc w:val="both"/>
      </w:pPr>
      <w:r>
        <w:rPr>
          <w:rFonts w:ascii="Cambria" w:hAnsi="Cambria"/>
          <w:sz w:val="22"/>
        </w:rPr>
        <w:t>Create wellness programs and counselling services for emotional and psychological support of staff and students.</w:t>
      </w:r>
    </w:p>
    <w:p>
      <w:pPr>
        <w:spacing w:after="120"/>
        <w:jc w:val="both"/>
      </w:pPr>
      <w:r>
        <w:rPr>
          <w:rFonts w:ascii="Cambria" w:hAnsi="Cambria"/>
          <w:b/>
          <w:i w:val="0"/>
          <w:sz w:val="22"/>
        </w:rPr>
        <w:t>Outcome</w:t>
      </w:r>
    </w:p>
    <w:p>
      <w:pPr>
        <w:pStyle w:val="ListBullet"/>
        <w:ind w:left="357"/>
        <w:jc w:val="both"/>
      </w:pPr>
      <w:r>
        <w:rPr>
          <w:rFonts w:ascii="Cambria" w:hAnsi="Cambria"/>
          <w:sz w:val="22"/>
        </w:rPr>
        <w:t>Encourages women's continued participation in academia by creating a supportive and inclusive workplace culture.</w:t>
      </w:r>
    </w:p>
    <w:p>
      <w:pPr>
        <w:pStyle w:val="ListBullet"/>
        <w:ind w:left="357"/>
        <w:jc w:val="both"/>
      </w:pPr>
      <w:r>
        <w:rPr>
          <w:rFonts w:ascii="Cambria" w:hAnsi="Cambria"/>
          <w:sz w:val="22"/>
        </w:rPr>
        <w:t>Fosters employee satisfaction, retention, and productivity, especially among women staff.</w:t>
      </w:r>
    </w:p>
    <w:p>
      <w:pPr>
        <w:spacing w:before="240" w:after="120"/>
        <w:jc w:val="left"/>
      </w:pPr>
      <w:r>
        <w:rPr>
          <w:rFonts w:ascii="Cambria" w:hAnsi="Cambria"/>
          <w:b/>
          <w:color w:val="1F3A5F"/>
          <w:sz w:val="28"/>
        </w:rPr>
        <w:t>5. Participation in National Campaigns on Violence Prevention and Sexual Assault Reporting</w:t>
      </w:r>
    </w:p>
    <w:p>
      <w:pPr>
        <w:spacing w:after="120"/>
        <w:jc w:val="both"/>
      </w:pPr>
      <w:r>
        <w:rPr>
          <w:rFonts w:ascii="Cambria" w:hAnsi="Cambria"/>
          <w:b/>
          <w:i w:val="0"/>
          <w:sz w:val="22"/>
        </w:rPr>
        <w:t>Institutional Commitment and Collaboration</w:t>
      </w:r>
    </w:p>
    <w:p>
      <w:pPr>
        <w:spacing w:after="120"/>
        <w:ind w:left="720"/>
      </w:pPr>
      <w:r>
        <w:rPr>
          <w:rFonts w:ascii="Cambria" w:hAnsi="Cambria"/>
          <w:sz w:val="22"/>
        </w:rPr>
        <w:t xml:space="preserve">• HEIs must actively participate in national and international campaigns such as </w:t>
      </w:r>
      <w:r>
        <w:rPr>
          <w:rFonts w:ascii="Cambria" w:hAnsi="Cambria"/>
          <w:i/>
          <w:sz w:val="22"/>
        </w:rPr>
        <w:t>Beti Bachao Beti Padhao</w:t>
      </w:r>
      <w:r>
        <w:rPr>
          <w:rFonts w:ascii="Cambria" w:hAnsi="Cambria"/>
          <w:sz w:val="22"/>
        </w:rPr>
        <w:t xml:space="preserve">, </w:t>
      </w:r>
      <w:r>
        <w:rPr>
          <w:rFonts w:ascii="Cambria" w:hAnsi="Cambria"/>
          <w:i/>
          <w:sz w:val="22"/>
        </w:rPr>
        <w:t>UNiTE to End Violence Against Women</w:t>
      </w:r>
      <w:r>
        <w:rPr>
          <w:rFonts w:ascii="Cambria" w:hAnsi="Cambria"/>
          <w:sz w:val="22"/>
        </w:rPr>
        <w:t xml:space="preserve">, and </w:t>
      </w:r>
      <w:r>
        <w:rPr>
          <w:rFonts w:ascii="Cambria" w:hAnsi="Cambria"/>
          <w:i/>
          <w:sz w:val="22"/>
        </w:rPr>
        <w:t>16 Days of Activism Against Gender-Based Violence</w:t>
      </w:r>
      <w:r>
        <w:rPr>
          <w:rFonts w:ascii="Cambria" w:hAnsi="Cambria"/>
          <w:sz w:val="22"/>
        </w:rPr>
        <w:t>.</w:t>
      </w:r>
    </w:p>
    <w:p>
      <w:pPr>
        <w:pStyle w:val="ListBullet"/>
        <w:ind w:left="357"/>
        <w:jc w:val="both"/>
      </w:pPr>
      <w:r>
        <w:rPr>
          <w:rFonts w:ascii="Cambria" w:hAnsi="Cambria"/>
          <w:sz w:val="22"/>
        </w:rPr>
        <w:t>Commit to zero tolerance toward sexual harassment and gender-based violence within the university.</w:t>
      </w:r>
    </w:p>
    <w:p>
      <w:pPr>
        <w:spacing w:after="120"/>
        <w:ind w:left="720"/>
      </w:pPr>
      <w:r>
        <w:rPr>
          <w:rFonts w:ascii="Cambria" w:hAnsi="Cambria"/>
          <w:sz w:val="22"/>
        </w:rPr>
        <w:t xml:space="preserve">• Establish and strengthen Internal Complaints Committees (ICC) under the </w:t>
      </w:r>
      <w:r>
        <w:rPr>
          <w:rFonts w:ascii="Cambria" w:hAnsi="Cambria"/>
          <w:i/>
          <w:sz w:val="22"/>
        </w:rPr>
        <w:t>Prevention of Sexual Harassment (POSH) Act, 2013</w:t>
      </w:r>
      <w:r>
        <w:rPr>
          <w:rFonts w:ascii="Cambria" w:hAnsi="Cambria"/>
          <w:sz w:val="22"/>
        </w:rPr>
        <w:t>.</w:t>
      </w:r>
    </w:p>
    <w:p>
      <w:pPr>
        <w:pStyle w:val="ListBullet"/>
        <w:ind w:left="357"/>
        <w:jc w:val="both"/>
      </w:pPr>
      <w:r>
        <w:rPr>
          <w:rFonts w:ascii="Cambria" w:hAnsi="Cambria"/>
          <w:sz w:val="22"/>
        </w:rPr>
        <w:t>Mandate transparent reporting and investigation mechanisms for cases of sexual harassment or assault on campus.</w:t>
      </w:r>
    </w:p>
    <w:p>
      <w:pPr>
        <w:pStyle w:val="ListBullet"/>
        <w:ind w:left="357"/>
        <w:jc w:val="both"/>
      </w:pPr>
      <w:r>
        <w:rPr>
          <w:rFonts w:ascii="Cambria" w:hAnsi="Cambria"/>
          <w:sz w:val="22"/>
        </w:rPr>
        <w:t>Collaborate with local police, NGOs, and women's helplines to ensure safety and immediate response in crisis situations.</w:t>
      </w:r>
    </w:p>
    <w:p>
      <w:pPr>
        <w:spacing w:after="120"/>
        <w:jc w:val="both"/>
      </w:pPr>
      <w:r>
        <w:rPr>
          <w:rFonts w:ascii="Cambria" w:hAnsi="Cambria"/>
          <w:b/>
          <w:i w:val="0"/>
          <w:sz w:val="22"/>
        </w:rPr>
        <w:t>Expected Impact</w:t>
      </w:r>
    </w:p>
    <w:p>
      <w:pPr>
        <w:pStyle w:val="ListBullet"/>
        <w:ind w:left="357"/>
        <w:jc w:val="both"/>
      </w:pPr>
      <w:r>
        <w:rPr>
          <w:rFonts w:ascii="Cambria" w:hAnsi="Cambria"/>
          <w:sz w:val="22"/>
        </w:rPr>
        <w:t>Builds a safe, respectful, and accountable institutional culture.</w:t>
      </w:r>
    </w:p>
    <w:p>
      <w:pPr>
        <w:pStyle w:val="ListBullet"/>
        <w:ind w:left="357"/>
        <w:jc w:val="both"/>
      </w:pPr>
      <w:r>
        <w:rPr>
          <w:rFonts w:ascii="Cambria" w:hAnsi="Cambria"/>
          <w:sz w:val="22"/>
        </w:rPr>
        <w:t>Reinforces the university's social responsibility toward women's protection and empowerment.</w:t>
      </w:r>
    </w:p>
    <w:p>
      <w:pPr>
        <w:spacing w:before="240" w:after="120"/>
        <w:jc w:val="left"/>
      </w:pPr>
      <w:r>
        <w:rPr>
          <w:rFonts w:ascii="Cambria" w:hAnsi="Cambria"/>
          <w:b/>
          <w:color w:val="1F3A5F"/>
          <w:sz w:val="28"/>
        </w:rPr>
        <w:t>6. Conducting Workshops and Awareness Campaigns</w:t>
      </w:r>
    </w:p>
    <w:p>
      <w:pPr>
        <w:spacing w:after="120"/>
        <w:jc w:val="both"/>
      </w:pPr>
      <w:r>
        <w:rPr>
          <w:rFonts w:ascii="Cambria" w:hAnsi="Cambria"/>
          <w:b/>
          <w:i w:val="0"/>
          <w:sz w:val="22"/>
        </w:rPr>
        <w:t>Awareness and Sensitization Initiatives</w:t>
      </w:r>
    </w:p>
    <w:p>
      <w:pPr>
        <w:pStyle w:val="ListBullet"/>
        <w:ind w:left="357"/>
        <w:jc w:val="both"/>
      </w:pPr>
      <w:r>
        <w:rPr>
          <w:rFonts w:ascii="Cambria" w:hAnsi="Cambria"/>
          <w:sz w:val="22"/>
        </w:rPr>
        <w:t>Conduct regular gender sensitization programs, workshops, and training sessions for students, faculty, and administrative staff.</w:t>
      </w:r>
    </w:p>
    <w:p>
      <w:pPr>
        <w:pStyle w:val="ListBullet"/>
        <w:ind w:left="357"/>
        <w:jc w:val="both"/>
      </w:pPr>
      <w:r>
        <w:rPr>
          <w:rFonts w:ascii="Cambria" w:hAnsi="Cambria"/>
          <w:sz w:val="22"/>
        </w:rPr>
        <w:t>Topics should include gender equality, inclusivity, workplace ethics, leadership diversity, and sexual harassment awareness.</w:t>
      </w:r>
    </w:p>
    <w:p>
      <w:pPr>
        <w:pStyle w:val="ListBullet"/>
        <w:ind w:left="357"/>
        <w:jc w:val="both"/>
      </w:pPr>
      <w:r>
        <w:rPr>
          <w:rFonts w:ascii="Cambria" w:hAnsi="Cambria"/>
          <w:sz w:val="22"/>
        </w:rPr>
        <w:t>Organize gender equity weeks, film screenings, and debates to foster open discussion and reflection on gender issues.</w:t>
      </w:r>
    </w:p>
    <w:p>
      <w:pPr>
        <w:pStyle w:val="ListBullet"/>
        <w:ind w:left="357"/>
        <w:jc w:val="both"/>
      </w:pPr>
      <w:r>
        <w:rPr>
          <w:rFonts w:ascii="Cambria" w:hAnsi="Cambria"/>
          <w:sz w:val="22"/>
        </w:rPr>
        <w:t>Partner with government departments, NGOs, and gender research institutions to conduct capacity-building programs.</w:t>
      </w:r>
    </w:p>
    <w:p>
      <w:pPr>
        <w:pStyle w:val="ListBullet"/>
        <w:ind w:left="357"/>
        <w:jc w:val="both"/>
      </w:pPr>
      <w:r>
        <w:rPr>
          <w:rFonts w:ascii="Cambria" w:hAnsi="Cambria"/>
          <w:sz w:val="22"/>
        </w:rPr>
        <w:t>Observe international days such as International Women's Day, National Girl Child Day, and Women in Science Day.</w:t>
      </w:r>
    </w:p>
    <w:p>
      <w:pPr>
        <w:spacing w:after="120"/>
        <w:jc w:val="both"/>
      </w:pPr>
      <w:r>
        <w:rPr>
          <w:rFonts w:ascii="Cambria" w:hAnsi="Cambria"/>
          <w:b/>
          <w:i w:val="0"/>
          <w:sz w:val="22"/>
        </w:rPr>
        <w:t>Outcomes</w:t>
      </w:r>
    </w:p>
    <w:p>
      <w:pPr>
        <w:pStyle w:val="ListBullet"/>
        <w:ind w:left="357"/>
        <w:jc w:val="both"/>
      </w:pPr>
      <w:r>
        <w:rPr>
          <w:rFonts w:ascii="Cambria" w:hAnsi="Cambria"/>
          <w:sz w:val="22"/>
        </w:rPr>
        <w:t>Promotes awareness, empathy, and behavioral change toward gender equality.</w:t>
      </w:r>
    </w:p>
    <w:p>
      <w:pPr>
        <w:pStyle w:val="ListBullet"/>
        <w:ind w:left="357"/>
        <w:jc w:val="both"/>
      </w:pPr>
      <w:r>
        <w:rPr>
          <w:rFonts w:ascii="Cambria" w:hAnsi="Cambria"/>
          <w:sz w:val="22"/>
        </w:rPr>
        <w:t>Encourages a culture of dialogue, mutual respect, and inclusivity in university spaces.</w:t>
      </w:r>
    </w:p>
    <w:p>
      <w:pPr>
        <w:spacing w:before="240" w:after="120"/>
        <w:jc w:val="left"/>
      </w:pPr>
      <w:r>
        <w:rPr>
          <w:rFonts w:ascii="Cambria" w:hAnsi="Cambria"/>
          <w:b/>
          <w:color w:val="1F3A5F"/>
          <w:sz w:val="28"/>
        </w:rPr>
        <w:t>7. Establishing Policy Centres and Gender Labs for Research and Action</w:t>
      </w:r>
    </w:p>
    <w:p>
      <w:pPr>
        <w:spacing w:after="120"/>
        <w:jc w:val="both"/>
      </w:pPr>
      <w:r>
        <w:rPr>
          <w:rFonts w:ascii="Cambria" w:hAnsi="Cambria"/>
          <w:b/>
          <w:i w:val="0"/>
          <w:sz w:val="22"/>
        </w:rPr>
        <w:t>Institutionalizing Gender Research and Policy Innovation</w:t>
      </w:r>
    </w:p>
    <w:p>
      <w:pPr>
        <w:pStyle w:val="ListBullet"/>
        <w:ind w:left="357"/>
        <w:jc w:val="both"/>
      </w:pPr>
      <w:r>
        <w:rPr>
          <w:rFonts w:ascii="Cambria" w:hAnsi="Cambria"/>
          <w:sz w:val="22"/>
        </w:rPr>
        <w:t>Create Gender Policy Centres and Gender Labs in every college and university to conduct research, policy analysis, and advocacy on gender equity issues.</w:t>
      </w:r>
    </w:p>
    <w:p>
      <w:pPr>
        <w:pStyle w:val="ListBullet"/>
        <w:ind w:left="357"/>
        <w:jc w:val="both"/>
      </w:pPr>
      <w:r>
        <w:rPr>
          <w:rFonts w:ascii="Cambria" w:hAnsi="Cambria"/>
          <w:sz w:val="22"/>
        </w:rPr>
        <w:t>Encourage action research projects addressing gender-based discrimination, digital inclusion, women's safety, and leadership barriers.</w:t>
      </w:r>
    </w:p>
    <w:p>
      <w:pPr>
        <w:pStyle w:val="ListBullet"/>
        <w:ind w:left="357"/>
        <w:jc w:val="both"/>
      </w:pPr>
      <w:r>
        <w:rPr>
          <w:rFonts w:ascii="Cambria" w:hAnsi="Cambria"/>
          <w:sz w:val="22"/>
        </w:rPr>
        <w:t>Collaborate with national and international academic networks to share best practices, data, and innovations in gender equality.</w:t>
      </w:r>
    </w:p>
    <w:p>
      <w:pPr>
        <w:pStyle w:val="ListBullet"/>
        <w:ind w:left="357"/>
        <w:jc w:val="both"/>
      </w:pPr>
      <w:r>
        <w:rPr>
          <w:rFonts w:ascii="Cambria" w:hAnsi="Cambria"/>
          <w:sz w:val="22"/>
        </w:rPr>
        <w:t>Use these centres to train students and faculty in gender-responsive research methodologies and policy evaluation.</w:t>
      </w:r>
    </w:p>
    <w:p>
      <w:pPr>
        <w:spacing w:after="120"/>
        <w:jc w:val="both"/>
      </w:pPr>
      <w:r>
        <w:rPr>
          <w:rFonts w:ascii="Cambria" w:hAnsi="Cambria"/>
          <w:b/>
          <w:i w:val="0"/>
          <w:sz w:val="22"/>
        </w:rPr>
        <w:t>Long-Term Vision</w:t>
      </w:r>
    </w:p>
    <w:p>
      <w:pPr>
        <w:pStyle w:val="ListBullet"/>
        <w:ind w:left="357"/>
        <w:jc w:val="both"/>
      </w:pPr>
      <w:r>
        <w:rPr>
          <w:rFonts w:ascii="Cambria" w:hAnsi="Cambria"/>
          <w:sz w:val="22"/>
        </w:rPr>
        <w:t>Transform HEIs into knowledge hubs for gender-inclusive governance and social transformation.</w:t>
      </w:r>
    </w:p>
    <w:p>
      <w:pPr>
        <w:pStyle w:val="ListBullet"/>
        <w:ind w:left="357"/>
        <w:jc w:val="both"/>
      </w:pPr>
      <w:r>
        <w:rPr>
          <w:rFonts w:ascii="Cambria" w:hAnsi="Cambria"/>
          <w:sz w:val="22"/>
        </w:rPr>
        <w:t>Strengthen institutional contribution toward achieving SDG-5 (Gender Equality) and SDG-16 (Peace, Justice, and Strong Institutions) through evidence-based interventions.</w:t>
      </w:r>
    </w:p>
    <w:p>
      <w:pPr>
        <w:spacing w:before="240" w:after="120"/>
        <w:jc w:val="left"/>
      </w:pPr>
      <w:r>
        <w:rPr>
          <w:rFonts w:ascii="Cambria" w:hAnsi="Cambria"/>
          <w:b/>
          <w:color w:val="1F3A5F"/>
          <w:sz w:val="28"/>
        </w:rPr>
        <w:t>Conclusion</w:t>
      </w:r>
    </w:p>
    <w:p>
      <w:pPr>
        <w:pStyle w:val="ListBullet"/>
        <w:ind w:left="357"/>
        <w:jc w:val="both"/>
      </w:pPr>
      <w:r>
        <w:rPr>
          <w:rFonts w:ascii="Cambria" w:hAnsi="Cambria"/>
          <w:sz w:val="22"/>
        </w:rPr>
        <w:t>Establishing gender-equitable governance, operations, and institutional culture is central to transforming universities into inclusive and socially responsible spaces.</w:t>
      </w:r>
    </w:p>
    <w:p>
      <w:pPr>
        <w:pStyle w:val="ListBullet"/>
        <w:ind w:left="357"/>
        <w:jc w:val="both"/>
      </w:pPr>
      <w:r>
        <w:rPr>
          <w:rFonts w:ascii="Cambria" w:hAnsi="Cambria"/>
          <w:sz w:val="22"/>
        </w:rPr>
        <w:t>By prioritizing leadership equity, pay parity, workplace flexibility, and research-driven gender policies, HEIs can model ethical governance and sustainable inclusivity.</w:t>
      </w:r>
    </w:p>
    <w:p>
      <w:pPr>
        <w:pStyle w:val="ListBullet"/>
        <w:ind w:left="357"/>
        <w:jc w:val="both"/>
      </w:pPr>
      <w:r>
        <w:rPr>
          <w:rFonts w:ascii="Cambria" w:hAnsi="Cambria"/>
          <w:sz w:val="22"/>
        </w:rPr>
        <w:t>These reforms not only empower women within academia but also position universities as agents of national change committed to the principles of equality, justice, and sustainable development.</w:t>
      </w:r>
    </w:p>
    <w:p>
      <w:pPr>
        <w:spacing w:before="280" w:after="160"/>
        <w:jc w:val="left"/>
      </w:pPr>
      <w:r>
        <w:rPr>
          <w:rFonts w:ascii="Cambria" w:hAnsi="Cambria"/>
          <w:b/>
          <w:color w:val="1F3A5F"/>
          <w:sz w:val="32"/>
        </w:rPr>
        <w:t>33. Cross-Sectoral Collaborations: Advancing Gender Equality and Women Empowerment through Collective Action</w:t>
      </w:r>
    </w:p>
    <w:p>
      <w:pPr>
        <w:spacing w:before="240" w:after="120"/>
        <w:jc w:val="left"/>
      </w:pPr>
      <w:r>
        <w:rPr>
          <w:rFonts w:ascii="Cambria" w:hAnsi="Cambria"/>
          <w:b/>
          <w:color w:val="1F3A5F"/>
          <w:sz w:val="28"/>
        </w:rPr>
        <w:t>1. Public Engagement and Community Participation</w:t>
      </w:r>
    </w:p>
    <w:p>
      <w:pPr>
        <w:spacing w:after="120"/>
        <w:jc w:val="both"/>
      </w:pPr>
      <w:r>
        <w:rPr>
          <w:rFonts w:ascii="Cambria" w:hAnsi="Cambria"/>
          <w:b/>
          <w:i w:val="0"/>
          <w:sz w:val="22"/>
        </w:rPr>
        <w:t>Awareness and Outreach Programs</w:t>
      </w:r>
    </w:p>
    <w:p>
      <w:pPr>
        <w:pStyle w:val="ListBullet"/>
        <w:ind w:left="357"/>
        <w:jc w:val="both"/>
      </w:pPr>
      <w:r>
        <w:rPr>
          <w:rFonts w:ascii="Cambria" w:hAnsi="Cambria"/>
          <w:sz w:val="22"/>
        </w:rPr>
        <w:t>Higher Education Institutions (HEIs) should strengthen public engagement by hosting lectures, seminars, and symposiums featuring renowned gender experts, activists, and policymakers.</w:t>
      </w:r>
    </w:p>
    <w:p>
      <w:pPr>
        <w:pStyle w:val="ListBullet"/>
        <w:ind w:left="357"/>
        <w:jc w:val="both"/>
      </w:pPr>
      <w:r>
        <w:rPr>
          <w:rFonts w:ascii="Cambria" w:hAnsi="Cambria"/>
          <w:sz w:val="22"/>
        </w:rPr>
        <w:t>Organize open forums, debates, and dialogues that encourage public participation and raise awareness of gender issues in education, employment, and governance.</w:t>
      </w:r>
    </w:p>
    <w:p>
      <w:pPr>
        <w:pStyle w:val="ListBullet"/>
        <w:ind w:left="357"/>
        <w:jc w:val="both"/>
      </w:pPr>
      <w:r>
        <w:rPr>
          <w:rFonts w:ascii="Cambria" w:hAnsi="Cambria"/>
          <w:sz w:val="22"/>
        </w:rPr>
        <w:t>Conduct community-based awareness campaigns on gender justice, women's health, and education in collaboration with local authorities, schools, and self-help groups (SHGs).</w:t>
      </w:r>
    </w:p>
    <w:p>
      <w:pPr>
        <w:spacing w:after="120"/>
        <w:ind w:left="720"/>
      </w:pPr>
      <w:r>
        <w:rPr>
          <w:rFonts w:ascii="Cambria" w:hAnsi="Cambria"/>
          <w:sz w:val="22"/>
        </w:rPr>
        <w:t xml:space="preserve">• Celebrate key international observances such as </w:t>
      </w:r>
      <w:r>
        <w:rPr>
          <w:rFonts w:ascii="Cambria" w:hAnsi="Cambria"/>
          <w:i/>
          <w:sz w:val="22"/>
        </w:rPr>
        <w:t>International Women's Day</w:t>
      </w:r>
      <w:r>
        <w:rPr>
          <w:rFonts w:ascii="Cambria" w:hAnsi="Cambria"/>
          <w:sz w:val="22"/>
        </w:rPr>
        <w:t xml:space="preserve">, </w:t>
      </w:r>
      <w:r>
        <w:rPr>
          <w:rFonts w:ascii="Cambria" w:hAnsi="Cambria"/>
          <w:i/>
          <w:sz w:val="22"/>
        </w:rPr>
        <w:t>National Girl Child Day</w:t>
      </w:r>
      <w:r>
        <w:rPr>
          <w:rFonts w:ascii="Cambria" w:hAnsi="Cambria"/>
          <w:sz w:val="22"/>
        </w:rPr>
        <w:t xml:space="preserve">, and </w:t>
      </w:r>
      <w:r>
        <w:rPr>
          <w:rFonts w:ascii="Cambria" w:hAnsi="Cambria"/>
          <w:i/>
          <w:sz w:val="22"/>
        </w:rPr>
        <w:t>UN Women's HeForShe Campaigns</w:t>
      </w:r>
      <w:r>
        <w:rPr>
          <w:rFonts w:ascii="Cambria" w:hAnsi="Cambria"/>
          <w:sz w:val="22"/>
        </w:rPr>
        <w:t xml:space="preserve"> to promote community solidarity.</w:t>
      </w:r>
    </w:p>
    <w:p>
      <w:pPr>
        <w:pStyle w:val="ListBullet"/>
        <w:ind w:left="357"/>
        <w:jc w:val="both"/>
      </w:pPr>
      <w:r>
        <w:rPr>
          <w:rFonts w:ascii="Cambria" w:hAnsi="Cambria"/>
          <w:sz w:val="22"/>
        </w:rPr>
        <w:t>Use digital media platforms, podcasts, and webinars to extend outreach and engage youth in constructive discussions on gender equality and inclusion.</w:t>
      </w:r>
    </w:p>
    <w:p>
      <w:pPr>
        <w:spacing w:after="120"/>
        <w:jc w:val="both"/>
      </w:pPr>
      <w:r>
        <w:rPr>
          <w:rFonts w:ascii="Cambria" w:hAnsi="Cambria"/>
          <w:b/>
          <w:i w:val="0"/>
          <w:sz w:val="22"/>
        </w:rPr>
        <w:t>Expected Outcomes</w:t>
      </w:r>
    </w:p>
    <w:p>
      <w:pPr>
        <w:pStyle w:val="ListBullet"/>
        <w:ind w:left="357"/>
        <w:jc w:val="both"/>
      </w:pPr>
      <w:r>
        <w:rPr>
          <w:rFonts w:ascii="Cambria" w:hAnsi="Cambria"/>
          <w:sz w:val="22"/>
        </w:rPr>
        <w:t>Promotes grassroots-level gender awareness and sensitization among the public.</w:t>
      </w:r>
    </w:p>
    <w:p>
      <w:pPr>
        <w:pStyle w:val="ListBullet"/>
        <w:ind w:left="357"/>
        <w:jc w:val="both"/>
      </w:pPr>
      <w:r>
        <w:rPr>
          <w:rFonts w:ascii="Cambria" w:hAnsi="Cambria"/>
          <w:sz w:val="22"/>
        </w:rPr>
        <w:t>Strengthens the role of HEIs as centres of civic engagement and social transformation.</w:t>
      </w:r>
    </w:p>
    <w:p>
      <w:pPr>
        <w:pStyle w:val="ListBullet"/>
        <w:ind w:left="357"/>
        <w:jc w:val="both"/>
      </w:pPr>
      <w:r>
        <w:rPr>
          <w:rFonts w:ascii="Cambria" w:hAnsi="Cambria"/>
          <w:sz w:val="22"/>
        </w:rPr>
        <w:t>Encourages the participation of diverse community stakeholders, ensuring inclusivity in gender discourse.</w:t>
      </w:r>
    </w:p>
    <w:p>
      <w:pPr>
        <w:spacing w:before="240" w:after="120"/>
        <w:jc w:val="left"/>
      </w:pPr>
      <w:r>
        <w:rPr>
          <w:rFonts w:ascii="Cambria" w:hAnsi="Cambria"/>
          <w:b/>
          <w:color w:val="1F3A5F"/>
          <w:sz w:val="28"/>
        </w:rPr>
        <w:t>2. Collaborative Partnerships for Gender Solutions</w:t>
      </w:r>
    </w:p>
    <w:p>
      <w:pPr>
        <w:spacing w:after="120"/>
        <w:jc w:val="both"/>
      </w:pPr>
      <w:r>
        <w:rPr>
          <w:rFonts w:ascii="Cambria" w:hAnsi="Cambria"/>
          <w:b/>
          <w:i w:val="0"/>
          <w:sz w:val="22"/>
        </w:rPr>
        <w:t>Inter-Institutional and Inter-Sectoral Collaborations</w:t>
      </w:r>
    </w:p>
    <w:p>
      <w:pPr>
        <w:pStyle w:val="ListBullet"/>
        <w:ind w:left="357"/>
        <w:jc w:val="both"/>
      </w:pPr>
      <w:r>
        <w:rPr>
          <w:rFonts w:ascii="Cambria" w:hAnsi="Cambria"/>
          <w:sz w:val="22"/>
        </w:rPr>
        <w:t>Facilitate partnerships between HEIs, industry, government agencies, NGOs, and international organizations to co-create solutions for gender-related challenges.</w:t>
      </w:r>
    </w:p>
    <w:p>
      <w:pPr>
        <w:pStyle w:val="ListBullet"/>
        <w:ind w:left="357"/>
        <w:jc w:val="both"/>
      </w:pPr>
      <w:r>
        <w:rPr>
          <w:rFonts w:ascii="Cambria" w:hAnsi="Cambria"/>
          <w:sz w:val="22"/>
        </w:rPr>
        <w:t>Collaborate with organizations like UNESCO, UN Women, UNICEF, and NITI Aayog on gender-sensitive education and empowerment initiatives.</w:t>
      </w:r>
    </w:p>
    <w:p>
      <w:pPr>
        <w:pStyle w:val="ListBullet"/>
        <w:ind w:left="357"/>
        <w:jc w:val="both"/>
      </w:pPr>
      <w:r>
        <w:rPr>
          <w:rFonts w:ascii="Cambria" w:hAnsi="Cambria"/>
          <w:sz w:val="22"/>
        </w:rPr>
        <w:t>Establish joint research projects and knowledge exchanges between universities and gender advocacy groups to share best practices and data-driven insights.</w:t>
      </w:r>
    </w:p>
    <w:p>
      <w:pPr>
        <w:pStyle w:val="ListBullet"/>
        <w:ind w:left="357"/>
        <w:jc w:val="both"/>
      </w:pPr>
      <w:r>
        <w:rPr>
          <w:rFonts w:ascii="Cambria" w:hAnsi="Cambria"/>
          <w:sz w:val="22"/>
        </w:rPr>
        <w:t>Form gender task forces or consortiums involving academia, civil society, and the private sector to implement gender mainstreaming programs.</w:t>
      </w:r>
    </w:p>
    <w:p>
      <w:pPr>
        <w:spacing w:after="120"/>
        <w:jc w:val="both"/>
      </w:pPr>
      <w:r>
        <w:rPr>
          <w:rFonts w:ascii="Cambria" w:hAnsi="Cambria"/>
          <w:b/>
          <w:i w:val="0"/>
          <w:sz w:val="22"/>
        </w:rPr>
        <w:t>Academic and Research Collaborations</w:t>
      </w:r>
    </w:p>
    <w:p>
      <w:pPr>
        <w:pStyle w:val="ListBullet"/>
        <w:ind w:left="357"/>
        <w:jc w:val="both"/>
      </w:pPr>
      <w:r>
        <w:rPr>
          <w:rFonts w:ascii="Cambria" w:hAnsi="Cambria"/>
          <w:sz w:val="22"/>
        </w:rPr>
        <w:t>Encourage joint research centres, funded projects, and policy dialogues focusing on gender-inclusive innovation, women's leadership, and digital inclusion.</w:t>
      </w:r>
    </w:p>
    <w:p>
      <w:pPr>
        <w:spacing w:after="120"/>
        <w:ind w:left="720"/>
      </w:pPr>
      <w:r>
        <w:rPr>
          <w:rFonts w:ascii="Cambria" w:hAnsi="Cambria"/>
          <w:sz w:val="22"/>
        </w:rPr>
        <w:t xml:space="preserve">• Leverage international funding programs such as </w:t>
      </w:r>
      <w:r>
        <w:rPr>
          <w:rFonts w:ascii="Cambria" w:hAnsi="Cambria"/>
          <w:i/>
          <w:sz w:val="22"/>
        </w:rPr>
        <w:t>Erasmus+, Horizon Europe, and Commonwealth Scholarships</w:t>
      </w:r>
      <w:r>
        <w:rPr>
          <w:rFonts w:ascii="Cambria" w:hAnsi="Cambria"/>
          <w:sz w:val="22"/>
        </w:rPr>
        <w:t xml:space="preserve"> for women-centric research and mobility.</w:t>
      </w:r>
    </w:p>
    <w:p>
      <w:pPr>
        <w:spacing w:after="120"/>
        <w:jc w:val="both"/>
      </w:pPr>
      <w:r>
        <w:rPr>
          <w:rFonts w:ascii="Cambria" w:hAnsi="Cambria"/>
          <w:b/>
          <w:i w:val="0"/>
          <w:sz w:val="22"/>
        </w:rPr>
        <w:t>Impact</w:t>
      </w:r>
    </w:p>
    <w:p>
      <w:pPr>
        <w:pStyle w:val="ListBullet"/>
        <w:ind w:left="357"/>
        <w:jc w:val="both"/>
      </w:pPr>
      <w:r>
        <w:rPr>
          <w:rFonts w:ascii="Cambria" w:hAnsi="Cambria"/>
          <w:sz w:val="22"/>
        </w:rPr>
        <w:t>Creates synergy across sectors, leading to sustainable and scalable gender solutions.</w:t>
      </w:r>
    </w:p>
    <w:p>
      <w:pPr>
        <w:pStyle w:val="ListBullet"/>
        <w:ind w:left="357"/>
        <w:jc w:val="both"/>
      </w:pPr>
      <w:r>
        <w:rPr>
          <w:rFonts w:ascii="Cambria" w:hAnsi="Cambria"/>
          <w:sz w:val="22"/>
        </w:rPr>
        <w:t>Encourages the integration of gender perspectives in national and institutional development agendas.</w:t>
      </w:r>
    </w:p>
    <w:p>
      <w:pPr>
        <w:spacing w:before="240" w:after="120"/>
        <w:jc w:val="left"/>
      </w:pPr>
      <w:r>
        <w:rPr>
          <w:rFonts w:ascii="Cambria" w:hAnsi="Cambria"/>
          <w:b/>
          <w:color w:val="1F3A5F"/>
          <w:sz w:val="28"/>
        </w:rPr>
        <w:t>3. Policy Formulation and Advocacy for Gender Equality</w:t>
      </w:r>
    </w:p>
    <w:p>
      <w:pPr>
        <w:spacing w:after="120"/>
        <w:jc w:val="both"/>
      </w:pPr>
      <w:r>
        <w:rPr>
          <w:rFonts w:ascii="Cambria" w:hAnsi="Cambria"/>
          <w:b/>
          <w:i w:val="0"/>
          <w:sz w:val="22"/>
        </w:rPr>
        <w:t>HEIs as Policy Think Tanks</w:t>
      </w:r>
    </w:p>
    <w:p>
      <w:pPr>
        <w:pStyle w:val="ListBullet"/>
        <w:ind w:left="357"/>
        <w:jc w:val="both"/>
      </w:pPr>
      <w:r>
        <w:rPr>
          <w:rFonts w:ascii="Cambria" w:hAnsi="Cambria"/>
          <w:sz w:val="22"/>
        </w:rPr>
        <w:t>Universities should play a lead role in policy formulation by conducting evidence-based research and policy analysis on gender issues.</w:t>
      </w:r>
    </w:p>
    <w:p>
      <w:pPr>
        <w:pStyle w:val="ListBullet"/>
        <w:ind w:left="357"/>
        <w:jc w:val="both"/>
      </w:pPr>
      <w:r>
        <w:rPr>
          <w:rFonts w:ascii="Cambria" w:hAnsi="Cambria"/>
          <w:sz w:val="22"/>
        </w:rPr>
        <w:t>Collaborate with parliamentary committees, state commissions for women, and ministries to identify gender gaps and propose actionable reforms.</w:t>
      </w:r>
    </w:p>
    <w:p>
      <w:pPr>
        <w:pStyle w:val="ListBullet"/>
        <w:ind w:left="357"/>
        <w:jc w:val="both"/>
      </w:pPr>
      <w:r>
        <w:rPr>
          <w:rFonts w:ascii="Cambria" w:hAnsi="Cambria"/>
          <w:sz w:val="22"/>
        </w:rPr>
        <w:t>Develop policy briefs, white papers, and advisory reports to support government initiatives in education, employment, and safety for women.</w:t>
      </w:r>
    </w:p>
    <w:p>
      <w:pPr>
        <w:pStyle w:val="ListBullet"/>
        <w:ind w:left="357"/>
        <w:jc w:val="both"/>
      </w:pPr>
      <w:r>
        <w:rPr>
          <w:rFonts w:ascii="Cambria" w:hAnsi="Cambria"/>
          <w:sz w:val="22"/>
        </w:rPr>
        <w:t>Host policy dialogues and roundtable discussions between academics, policymakers, and industry leaders to align educational policies with gender goals.</w:t>
      </w:r>
    </w:p>
    <w:p>
      <w:pPr>
        <w:pStyle w:val="ListBullet"/>
        <w:ind w:left="357"/>
        <w:jc w:val="both"/>
      </w:pPr>
      <w:r>
        <w:rPr>
          <w:rFonts w:ascii="Cambria" w:hAnsi="Cambria"/>
          <w:sz w:val="22"/>
        </w:rPr>
        <w:t>Build capacity in gender-sensitive governance through leadership training for policymakers, bureaucrats, and institutional heads.</w:t>
      </w:r>
    </w:p>
    <w:p>
      <w:pPr>
        <w:spacing w:after="120"/>
        <w:jc w:val="both"/>
      </w:pPr>
      <w:r>
        <w:rPr>
          <w:rFonts w:ascii="Cambria" w:hAnsi="Cambria"/>
          <w:b/>
          <w:i w:val="0"/>
          <w:sz w:val="22"/>
        </w:rPr>
        <w:t>Expected Results</w:t>
      </w:r>
    </w:p>
    <w:p>
      <w:pPr>
        <w:pStyle w:val="ListBullet"/>
        <w:ind w:left="357"/>
        <w:jc w:val="both"/>
      </w:pPr>
      <w:r>
        <w:rPr>
          <w:rFonts w:ascii="Cambria" w:hAnsi="Cambria"/>
          <w:sz w:val="22"/>
        </w:rPr>
        <w:t>Strengthens the evidence-to-policy linkage by integrating academic research with governance strategies.</w:t>
      </w:r>
    </w:p>
    <w:p>
      <w:pPr>
        <w:pStyle w:val="ListBullet"/>
        <w:ind w:left="357"/>
        <w:jc w:val="both"/>
      </w:pPr>
      <w:r>
        <w:rPr>
          <w:rFonts w:ascii="Cambria" w:hAnsi="Cambria"/>
          <w:sz w:val="22"/>
        </w:rPr>
        <w:t>Enhances institutional influence in shaping gender-related national and regional policies.</w:t>
      </w:r>
    </w:p>
    <w:p>
      <w:pPr>
        <w:pStyle w:val="ListBullet"/>
        <w:ind w:left="357"/>
        <w:jc w:val="both"/>
      </w:pPr>
      <w:r>
        <w:rPr>
          <w:rFonts w:ascii="Cambria" w:hAnsi="Cambria"/>
          <w:sz w:val="22"/>
        </w:rPr>
        <w:t>Promotes the visibility of HEIs as knowledge partners in sustainable development.</w:t>
      </w:r>
    </w:p>
    <w:p>
      <w:pPr>
        <w:spacing w:before="240" w:after="120"/>
        <w:jc w:val="left"/>
      </w:pPr>
      <w:r>
        <w:rPr>
          <w:rFonts w:ascii="Cambria" w:hAnsi="Cambria"/>
          <w:b/>
          <w:color w:val="1F3A5F"/>
          <w:sz w:val="28"/>
        </w:rPr>
        <w:t>4. Demonstrating Commitment through Teaching, Research, and Innovation</w:t>
      </w:r>
    </w:p>
    <w:p>
      <w:pPr>
        <w:spacing w:after="120"/>
        <w:jc w:val="both"/>
      </w:pPr>
      <w:r>
        <w:rPr>
          <w:rFonts w:ascii="Cambria" w:hAnsi="Cambria"/>
          <w:b/>
          <w:i w:val="0"/>
          <w:sz w:val="22"/>
        </w:rPr>
        <w:t>Integration of Gender Perspectives Across Academic Functions</w:t>
      </w:r>
    </w:p>
    <w:p>
      <w:pPr>
        <w:pStyle w:val="ListBullet"/>
        <w:ind w:left="357"/>
        <w:jc w:val="both"/>
      </w:pPr>
      <w:r>
        <w:rPr>
          <w:rFonts w:ascii="Cambria" w:hAnsi="Cambria"/>
          <w:sz w:val="22"/>
        </w:rPr>
        <w:t>Embed gender perspectives within teaching methodologies, research themes, and innovation ecosystems.</w:t>
      </w:r>
    </w:p>
    <w:p>
      <w:pPr>
        <w:pStyle w:val="ListBullet"/>
        <w:ind w:left="357"/>
        <w:jc w:val="both"/>
      </w:pPr>
      <w:r>
        <w:rPr>
          <w:rFonts w:ascii="Cambria" w:hAnsi="Cambria"/>
          <w:sz w:val="22"/>
        </w:rPr>
        <w:t>Encourage faculty and student research focused on gender issues such as inclusion in technology, healthcare equity, and leadership representation.</w:t>
      </w:r>
    </w:p>
    <w:p>
      <w:pPr>
        <w:pStyle w:val="ListBullet"/>
        <w:ind w:left="357"/>
        <w:jc w:val="both"/>
      </w:pPr>
      <w:r>
        <w:rPr>
          <w:rFonts w:ascii="Cambria" w:hAnsi="Cambria"/>
          <w:sz w:val="22"/>
        </w:rPr>
        <w:t>Develop innovation labs and start-ups that design solutions for gender challenges — e.g., safety devices, women's health technologies, and inclusive digital platforms.</w:t>
      </w:r>
    </w:p>
    <w:p>
      <w:pPr>
        <w:pStyle w:val="ListBullet"/>
        <w:ind w:left="357"/>
        <w:jc w:val="both"/>
      </w:pPr>
      <w:r>
        <w:rPr>
          <w:rFonts w:ascii="Cambria" w:hAnsi="Cambria"/>
          <w:sz w:val="22"/>
        </w:rPr>
        <w:t>Introduce academic recognition and awards for research and community engagement projects addressing gender equity.</w:t>
      </w:r>
    </w:p>
    <w:p>
      <w:pPr>
        <w:pStyle w:val="ListBullet"/>
        <w:ind w:left="357"/>
        <w:jc w:val="both"/>
      </w:pPr>
      <w:r>
        <w:rPr>
          <w:rFonts w:ascii="Cambria" w:hAnsi="Cambria"/>
          <w:sz w:val="22"/>
        </w:rPr>
        <w:t>Align university strategic plans with SDG-5 (Gender Equality) and ensure progress is tracked through institutional quality audits.</w:t>
      </w:r>
    </w:p>
    <w:p>
      <w:pPr>
        <w:spacing w:after="120"/>
        <w:jc w:val="both"/>
      </w:pPr>
      <w:r>
        <w:rPr>
          <w:rFonts w:ascii="Cambria" w:hAnsi="Cambria"/>
          <w:b/>
          <w:i w:val="0"/>
          <w:sz w:val="22"/>
        </w:rPr>
        <w:t>Institutional Visibility and Accountability</w:t>
      </w:r>
    </w:p>
    <w:p>
      <w:pPr>
        <w:pStyle w:val="ListBullet"/>
        <w:ind w:left="357"/>
        <w:jc w:val="both"/>
      </w:pPr>
      <w:r>
        <w:rPr>
          <w:rFonts w:ascii="Cambria" w:hAnsi="Cambria"/>
          <w:sz w:val="22"/>
        </w:rPr>
        <w:t>Publish annual reports on gender equity initiatives, highlighting the university's contributions to societal development.</w:t>
      </w:r>
    </w:p>
    <w:p>
      <w:pPr>
        <w:pStyle w:val="ListBullet"/>
        <w:ind w:left="357"/>
        <w:jc w:val="both"/>
      </w:pPr>
      <w:r>
        <w:rPr>
          <w:rFonts w:ascii="Cambria" w:hAnsi="Cambria"/>
          <w:sz w:val="22"/>
        </w:rPr>
        <w:t>Establish impact measurement frameworks to evaluate the reach and effectiveness of gender-related programs.</w:t>
      </w:r>
    </w:p>
    <w:p>
      <w:pPr>
        <w:pStyle w:val="ListBullet"/>
        <w:ind w:left="357"/>
        <w:jc w:val="both"/>
      </w:pPr>
      <w:r>
        <w:rPr>
          <w:rFonts w:ascii="Cambria" w:hAnsi="Cambria"/>
          <w:sz w:val="22"/>
        </w:rPr>
        <w:t>Promote cross-disciplinary research linking gender equality with sustainability, innovation, and social entrepreneurship.</w:t>
      </w:r>
    </w:p>
    <w:p>
      <w:pPr>
        <w:spacing w:before="240" w:after="120"/>
        <w:jc w:val="left"/>
      </w:pPr>
      <w:r>
        <w:rPr>
          <w:rFonts w:ascii="Cambria" w:hAnsi="Cambria"/>
          <w:b/>
          <w:color w:val="1F3A5F"/>
          <w:sz w:val="28"/>
        </w:rPr>
        <w:t>5. Generation of Part-Time and Flexible Appointments for Women</w:t>
      </w:r>
    </w:p>
    <w:p>
      <w:pPr>
        <w:spacing w:after="120"/>
        <w:jc w:val="both"/>
      </w:pPr>
      <w:r>
        <w:rPr>
          <w:rFonts w:ascii="Cambria" w:hAnsi="Cambria"/>
          <w:b/>
          <w:i w:val="0"/>
          <w:sz w:val="22"/>
        </w:rPr>
        <w:t>Employment and Retention Strategies</w:t>
      </w:r>
    </w:p>
    <w:p>
      <w:pPr>
        <w:pStyle w:val="ListBullet"/>
        <w:ind w:left="357"/>
        <w:jc w:val="both"/>
      </w:pPr>
      <w:r>
        <w:rPr>
          <w:rFonts w:ascii="Cambria" w:hAnsi="Cambria"/>
          <w:sz w:val="22"/>
        </w:rPr>
        <w:t>Introduce part-time, flexible, and remote academic or administrative roles to encourage women's continued participation in the workforce.</w:t>
      </w:r>
    </w:p>
    <w:p>
      <w:pPr>
        <w:pStyle w:val="ListBullet"/>
        <w:ind w:left="357"/>
        <w:jc w:val="both"/>
      </w:pPr>
      <w:r>
        <w:rPr>
          <w:rFonts w:ascii="Cambria" w:hAnsi="Cambria"/>
          <w:sz w:val="22"/>
        </w:rPr>
        <w:t>Offer re-entry fellowships for women who take career breaks due to family responsibilities or caregiving.</w:t>
      </w:r>
    </w:p>
    <w:p>
      <w:pPr>
        <w:pStyle w:val="ListBullet"/>
        <w:ind w:left="357"/>
        <w:jc w:val="both"/>
      </w:pPr>
      <w:r>
        <w:rPr>
          <w:rFonts w:ascii="Cambria" w:hAnsi="Cambria"/>
          <w:sz w:val="22"/>
        </w:rPr>
        <w:t>Ensure career progression opportunities for part-time employees, recognizing their contributions in performance appraisals and promotions.</w:t>
      </w:r>
    </w:p>
    <w:p>
      <w:pPr>
        <w:pStyle w:val="ListBullet"/>
        <w:ind w:left="357"/>
        <w:jc w:val="both"/>
      </w:pPr>
      <w:r>
        <w:rPr>
          <w:rFonts w:ascii="Cambria" w:hAnsi="Cambria"/>
          <w:sz w:val="22"/>
        </w:rPr>
        <w:t>Collaborate with industry partners and research institutes to create hybrid work models, enabling women to balance personal and professional commitments.</w:t>
      </w:r>
    </w:p>
    <w:p>
      <w:pPr>
        <w:spacing w:after="120"/>
        <w:jc w:val="both"/>
      </w:pPr>
      <w:r>
        <w:rPr>
          <w:rFonts w:ascii="Cambria" w:hAnsi="Cambria"/>
          <w:b/>
          <w:i w:val="0"/>
          <w:sz w:val="22"/>
        </w:rPr>
        <w:t>Impact on Institutional Equity</w:t>
      </w:r>
    </w:p>
    <w:p>
      <w:pPr>
        <w:pStyle w:val="ListBullet"/>
        <w:ind w:left="357"/>
        <w:jc w:val="both"/>
      </w:pPr>
      <w:r>
        <w:rPr>
          <w:rFonts w:ascii="Cambria" w:hAnsi="Cambria"/>
          <w:sz w:val="22"/>
        </w:rPr>
        <w:t>Enhances women's access to higher education employment opportunities.</w:t>
      </w:r>
    </w:p>
    <w:p>
      <w:pPr>
        <w:pStyle w:val="ListBullet"/>
        <w:ind w:left="357"/>
        <w:jc w:val="both"/>
      </w:pPr>
      <w:r>
        <w:rPr>
          <w:rFonts w:ascii="Cambria" w:hAnsi="Cambria"/>
          <w:sz w:val="22"/>
        </w:rPr>
        <w:t>Reduces attrition rates and supports long-term retention of skilled women professionals.</w:t>
      </w:r>
    </w:p>
    <w:p>
      <w:pPr>
        <w:pStyle w:val="ListBullet"/>
        <w:ind w:left="357"/>
        <w:jc w:val="both"/>
      </w:pPr>
      <w:r>
        <w:rPr>
          <w:rFonts w:ascii="Cambria" w:hAnsi="Cambria"/>
          <w:sz w:val="22"/>
        </w:rPr>
        <w:t>Demonstrates institutional commitment to equity, inclusion, and work-life balance.</w:t>
      </w:r>
    </w:p>
    <w:p>
      <w:pPr>
        <w:spacing w:before="240" w:after="120"/>
        <w:jc w:val="left"/>
      </w:pPr>
      <w:r>
        <w:rPr>
          <w:rFonts w:ascii="Cambria" w:hAnsi="Cambria"/>
          <w:b/>
          <w:color w:val="1F3A5F"/>
          <w:sz w:val="28"/>
        </w:rPr>
        <w:t>Conclusion</w:t>
      </w:r>
    </w:p>
    <w:p>
      <w:pPr>
        <w:pStyle w:val="ListBullet"/>
        <w:ind w:left="357"/>
        <w:jc w:val="both"/>
      </w:pPr>
      <w:r>
        <w:rPr>
          <w:rFonts w:ascii="Cambria" w:hAnsi="Cambria"/>
          <w:sz w:val="22"/>
        </w:rPr>
        <w:t>Cross-sectoral collaborations serve as a powerful catalyst for realizing gender equality and women's empowerment across all levels of higher education and society.</w:t>
      </w:r>
    </w:p>
    <w:p>
      <w:pPr>
        <w:pStyle w:val="ListBullet"/>
        <w:ind w:left="357"/>
        <w:jc w:val="both"/>
      </w:pPr>
      <w:r>
        <w:rPr>
          <w:rFonts w:ascii="Cambria" w:hAnsi="Cambria"/>
          <w:sz w:val="22"/>
        </w:rPr>
        <w:t>By engaging communities, forming partnerships, and influencing policy, HEIs can become transformative spaces driving gender justice and inclusive growth.</w:t>
      </w:r>
    </w:p>
    <w:p>
      <w:pPr>
        <w:pStyle w:val="ListBullet"/>
        <w:ind w:left="357"/>
        <w:jc w:val="both"/>
      </w:pPr>
      <w:r>
        <w:rPr>
          <w:rFonts w:ascii="Cambria" w:hAnsi="Cambria"/>
          <w:sz w:val="22"/>
        </w:rPr>
        <w:t>Establishing flexible employment, research collaborations, and gender innovation hubs reinforces the university's role as a change agent and national leader in achieving SDG-5 (Gender Equality).</w:t>
      </w:r>
    </w:p>
    <w:p>
      <w:pPr>
        <w:pStyle w:val="ListBullet"/>
        <w:ind w:left="357"/>
        <w:jc w:val="both"/>
      </w:pPr>
      <w:r>
        <w:rPr>
          <w:rFonts w:ascii="Cambria" w:hAnsi="Cambria"/>
          <w:sz w:val="22"/>
        </w:rPr>
        <w:t>Ultimately, these efforts ensure that gender inclusivity becomes not just a goal, but a shared societal responsibility and institutional culture.</w:t>
      </w:r>
    </w:p>
    <w:p>
      <w:pPr>
        <w:spacing w:before="280" w:after="160"/>
        <w:jc w:val="left"/>
      </w:pPr>
      <w:r>
        <w:rPr>
          <w:rFonts w:ascii="Cambria" w:hAnsi="Cambria"/>
          <w:b/>
          <w:color w:val="1F3A5F"/>
          <w:sz w:val="32"/>
        </w:rPr>
        <w:t>34. Research on Gender Issues: Advancing Knowledge, Inclusion, and Empowerment in Higher Education Institutions (HEIs)</w:t>
      </w:r>
    </w:p>
    <w:p>
      <w:pPr>
        <w:spacing w:before="240" w:after="120"/>
        <w:jc w:val="left"/>
      </w:pPr>
      <w:r>
        <w:rPr>
          <w:rFonts w:ascii="Cambria" w:hAnsi="Cambria"/>
          <w:b/>
          <w:color w:val="1F3A5F"/>
          <w:sz w:val="28"/>
        </w:rPr>
        <w:t>1. Encouraging Women's Participation in Research and Patent Filing</w:t>
      </w:r>
    </w:p>
    <w:p>
      <w:pPr>
        <w:spacing w:after="120"/>
        <w:jc w:val="both"/>
      </w:pPr>
      <w:r>
        <w:rPr>
          <w:rFonts w:ascii="Cambria" w:hAnsi="Cambria"/>
          <w:b/>
          <w:i w:val="0"/>
          <w:sz w:val="22"/>
        </w:rPr>
        <w:t>Bridging the Gender Gap in Innovation</w:t>
      </w:r>
    </w:p>
    <w:p>
      <w:pPr>
        <w:pStyle w:val="ListBullet"/>
        <w:ind w:left="357"/>
        <w:jc w:val="both"/>
      </w:pPr>
      <w:r>
        <w:rPr>
          <w:rFonts w:ascii="Cambria" w:hAnsi="Cambria"/>
          <w:sz w:val="22"/>
        </w:rPr>
        <w:t>Promote active participation of women researchers in innovation and intellectual property creation through targeted mentorship and financial support.</w:t>
      </w:r>
    </w:p>
    <w:p>
      <w:pPr>
        <w:pStyle w:val="ListBullet"/>
        <w:ind w:left="357"/>
        <w:jc w:val="both"/>
      </w:pPr>
      <w:r>
        <w:rPr>
          <w:rFonts w:ascii="Cambria" w:hAnsi="Cambria"/>
          <w:sz w:val="22"/>
        </w:rPr>
        <w:t>Establish Women Innovation and Patent Facilitation Cells (WIPFCs) within universities to assist women faculty and students in idea validation, patent drafting, and filing procedures.</w:t>
      </w:r>
    </w:p>
    <w:p>
      <w:pPr>
        <w:pStyle w:val="ListBullet"/>
        <w:ind w:left="357"/>
        <w:jc w:val="both"/>
      </w:pPr>
      <w:r>
        <w:rPr>
          <w:rFonts w:ascii="Cambria" w:hAnsi="Cambria"/>
          <w:sz w:val="22"/>
        </w:rPr>
        <w:t>Provide seed funding and incubation grants specifically for women-led research projects and start-ups.</w:t>
      </w:r>
    </w:p>
    <w:p>
      <w:pPr>
        <w:pStyle w:val="ListBullet"/>
        <w:ind w:left="357"/>
        <w:jc w:val="both"/>
      </w:pPr>
      <w:r>
        <w:rPr>
          <w:rFonts w:ascii="Cambria" w:hAnsi="Cambria"/>
          <w:sz w:val="22"/>
        </w:rPr>
        <w:t>Conduct IPR awareness workshops to educate women researchers on patent laws, copyrights, and intellectual property management.</w:t>
      </w:r>
    </w:p>
    <w:p>
      <w:pPr>
        <w:pStyle w:val="ListBullet"/>
        <w:ind w:left="357"/>
        <w:jc w:val="both"/>
      </w:pPr>
      <w:r>
        <w:rPr>
          <w:rFonts w:ascii="Cambria" w:hAnsi="Cambria"/>
          <w:sz w:val="22"/>
        </w:rPr>
        <w:t>Recognize and reward female inventors and innovators through institutional awards, thereby motivating broader participation in research and technology transfer.</w:t>
      </w:r>
    </w:p>
    <w:p>
      <w:pPr>
        <w:spacing w:after="120"/>
        <w:jc w:val="both"/>
      </w:pPr>
      <w:r>
        <w:rPr>
          <w:rFonts w:ascii="Cambria" w:hAnsi="Cambria"/>
          <w:b/>
          <w:i w:val="0"/>
          <w:sz w:val="22"/>
        </w:rPr>
        <w:t>Expected Outcomes</w:t>
      </w:r>
    </w:p>
    <w:p>
      <w:pPr>
        <w:pStyle w:val="ListBullet"/>
        <w:ind w:left="357"/>
        <w:jc w:val="both"/>
      </w:pPr>
      <w:r>
        <w:rPr>
          <w:rFonts w:ascii="Cambria" w:hAnsi="Cambria"/>
          <w:sz w:val="22"/>
        </w:rPr>
        <w:t>Increases the number of women-led patents and innovations, reducing gender disparities in intellectual property.</w:t>
      </w:r>
    </w:p>
    <w:p>
      <w:pPr>
        <w:pStyle w:val="ListBullet"/>
        <w:ind w:left="357"/>
        <w:jc w:val="both"/>
      </w:pPr>
      <w:r>
        <w:rPr>
          <w:rFonts w:ascii="Cambria" w:hAnsi="Cambria"/>
          <w:sz w:val="22"/>
        </w:rPr>
        <w:t>Encourages a culture of creativity, entrepreneurship, and innovation among women scholars and faculty.</w:t>
      </w:r>
    </w:p>
    <w:p>
      <w:pPr>
        <w:spacing w:before="240" w:after="120"/>
        <w:jc w:val="left"/>
      </w:pPr>
      <w:r>
        <w:rPr>
          <w:rFonts w:ascii="Cambria" w:hAnsi="Cambria"/>
          <w:b/>
          <w:color w:val="1F3A5F"/>
          <w:sz w:val="28"/>
        </w:rPr>
        <w:t>2. Promoting Gender Balance in Research, Innovation, and Training</w:t>
      </w:r>
    </w:p>
    <w:p>
      <w:pPr>
        <w:spacing w:after="120"/>
        <w:jc w:val="both"/>
      </w:pPr>
      <w:r>
        <w:rPr>
          <w:rFonts w:ascii="Cambria" w:hAnsi="Cambria"/>
          <w:b/>
          <w:i w:val="0"/>
          <w:sz w:val="22"/>
        </w:rPr>
        <w:t>Inclusive Research Ecosystems</w:t>
      </w:r>
    </w:p>
    <w:p>
      <w:pPr>
        <w:pStyle w:val="ListBullet"/>
        <w:ind w:left="357"/>
        <w:jc w:val="both"/>
      </w:pPr>
      <w:r>
        <w:rPr>
          <w:rFonts w:ascii="Cambria" w:hAnsi="Cambria"/>
          <w:sz w:val="22"/>
        </w:rPr>
        <w:t>Ensure gender parity in all research committees, funding bodies, and innovation councils.</w:t>
      </w:r>
    </w:p>
    <w:p>
      <w:pPr>
        <w:pStyle w:val="ListBullet"/>
        <w:ind w:left="357"/>
        <w:jc w:val="both"/>
      </w:pPr>
      <w:r>
        <w:rPr>
          <w:rFonts w:ascii="Cambria" w:hAnsi="Cambria"/>
          <w:sz w:val="22"/>
        </w:rPr>
        <w:t>Encourage the inclusion of women as principal investigators (PIs) and research leaders in interdisciplinary projects.</w:t>
      </w:r>
    </w:p>
    <w:p>
      <w:pPr>
        <w:pStyle w:val="ListBullet"/>
        <w:ind w:left="357"/>
        <w:jc w:val="both"/>
      </w:pPr>
      <w:r>
        <w:rPr>
          <w:rFonts w:ascii="Cambria" w:hAnsi="Cambria"/>
          <w:sz w:val="22"/>
        </w:rPr>
        <w:t>Integrate gender-sensitive training modules in research methodology courses to help scholars recognize and mitigate gender bias in study designs.</w:t>
      </w:r>
    </w:p>
    <w:p>
      <w:pPr>
        <w:pStyle w:val="ListBullet"/>
        <w:ind w:left="357"/>
        <w:jc w:val="both"/>
      </w:pPr>
      <w:r>
        <w:rPr>
          <w:rFonts w:ascii="Cambria" w:hAnsi="Cambria"/>
          <w:sz w:val="22"/>
        </w:rPr>
        <w:t>Offer fellowships, research assistantships, and exchange programs for women researchers to strengthen global collaboration and knowledge sharing.</w:t>
      </w:r>
    </w:p>
    <w:p>
      <w:pPr>
        <w:pStyle w:val="ListBullet"/>
        <w:ind w:left="357"/>
        <w:jc w:val="both"/>
      </w:pPr>
      <w:r>
        <w:rPr>
          <w:rFonts w:ascii="Cambria" w:hAnsi="Cambria"/>
          <w:sz w:val="22"/>
        </w:rPr>
        <w:t>Support capacity-building workshops focusing on grant writing, project management, and leadership skills for women in research.</w:t>
      </w:r>
    </w:p>
    <w:p>
      <w:pPr>
        <w:spacing w:after="120"/>
        <w:jc w:val="both"/>
      </w:pPr>
      <w:r>
        <w:rPr>
          <w:rFonts w:ascii="Cambria" w:hAnsi="Cambria"/>
          <w:b/>
          <w:i w:val="0"/>
          <w:sz w:val="22"/>
        </w:rPr>
        <w:t>Impact</w:t>
      </w:r>
    </w:p>
    <w:p>
      <w:pPr>
        <w:pStyle w:val="ListBullet"/>
        <w:ind w:left="357"/>
        <w:jc w:val="both"/>
      </w:pPr>
      <w:r>
        <w:rPr>
          <w:rFonts w:ascii="Cambria" w:hAnsi="Cambria"/>
          <w:sz w:val="22"/>
        </w:rPr>
        <w:t>Establishes a balanced research environment where women and men have equal access to opportunities and recognition.</w:t>
      </w:r>
    </w:p>
    <w:p>
      <w:pPr>
        <w:pStyle w:val="ListBullet"/>
        <w:ind w:left="357"/>
        <w:jc w:val="both"/>
      </w:pPr>
      <w:r>
        <w:rPr>
          <w:rFonts w:ascii="Cambria" w:hAnsi="Cambria"/>
          <w:sz w:val="22"/>
        </w:rPr>
        <w:t>Strengthens institutional competitiveness by diversifying perspectives and innovation.</w:t>
      </w:r>
    </w:p>
    <w:p>
      <w:pPr>
        <w:spacing w:before="240" w:after="120"/>
        <w:jc w:val="left"/>
      </w:pPr>
      <w:r>
        <w:rPr>
          <w:rFonts w:ascii="Cambria" w:hAnsi="Cambria"/>
          <w:b/>
          <w:color w:val="1F3A5F"/>
          <w:sz w:val="28"/>
        </w:rPr>
        <w:t>3. Integrating Gender Perspectives into Research Processes</w:t>
      </w:r>
    </w:p>
    <w:p>
      <w:pPr>
        <w:spacing w:after="120"/>
        <w:jc w:val="both"/>
      </w:pPr>
      <w:r>
        <w:rPr>
          <w:rFonts w:ascii="Cambria" w:hAnsi="Cambria"/>
          <w:b/>
          <w:i w:val="0"/>
          <w:sz w:val="22"/>
        </w:rPr>
        <w:t>Gender-Inclusive Research Frameworks</w:t>
      </w:r>
    </w:p>
    <w:p>
      <w:pPr>
        <w:pStyle w:val="ListBullet"/>
        <w:ind w:left="357"/>
        <w:jc w:val="both"/>
      </w:pPr>
      <w:r>
        <w:rPr>
          <w:rFonts w:ascii="Cambria" w:hAnsi="Cambria"/>
          <w:sz w:val="22"/>
        </w:rPr>
        <w:t>Encourage all departments to incorporate gender as a critical analytical dimension in research topics, methodologies, and data collection.</w:t>
      </w:r>
    </w:p>
    <w:p>
      <w:pPr>
        <w:pStyle w:val="ListBullet"/>
        <w:ind w:left="357"/>
        <w:jc w:val="both"/>
      </w:pPr>
      <w:r>
        <w:rPr>
          <w:rFonts w:ascii="Cambria" w:hAnsi="Cambria"/>
          <w:sz w:val="22"/>
        </w:rPr>
        <w:t>Train faculty and students to apply gender-sensitive indicators when designing and evaluating research outcomes.</w:t>
      </w:r>
    </w:p>
    <w:p>
      <w:pPr>
        <w:pStyle w:val="ListBullet"/>
        <w:ind w:left="357"/>
        <w:jc w:val="both"/>
      </w:pPr>
      <w:r>
        <w:rPr>
          <w:rFonts w:ascii="Cambria" w:hAnsi="Cambria"/>
          <w:sz w:val="22"/>
        </w:rPr>
        <w:t>Promote cross-disciplinary studies that explore gender interactions within technology, environment, healthcare, education, and policy domains.</w:t>
      </w:r>
    </w:p>
    <w:p>
      <w:pPr>
        <w:pStyle w:val="ListBullet"/>
        <w:ind w:left="357"/>
        <w:jc w:val="both"/>
      </w:pPr>
      <w:r>
        <w:rPr>
          <w:rFonts w:ascii="Cambria" w:hAnsi="Cambria"/>
          <w:sz w:val="22"/>
        </w:rPr>
        <w:t>Develop research guidelines and ethical standards emphasizing gender inclusivity, fairness, and representation.</w:t>
      </w:r>
    </w:p>
    <w:p>
      <w:pPr>
        <w:pStyle w:val="ListBullet"/>
        <w:ind w:left="357"/>
        <w:jc w:val="both"/>
      </w:pPr>
      <w:r>
        <w:rPr>
          <w:rFonts w:ascii="Cambria" w:hAnsi="Cambria"/>
          <w:sz w:val="22"/>
        </w:rPr>
        <w:t>Ensure that research dissemination includes gender-balanced authorship, citations, and conference representation.</w:t>
      </w:r>
    </w:p>
    <w:p>
      <w:pPr>
        <w:spacing w:after="120"/>
        <w:jc w:val="both"/>
      </w:pPr>
      <w:r>
        <w:rPr>
          <w:rFonts w:ascii="Cambria" w:hAnsi="Cambria"/>
          <w:b/>
          <w:i w:val="0"/>
          <w:sz w:val="22"/>
        </w:rPr>
        <w:t>Outcomes</w:t>
      </w:r>
    </w:p>
    <w:p>
      <w:pPr>
        <w:pStyle w:val="ListBullet"/>
        <w:ind w:left="357"/>
        <w:jc w:val="both"/>
      </w:pPr>
      <w:r>
        <w:rPr>
          <w:rFonts w:ascii="Cambria" w:hAnsi="Cambria"/>
          <w:sz w:val="22"/>
        </w:rPr>
        <w:t>Enhances relevance, depth, and societal impact of academic research.</w:t>
      </w:r>
    </w:p>
    <w:p>
      <w:pPr>
        <w:pStyle w:val="ListBullet"/>
        <w:ind w:left="357"/>
        <w:jc w:val="both"/>
      </w:pPr>
      <w:r>
        <w:rPr>
          <w:rFonts w:ascii="Cambria" w:hAnsi="Cambria"/>
          <w:sz w:val="22"/>
        </w:rPr>
        <w:t>Reduces gender bias in knowledge production and supports inclusive academic excellence.</w:t>
      </w:r>
    </w:p>
    <w:p>
      <w:pPr>
        <w:spacing w:before="240" w:after="120"/>
        <w:jc w:val="left"/>
      </w:pPr>
      <w:r>
        <w:rPr>
          <w:rFonts w:ascii="Cambria" w:hAnsi="Cambria"/>
          <w:b/>
          <w:color w:val="1F3A5F"/>
          <w:sz w:val="28"/>
        </w:rPr>
        <w:t>4. Re-visioning and Implementing Gender-Dimensioned Research Programs</w:t>
      </w:r>
    </w:p>
    <w:p>
      <w:pPr>
        <w:spacing w:after="120"/>
        <w:jc w:val="both"/>
      </w:pPr>
      <w:r>
        <w:rPr>
          <w:rFonts w:ascii="Cambria" w:hAnsi="Cambria"/>
          <w:b/>
          <w:i w:val="0"/>
          <w:sz w:val="22"/>
        </w:rPr>
        <w:t>Strategic Research Policy Reforms</w:t>
      </w:r>
    </w:p>
    <w:p>
      <w:pPr>
        <w:pStyle w:val="ListBullet"/>
        <w:ind w:left="357"/>
        <w:jc w:val="both"/>
      </w:pPr>
      <w:r>
        <w:rPr>
          <w:rFonts w:ascii="Cambria" w:hAnsi="Cambria"/>
          <w:sz w:val="22"/>
        </w:rPr>
        <w:t>Re-structure institutional research policies to mainstream gender dimensions across all disciplines.</w:t>
      </w:r>
    </w:p>
    <w:p>
      <w:pPr>
        <w:pStyle w:val="ListBullet"/>
        <w:ind w:left="357"/>
        <w:jc w:val="both"/>
      </w:pPr>
      <w:r>
        <w:rPr>
          <w:rFonts w:ascii="Cambria" w:hAnsi="Cambria"/>
          <w:sz w:val="22"/>
        </w:rPr>
        <w:t>Introduce dedicated research clusters or centres focusing on gender studies, women's rights, and empowerment.</w:t>
      </w:r>
    </w:p>
    <w:p>
      <w:pPr>
        <w:pStyle w:val="ListBullet"/>
        <w:ind w:left="357"/>
        <w:jc w:val="both"/>
      </w:pPr>
      <w:r>
        <w:rPr>
          <w:rFonts w:ascii="Cambria" w:hAnsi="Cambria"/>
          <w:sz w:val="22"/>
        </w:rPr>
        <w:t>Encourage interdisciplinary collaborations that integrate gender perspectives with STEM, business, and humanities fields.</w:t>
      </w:r>
    </w:p>
    <w:p>
      <w:pPr>
        <w:pStyle w:val="ListBullet"/>
        <w:ind w:left="357"/>
        <w:jc w:val="both"/>
      </w:pPr>
      <w:r>
        <w:rPr>
          <w:rFonts w:ascii="Cambria" w:hAnsi="Cambria"/>
          <w:sz w:val="22"/>
        </w:rPr>
        <w:t>Include gender impact assessments (GIAs) as part of project evaluation criteria in funding and accreditation frameworks.</w:t>
      </w:r>
    </w:p>
    <w:p>
      <w:pPr>
        <w:pStyle w:val="ListBullet"/>
        <w:ind w:left="357"/>
        <w:jc w:val="both"/>
      </w:pPr>
      <w:r>
        <w:rPr>
          <w:rFonts w:ascii="Cambria" w:hAnsi="Cambria"/>
          <w:sz w:val="22"/>
        </w:rPr>
        <w:t>Align institutional research priorities with national and international gender agendas, including UN SDG-5 and CEDAW commitments.</w:t>
      </w:r>
    </w:p>
    <w:p>
      <w:pPr>
        <w:spacing w:after="120"/>
        <w:jc w:val="both"/>
      </w:pPr>
      <w:r>
        <w:rPr>
          <w:rFonts w:ascii="Cambria" w:hAnsi="Cambria"/>
          <w:b/>
          <w:i w:val="0"/>
          <w:sz w:val="22"/>
        </w:rPr>
        <w:t>Expected Results</w:t>
      </w:r>
    </w:p>
    <w:p>
      <w:pPr>
        <w:pStyle w:val="ListBullet"/>
        <w:ind w:left="357"/>
        <w:jc w:val="both"/>
      </w:pPr>
      <w:r>
        <w:rPr>
          <w:rFonts w:ascii="Cambria" w:hAnsi="Cambria"/>
          <w:sz w:val="22"/>
        </w:rPr>
        <w:t>Creates a systemic shift in research culture toward inclusivity and equality.</w:t>
      </w:r>
    </w:p>
    <w:p>
      <w:pPr>
        <w:pStyle w:val="ListBullet"/>
        <w:ind w:left="357"/>
        <w:jc w:val="both"/>
      </w:pPr>
      <w:r>
        <w:rPr>
          <w:rFonts w:ascii="Cambria" w:hAnsi="Cambria"/>
          <w:sz w:val="22"/>
        </w:rPr>
        <w:t>Enhances the contribution of research to evidence-based gender policy development.</w:t>
      </w:r>
    </w:p>
    <w:p>
      <w:pPr>
        <w:spacing w:before="240" w:after="120"/>
        <w:jc w:val="left"/>
      </w:pPr>
      <w:r>
        <w:rPr>
          <w:rFonts w:ascii="Cambria" w:hAnsi="Cambria"/>
          <w:b/>
          <w:color w:val="1F3A5F"/>
          <w:sz w:val="28"/>
        </w:rPr>
        <w:t>5. Campaigns to Promote Gender Diversity and Women's Research Contributions</w:t>
      </w:r>
    </w:p>
    <w:p>
      <w:pPr>
        <w:spacing w:after="120"/>
        <w:jc w:val="both"/>
      </w:pPr>
      <w:r>
        <w:rPr>
          <w:rFonts w:ascii="Cambria" w:hAnsi="Cambria"/>
          <w:b/>
          <w:i w:val="0"/>
          <w:sz w:val="22"/>
        </w:rPr>
        <w:t>Awareness and Visibility Programs</w:t>
      </w:r>
    </w:p>
    <w:p>
      <w:pPr>
        <w:pStyle w:val="ListBullet"/>
        <w:ind w:left="357"/>
        <w:jc w:val="both"/>
      </w:pPr>
      <w:r>
        <w:rPr>
          <w:rFonts w:ascii="Cambria" w:hAnsi="Cambria"/>
          <w:sz w:val="22"/>
        </w:rPr>
        <w:t>Organize institutional campaigns, exhibitions, and symposiums to showcase the contributions of women researchers, scientists, and innovators.</w:t>
      </w:r>
    </w:p>
    <w:p>
      <w:pPr>
        <w:pStyle w:val="ListBullet"/>
        <w:ind w:left="357"/>
        <w:jc w:val="both"/>
      </w:pPr>
      <w:r>
        <w:rPr>
          <w:rFonts w:ascii="Cambria" w:hAnsi="Cambria"/>
          <w:sz w:val="22"/>
        </w:rPr>
        <w:t>Celebrate International Day of Women and Girls in Science (February 11) and International Women's Day (March 8) with research showcases and recognition events.</w:t>
      </w:r>
    </w:p>
    <w:p>
      <w:pPr>
        <w:pStyle w:val="ListBullet"/>
        <w:ind w:left="357"/>
        <w:jc w:val="both"/>
      </w:pPr>
      <w:r>
        <w:rPr>
          <w:rFonts w:ascii="Cambria" w:hAnsi="Cambria"/>
          <w:sz w:val="22"/>
        </w:rPr>
        <w:t>Conduct media outreach and social campaigns highlighting women's research achievements to inspire future scholars.</w:t>
      </w:r>
    </w:p>
    <w:p>
      <w:pPr>
        <w:pStyle w:val="ListBullet"/>
        <w:ind w:left="357"/>
        <w:jc w:val="both"/>
      </w:pPr>
      <w:r>
        <w:rPr>
          <w:rFonts w:ascii="Cambria" w:hAnsi="Cambria"/>
          <w:sz w:val="22"/>
        </w:rPr>
        <w:t>Collaborate with professional bodies, chambers of commerce, and NGOs to support diversity in academic and industrial research spaces.</w:t>
      </w:r>
    </w:p>
    <w:p>
      <w:pPr>
        <w:pStyle w:val="ListBullet"/>
        <w:ind w:left="357"/>
        <w:jc w:val="both"/>
      </w:pPr>
      <w:r>
        <w:rPr>
          <w:rFonts w:ascii="Cambria" w:hAnsi="Cambria"/>
          <w:sz w:val="22"/>
        </w:rPr>
        <w:t>Publish gender-disaggregated research reports annually to track institutional progress in promoting inclusivity.</w:t>
      </w:r>
    </w:p>
    <w:p>
      <w:pPr>
        <w:spacing w:after="120"/>
        <w:jc w:val="both"/>
      </w:pPr>
      <w:r>
        <w:rPr>
          <w:rFonts w:ascii="Cambria" w:hAnsi="Cambria"/>
          <w:b/>
          <w:i w:val="0"/>
          <w:sz w:val="22"/>
        </w:rPr>
        <w:t>Impact</w:t>
      </w:r>
    </w:p>
    <w:p>
      <w:pPr>
        <w:pStyle w:val="ListBullet"/>
        <w:ind w:left="357"/>
        <w:jc w:val="both"/>
      </w:pPr>
      <w:r>
        <w:rPr>
          <w:rFonts w:ascii="Cambria" w:hAnsi="Cambria"/>
          <w:sz w:val="22"/>
        </w:rPr>
        <w:t>Raises public awareness of women's intellectual and scientific contributions.</w:t>
      </w:r>
    </w:p>
    <w:p>
      <w:pPr>
        <w:pStyle w:val="ListBullet"/>
        <w:ind w:left="357"/>
        <w:jc w:val="both"/>
      </w:pPr>
      <w:r>
        <w:rPr>
          <w:rFonts w:ascii="Cambria" w:hAnsi="Cambria"/>
          <w:sz w:val="22"/>
        </w:rPr>
        <w:t>Encourages institutional accountability and visibility in gender equity achievements.</w:t>
      </w:r>
    </w:p>
    <w:p>
      <w:pPr>
        <w:spacing w:before="240" w:after="120"/>
        <w:jc w:val="left"/>
      </w:pPr>
      <w:r>
        <w:rPr>
          <w:rFonts w:ascii="Cambria" w:hAnsi="Cambria"/>
          <w:b/>
          <w:color w:val="1F3A5F"/>
          <w:sz w:val="28"/>
        </w:rPr>
        <w:t>6. Research on Gender Transformation and Women's Empowerment</w:t>
      </w:r>
    </w:p>
    <w:p>
      <w:pPr>
        <w:spacing w:after="120"/>
        <w:jc w:val="both"/>
      </w:pPr>
      <w:r>
        <w:rPr>
          <w:rFonts w:ascii="Cambria" w:hAnsi="Cambria"/>
          <w:b/>
          <w:i w:val="0"/>
          <w:sz w:val="22"/>
        </w:rPr>
        <w:t>Focus Areas for Transformative Research</w:t>
      </w:r>
    </w:p>
    <w:p>
      <w:pPr>
        <w:pStyle w:val="ListBullet"/>
        <w:ind w:left="357"/>
        <w:jc w:val="both"/>
      </w:pPr>
      <w:r>
        <w:rPr>
          <w:rFonts w:ascii="Cambria" w:hAnsi="Cambria"/>
          <w:sz w:val="22"/>
        </w:rPr>
        <w:t>Undertake research that explores gender transformation processes, focusing on barriers and enablers of women's empowerment.</w:t>
      </w:r>
    </w:p>
    <w:p>
      <w:pPr>
        <w:pStyle w:val="ListBullet"/>
        <w:ind w:left="357"/>
        <w:jc w:val="both"/>
      </w:pPr>
      <w:r>
        <w:rPr>
          <w:rFonts w:ascii="Cambria" w:hAnsi="Cambria"/>
          <w:sz w:val="22"/>
        </w:rPr>
        <w:t>Investigate areas such as economic independence, leadership, digital literacy, education access, and workplace inclusion.</w:t>
      </w:r>
    </w:p>
    <w:p>
      <w:pPr>
        <w:pStyle w:val="ListBullet"/>
        <w:ind w:left="357"/>
        <w:jc w:val="both"/>
      </w:pPr>
      <w:r>
        <w:rPr>
          <w:rFonts w:ascii="Cambria" w:hAnsi="Cambria"/>
          <w:sz w:val="22"/>
        </w:rPr>
        <w:t>Develop research initiatives that strengthen skills, competencies, and employability among women, particularly in underrepresented fields.</w:t>
      </w:r>
    </w:p>
    <w:p>
      <w:pPr>
        <w:pStyle w:val="ListBullet"/>
        <w:ind w:left="357"/>
        <w:jc w:val="both"/>
      </w:pPr>
      <w:r>
        <w:rPr>
          <w:rFonts w:ascii="Cambria" w:hAnsi="Cambria"/>
          <w:sz w:val="22"/>
        </w:rPr>
        <w:t>Promote action-based research that leads to policy innovation and measurable social outcomes.</w:t>
      </w:r>
    </w:p>
    <w:p>
      <w:pPr>
        <w:pStyle w:val="ListBullet"/>
        <w:ind w:left="357"/>
        <w:jc w:val="both"/>
      </w:pPr>
      <w:r>
        <w:rPr>
          <w:rFonts w:ascii="Cambria" w:hAnsi="Cambria"/>
          <w:sz w:val="22"/>
        </w:rPr>
        <w:t>Encourage student-led gender research projects supported by internal grants or CSR funding.</w:t>
      </w:r>
    </w:p>
    <w:p>
      <w:pPr>
        <w:spacing w:after="120"/>
        <w:jc w:val="both"/>
      </w:pPr>
      <w:r>
        <w:rPr>
          <w:rFonts w:ascii="Cambria" w:hAnsi="Cambria"/>
          <w:b/>
          <w:i w:val="0"/>
          <w:sz w:val="22"/>
        </w:rPr>
        <w:t>Expected Outcomes</w:t>
      </w:r>
    </w:p>
    <w:p>
      <w:pPr>
        <w:pStyle w:val="ListBullet"/>
        <w:ind w:left="357"/>
        <w:jc w:val="both"/>
      </w:pPr>
      <w:r>
        <w:rPr>
          <w:rFonts w:ascii="Cambria" w:hAnsi="Cambria"/>
          <w:sz w:val="22"/>
        </w:rPr>
        <w:t>Contributes to the creation of inclusive, evidence-based frameworks for women's empowerment.</w:t>
      </w:r>
    </w:p>
    <w:p>
      <w:pPr>
        <w:pStyle w:val="ListBullet"/>
        <w:ind w:left="357"/>
        <w:jc w:val="both"/>
      </w:pPr>
      <w:r>
        <w:rPr>
          <w:rFonts w:ascii="Cambria" w:hAnsi="Cambria"/>
          <w:sz w:val="22"/>
        </w:rPr>
        <w:t>Strengthens HEIs as knowledge hubs for gender justice and social reform.</w:t>
      </w:r>
    </w:p>
    <w:p>
      <w:pPr>
        <w:spacing w:before="240" w:after="120"/>
        <w:jc w:val="left"/>
      </w:pPr>
      <w:r>
        <w:rPr>
          <w:rFonts w:ascii="Cambria" w:hAnsi="Cambria"/>
          <w:b/>
          <w:color w:val="1F3A5F"/>
          <w:sz w:val="28"/>
        </w:rPr>
        <w:t>7. Policy Impact and Institutional Responsibility</w:t>
      </w:r>
    </w:p>
    <w:p>
      <w:pPr>
        <w:spacing w:after="120"/>
        <w:jc w:val="both"/>
      </w:pPr>
      <w:r>
        <w:rPr>
          <w:rFonts w:ascii="Cambria" w:hAnsi="Cambria"/>
          <w:b/>
          <w:i w:val="0"/>
          <w:sz w:val="22"/>
        </w:rPr>
        <w:t>Influencing Broader Societal Change</w:t>
      </w:r>
    </w:p>
    <w:p>
      <w:pPr>
        <w:pStyle w:val="ListBullet"/>
        <w:ind w:left="357"/>
        <w:jc w:val="both"/>
      </w:pPr>
      <w:r>
        <w:rPr>
          <w:rFonts w:ascii="Cambria" w:hAnsi="Cambria"/>
          <w:sz w:val="22"/>
        </w:rPr>
        <w:t>Adoption of gender-sensitive research policies by universities can influence national policymaking and socio-economic development.</w:t>
      </w:r>
    </w:p>
    <w:p>
      <w:pPr>
        <w:pStyle w:val="ListBullet"/>
        <w:ind w:left="357"/>
        <w:jc w:val="both"/>
      </w:pPr>
      <w:r>
        <w:rPr>
          <w:rFonts w:ascii="Cambria" w:hAnsi="Cambria"/>
          <w:sz w:val="22"/>
        </w:rPr>
        <w:t>Research findings on gender equality can shape public policies in education, employment, and health.</w:t>
      </w:r>
    </w:p>
    <w:p>
      <w:pPr>
        <w:pStyle w:val="ListBullet"/>
        <w:ind w:left="357"/>
        <w:jc w:val="both"/>
      </w:pPr>
      <w:r>
        <w:rPr>
          <w:rFonts w:ascii="Cambria" w:hAnsi="Cambria"/>
          <w:sz w:val="22"/>
        </w:rPr>
        <w:t>Institutional research should align with UN SDG-5 targets to measure progress in eliminating gender disparities.</w:t>
      </w:r>
    </w:p>
    <w:p>
      <w:pPr>
        <w:pStyle w:val="ListBullet"/>
        <w:ind w:left="357"/>
        <w:jc w:val="both"/>
      </w:pPr>
      <w:r>
        <w:rPr>
          <w:rFonts w:ascii="Cambria" w:hAnsi="Cambria"/>
          <w:sz w:val="22"/>
        </w:rPr>
        <w:t>Develop university–government partnerships for policy consultation and advocacy on gender-responsive governance.</w:t>
      </w:r>
    </w:p>
    <w:p>
      <w:pPr>
        <w:pStyle w:val="ListBullet"/>
        <w:ind w:left="357"/>
        <w:jc w:val="both"/>
      </w:pPr>
      <w:r>
        <w:rPr>
          <w:rFonts w:ascii="Cambria" w:hAnsi="Cambria"/>
          <w:sz w:val="22"/>
        </w:rPr>
        <w:t>Encourage institutional data repositories that track gender-focused research outputs and their societal applications.</w:t>
      </w:r>
    </w:p>
    <w:p>
      <w:pPr>
        <w:spacing w:after="120"/>
        <w:jc w:val="both"/>
      </w:pPr>
      <w:r>
        <w:rPr>
          <w:rFonts w:ascii="Cambria" w:hAnsi="Cambria"/>
          <w:b/>
          <w:i w:val="0"/>
          <w:sz w:val="22"/>
        </w:rPr>
        <w:t>Outcome</w:t>
      </w:r>
    </w:p>
    <w:p>
      <w:pPr>
        <w:pStyle w:val="ListBullet"/>
        <w:ind w:left="357"/>
        <w:jc w:val="both"/>
      </w:pPr>
      <w:r>
        <w:rPr>
          <w:rFonts w:ascii="Cambria" w:hAnsi="Cambria"/>
          <w:sz w:val="22"/>
        </w:rPr>
        <w:t>Strengthens the link between academia and policymaking, ensuring real-world impact of gender research.</w:t>
      </w:r>
    </w:p>
    <w:p>
      <w:pPr>
        <w:pStyle w:val="ListBullet"/>
        <w:ind w:left="357"/>
        <w:jc w:val="both"/>
      </w:pPr>
      <w:r>
        <w:rPr>
          <w:rFonts w:ascii="Cambria" w:hAnsi="Cambria"/>
          <w:sz w:val="22"/>
        </w:rPr>
        <w:t>Establishes HEIs as drivers of social innovation and equitable development.</w:t>
      </w:r>
    </w:p>
    <w:p>
      <w:pPr>
        <w:spacing w:before="240" w:after="120"/>
        <w:jc w:val="left"/>
      </w:pPr>
      <w:r>
        <w:rPr>
          <w:rFonts w:ascii="Cambria" w:hAnsi="Cambria"/>
          <w:b/>
          <w:color w:val="1F3A5F"/>
          <w:sz w:val="28"/>
        </w:rPr>
        <w:t>Conclusion</w:t>
      </w:r>
    </w:p>
    <w:p>
      <w:pPr>
        <w:pStyle w:val="ListBullet"/>
        <w:ind w:left="357"/>
        <w:jc w:val="both"/>
      </w:pPr>
      <w:r>
        <w:rPr>
          <w:rFonts w:ascii="Cambria" w:hAnsi="Cambria"/>
          <w:sz w:val="22"/>
        </w:rPr>
        <w:t>Research on gender issues is pivotal for transforming higher education into a catalyst for equality and empowerment.</w:t>
      </w:r>
    </w:p>
    <w:p>
      <w:pPr>
        <w:pStyle w:val="ListBullet"/>
        <w:ind w:left="357"/>
        <w:jc w:val="both"/>
      </w:pPr>
      <w:r>
        <w:rPr>
          <w:rFonts w:ascii="Cambria" w:hAnsi="Cambria"/>
          <w:sz w:val="22"/>
        </w:rPr>
        <w:t>Through inclusive research policies, patent encouragement, balanced participation, and public engagement, HEIs can bridge the gender gap in knowledge creation and innovation.</w:t>
      </w:r>
    </w:p>
    <w:p>
      <w:pPr>
        <w:pStyle w:val="ListBullet"/>
        <w:ind w:left="357"/>
        <w:jc w:val="both"/>
      </w:pPr>
      <w:r>
        <w:rPr>
          <w:rFonts w:ascii="Cambria" w:hAnsi="Cambria"/>
          <w:sz w:val="22"/>
        </w:rPr>
        <w:t>By integrating gender perspectives across teaching, research, and policy, institutions not only contribute to SDG-5 (Gender Equality) but also advance social justice, innovation, and sustainable national growth.</w:t>
      </w:r>
    </w:p>
    <w:p>
      <w:pPr>
        <w:spacing w:before="280" w:after="160"/>
        <w:jc w:val="left"/>
      </w:pPr>
      <w:r>
        <w:rPr>
          <w:rFonts w:ascii="Cambria" w:hAnsi="Cambria"/>
          <w:b/>
          <w:color w:val="1F3A5F"/>
          <w:sz w:val="32"/>
        </w:rPr>
        <w:t>35. Global Gender Gap Report 2021: India's Status and Key Insights on Gender Equality</w:t>
      </w:r>
    </w:p>
    <w:p>
      <w:pPr>
        <w:spacing w:before="240" w:after="120"/>
        <w:jc w:val="left"/>
      </w:pPr>
      <w:r>
        <w:rPr>
          <w:rFonts w:ascii="Cambria" w:hAnsi="Cambria"/>
          <w:b/>
          <w:color w:val="1F3A5F"/>
          <w:sz w:val="28"/>
        </w:rPr>
        <w:t>1. Overview of the Global Gender Gap Report 2021</w:t>
      </w:r>
    </w:p>
    <w:p>
      <w:pPr>
        <w:spacing w:after="120"/>
        <w:jc w:val="both"/>
      </w:pPr>
      <w:r>
        <w:rPr>
          <w:rFonts w:ascii="Cambria" w:hAnsi="Cambria"/>
          <w:b/>
          <w:i w:val="0"/>
          <w:sz w:val="22"/>
        </w:rPr>
        <w:t>About the Report</w:t>
      </w:r>
    </w:p>
    <w:p>
      <w:pPr>
        <w:pStyle w:val="ListBullet"/>
        <w:ind w:left="357"/>
        <w:jc w:val="both"/>
      </w:pPr>
      <w:r>
        <w:rPr>
          <w:rFonts w:ascii="Cambria" w:hAnsi="Cambria"/>
          <w:sz w:val="22"/>
        </w:rPr>
        <w:t>The Global Gender Gap Report (2021), published by the World Economic Forum (WEF), evaluates 156 countries based on their progress in achieving gender parity.</w:t>
      </w:r>
    </w:p>
    <w:p>
      <w:pPr>
        <w:spacing w:after="120"/>
        <w:jc w:val="both"/>
      </w:pPr>
      <w:r>
        <w:rPr>
          <w:rFonts w:ascii="Cambria" w:hAnsi="Cambria"/>
          <w:b w:val="0"/>
          <w:i w:val="0"/>
          <w:sz w:val="22"/>
        </w:rPr>
        <w:t>The index measures gender gaps across four key dimensions:</w:t>
      </w:r>
    </w:p>
    <w:p>
      <w:pPr>
        <w:ind w:left="357" w:hanging="357"/>
        <w:jc w:val="both"/>
      </w:pPr>
      <w:r>
        <w:rPr>
          <w:rFonts w:ascii="Cambria" w:hAnsi="Cambria"/>
          <w:b w:val="0"/>
          <w:sz w:val="22"/>
        </w:rPr>
        <w:t xml:space="preserve">1. </w:t>
      </w:r>
      <w:r>
        <w:rPr>
          <w:rFonts w:ascii="Cambria" w:hAnsi="Cambria"/>
          <w:i w:val="0"/>
          <w:sz w:val="22"/>
        </w:rPr>
        <w:t>Economic Participation and Opportunity</w:t>
      </w:r>
    </w:p>
    <w:p>
      <w:pPr>
        <w:ind w:left="357" w:hanging="357"/>
        <w:jc w:val="both"/>
      </w:pPr>
      <w:r>
        <w:rPr>
          <w:rFonts w:ascii="Cambria" w:hAnsi="Cambria"/>
          <w:b w:val="0"/>
          <w:sz w:val="22"/>
        </w:rPr>
        <w:t xml:space="preserve">2. </w:t>
      </w:r>
      <w:r>
        <w:rPr>
          <w:rFonts w:ascii="Cambria" w:hAnsi="Cambria"/>
          <w:i w:val="0"/>
          <w:sz w:val="22"/>
        </w:rPr>
        <w:t>Educational Attainment</w:t>
      </w:r>
    </w:p>
    <w:p>
      <w:pPr>
        <w:ind w:left="357" w:hanging="357"/>
        <w:jc w:val="both"/>
      </w:pPr>
      <w:r>
        <w:rPr>
          <w:rFonts w:ascii="Cambria" w:hAnsi="Cambria"/>
          <w:b w:val="0"/>
          <w:sz w:val="22"/>
        </w:rPr>
        <w:t xml:space="preserve">3. </w:t>
      </w:r>
      <w:r>
        <w:rPr>
          <w:rFonts w:ascii="Cambria" w:hAnsi="Cambria"/>
          <w:i w:val="0"/>
          <w:sz w:val="22"/>
        </w:rPr>
        <w:t>Health and Survival</w:t>
      </w:r>
    </w:p>
    <w:p>
      <w:pPr>
        <w:ind w:left="357" w:hanging="357"/>
        <w:jc w:val="both"/>
      </w:pPr>
      <w:r>
        <w:rPr>
          <w:rFonts w:ascii="Cambria" w:hAnsi="Cambria"/>
          <w:b w:val="0"/>
          <w:sz w:val="22"/>
        </w:rPr>
        <w:t xml:space="preserve">4. </w:t>
      </w:r>
      <w:r>
        <w:rPr>
          <w:rFonts w:ascii="Cambria" w:hAnsi="Cambria"/>
          <w:i w:val="0"/>
          <w:sz w:val="22"/>
        </w:rPr>
        <w:t>Political Empowerment</w:t>
      </w:r>
    </w:p>
    <w:p>
      <w:pPr>
        <w:pStyle w:val="ListBullet2"/>
        <w:ind w:left="720"/>
        <w:jc w:val="both"/>
      </w:pPr>
      <w:r>
        <w:rPr>
          <w:rFonts w:ascii="Cambria" w:hAnsi="Cambria"/>
          <w:sz w:val="22"/>
        </w:rPr>
        <w:t>Each country's performance is expressed as a percentage of the gender gap closed, with 100% indicating full equality.</w:t>
      </w:r>
    </w:p>
    <w:p>
      <w:pPr>
        <w:spacing w:after="120"/>
        <w:jc w:val="both"/>
      </w:pPr>
      <w:r>
        <w:rPr>
          <w:rFonts w:ascii="Cambria" w:hAnsi="Cambria"/>
          <w:b/>
          <w:i w:val="0"/>
          <w:sz w:val="22"/>
        </w:rPr>
        <w:t>Global Context</w:t>
      </w:r>
    </w:p>
    <w:p>
      <w:pPr>
        <w:pStyle w:val="ListBullet"/>
        <w:ind w:left="357"/>
        <w:jc w:val="both"/>
      </w:pPr>
      <w:r>
        <w:rPr>
          <w:rFonts w:ascii="Cambria" w:hAnsi="Cambria"/>
          <w:sz w:val="22"/>
        </w:rPr>
        <w:t>The global average gender gap closure stood at 68% in 2021, highlighting that progress toward equality remains slow and uneven across regions.</w:t>
      </w:r>
    </w:p>
    <w:p>
      <w:pPr>
        <w:pStyle w:val="ListBullet"/>
        <w:ind w:left="357"/>
        <w:jc w:val="both"/>
      </w:pPr>
      <w:r>
        <w:rPr>
          <w:rFonts w:ascii="Cambria" w:hAnsi="Cambria"/>
          <w:sz w:val="22"/>
        </w:rPr>
        <w:t>The COVID-19 pandemic exacerbated inequalities, pushing back global gender parity timelines by an estimated 36 years, according to WEF projections.</w:t>
      </w:r>
    </w:p>
    <w:p>
      <w:pPr>
        <w:spacing w:before="240" w:after="120"/>
        <w:jc w:val="left"/>
      </w:pPr>
      <w:r>
        <w:rPr>
          <w:rFonts w:ascii="Cambria" w:hAnsi="Cambria"/>
          <w:b/>
          <w:color w:val="1F3A5F"/>
          <w:sz w:val="28"/>
        </w:rPr>
        <w:t>2. India's Overall Ranking and Performance</w:t>
      </w:r>
    </w:p>
    <w:p>
      <w:pPr>
        <w:spacing w:after="120"/>
        <w:jc w:val="both"/>
      </w:pPr>
      <w:r>
        <w:rPr>
          <w:rFonts w:ascii="Cambria" w:hAnsi="Cambria"/>
          <w:b/>
          <w:i w:val="0"/>
          <w:sz w:val="22"/>
        </w:rPr>
        <w:t>India's Position in 2021</w:t>
      </w:r>
    </w:p>
    <w:p>
      <w:pPr>
        <w:pStyle w:val="ListBullet"/>
        <w:ind w:left="357"/>
        <w:jc w:val="both"/>
      </w:pPr>
      <w:r>
        <w:rPr>
          <w:rFonts w:ascii="Cambria" w:hAnsi="Cambria"/>
          <w:sz w:val="22"/>
        </w:rPr>
        <w:t>India ranked 140th out of 156 countries, reflecting a decline in its global standing on gender equality compared to previous years.</w:t>
      </w:r>
    </w:p>
    <w:p>
      <w:pPr>
        <w:pStyle w:val="ListBullet"/>
        <w:ind w:left="357"/>
        <w:jc w:val="both"/>
      </w:pPr>
      <w:r>
        <w:rPr>
          <w:rFonts w:ascii="Cambria" w:hAnsi="Cambria"/>
          <w:sz w:val="22"/>
        </w:rPr>
        <w:t>The country has closed 62.5% of its overall gender gap to date, signifying persistent challenges in parity across key dimensions.</w:t>
      </w:r>
    </w:p>
    <w:p>
      <w:pPr>
        <w:pStyle w:val="ListBullet"/>
        <w:ind w:left="357"/>
        <w:jc w:val="both"/>
      </w:pPr>
      <w:r>
        <w:rPr>
          <w:rFonts w:ascii="Cambria" w:hAnsi="Cambria"/>
          <w:sz w:val="22"/>
        </w:rPr>
        <w:t>India's fall in ranking was primarily influenced by declines in political empowerment and economic participation indicators.</w:t>
      </w:r>
    </w:p>
    <w:p>
      <w:pPr>
        <w:spacing w:after="120"/>
        <w:jc w:val="both"/>
      </w:pPr>
      <w:r>
        <w:rPr>
          <w:rFonts w:ascii="Cambria" w:hAnsi="Cambria"/>
          <w:b/>
          <w:i w:val="0"/>
          <w:sz w:val="22"/>
        </w:rPr>
        <w:t>Dimension-Wise Performance</w:t>
      </w:r>
    </w:p>
    <w:p>
      <w:pPr>
        <w:pStyle w:val="ListBullet"/>
        <w:ind w:left="357"/>
        <w:jc w:val="both"/>
      </w:pPr>
      <w:r>
        <w:rPr>
          <w:rFonts w:ascii="Cambria" w:hAnsi="Cambria"/>
          <w:b/>
          <w:sz w:val="22"/>
        </w:rPr>
        <w:t xml:space="preserve">Economic Participation and Opportunity: </w:t>
      </w:r>
      <w:r>
        <w:rPr>
          <w:rFonts w:ascii="Cambria" w:hAnsi="Cambria"/>
          <w:sz w:val="22"/>
        </w:rPr>
      </w:r>
    </w:p>
    <w:p>
      <w:pPr>
        <w:pStyle w:val="ListBullet2"/>
        <w:ind w:left="720"/>
        <w:jc w:val="both"/>
      </w:pPr>
      <w:r>
        <w:rPr>
          <w:rFonts w:ascii="Cambria" w:hAnsi="Cambria"/>
          <w:sz w:val="22"/>
        </w:rPr>
        <w:t>Only 32.6% of the gender gap has been closed, marking a 3% regression from the previous year.</w:t>
      </w:r>
    </w:p>
    <w:p>
      <w:pPr>
        <w:pStyle w:val="ListBullet2"/>
        <w:ind w:left="720"/>
        <w:jc w:val="both"/>
      </w:pPr>
      <w:r>
        <w:rPr>
          <w:rFonts w:ascii="Cambria" w:hAnsi="Cambria"/>
          <w:sz w:val="22"/>
        </w:rPr>
        <w:t>The report identifies low female labour force participation, wage inequality, and unequal access to senior roles as critical issues.</w:t>
      </w:r>
    </w:p>
    <w:p>
      <w:pPr>
        <w:pStyle w:val="ListBullet"/>
        <w:ind w:left="357"/>
        <w:jc w:val="both"/>
      </w:pPr>
      <w:r>
        <w:rPr>
          <w:rFonts w:ascii="Cambria" w:hAnsi="Cambria"/>
          <w:b/>
          <w:sz w:val="22"/>
        </w:rPr>
        <w:t xml:space="preserve">Political Empowerment: </w:t>
      </w:r>
      <w:r>
        <w:rPr>
          <w:rFonts w:ascii="Cambria" w:hAnsi="Cambria"/>
          <w:sz w:val="22"/>
        </w:rPr>
      </w:r>
    </w:p>
    <w:p>
      <w:pPr>
        <w:pStyle w:val="ListBullet2"/>
        <w:ind w:left="720"/>
        <w:jc w:val="both"/>
      </w:pPr>
      <w:r>
        <w:rPr>
          <w:rFonts w:ascii="Cambria" w:hAnsi="Cambria"/>
          <w:sz w:val="22"/>
        </w:rPr>
        <w:t>India witnessed a decline in the number of women ministers, contributing to a widening gap in political representation.</w:t>
      </w:r>
    </w:p>
    <w:p>
      <w:pPr>
        <w:pStyle w:val="ListBullet2"/>
        <w:ind w:left="720"/>
        <w:jc w:val="both"/>
      </w:pPr>
      <w:r>
        <w:rPr>
          <w:rFonts w:ascii="Cambria" w:hAnsi="Cambria"/>
          <w:sz w:val="22"/>
        </w:rPr>
        <w:t>Women's representation in Parliament and Cabinet positions remains disproportionately low compared to global averages.</w:t>
      </w:r>
    </w:p>
    <w:p>
      <w:pPr>
        <w:pStyle w:val="ListBullet"/>
        <w:ind w:left="357"/>
        <w:jc w:val="both"/>
      </w:pPr>
      <w:r>
        <w:rPr>
          <w:rFonts w:ascii="Cambria" w:hAnsi="Cambria"/>
          <w:b/>
          <w:sz w:val="22"/>
        </w:rPr>
        <w:t xml:space="preserve">Educational Attainment: </w:t>
      </w:r>
      <w:r>
        <w:rPr>
          <w:rFonts w:ascii="Cambria" w:hAnsi="Cambria"/>
          <w:sz w:val="22"/>
        </w:rPr>
      </w:r>
    </w:p>
    <w:p>
      <w:pPr>
        <w:pStyle w:val="ListBullet2"/>
        <w:ind w:left="720"/>
        <w:jc w:val="both"/>
      </w:pPr>
      <w:r>
        <w:rPr>
          <w:rFonts w:ascii="Cambria" w:hAnsi="Cambria"/>
          <w:sz w:val="22"/>
        </w:rPr>
        <w:t>India has made significant progress in closing the educational gender gap, achieving near parity at the primary and secondary levels.</w:t>
      </w:r>
    </w:p>
    <w:p>
      <w:pPr>
        <w:pStyle w:val="ListBullet2"/>
        <w:ind w:left="720"/>
        <w:jc w:val="both"/>
      </w:pPr>
      <w:r>
        <w:rPr>
          <w:rFonts w:ascii="Cambria" w:hAnsi="Cambria"/>
          <w:sz w:val="22"/>
        </w:rPr>
        <w:t>However, access to higher education and technical fields still reflects gender imbalances.</w:t>
      </w:r>
    </w:p>
    <w:p>
      <w:pPr>
        <w:pStyle w:val="ListBullet"/>
        <w:ind w:left="357"/>
        <w:jc w:val="both"/>
      </w:pPr>
      <w:r>
        <w:rPr>
          <w:rFonts w:ascii="Cambria" w:hAnsi="Cambria"/>
          <w:b/>
          <w:sz w:val="22"/>
        </w:rPr>
        <w:t xml:space="preserve">Health and Survival: </w:t>
      </w:r>
      <w:r>
        <w:rPr>
          <w:rFonts w:ascii="Cambria" w:hAnsi="Cambria"/>
          <w:sz w:val="22"/>
        </w:rPr>
      </w:r>
    </w:p>
    <w:p>
      <w:pPr>
        <w:pStyle w:val="ListBullet2"/>
        <w:ind w:left="720"/>
        <w:jc w:val="both"/>
      </w:pPr>
      <w:r>
        <w:rPr>
          <w:rFonts w:ascii="Cambria" w:hAnsi="Cambria"/>
          <w:sz w:val="22"/>
        </w:rPr>
        <w:t>India's gender gap in health remains narrow but is affected by issues such as gender-biased sex selection and differential access to healthcare.</w:t>
      </w:r>
    </w:p>
    <w:p>
      <w:pPr>
        <w:spacing w:before="240" w:after="120"/>
        <w:jc w:val="left"/>
      </w:pPr>
      <w:r>
        <w:rPr>
          <w:rFonts w:ascii="Cambria" w:hAnsi="Cambria"/>
          <w:b/>
          <w:color w:val="1F3A5F"/>
          <w:sz w:val="28"/>
        </w:rPr>
        <w:t>3. Key Challenges Highlighted by the Report</w:t>
      </w:r>
    </w:p>
    <w:p>
      <w:pPr>
        <w:spacing w:after="120"/>
        <w:jc w:val="both"/>
      </w:pPr>
      <w:r>
        <w:rPr>
          <w:rFonts w:ascii="Cambria" w:hAnsi="Cambria"/>
          <w:b/>
          <w:i w:val="0"/>
          <w:sz w:val="22"/>
        </w:rPr>
        <w:t>Gender Pay Gap</w:t>
      </w:r>
    </w:p>
    <w:p>
      <w:pPr>
        <w:pStyle w:val="ListBullet"/>
        <w:ind w:left="357"/>
        <w:jc w:val="both"/>
      </w:pPr>
      <w:r>
        <w:rPr>
          <w:rFonts w:ascii="Cambria" w:hAnsi="Cambria"/>
          <w:sz w:val="22"/>
        </w:rPr>
        <w:t>The gender pay gap remains one of India's most persistent challenges, with women earning substantially less than men for similar work.</w:t>
      </w:r>
    </w:p>
    <w:p>
      <w:pPr>
        <w:pStyle w:val="ListBullet"/>
        <w:ind w:left="357"/>
        <w:jc w:val="both"/>
      </w:pPr>
      <w:r>
        <w:rPr>
          <w:rFonts w:ascii="Cambria" w:hAnsi="Cambria"/>
          <w:sz w:val="22"/>
        </w:rPr>
        <w:t>Structural barriers, occupational segregation, and unpaid care responsibilities contribute to income inequality.</w:t>
      </w:r>
    </w:p>
    <w:p>
      <w:pPr>
        <w:pStyle w:val="ListBullet"/>
        <w:ind w:left="357"/>
        <w:jc w:val="both"/>
      </w:pPr>
      <w:r>
        <w:rPr>
          <w:rFonts w:ascii="Cambria" w:hAnsi="Cambria"/>
          <w:sz w:val="22"/>
        </w:rPr>
        <w:t>Limited access to formal employment and leadership roles further widens the pay gap.</w:t>
      </w:r>
    </w:p>
    <w:p>
      <w:pPr>
        <w:spacing w:after="120"/>
        <w:jc w:val="both"/>
      </w:pPr>
      <w:r>
        <w:rPr>
          <w:rFonts w:ascii="Cambria" w:hAnsi="Cambria"/>
          <w:b/>
          <w:i w:val="0"/>
          <w:sz w:val="22"/>
        </w:rPr>
        <w:t>Underrepresentation in Leadership Roles</w:t>
      </w:r>
    </w:p>
    <w:p>
      <w:pPr>
        <w:pStyle w:val="ListBullet"/>
        <w:ind w:left="357"/>
        <w:jc w:val="both"/>
      </w:pPr>
      <w:r>
        <w:rPr>
          <w:rFonts w:ascii="Cambria" w:hAnsi="Cambria"/>
          <w:sz w:val="22"/>
        </w:rPr>
        <w:t>The share of women in senior and managerial positions remains critically low across both public and private sectors.</w:t>
      </w:r>
    </w:p>
    <w:p>
      <w:pPr>
        <w:pStyle w:val="ListBullet"/>
        <w:ind w:left="357"/>
        <w:jc w:val="both"/>
      </w:pPr>
      <w:r>
        <w:rPr>
          <w:rFonts w:ascii="Cambria" w:hAnsi="Cambria"/>
          <w:sz w:val="22"/>
        </w:rPr>
        <w:t>Women's representation in STEM careers, entrepreneurship, and corporate governance is limited due to socio-cultural and institutional constraints.</w:t>
      </w:r>
    </w:p>
    <w:p>
      <w:pPr>
        <w:spacing w:after="120"/>
        <w:jc w:val="both"/>
      </w:pPr>
      <w:r>
        <w:rPr>
          <w:rFonts w:ascii="Cambria" w:hAnsi="Cambria"/>
          <w:b/>
          <w:i w:val="0"/>
          <w:sz w:val="22"/>
        </w:rPr>
        <w:t>Declining Political Representation</w:t>
      </w:r>
    </w:p>
    <w:p>
      <w:pPr>
        <w:pStyle w:val="ListBullet"/>
        <w:ind w:left="357"/>
        <w:jc w:val="both"/>
      </w:pPr>
      <w:r>
        <w:rPr>
          <w:rFonts w:ascii="Cambria" w:hAnsi="Cambria"/>
          <w:sz w:val="22"/>
        </w:rPr>
        <w:t>The reduction in women ministers in 2021 marked a setback for political empowerment.</w:t>
      </w:r>
    </w:p>
    <w:p>
      <w:pPr>
        <w:pStyle w:val="ListBullet"/>
        <w:ind w:left="357"/>
        <w:jc w:val="both"/>
      </w:pPr>
      <w:r>
        <w:rPr>
          <w:rFonts w:ascii="Cambria" w:hAnsi="Cambria"/>
          <w:sz w:val="22"/>
        </w:rPr>
        <w:t>Despite having strong women leaders at various levels, overall female participation in decision-making bodies remains below global averages.</w:t>
      </w:r>
    </w:p>
    <w:p>
      <w:pPr>
        <w:spacing w:after="120"/>
        <w:jc w:val="both"/>
      </w:pPr>
      <w:r>
        <w:rPr>
          <w:rFonts w:ascii="Cambria" w:hAnsi="Cambria"/>
          <w:b/>
          <w:i w:val="0"/>
          <w:sz w:val="22"/>
        </w:rPr>
        <w:t>Economic Participation Decline</w:t>
      </w:r>
    </w:p>
    <w:p>
      <w:pPr>
        <w:pStyle w:val="ListBullet"/>
        <w:ind w:left="357"/>
        <w:jc w:val="both"/>
      </w:pPr>
      <w:r>
        <w:rPr>
          <w:rFonts w:ascii="Cambria" w:hAnsi="Cambria"/>
          <w:sz w:val="22"/>
        </w:rPr>
        <w:t>India's female labour force participation rate (FLFP) has stagnated, impacted by job losses during the pandemic, informal sector vulnerability, and unequal access to financial resources.</w:t>
      </w:r>
    </w:p>
    <w:p>
      <w:pPr>
        <w:pStyle w:val="ListBullet"/>
        <w:ind w:left="357"/>
        <w:jc w:val="both"/>
      </w:pPr>
      <w:r>
        <w:rPr>
          <w:rFonts w:ascii="Cambria" w:hAnsi="Cambria"/>
          <w:sz w:val="22"/>
        </w:rPr>
        <w:t>Women's participation in entrepreneurship and innovation ecosystems is hindered by limited funding and mentorship opportunities.</w:t>
      </w:r>
    </w:p>
    <w:p>
      <w:pPr>
        <w:spacing w:before="240" w:after="120"/>
        <w:jc w:val="left"/>
      </w:pPr>
      <w:r>
        <w:rPr>
          <w:rFonts w:ascii="Cambria" w:hAnsi="Cambria"/>
          <w:b/>
          <w:color w:val="1F3A5F"/>
          <w:sz w:val="28"/>
        </w:rPr>
        <w:t>4. Implications for Policy and Higher Education</w:t>
      </w:r>
    </w:p>
    <w:p>
      <w:pPr>
        <w:spacing w:after="120"/>
        <w:jc w:val="both"/>
      </w:pPr>
      <w:r>
        <w:rPr>
          <w:rFonts w:ascii="Cambria" w:hAnsi="Cambria"/>
          <w:b/>
          <w:i w:val="0"/>
          <w:sz w:val="22"/>
        </w:rPr>
        <w:t>Policy Reforms Needed</w:t>
      </w:r>
    </w:p>
    <w:p>
      <w:pPr>
        <w:pStyle w:val="ListBullet"/>
        <w:ind w:left="357"/>
        <w:jc w:val="both"/>
      </w:pPr>
      <w:r>
        <w:rPr>
          <w:rFonts w:ascii="Cambria" w:hAnsi="Cambria"/>
          <w:sz w:val="22"/>
        </w:rPr>
        <w:t>Strengthen gender-responsive budgeting and resource allocation to promote women's economic inclusion.</w:t>
      </w:r>
    </w:p>
    <w:p>
      <w:pPr>
        <w:pStyle w:val="ListBullet"/>
        <w:ind w:left="357"/>
        <w:jc w:val="both"/>
      </w:pPr>
      <w:r>
        <w:rPr>
          <w:rFonts w:ascii="Cambria" w:hAnsi="Cambria"/>
          <w:sz w:val="22"/>
        </w:rPr>
        <w:t>Introduce and enforce equal pay policies, flexible work models, and leadership development programs for women.</w:t>
      </w:r>
    </w:p>
    <w:p>
      <w:pPr>
        <w:pStyle w:val="ListBullet"/>
        <w:ind w:left="357"/>
        <w:jc w:val="both"/>
      </w:pPr>
      <w:r>
        <w:rPr>
          <w:rFonts w:ascii="Cambria" w:hAnsi="Cambria"/>
          <w:sz w:val="22"/>
        </w:rPr>
        <w:t>Implement quotas or reservations for women in political, academic, and corporate leadership roles to accelerate representation.</w:t>
      </w:r>
    </w:p>
    <w:p>
      <w:pPr>
        <w:spacing w:after="120"/>
        <w:jc w:val="both"/>
      </w:pPr>
      <w:r>
        <w:rPr>
          <w:rFonts w:ascii="Cambria" w:hAnsi="Cambria"/>
          <w:b/>
          <w:i w:val="0"/>
          <w:sz w:val="22"/>
        </w:rPr>
        <w:t>Role of Higher Education Institutions (HEIs)</w:t>
      </w:r>
    </w:p>
    <w:p>
      <w:pPr>
        <w:spacing w:after="120"/>
        <w:jc w:val="both"/>
      </w:pPr>
      <w:r>
        <w:rPr>
          <w:rFonts w:ascii="Cambria" w:hAnsi="Cambria"/>
          <w:b w:val="0"/>
          <w:i w:val="0"/>
          <w:sz w:val="22"/>
        </w:rPr>
        <w:t>HEIs can play a transformative role by:</w:t>
      </w:r>
    </w:p>
    <w:p>
      <w:pPr>
        <w:pStyle w:val="ListBullet2"/>
        <w:ind w:left="720"/>
        <w:jc w:val="both"/>
      </w:pPr>
      <w:r>
        <w:rPr>
          <w:rFonts w:ascii="Cambria" w:hAnsi="Cambria"/>
          <w:sz w:val="22"/>
        </w:rPr>
        <w:t>Integrating gender sensitivity and equity modules into curricula.</w:t>
      </w:r>
    </w:p>
    <w:p>
      <w:pPr>
        <w:pStyle w:val="ListBullet2"/>
        <w:ind w:left="720"/>
        <w:jc w:val="both"/>
      </w:pPr>
      <w:r>
        <w:rPr>
          <w:rFonts w:ascii="Cambria" w:hAnsi="Cambria"/>
          <w:sz w:val="22"/>
        </w:rPr>
        <w:t>Promoting female participation in STEM education and research.</w:t>
      </w:r>
    </w:p>
    <w:p>
      <w:pPr>
        <w:pStyle w:val="ListBullet2"/>
        <w:ind w:left="720"/>
        <w:jc w:val="both"/>
      </w:pPr>
      <w:r>
        <w:rPr>
          <w:rFonts w:ascii="Cambria" w:hAnsi="Cambria"/>
          <w:sz w:val="22"/>
        </w:rPr>
        <w:t>Establishing gender equity cells, mentorship programs, and women leadership forums.</w:t>
      </w:r>
    </w:p>
    <w:p>
      <w:pPr>
        <w:pStyle w:val="ListBullet2"/>
        <w:ind w:left="720"/>
        <w:jc w:val="both"/>
      </w:pPr>
      <w:r>
        <w:rPr>
          <w:rFonts w:ascii="Cambria" w:hAnsi="Cambria"/>
          <w:sz w:val="22"/>
        </w:rPr>
        <w:t>Conducting gender-focused research and policy advocacy in collaboration with national and international organizations.</w:t>
      </w:r>
    </w:p>
    <w:p>
      <w:pPr>
        <w:pStyle w:val="ListBullet"/>
        <w:ind w:left="357"/>
        <w:jc w:val="both"/>
      </w:pPr>
      <w:r>
        <w:rPr>
          <w:rFonts w:ascii="Cambria" w:hAnsi="Cambria"/>
          <w:sz w:val="22"/>
        </w:rPr>
        <w:t>Universities should document progress through annual gender audits and gender equity reports, aligning with NAAC, NIRF, and SDG-5 standards.</w:t>
      </w:r>
    </w:p>
    <w:p>
      <w:pPr>
        <w:spacing w:before="240" w:after="120"/>
        <w:jc w:val="left"/>
      </w:pPr>
      <w:r>
        <w:rPr>
          <w:rFonts w:ascii="Cambria" w:hAnsi="Cambria"/>
          <w:b/>
          <w:color w:val="1F3A5F"/>
          <w:sz w:val="28"/>
        </w:rPr>
        <w:t>5. The Road Ahead</w:t>
      </w:r>
    </w:p>
    <w:p>
      <w:pPr>
        <w:pStyle w:val="ListBullet"/>
        <w:ind w:left="357"/>
        <w:jc w:val="both"/>
      </w:pPr>
      <w:r>
        <w:rPr>
          <w:rFonts w:ascii="Cambria" w:hAnsi="Cambria"/>
          <w:sz w:val="22"/>
        </w:rPr>
        <w:t>To improve its global standing and reduce the gender gap, India must:</w:t>
      </w:r>
    </w:p>
    <w:p>
      <w:pPr>
        <w:pStyle w:val="ListBullet"/>
        <w:ind w:left="357"/>
        <w:jc w:val="both"/>
      </w:pPr>
      <w:r>
        <w:rPr>
          <w:rFonts w:ascii="Cambria" w:hAnsi="Cambria"/>
          <w:sz w:val="22"/>
        </w:rPr>
        <w:t>Invest in women's education, skill development, and digital empowerment.</w:t>
      </w:r>
    </w:p>
    <w:p>
      <w:pPr>
        <w:pStyle w:val="ListBullet"/>
        <w:ind w:left="357"/>
        <w:jc w:val="both"/>
      </w:pPr>
      <w:r>
        <w:rPr>
          <w:rFonts w:ascii="Cambria" w:hAnsi="Cambria"/>
          <w:sz w:val="22"/>
        </w:rPr>
        <w:t>Ensure safe and inclusive work environments with clear anti-discrimination policies.</w:t>
      </w:r>
    </w:p>
    <w:p>
      <w:pPr>
        <w:pStyle w:val="ListBullet"/>
        <w:ind w:left="357"/>
        <w:jc w:val="both"/>
      </w:pPr>
      <w:r>
        <w:rPr>
          <w:rFonts w:ascii="Cambria" w:hAnsi="Cambria"/>
          <w:sz w:val="22"/>
        </w:rPr>
        <w:t>Promote inclusive leadership pipelines in academia, politics, and industry.</w:t>
      </w:r>
    </w:p>
    <w:p>
      <w:pPr>
        <w:pStyle w:val="ListBullet"/>
        <w:ind w:left="357"/>
        <w:jc w:val="both"/>
      </w:pPr>
      <w:r>
        <w:rPr>
          <w:rFonts w:ascii="Cambria" w:hAnsi="Cambria"/>
          <w:sz w:val="22"/>
        </w:rPr>
        <w:t>Encourage cross-sectoral partnerships to address gender inequality at systemic levels.</w:t>
      </w:r>
    </w:p>
    <w:p>
      <w:pPr>
        <w:spacing w:before="240" w:after="120"/>
        <w:jc w:val="left"/>
      </w:pPr>
      <w:r>
        <w:rPr>
          <w:rFonts w:ascii="Cambria" w:hAnsi="Cambria"/>
          <w:b/>
          <w:color w:val="1F3A5F"/>
          <w:sz w:val="28"/>
        </w:rPr>
        <w:t>6. Conclusion</w:t>
      </w:r>
    </w:p>
    <w:p>
      <w:pPr>
        <w:pStyle w:val="ListBullet"/>
        <w:ind w:left="357"/>
        <w:jc w:val="both"/>
      </w:pPr>
      <w:r>
        <w:rPr>
          <w:rFonts w:ascii="Cambria" w:hAnsi="Cambria"/>
          <w:sz w:val="22"/>
        </w:rPr>
        <w:t>The Global Gender Gap Report 2021 serves as a wake-up call for India to accelerate its efforts toward gender parity and women's empowerment.</w:t>
      </w:r>
    </w:p>
    <w:p>
      <w:pPr>
        <w:pStyle w:val="ListBullet"/>
        <w:ind w:left="357"/>
        <w:jc w:val="both"/>
      </w:pPr>
      <w:r>
        <w:rPr>
          <w:rFonts w:ascii="Cambria" w:hAnsi="Cambria"/>
          <w:sz w:val="22"/>
        </w:rPr>
        <w:t>While progress has been achieved in education, challenges persist in economic participation, wage equality, and leadership representation.</w:t>
      </w:r>
    </w:p>
    <w:p>
      <w:pPr>
        <w:pStyle w:val="ListBullet"/>
        <w:ind w:left="357"/>
        <w:jc w:val="both"/>
      </w:pPr>
      <w:r>
        <w:rPr>
          <w:rFonts w:ascii="Cambria" w:hAnsi="Cambria"/>
          <w:sz w:val="22"/>
        </w:rPr>
        <w:t>Collaborative action among governments, HEIs, industries, and civil society is essential to create equitable opportunities and close the gender gap.</w:t>
      </w:r>
    </w:p>
    <w:p>
      <w:pPr>
        <w:pStyle w:val="ListBullet"/>
        <w:ind w:left="357"/>
        <w:jc w:val="both"/>
      </w:pPr>
      <w:r>
        <w:rPr>
          <w:rFonts w:ascii="Cambria" w:hAnsi="Cambria"/>
          <w:b/>
          <w:sz w:val="22"/>
        </w:rPr>
        <w:t xml:space="preserve">Achieving SDG-5: </w:t>
      </w:r>
      <w:r>
        <w:rPr>
          <w:rFonts w:ascii="Cambria" w:hAnsi="Cambria"/>
          <w:sz w:val="22"/>
        </w:rPr>
        <w:t>Gender Equality is not only a social imperative but also an economic necessity for India's sustainable and inclusive growth.</w:t>
      </w:r>
    </w:p>
    <w:p>
      <w:pPr>
        <w:spacing w:before="280" w:after="160"/>
        <w:jc w:val="left"/>
      </w:pPr>
      <w:r>
        <w:rPr>
          <w:rFonts w:ascii="Cambria" w:hAnsi="Cambria"/>
          <w:b/>
          <w:color w:val="1F3A5F"/>
          <w:sz w:val="32"/>
        </w:rPr>
        <w:t>36. Integration of Gender Dimensions into Research, Innovation, and Policy: Strengthening Equality and Inclusion in Higher Education Institutions (HEIs)</w:t>
      </w:r>
    </w:p>
    <w:p>
      <w:pPr>
        <w:spacing w:before="240" w:after="120"/>
        <w:jc w:val="left"/>
      </w:pPr>
      <w:r>
        <w:rPr>
          <w:rFonts w:ascii="Cambria" w:hAnsi="Cambria"/>
          <w:b/>
          <w:color w:val="1F3A5F"/>
          <w:sz w:val="28"/>
        </w:rPr>
        <w:t>1. Integration of Gender Dimensions into Research and Innovation</w:t>
      </w:r>
    </w:p>
    <w:p>
      <w:pPr>
        <w:spacing w:after="120"/>
        <w:jc w:val="both"/>
      </w:pPr>
      <w:r>
        <w:rPr>
          <w:rFonts w:ascii="Cambria" w:hAnsi="Cambria"/>
          <w:b/>
          <w:i w:val="0"/>
          <w:sz w:val="22"/>
        </w:rPr>
        <w:t>Inclusive Research Frameworks</w:t>
      </w:r>
    </w:p>
    <w:p>
      <w:pPr>
        <w:pStyle w:val="ListBullet"/>
        <w:ind w:left="357"/>
        <w:jc w:val="both"/>
      </w:pPr>
      <w:r>
        <w:rPr>
          <w:rFonts w:ascii="Cambria" w:hAnsi="Cambria"/>
          <w:sz w:val="22"/>
        </w:rPr>
        <w:t>Ensure that gender dimensions are systematically integrated into all stages of research and innovation — from problem identification to data analysis and policy application.</w:t>
      </w:r>
    </w:p>
    <w:p>
      <w:pPr>
        <w:pStyle w:val="ListBullet"/>
        <w:ind w:left="357"/>
        <w:jc w:val="both"/>
      </w:pPr>
      <w:r>
        <w:rPr>
          <w:rFonts w:ascii="Cambria" w:hAnsi="Cambria"/>
          <w:sz w:val="22"/>
        </w:rPr>
        <w:t>Design research methodologies that analyze gender-specific impacts, ensuring findings are inclusive and representative.</w:t>
      </w:r>
    </w:p>
    <w:p>
      <w:pPr>
        <w:pStyle w:val="ListBullet"/>
        <w:ind w:left="357"/>
        <w:jc w:val="both"/>
      </w:pPr>
      <w:r>
        <w:rPr>
          <w:rFonts w:ascii="Cambria" w:hAnsi="Cambria"/>
          <w:sz w:val="22"/>
        </w:rPr>
        <w:t>Promote interdisciplinary research combining STEM, social sciences, and humanities to address gendered challenges.</w:t>
      </w:r>
    </w:p>
    <w:p>
      <w:pPr>
        <w:pStyle w:val="ListBullet"/>
        <w:ind w:left="357"/>
        <w:jc w:val="both"/>
      </w:pPr>
      <w:r>
        <w:rPr>
          <w:rFonts w:ascii="Cambria" w:hAnsi="Cambria"/>
          <w:sz w:val="22"/>
        </w:rPr>
        <w:t>Include gender sensitivity training for faculty, researchers, and PhD scholars to strengthen awareness in research design and ethics.</w:t>
      </w:r>
    </w:p>
    <w:p>
      <w:pPr>
        <w:spacing w:before="240" w:after="120"/>
        <w:jc w:val="left"/>
      </w:pPr>
      <w:r>
        <w:rPr>
          <w:rFonts w:ascii="Cambria" w:hAnsi="Cambria"/>
          <w:b/>
          <w:color w:val="1F3A5F"/>
          <w:sz w:val="28"/>
        </w:rPr>
        <w:t>2. Promoting Gender Equality in Research and Innovation</w:t>
      </w:r>
    </w:p>
    <w:p>
      <w:pPr>
        <w:spacing w:after="120"/>
        <w:jc w:val="both"/>
      </w:pPr>
      <w:r>
        <w:rPr>
          <w:rFonts w:ascii="Cambria" w:hAnsi="Cambria"/>
          <w:b/>
          <w:i w:val="0"/>
          <w:sz w:val="22"/>
        </w:rPr>
        <w:t>Equitable Research Participation</w:t>
      </w:r>
    </w:p>
    <w:p>
      <w:pPr>
        <w:pStyle w:val="ListBullet"/>
        <w:ind w:left="357"/>
        <w:jc w:val="both"/>
      </w:pPr>
      <w:r>
        <w:rPr>
          <w:rFonts w:ascii="Cambria" w:hAnsi="Cambria"/>
          <w:sz w:val="22"/>
        </w:rPr>
        <w:t>Establish gender-balanced research teams and ensure women's equal participation in leadership and decision-making roles in R&amp;D projects.</w:t>
      </w:r>
    </w:p>
    <w:p>
      <w:pPr>
        <w:pStyle w:val="ListBullet"/>
        <w:ind w:left="357"/>
        <w:jc w:val="both"/>
      </w:pPr>
      <w:r>
        <w:rPr>
          <w:rFonts w:ascii="Cambria" w:hAnsi="Cambria"/>
          <w:sz w:val="22"/>
        </w:rPr>
        <w:t>Enforce gender equality policies in institutional research funding, appointments, and awards.</w:t>
      </w:r>
    </w:p>
    <w:p>
      <w:pPr>
        <w:pStyle w:val="ListBullet"/>
        <w:ind w:left="357"/>
        <w:jc w:val="both"/>
      </w:pPr>
      <w:r>
        <w:rPr>
          <w:rFonts w:ascii="Cambria" w:hAnsi="Cambria"/>
          <w:sz w:val="22"/>
        </w:rPr>
        <w:t>Encourage participation of women in innovation ecosystems, incubation programs, and entrepreneurship ventures.</w:t>
      </w:r>
    </w:p>
    <w:p>
      <w:pPr>
        <w:pStyle w:val="ListBullet"/>
        <w:ind w:left="357"/>
        <w:jc w:val="both"/>
      </w:pPr>
      <w:r>
        <w:rPr>
          <w:rFonts w:ascii="Cambria" w:hAnsi="Cambria"/>
          <w:sz w:val="22"/>
        </w:rPr>
        <w:t>Implement institutional strategies aligned with UN SDG-5 (Gender Equality) and SDG-9 (Industry, Innovation, and Infrastructure).</w:t>
      </w:r>
    </w:p>
    <w:p>
      <w:pPr>
        <w:spacing w:before="240" w:after="120"/>
        <w:jc w:val="left"/>
      </w:pPr>
      <w:r>
        <w:rPr>
          <w:rFonts w:ascii="Cambria" w:hAnsi="Cambria"/>
          <w:b/>
          <w:color w:val="1F3A5F"/>
          <w:sz w:val="28"/>
        </w:rPr>
        <w:t>3. Financial Support for Women Researchers</w:t>
      </w:r>
    </w:p>
    <w:p>
      <w:pPr>
        <w:spacing w:after="120"/>
        <w:jc w:val="both"/>
      </w:pPr>
      <w:r>
        <w:rPr>
          <w:rFonts w:ascii="Cambria" w:hAnsi="Cambria"/>
          <w:b/>
          <w:i w:val="0"/>
          <w:sz w:val="22"/>
        </w:rPr>
        <w:t>Funding and Scholarships</w:t>
      </w:r>
    </w:p>
    <w:p>
      <w:pPr>
        <w:pStyle w:val="ListBullet"/>
        <w:ind w:left="357"/>
        <w:jc w:val="both"/>
      </w:pPr>
      <w:r>
        <w:rPr>
          <w:rFonts w:ascii="Cambria" w:hAnsi="Cambria"/>
          <w:sz w:val="22"/>
        </w:rPr>
        <w:t>Provide targeted financial aid, research grants, and fellowships for women students and faculty to enhance research participation.</w:t>
      </w:r>
    </w:p>
    <w:p>
      <w:pPr>
        <w:pStyle w:val="ListBullet"/>
        <w:ind w:left="357"/>
        <w:jc w:val="both"/>
      </w:pPr>
      <w:r>
        <w:rPr>
          <w:rFonts w:ascii="Cambria" w:hAnsi="Cambria"/>
          <w:sz w:val="22"/>
        </w:rPr>
        <w:t>Create institutional endowments and CSR-funded schemes to support women's doctoral and postdoctoral research.</w:t>
      </w:r>
    </w:p>
    <w:p>
      <w:pPr>
        <w:pStyle w:val="ListBullet"/>
        <w:ind w:left="357"/>
        <w:jc w:val="both"/>
      </w:pPr>
      <w:r>
        <w:rPr>
          <w:rFonts w:ascii="Cambria" w:hAnsi="Cambria"/>
          <w:sz w:val="22"/>
        </w:rPr>
        <w:t>Offer seed grants for women-led innovation projects and patents.</w:t>
      </w:r>
    </w:p>
    <w:p>
      <w:pPr>
        <w:pStyle w:val="ListBullet"/>
        <w:ind w:left="357"/>
        <w:jc w:val="both"/>
      </w:pPr>
      <w:r>
        <w:rPr>
          <w:rFonts w:ascii="Cambria" w:hAnsi="Cambria"/>
          <w:sz w:val="22"/>
        </w:rPr>
        <w:t>Facilitate access to international funding bodies (e.g., UNESCO, UNDP, Horizon Europe) that promote women's participation in science and innovation.</w:t>
      </w:r>
    </w:p>
    <w:p>
      <w:pPr>
        <w:spacing w:before="240" w:after="120"/>
        <w:jc w:val="left"/>
      </w:pPr>
      <w:r>
        <w:rPr>
          <w:rFonts w:ascii="Cambria" w:hAnsi="Cambria"/>
          <w:b/>
          <w:color w:val="1F3A5F"/>
          <w:sz w:val="28"/>
        </w:rPr>
        <w:t>4. Encouraging Patent Filing by Women</w:t>
      </w:r>
    </w:p>
    <w:p>
      <w:pPr>
        <w:spacing w:after="120"/>
        <w:jc w:val="both"/>
      </w:pPr>
      <w:r>
        <w:rPr>
          <w:rFonts w:ascii="Cambria" w:hAnsi="Cambria"/>
          <w:b/>
          <w:i w:val="0"/>
          <w:sz w:val="22"/>
        </w:rPr>
        <w:t>Reducing the Gender Innovation Gap</w:t>
      </w:r>
    </w:p>
    <w:p>
      <w:pPr>
        <w:pStyle w:val="ListBullet"/>
        <w:ind w:left="357"/>
        <w:jc w:val="both"/>
      </w:pPr>
      <w:r>
        <w:rPr>
          <w:rFonts w:ascii="Cambria" w:hAnsi="Cambria"/>
          <w:sz w:val="22"/>
        </w:rPr>
        <w:t>Establish Intellectual Property Rights (IPR) Facilitation Cells to assist women researchers in patent drafting, filing, and commercialization.</w:t>
      </w:r>
    </w:p>
    <w:p>
      <w:pPr>
        <w:pStyle w:val="ListBullet"/>
        <w:ind w:left="357"/>
        <w:jc w:val="both"/>
      </w:pPr>
      <w:r>
        <w:rPr>
          <w:rFonts w:ascii="Cambria" w:hAnsi="Cambria"/>
          <w:sz w:val="22"/>
        </w:rPr>
        <w:t>Organize training workshops on innovation management and technology transfer for women faculty and students.</w:t>
      </w:r>
    </w:p>
    <w:p>
      <w:pPr>
        <w:pStyle w:val="ListBullet"/>
        <w:ind w:left="357"/>
        <w:jc w:val="both"/>
      </w:pPr>
      <w:r>
        <w:rPr>
          <w:rFonts w:ascii="Cambria" w:hAnsi="Cambria"/>
          <w:sz w:val="22"/>
        </w:rPr>
        <w:t>Provide financial reimbursement or fee waivers for women-led patent filings to reduce economic barriers.</w:t>
      </w:r>
    </w:p>
    <w:p>
      <w:pPr>
        <w:pStyle w:val="ListBullet"/>
        <w:ind w:left="357"/>
        <w:jc w:val="both"/>
      </w:pPr>
      <w:r>
        <w:rPr>
          <w:rFonts w:ascii="Cambria" w:hAnsi="Cambria"/>
          <w:sz w:val="22"/>
        </w:rPr>
        <w:t>Recognize and celebrate female innovators annually to inspire a research-driven culture of inclusivity.</w:t>
      </w:r>
    </w:p>
    <w:p>
      <w:pPr>
        <w:spacing w:before="240" w:after="120"/>
        <w:jc w:val="left"/>
      </w:pPr>
      <w:r>
        <w:rPr>
          <w:rFonts w:ascii="Cambria" w:hAnsi="Cambria"/>
          <w:b/>
          <w:color w:val="1F3A5F"/>
          <w:sz w:val="28"/>
        </w:rPr>
        <w:t>5. Promoting Gender Balance and Inclusion in Research, Innovation, and Training</w:t>
      </w:r>
    </w:p>
    <w:p>
      <w:pPr>
        <w:spacing w:after="120"/>
        <w:jc w:val="both"/>
      </w:pPr>
      <w:r>
        <w:rPr>
          <w:rFonts w:ascii="Cambria" w:hAnsi="Cambria"/>
          <w:b/>
          <w:i w:val="0"/>
          <w:sz w:val="22"/>
        </w:rPr>
        <w:t>Institutional Inclusion Measures</w:t>
      </w:r>
    </w:p>
    <w:p>
      <w:pPr>
        <w:pStyle w:val="ListBullet"/>
        <w:ind w:left="357"/>
        <w:jc w:val="both"/>
      </w:pPr>
      <w:r>
        <w:rPr>
          <w:rFonts w:ascii="Cambria" w:hAnsi="Cambria"/>
          <w:sz w:val="22"/>
        </w:rPr>
        <w:t>Mandate gender representation quotas in research committees, review panels, and innovation councils.</w:t>
      </w:r>
    </w:p>
    <w:p>
      <w:pPr>
        <w:pStyle w:val="ListBullet"/>
        <w:ind w:left="357"/>
        <w:jc w:val="both"/>
      </w:pPr>
      <w:r>
        <w:rPr>
          <w:rFonts w:ascii="Cambria" w:hAnsi="Cambria"/>
          <w:sz w:val="22"/>
        </w:rPr>
        <w:t>Promote women's participation in technical training, leadership development, and advanced research programs.</w:t>
      </w:r>
    </w:p>
    <w:p>
      <w:pPr>
        <w:pStyle w:val="ListBullet"/>
        <w:ind w:left="357"/>
        <w:jc w:val="both"/>
      </w:pPr>
      <w:r>
        <w:rPr>
          <w:rFonts w:ascii="Cambria" w:hAnsi="Cambria"/>
          <w:sz w:val="22"/>
        </w:rPr>
        <w:t>Support mentorship networks connecting early-career women researchers with established professionals.</w:t>
      </w:r>
    </w:p>
    <w:p>
      <w:pPr>
        <w:pStyle w:val="ListBullet"/>
        <w:ind w:left="357"/>
        <w:jc w:val="both"/>
      </w:pPr>
      <w:r>
        <w:rPr>
          <w:rFonts w:ascii="Cambria" w:hAnsi="Cambria"/>
          <w:sz w:val="22"/>
        </w:rPr>
        <w:t>Monitor inclusion metrics through gender-balanced institutional dashboards and annual gender audits.</w:t>
      </w:r>
    </w:p>
    <w:p>
      <w:pPr>
        <w:spacing w:before="240" w:after="120"/>
        <w:jc w:val="left"/>
      </w:pPr>
      <w:r>
        <w:rPr>
          <w:rFonts w:ascii="Cambria" w:hAnsi="Cambria"/>
          <w:b/>
          <w:color w:val="1F3A5F"/>
          <w:sz w:val="28"/>
        </w:rPr>
        <w:t>6. Enhancing Gender Perspectives in Research Processes</w:t>
      </w:r>
    </w:p>
    <w:p>
      <w:pPr>
        <w:spacing w:after="120"/>
        <w:jc w:val="both"/>
      </w:pPr>
      <w:r>
        <w:rPr>
          <w:rFonts w:ascii="Cambria" w:hAnsi="Cambria"/>
          <w:b/>
          <w:i w:val="0"/>
          <w:sz w:val="22"/>
        </w:rPr>
        <w:t>Gender-Sensitive Methodologies</w:t>
      </w:r>
    </w:p>
    <w:p>
      <w:pPr>
        <w:pStyle w:val="ListBullet"/>
        <w:ind w:left="357"/>
        <w:jc w:val="both"/>
      </w:pPr>
      <w:r>
        <w:rPr>
          <w:rFonts w:ascii="Cambria" w:hAnsi="Cambria"/>
          <w:sz w:val="22"/>
        </w:rPr>
        <w:t>Ensure research incorporates sex-disaggregated data, gender analysis, and equitable sampling techniques.</w:t>
      </w:r>
    </w:p>
    <w:p>
      <w:pPr>
        <w:pStyle w:val="ListBullet"/>
        <w:ind w:left="357"/>
        <w:jc w:val="both"/>
      </w:pPr>
      <w:r>
        <w:rPr>
          <w:rFonts w:ascii="Cambria" w:hAnsi="Cambria"/>
          <w:sz w:val="22"/>
        </w:rPr>
        <w:t>Apply gender impact assessments (GIA) to evaluate how research outcomes affect men and women differently.</w:t>
      </w:r>
    </w:p>
    <w:p>
      <w:pPr>
        <w:pStyle w:val="ListBullet"/>
        <w:ind w:left="357"/>
        <w:jc w:val="both"/>
      </w:pPr>
      <w:r>
        <w:rPr>
          <w:rFonts w:ascii="Cambria" w:hAnsi="Cambria"/>
          <w:sz w:val="22"/>
        </w:rPr>
        <w:t>Revise institutional ethics and review board protocols to integrate gender considerations in research approval and assessment.</w:t>
      </w:r>
    </w:p>
    <w:p>
      <w:pPr>
        <w:pStyle w:val="ListBullet"/>
        <w:ind w:left="357"/>
        <w:jc w:val="both"/>
      </w:pPr>
      <w:r>
        <w:rPr>
          <w:rFonts w:ascii="Cambria" w:hAnsi="Cambria"/>
          <w:sz w:val="22"/>
        </w:rPr>
        <w:t>Disseminate results through gender-inclusive publications, conferences, and policy briefs.</w:t>
      </w:r>
    </w:p>
    <w:p>
      <w:pPr>
        <w:spacing w:before="240" w:after="120"/>
        <w:jc w:val="left"/>
      </w:pPr>
      <w:r>
        <w:rPr>
          <w:rFonts w:ascii="Cambria" w:hAnsi="Cambria"/>
          <w:b/>
          <w:color w:val="1F3A5F"/>
          <w:sz w:val="28"/>
        </w:rPr>
        <w:t>7. Re-Visioning Research Programs with Gender Dimensions</w:t>
      </w:r>
    </w:p>
    <w:p>
      <w:pPr>
        <w:spacing w:after="120"/>
        <w:jc w:val="both"/>
      </w:pPr>
      <w:r>
        <w:rPr>
          <w:rFonts w:ascii="Cambria" w:hAnsi="Cambria"/>
          <w:b/>
          <w:i w:val="0"/>
          <w:sz w:val="22"/>
        </w:rPr>
        <w:t>Systemic Integration</w:t>
      </w:r>
    </w:p>
    <w:p>
      <w:pPr>
        <w:pStyle w:val="ListBullet"/>
        <w:ind w:left="357"/>
        <w:jc w:val="both"/>
      </w:pPr>
      <w:r>
        <w:rPr>
          <w:rFonts w:ascii="Cambria" w:hAnsi="Cambria"/>
          <w:sz w:val="22"/>
        </w:rPr>
        <w:t>Redesign research programs to embed gender dimensions into project formulation, assessment, and execution.</w:t>
      </w:r>
    </w:p>
    <w:p>
      <w:pPr>
        <w:pStyle w:val="ListBullet"/>
        <w:ind w:left="357"/>
        <w:jc w:val="both"/>
      </w:pPr>
      <w:r>
        <w:rPr>
          <w:rFonts w:ascii="Cambria" w:hAnsi="Cambria"/>
          <w:sz w:val="22"/>
        </w:rPr>
        <w:t>Introduce mandatory gender evaluation criteria in grant applications and research funding frameworks.</w:t>
      </w:r>
    </w:p>
    <w:p>
      <w:pPr>
        <w:pStyle w:val="ListBullet"/>
        <w:ind w:left="357"/>
        <w:jc w:val="both"/>
      </w:pPr>
      <w:r>
        <w:rPr>
          <w:rFonts w:ascii="Cambria" w:hAnsi="Cambria"/>
          <w:sz w:val="22"/>
        </w:rPr>
        <w:t>Establish gender-focused research centres or “Gender Innovation Hubs” to mainstream inclusivity in institutional R&amp;D.</w:t>
      </w:r>
    </w:p>
    <w:p>
      <w:pPr>
        <w:pStyle w:val="ListBullet"/>
        <w:ind w:left="357"/>
        <w:jc w:val="both"/>
      </w:pPr>
      <w:r>
        <w:rPr>
          <w:rFonts w:ascii="Cambria" w:hAnsi="Cambria"/>
          <w:sz w:val="22"/>
        </w:rPr>
        <w:t>Encourage cross-sector collaborations between HEIs, government, and industry for gender-inclusive research.</w:t>
      </w:r>
    </w:p>
    <w:p>
      <w:pPr>
        <w:spacing w:before="240" w:after="120"/>
        <w:jc w:val="left"/>
      </w:pPr>
      <w:r>
        <w:rPr>
          <w:rFonts w:ascii="Cambria" w:hAnsi="Cambria"/>
          <w:b/>
          <w:color w:val="1F3A5F"/>
          <w:sz w:val="28"/>
        </w:rPr>
        <w:t>8. Promoting Gender Diversity and Visibility in Research</w:t>
      </w:r>
    </w:p>
    <w:p>
      <w:pPr>
        <w:spacing w:after="120"/>
        <w:jc w:val="both"/>
      </w:pPr>
      <w:r>
        <w:rPr>
          <w:rFonts w:ascii="Cambria" w:hAnsi="Cambria"/>
          <w:b/>
          <w:i w:val="0"/>
          <w:sz w:val="22"/>
        </w:rPr>
        <w:t>Awareness and Recognition Campaigns</w:t>
      </w:r>
    </w:p>
    <w:p>
      <w:pPr>
        <w:pStyle w:val="ListBullet"/>
        <w:ind w:left="357"/>
        <w:jc w:val="both"/>
      </w:pPr>
      <w:r>
        <w:rPr>
          <w:rFonts w:ascii="Cambria" w:hAnsi="Cambria"/>
          <w:sz w:val="22"/>
        </w:rPr>
        <w:t>Organize national and international conferences, exhibitions, and campaigns to highlight women's contributions in science, social sciences, and innovation.</w:t>
      </w:r>
    </w:p>
    <w:p>
      <w:pPr>
        <w:pStyle w:val="ListBullet"/>
        <w:ind w:left="357"/>
        <w:jc w:val="both"/>
      </w:pPr>
      <w:r>
        <w:rPr>
          <w:rFonts w:ascii="Cambria" w:hAnsi="Cambria"/>
          <w:sz w:val="22"/>
        </w:rPr>
        <w:t>Celebrate events like International Day of Women and Girls in Science and Women's Entrepreneurship Day to showcase research excellence.</w:t>
      </w:r>
    </w:p>
    <w:p>
      <w:pPr>
        <w:pStyle w:val="ListBullet"/>
        <w:ind w:left="357"/>
        <w:jc w:val="both"/>
      </w:pPr>
      <w:r>
        <w:rPr>
          <w:rFonts w:ascii="Cambria" w:hAnsi="Cambria"/>
          <w:sz w:val="22"/>
        </w:rPr>
        <w:t>Publish institutional reports and newsletters recognizing achievements of women researchers.</w:t>
      </w:r>
    </w:p>
    <w:p>
      <w:pPr>
        <w:pStyle w:val="ListBullet"/>
        <w:ind w:left="357"/>
        <w:jc w:val="both"/>
      </w:pPr>
      <w:r>
        <w:rPr>
          <w:rFonts w:ascii="Cambria" w:hAnsi="Cambria"/>
          <w:sz w:val="22"/>
        </w:rPr>
        <w:t>Encourage media partnerships to amplify visibility and role models in gender-inclusive research.</w:t>
      </w:r>
    </w:p>
    <w:p>
      <w:pPr>
        <w:spacing w:before="240" w:after="120"/>
        <w:jc w:val="left"/>
      </w:pPr>
      <w:r>
        <w:rPr>
          <w:rFonts w:ascii="Cambria" w:hAnsi="Cambria"/>
          <w:b/>
          <w:color w:val="1F3A5F"/>
          <w:sz w:val="28"/>
        </w:rPr>
        <w:t>9. Workshops on Gender Integration in Research</w:t>
      </w:r>
    </w:p>
    <w:p>
      <w:pPr>
        <w:spacing w:after="120"/>
        <w:jc w:val="both"/>
      </w:pPr>
      <w:r>
        <w:rPr>
          <w:rFonts w:ascii="Cambria" w:hAnsi="Cambria"/>
          <w:b/>
          <w:i w:val="0"/>
          <w:sz w:val="22"/>
        </w:rPr>
        <w:t>Capacity-Building Programs</w:t>
      </w:r>
    </w:p>
    <w:p>
      <w:pPr>
        <w:pStyle w:val="ListBullet"/>
        <w:ind w:left="357"/>
        <w:jc w:val="both"/>
      </w:pPr>
      <w:r>
        <w:rPr>
          <w:rFonts w:ascii="Cambria" w:hAnsi="Cambria"/>
          <w:sz w:val="22"/>
        </w:rPr>
        <w:t>Conduct training workshops on incorporating gender in research design, evaluation, and communication.</w:t>
      </w:r>
    </w:p>
    <w:p>
      <w:pPr>
        <w:pStyle w:val="ListBullet"/>
        <w:ind w:left="357"/>
        <w:jc w:val="both"/>
      </w:pPr>
      <w:r>
        <w:rPr>
          <w:rFonts w:ascii="Cambria" w:hAnsi="Cambria"/>
          <w:sz w:val="22"/>
        </w:rPr>
        <w:t>Invite experts from UN Women, UNESCO, and leading universities to train research mentors and supervisors.</w:t>
      </w:r>
    </w:p>
    <w:p>
      <w:pPr>
        <w:pStyle w:val="ListBullet"/>
        <w:ind w:left="357"/>
        <w:jc w:val="both"/>
      </w:pPr>
      <w:r>
        <w:rPr>
          <w:rFonts w:ascii="Cambria" w:hAnsi="Cambria"/>
          <w:sz w:val="22"/>
        </w:rPr>
        <w:t>Develop online modules and toolkits for gender mainstreaming in research proposals and publications.</w:t>
      </w:r>
    </w:p>
    <w:p>
      <w:pPr>
        <w:pStyle w:val="ListBullet"/>
        <w:ind w:left="357"/>
        <w:jc w:val="both"/>
      </w:pPr>
      <w:r>
        <w:rPr>
          <w:rFonts w:ascii="Cambria" w:hAnsi="Cambria"/>
          <w:sz w:val="22"/>
        </w:rPr>
        <w:t>Include gender integration modules in faculty development and research methodology courses.</w:t>
      </w:r>
    </w:p>
    <w:p>
      <w:pPr>
        <w:spacing w:before="240" w:after="120"/>
        <w:jc w:val="left"/>
      </w:pPr>
      <w:r>
        <w:rPr>
          <w:rFonts w:ascii="Cambria" w:hAnsi="Cambria"/>
          <w:b/>
          <w:color w:val="1F3A5F"/>
          <w:sz w:val="28"/>
        </w:rPr>
        <w:t>10. Addressing Gender Gaps in Educational Attainment and Health</w:t>
      </w:r>
    </w:p>
    <w:p>
      <w:pPr>
        <w:spacing w:after="120"/>
        <w:jc w:val="both"/>
      </w:pPr>
      <w:r>
        <w:rPr>
          <w:rFonts w:ascii="Cambria" w:hAnsi="Cambria"/>
          <w:b/>
          <w:i w:val="0"/>
          <w:sz w:val="22"/>
        </w:rPr>
        <w:t>Research and Policy Focus</w:t>
      </w:r>
    </w:p>
    <w:p>
      <w:pPr>
        <w:pStyle w:val="ListBullet"/>
        <w:ind w:left="357"/>
        <w:jc w:val="both"/>
      </w:pPr>
      <w:r>
        <w:rPr>
          <w:rFonts w:ascii="Cambria" w:hAnsi="Cambria"/>
          <w:sz w:val="22"/>
        </w:rPr>
        <w:t>Conduct studies identifying gender disparities in educational access, dropout rates, and subject preferences.</w:t>
      </w:r>
    </w:p>
    <w:p>
      <w:pPr>
        <w:pStyle w:val="ListBullet"/>
        <w:ind w:left="357"/>
        <w:jc w:val="both"/>
      </w:pPr>
      <w:r>
        <w:rPr>
          <w:rFonts w:ascii="Cambria" w:hAnsi="Cambria"/>
          <w:sz w:val="22"/>
        </w:rPr>
        <w:t>Explore women's limited access to healthcare, nutrition, and reproductive rights, emphasizing intersectional vulnerabilities.</w:t>
      </w:r>
    </w:p>
    <w:p>
      <w:pPr>
        <w:pStyle w:val="ListBullet"/>
        <w:ind w:left="357"/>
        <w:jc w:val="both"/>
      </w:pPr>
      <w:r>
        <w:rPr>
          <w:rFonts w:ascii="Cambria" w:hAnsi="Cambria"/>
          <w:sz w:val="22"/>
        </w:rPr>
        <w:t>Promote gender-responsive education policies to close attainment gaps.</w:t>
      </w:r>
    </w:p>
    <w:p>
      <w:pPr>
        <w:pStyle w:val="ListBullet"/>
        <w:ind w:left="357"/>
        <w:jc w:val="both"/>
      </w:pPr>
      <w:r>
        <w:rPr>
          <w:rFonts w:ascii="Cambria" w:hAnsi="Cambria"/>
          <w:sz w:val="22"/>
        </w:rPr>
        <w:t>Integrate gender in public health research to strengthen evidence-based policymaking.</w:t>
      </w:r>
    </w:p>
    <w:p>
      <w:pPr>
        <w:spacing w:before="240" w:after="120"/>
        <w:jc w:val="left"/>
      </w:pPr>
      <w:r>
        <w:rPr>
          <w:rFonts w:ascii="Cambria" w:hAnsi="Cambria"/>
          <w:b/>
          <w:color w:val="1F3A5F"/>
          <w:sz w:val="28"/>
        </w:rPr>
        <w:t>11. Gender Gap in Economic Participation and Opportunity</w:t>
      </w:r>
    </w:p>
    <w:p>
      <w:pPr>
        <w:spacing w:after="120"/>
        <w:jc w:val="both"/>
      </w:pPr>
      <w:r>
        <w:rPr>
          <w:rFonts w:ascii="Cambria" w:hAnsi="Cambria"/>
          <w:b/>
          <w:i w:val="0"/>
          <w:sz w:val="22"/>
        </w:rPr>
        <w:t>Research and Policy Analysis</w:t>
      </w:r>
    </w:p>
    <w:p>
      <w:pPr>
        <w:pStyle w:val="ListBullet"/>
        <w:ind w:left="357"/>
        <w:jc w:val="both"/>
      </w:pPr>
      <w:r>
        <w:rPr>
          <w:rFonts w:ascii="Cambria" w:hAnsi="Cambria"/>
          <w:sz w:val="22"/>
        </w:rPr>
        <w:t>Investigate barriers to female workforce participation, including wage gaps, unpaid care work, and occupational segregation.</w:t>
      </w:r>
    </w:p>
    <w:p>
      <w:pPr>
        <w:pStyle w:val="ListBullet"/>
        <w:ind w:left="357"/>
        <w:jc w:val="both"/>
      </w:pPr>
      <w:r>
        <w:rPr>
          <w:rFonts w:ascii="Cambria" w:hAnsi="Cambria"/>
          <w:sz w:val="22"/>
        </w:rPr>
        <w:t>Encourage data-driven policy studies on women's access to economic resources, credit, and entrepreneurship.</w:t>
      </w:r>
    </w:p>
    <w:p>
      <w:pPr>
        <w:pStyle w:val="ListBullet"/>
        <w:ind w:left="357"/>
        <w:jc w:val="both"/>
      </w:pPr>
      <w:r>
        <w:rPr>
          <w:rFonts w:ascii="Cambria" w:hAnsi="Cambria"/>
          <w:sz w:val="22"/>
        </w:rPr>
        <w:t>Examine structural biases in labour markets and propose gender-sensitive reforms for equal opportunities.</w:t>
      </w:r>
    </w:p>
    <w:p>
      <w:pPr>
        <w:spacing w:before="240" w:after="120"/>
        <w:jc w:val="left"/>
      </w:pPr>
      <w:r>
        <w:rPr>
          <w:rFonts w:ascii="Cambria" w:hAnsi="Cambria"/>
          <w:b/>
          <w:color w:val="1F3A5F"/>
          <w:sz w:val="28"/>
        </w:rPr>
        <w:t>12. Providing Policymakers with Data for Action</w:t>
      </w:r>
    </w:p>
    <w:p>
      <w:pPr>
        <w:spacing w:after="120"/>
        <w:jc w:val="both"/>
      </w:pPr>
      <w:r>
        <w:rPr>
          <w:rFonts w:ascii="Cambria" w:hAnsi="Cambria"/>
          <w:b/>
          <w:i w:val="0"/>
          <w:sz w:val="22"/>
        </w:rPr>
        <w:t>Evidence-Based Policy Frameworks</w:t>
      </w:r>
    </w:p>
    <w:p>
      <w:pPr>
        <w:pStyle w:val="ListBullet"/>
        <w:ind w:left="357"/>
        <w:jc w:val="both"/>
      </w:pPr>
      <w:r>
        <w:rPr>
          <w:rFonts w:ascii="Cambria" w:hAnsi="Cambria"/>
          <w:sz w:val="22"/>
        </w:rPr>
        <w:t>Supply technical, financial, and social datasets on gender issues to assist policymakers in designing effective interventions.</w:t>
      </w:r>
    </w:p>
    <w:p>
      <w:pPr>
        <w:pStyle w:val="ListBullet"/>
        <w:ind w:left="357"/>
        <w:jc w:val="both"/>
      </w:pPr>
      <w:r>
        <w:rPr>
          <w:rFonts w:ascii="Cambria" w:hAnsi="Cambria"/>
          <w:sz w:val="22"/>
        </w:rPr>
        <w:t>Establish university-led policy think tanks to produce gender equity reports for government and industry use.</w:t>
      </w:r>
    </w:p>
    <w:p>
      <w:pPr>
        <w:spacing w:after="120"/>
        <w:ind w:left="720"/>
      </w:pPr>
      <w:r>
        <w:rPr>
          <w:rFonts w:ascii="Cambria" w:hAnsi="Cambria"/>
          <w:sz w:val="22"/>
        </w:rPr>
        <w:t xml:space="preserve">• Collaborate with ministries (e.g., </w:t>
      </w:r>
      <w:r>
        <w:rPr>
          <w:rFonts w:ascii="Cambria" w:hAnsi="Cambria"/>
          <w:i/>
          <w:sz w:val="22"/>
        </w:rPr>
        <w:t>Ministry of Women and Child Development</w:t>
      </w:r>
      <w:r>
        <w:rPr>
          <w:rFonts w:ascii="Cambria" w:hAnsi="Cambria"/>
          <w:sz w:val="22"/>
        </w:rPr>
        <w:t xml:space="preserve">, </w:t>
      </w:r>
      <w:r>
        <w:rPr>
          <w:rFonts w:ascii="Cambria" w:hAnsi="Cambria"/>
          <w:i/>
          <w:sz w:val="22"/>
        </w:rPr>
        <w:t>NITI Aayog</w:t>
      </w:r>
      <w:r>
        <w:rPr>
          <w:rFonts w:ascii="Cambria" w:hAnsi="Cambria"/>
          <w:sz w:val="22"/>
        </w:rPr>
        <w:t>) for knowledge sharing and policy translation.</w:t>
      </w:r>
    </w:p>
    <w:p>
      <w:pPr>
        <w:spacing w:before="240" w:after="120"/>
        <w:jc w:val="left"/>
      </w:pPr>
      <w:r>
        <w:rPr>
          <w:rFonts w:ascii="Cambria" w:hAnsi="Cambria"/>
          <w:b/>
          <w:color w:val="1F3A5F"/>
          <w:sz w:val="28"/>
        </w:rPr>
        <w:t>13. Identifying Gender Gaps in Human Capital and Policy Frameworks</w:t>
      </w:r>
    </w:p>
    <w:p>
      <w:pPr>
        <w:spacing w:after="120"/>
        <w:jc w:val="both"/>
      </w:pPr>
      <w:r>
        <w:rPr>
          <w:rFonts w:ascii="Cambria" w:hAnsi="Cambria"/>
          <w:b/>
          <w:i w:val="0"/>
          <w:sz w:val="22"/>
        </w:rPr>
        <w:t>Strategic Research and Policy Mapping</w:t>
      </w:r>
    </w:p>
    <w:p>
      <w:pPr>
        <w:pStyle w:val="ListBullet"/>
        <w:ind w:left="357"/>
        <w:jc w:val="both"/>
      </w:pPr>
      <w:r>
        <w:rPr>
          <w:rFonts w:ascii="Cambria" w:hAnsi="Cambria"/>
          <w:sz w:val="22"/>
        </w:rPr>
        <w:t>Analyze gender inequalities in skills, education, employment, and leadership roles.</w:t>
      </w:r>
    </w:p>
    <w:p>
      <w:pPr>
        <w:pStyle w:val="ListBullet"/>
        <w:ind w:left="357"/>
        <w:jc w:val="both"/>
      </w:pPr>
      <w:r>
        <w:rPr>
          <w:rFonts w:ascii="Cambria" w:hAnsi="Cambria"/>
          <w:sz w:val="22"/>
        </w:rPr>
        <w:t>Propose reforms in education, labour, and entrepreneurship policies to close these gaps.</w:t>
      </w:r>
    </w:p>
    <w:p>
      <w:pPr>
        <w:pStyle w:val="ListBullet"/>
        <w:ind w:left="357"/>
        <w:jc w:val="both"/>
      </w:pPr>
      <w:r>
        <w:rPr>
          <w:rFonts w:ascii="Cambria" w:hAnsi="Cambria"/>
          <w:sz w:val="22"/>
        </w:rPr>
        <w:t>Create gender-disaggregated human capital indices for use by HEIs and government bodies.</w:t>
      </w:r>
    </w:p>
    <w:p>
      <w:pPr>
        <w:spacing w:before="240" w:after="120"/>
        <w:jc w:val="left"/>
      </w:pPr>
      <w:r>
        <w:rPr>
          <w:rFonts w:ascii="Cambria" w:hAnsi="Cambria"/>
          <w:b/>
          <w:color w:val="1F3A5F"/>
          <w:sz w:val="28"/>
        </w:rPr>
        <w:t>14. Women's Access to Production Inputs and Economic Opportunities</w:t>
      </w:r>
    </w:p>
    <w:p>
      <w:pPr>
        <w:spacing w:after="120"/>
        <w:jc w:val="both"/>
      </w:pPr>
      <w:r>
        <w:rPr>
          <w:rFonts w:ascii="Cambria" w:hAnsi="Cambria"/>
          <w:b/>
          <w:i w:val="0"/>
          <w:sz w:val="22"/>
        </w:rPr>
        <w:t>Research on Barriers to Economic Empowerment</w:t>
      </w:r>
    </w:p>
    <w:p>
      <w:pPr>
        <w:pStyle w:val="ListBullet"/>
        <w:ind w:left="357"/>
        <w:jc w:val="both"/>
      </w:pPr>
      <w:r>
        <w:rPr>
          <w:rFonts w:ascii="Cambria" w:hAnsi="Cambria"/>
          <w:sz w:val="22"/>
        </w:rPr>
        <w:t>Study how limited access to resources such as land, capital, and technology affects women's productivity.</w:t>
      </w:r>
    </w:p>
    <w:p>
      <w:pPr>
        <w:pStyle w:val="ListBullet"/>
        <w:ind w:left="357"/>
        <w:jc w:val="both"/>
      </w:pPr>
      <w:r>
        <w:rPr>
          <w:rFonts w:ascii="Cambria" w:hAnsi="Cambria"/>
          <w:sz w:val="22"/>
        </w:rPr>
        <w:t>Design financial inclusion programs to support women in agriculture, manufacturing, and services.</w:t>
      </w:r>
    </w:p>
    <w:p>
      <w:pPr>
        <w:pStyle w:val="ListBullet"/>
        <w:ind w:left="357"/>
        <w:jc w:val="both"/>
      </w:pPr>
      <w:r>
        <w:rPr>
          <w:rFonts w:ascii="Cambria" w:hAnsi="Cambria"/>
          <w:sz w:val="22"/>
        </w:rPr>
        <w:t>Develop strategies for equitable access to markets and credit facilities for women entrepreneurs.</w:t>
      </w:r>
    </w:p>
    <w:p>
      <w:pPr>
        <w:spacing w:before="240" w:after="120"/>
        <w:jc w:val="left"/>
      </w:pPr>
      <w:r>
        <w:rPr>
          <w:rFonts w:ascii="Cambria" w:hAnsi="Cambria"/>
          <w:b/>
          <w:color w:val="1F3A5F"/>
          <w:sz w:val="28"/>
        </w:rPr>
        <w:t>15. Improving Access to Financial and Credit Facilities</w:t>
      </w:r>
    </w:p>
    <w:p>
      <w:pPr>
        <w:spacing w:after="120"/>
        <w:jc w:val="both"/>
      </w:pPr>
      <w:r>
        <w:rPr>
          <w:rFonts w:ascii="Cambria" w:hAnsi="Cambria"/>
          <w:b/>
          <w:i w:val="0"/>
          <w:sz w:val="22"/>
        </w:rPr>
        <w:t>Institutional and Policy Measures</w:t>
      </w:r>
    </w:p>
    <w:p>
      <w:pPr>
        <w:pStyle w:val="ListBullet"/>
        <w:ind w:left="357"/>
        <w:jc w:val="both"/>
      </w:pPr>
      <w:r>
        <w:rPr>
          <w:rFonts w:ascii="Cambria" w:hAnsi="Cambria"/>
          <w:sz w:val="22"/>
        </w:rPr>
        <w:t>Encourage banks and financial institutions to provide gender-sensitive credit products.</w:t>
      </w:r>
    </w:p>
    <w:p>
      <w:pPr>
        <w:pStyle w:val="ListBullet"/>
        <w:ind w:left="357"/>
        <w:jc w:val="both"/>
      </w:pPr>
      <w:r>
        <w:rPr>
          <w:rFonts w:ascii="Cambria" w:hAnsi="Cambria"/>
          <w:sz w:val="22"/>
        </w:rPr>
        <w:t>Strengthen women's participation in microfinance and self-help groups (SHGs).</w:t>
      </w:r>
    </w:p>
    <w:p>
      <w:pPr>
        <w:pStyle w:val="ListBullet"/>
        <w:ind w:left="357"/>
        <w:jc w:val="both"/>
      </w:pPr>
      <w:r>
        <w:rPr>
          <w:rFonts w:ascii="Cambria" w:hAnsi="Cambria"/>
          <w:sz w:val="22"/>
        </w:rPr>
        <w:t>Conduct research on financial literacy and inclusion models to empower women economically.</w:t>
      </w:r>
    </w:p>
    <w:p>
      <w:pPr>
        <w:spacing w:before="240" w:after="120"/>
        <w:jc w:val="left"/>
      </w:pPr>
      <w:r>
        <w:rPr>
          <w:rFonts w:ascii="Cambria" w:hAnsi="Cambria"/>
          <w:b/>
          <w:color w:val="1F3A5F"/>
          <w:sz w:val="28"/>
        </w:rPr>
        <w:t>16. Addressing Gender Disparity in Agricultural Extension</w:t>
      </w:r>
    </w:p>
    <w:p>
      <w:pPr>
        <w:spacing w:after="120"/>
        <w:jc w:val="both"/>
      </w:pPr>
      <w:r>
        <w:rPr>
          <w:rFonts w:ascii="Cambria" w:hAnsi="Cambria"/>
          <w:b/>
          <w:i w:val="0"/>
          <w:sz w:val="22"/>
        </w:rPr>
        <w:t>Women in Agriculture and Rural Research</w:t>
      </w:r>
    </w:p>
    <w:p>
      <w:pPr>
        <w:pStyle w:val="ListBullet"/>
        <w:ind w:left="357"/>
        <w:jc w:val="both"/>
      </w:pPr>
      <w:r>
        <w:rPr>
          <w:rFonts w:ascii="Cambria" w:hAnsi="Cambria"/>
          <w:sz w:val="22"/>
        </w:rPr>
        <w:t>Highlight the lack of female representation in agricultural extension networks.</w:t>
      </w:r>
    </w:p>
    <w:p>
      <w:pPr>
        <w:pStyle w:val="ListBullet"/>
        <w:ind w:left="357"/>
        <w:jc w:val="both"/>
      </w:pPr>
      <w:r>
        <w:rPr>
          <w:rFonts w:ascii="Cambria" w:hAnsi="Cambria"/>
          <w:sz w:val="22"/>
        </w:rPr>
        <w:t>Train and recruit women agricultural advisors to ensure inclusive information dissemination.</w:t>
      </w:r>
    </w:p>
    <w:p>
      <w:pPr>
        <w:pStyle w:val="ListBullet"/>
        <w:ind w:left="357"/>
        <w:jc w:val="both"/>
      </w:pPr>
      <w:r>
        <w:rPr>
          <w:rFonts w:ascii="Cambria" w:hAnsi="Cambria"/>
          <w:sz w:val="22"/>
        </w:rPr>
        <w:t>Support women farmers with training programs, cooperatives, and digital access to agri-tech innovations.</w:t>
      </w:r>
    </w:p>
    <w:p>
      <w:pPr>
        <w:spacing w:before="240" w:after="120"/>
        <w:jc w:val="left"/>
      </w:pPr>
      <w:r>
        <w:rPr>
          <w:rFonts w:ascii="Cambria" w:hAnsi="Cambria"/>
          <w:b/>
          <w:color w:val="1F3A5F"/>
          <w:sz w:val="28"/>
        </w:rPr>
        <w:t>17. Enhancing Women's Access to Productive Assets</w:t>
      </w:r>
    </w:p>
    <w:p>
      <w:pPr>
        <w:spacing w:after="120"/>
        <w:jc w:val="both"/>
      </w:pPr>
      <w:r>
        <w:rPr>
          <w:rFonts w:ascii="Cambria" w:hAnsi="Cambria"/>
          <w:b/>
          <w:i w:val="0"/>
          <w:sz w:val="22"/>
        </w:rPr>
        <w:t>Economic Empowerment through Research and Innovation</w:t>
      </w:r>
    </w:p>
    <w:p>
      <w:pPr>
        <w:pStyle w:val="ListBullet"/>
        <w:ind w:left="357"/>
        <w:jc w:val="both"/>
      </w:pPr>
      <w:r>
        <w:rPr>
          <w:rFonts w:ascii="Cambria" w:hAnsi="Cambria"/>
          <w:sz w:val="22"/>
        </w:rPr>
        <w:t>Research mechanisms to increase women's ownership of land, machinery, and intellectual property.</w:t>
      </w:r>
    </w:p>
    <w:p>
      <w:pPr>
        <w:pStyle w:val="ListBullet"/>
        <w:ind w:left="357"/>
        <w:jc w:val="both"/>
      </w:pPr>
      <w:r>
        <w:rPr>
          <w:rFonts w:ascii="Cambria" w:hAnsi="Cambria"/>
          <w:sz w:val="22"/>
        </w:rPr>
        <w:t>Integrate gendered asset management modules into entrepreneurship and agricultural education.</w:t>
      </w:r>
    </w:p>
    <w:p>
      <w:pPr>
        <w:pStyle w:val="ListBullet"/>
        <w:ind w:left="357"/>
        <w:jc w:val="both"/>
      </w:pPr>
      <w:r>
        <w:rPr>
          <w:rFonts w:ascii="Cambria" w:hAnsi="Cambria"/>
          <w:sz w:val="22"/>
        </w:rPr>
        <w:t>Partner with NGOs and development agencies to provide capacity-building and asset-access initiatives.</w:t>
      </w:r>
    </w:p>
    <w:p>
      <w:pPr>
        <w:spacing w:before="240" w:after="120"/>
        <w:jc w:val="left"/>
      </w:pPr>
      <w:r>
        <w:rPr>
          <w:rFonts w:ascii="Cambria" w:hAnsi="Cambria"/>
          <w:b/>
          <w:color w:val="1F3A5F"/>
          <w:sz w:val="28"/>
        </w:rPr>
        <w:t>18. Promoting Women Empowerment as a Research Agenda</w:t>
      </w:r>
    </w:p>
    <w:p>
      <w:pPr>
        <w:spacing w:after="120"/>
        <w:jc w:val="both"/>
      </w:pPr>
      <w:r>
        <w:rPr>
          <w:rFonts w:ascii="Cambria" w:hAnsi="Cambria"/>
          <w:b/>
          <w:i w:val="0"/>
          <w:sz w:val="22"/>
        </w:rPr>
        <w:t>Institutional Commitment to Gender Research</w:t>
      </w:r>
    </w:p>
    <w:p>
      <w:pPr>
        <w:pStyle w:val="ListBullet"/>
        <w:ind w:left="357"/>
        <w:jc w:val="both"/>
      </w:pPr>
      <w:r>
        <w:rPr>
          <w:rFonts w:ascii="Cambria" w:hAnsi="Cambria"/>
          <w:sz w:val="22"/>
        </w:rPr>
        <w:t>Recognize women's empowerment as a strategic research theme across disciplines.</w:t>
      </w:r>
    </w:p>
    <w:p>
      <w:pPr>
        <w:pStyle w:val="ListBullet"/>
        <w:ind w:left="357"/>
        <w:jc w:val="both"/>
      </w:pPr>
      <w:r>
        <w:rPr>
          <w:rFonts w:ascii="Cambria" w:hAnsi="Cambria"/>
          <w:sz w:val="22"/>
        </w:rPr>
        <w:t>Study the economic, social, and organizational impact of empowering women through education, innovation, and leadership.</w:t>
      </w:r>
    </w:p>
    <w:p>
      <w:pPr>
        <w:pStyle w:val="ListBullet"/>
        <w:ind w:left="357"/>
        <w:jc w:val="both"/>
      </w:pPr>
      <w:r>
        <w:rPr>
          <w:rFonts w:ascii="Cambria" w:hAnsi="Cambria"/>
          <w:sz w:val="22"/>
        </w:rPr>
        <w:t>Establish “Women in Research” networks to foster collaboration and mentorship among female scholars.</w:t>
      </w:r>
    </w:p>
    <w:p>
      <w:pPr>
        <w:pStyle w:val="ListBullet"/>
        <w:ind w:left="357"/>
        <w:jc w:val="both"/>
      </w:pPr>
      <w:r>
        <w:rPr>
          <w:rFonts w:ascii="Cambria" w:hAnsi="Cambria"/>
          <w:sz w:val="22"/>
        </w:rPr>
        <w:t>Use research outcomes to shape institutional and national gender equity strategies.</w:t>
      </w:r>
    </w:p>
    <w:p>
      <w:pPr>
        <w:spacing w:before="240" w:after="120"/>
        <w:jc w:val="left"/>
      </w:pPr>
      <w:r>
        <w:rPr>
          <w:rFonts w:ascii="Cambria" w:hAnsi="Cambria"/>
          <w:b/>
          <w:color w:val="1F3A5F"/>
          <w:sz w:val="28"/>
        </w:rPr>
        <w:t>19. Identifying Gender Gaps in Political Participation</w:t>
      </w:r>
    </w:p>
    <w:p>
      <w:pPr>
        <w:spacing w:after="120"/>
        <w:jc w:val="both"/>
      </w:pPr>
      <w:r>
        <w:rPr>
          <w:rFonts w:ascii="Cambria" w:hAnsi="Cambria"/>
          <w:b/>
          <w:i w:val="0"/>
          <w:sz w:val="22"/>
        </w:rPr>
        <w:t>Research on Political Representation</w:t>
      </w:r>
    </w:p>
    <w:p>
      <w:pPr>
        <w:pStyle w:val="ListBullet"/>
        <w:ind w:left="357"/>
        <w:jc w:val="both"/>
      </w:pPr>
      <w:r>
        <w:rPr>
          <w:rFonts w:ascii="Cambria" w:hAnsi="Cambria"/>
          <w:sz w:val="22"/>
        </w:rPr>
        <w:t>Conduct studies on barriers to women's participation in politics and governance.</w:t>
      </w:r>
    </w:p>
    <w:p>
      <w:pPr>
        <w:pStyle w:val="ListBullet"/>
        <w:ind w:left="357"/>
        <w:jc w:val="both"/>
      </w:pPr>
      <w:r>
        <w:rPr>
          <w:rFonts w:ascii="Cambria" w:hAnsi="Cambria"/>
          <w:sz w:val="22"/>
        </w:rPr>
        <w:t>Evaluate the impact of reservation policies and leadership training programs for women in local and national governments.</w:t>
      </w:r>
    </w:p>
    <w:p>
      <w:pPr>
        <w:pStyle w:val="ListBullet"/>
        <w:ind w:left="357"/>
        <w:jc w:val="both"/>
      </w:pPr>
      <w:r>
        <w:rPr>
          <w:rFonts w:ascii="Cambria" w:hAnsi="Cambria"/>
          <w:sz w:val="22"/>
        </w:rPr>
        <w:t>Explore the role of HEIs in developing civic education and leadership skills among young women.</w:t>
      </w:r>
    </w:p>
    <w:p>
      <w:pPr>
        <w:spacing w:before="240" w:after="120"/>
        <w:jc w:val="left"/>
      </w:pPr>
      <w:r>
        <w:rPr>
          <w:rFonts w:ascii="Cambria" w:hAnsi="Cambria"/>
          <w:b/>
          <w:color w:val="1F3A5F"/>
          <w:sz w:val="28"/>
        </w:rPr>
        <w:t>Conclusion</w:t>
      </w:r>
    </w:p>
    <w:p>
      <w:pPr>
        <w:pStyle w:val="ListBullet"/>
        <w:ind w:left="357"/>
        <w:jc w:val="both"/>
      </w:pPr>
      <w:r>
        <w:rPr>
          <w:rFonts w:ascii="Cambria" w:hAnsi="Cambria"/>
          <w:sz w:val="22"/>
        </w:rPr>
        <w:t>Integrating gender dimensions into research, innovation, and policymaking is fundamental to achieving SDG-5 (Gender Equality) and building an equitable knowledge ecosystem.</w:t>
      </w:r>
    </w:p>
    <w:p>
      <w:pPr>
        <w:pStyle w:val="ListBullet"/>
        <w:ind w:left="357"/>
        <w:jc w:val="both"/>
      </w:pPr>
      <w:r>
        <w:rPr>
          <w:rFonts w:ascii="Cambria" w:hAnsi="Cambria"/>
          <w:sz w:val="22"/>
        </w:rPr>
        <w:t>HEIs must act as leaders of gender-sensitive research, empowering women as innovators, policymakers, and changemakers.</w:t>
      </w:r>
    </w:p>
    <w:p>
      <w:pPr>
        <w:pStyle w:val="ListBullet"/>
        <w:ind w:left="357"/>
        <w:jc w:val="both"/>
      </w:pPr>
      <w:r>
        <w:rPr>
          <w:rFonts w:ascii="Cambria" w:hAnsi="Cambria"/>
          <w:sz w:val="22"/>
        </w:rPr>
        <w:t>Through collaboration, funding, policy advocacy, and inclusive practices, universities can transform research into a powerful tool for social justice, economic growth, and sustainable development.</w:t>
      </w:r>
    </w:p>
    <w:p>
      <w:pPr>
        <w:spacing w:before="280" w:after="160"/>
        <w:jc w:val="left"/>
      </w:pPr>
      <w:r>
        <w:rPr>
          <w:rFonts w:ascii="Cambria" w:hAnsi="Cambria"/>
          <w:b/>
          <w:color w:val="1F3A5F"/>
          <w:sz w:val="32"/>
        </w:rPr>
        <w:t>37. Minimal Recommended Actions for Government Agencies for Implementation of SDG-5 (Gender Equality)</w:t>
      </w:r>
    </w:p>
    <w:p>
      <w:pPr>
        <w:spacing w:before="240" w:after="120"/>
        <w:jc w:val="left"/>
      </w:pPr>
      <w:r>
        <w:rPr>
          <w:rFonts w:ascii="Cambria" w:hAnsi="Cambria"/>
          <w:b/>
          <w:color w:val="1F3A5F"/>
          <w:sz w:val="28"/>
        </w:rPr>
        <w:t>SDG Target 5.1 — End All Forms of Discrimination Against Girls and Women Everywhere</w:t>
      </w:r>
    </w:p>
    <w:p>
      <w:pPr>
        <w:spacing w:before="200" w:after="80"/>
        <w:jc w:val="left"/>
      </w:pPr>
      <w:r>
        <w:rPr>
          <w:rFonts w:ascii="Cambria" w:hAnsi="Cambria"/>
          <w:b/>
          <w:color w:val="1F3A5F"/>
          <w:sz w:val="25"/>
        </w:rPr>
        <w:t>1. Formulation of Gender-Sensitive Strategies and Policies</w:t>
      </w:r>
    </w:p>
    <w:p>
      <w:pPr>
        <w:spacing w:after="120"/>
        <w:jc w:val="both"/>
      </w:pPr>
      <w:r>
        <w:rPr>
          <w:rFonts w:ascii="Cambria" w:hAnsi="Cambria"/>
          <w:b/>
          <w:i w:val="0"/>
          <w:sz w:val="22"/>
        </w:rPr>
        <w:t>Develop Comprehensive National Strategies</w:t>
      </w:r>
    </w:p>
    <w:p>
      <w:pPr>
        <w:pStyle w:val="ListBullet"/>
        <w:ind w:left="357"/>
        <w:jc w:val="both"/>
      </w:pPr>
      <w:r>
        <w:rPr>
          <w:rFonts w:ascii="Cambria" w:hAnsi="Cambria"/>
          <w:sz w:val="22"/>
        </w:rPr>
        <w:t>Formulate strategic frameworks and action plans that promote understanding, inclusivity, and gender equity across all sectors.</w:t>
      </w:r>
    </w:p>
    <w:p>
      <w:pPr>
        <w:pStyle w:val="ListBullet"/>
        <w:ind w:left="357"/>
        <w:jc w:val="both"/>
      </w:pPr>
      <w:r>
        <w:rPr>
          <w:rFonts w:ascii="Cambria" w:hAnsi="Cambria"/>
          <w:sz w:val="22"/>
        </w:rPr>
        <w:t>Design interdisciplinary and community-based projects that foster cooperation, empathy, and respect among all genders.</w:t>
      </w:r>
    </w:p>
    <w:p>
      <w:pPr>
        <w:pStyle w:val="ListBullet"/>
        <w:ind w:left="357"/>
        <w:jc w:val="both"/>
      </w:pPr>
      <w:r>
        <w:rPr>
          <w:rFonts w:ascii="Cambria" w:hAnsi="Cambria"/>
          <w:sz w:val="22"/>
        </w:rPr>
        <w:t>Introduce gender cohesion programs in schools, colleges, and workplaces to build social trust and equality.</w:t>
      </w:r>
    </w:p>
    <w:p>
      <w:pPr>
        <w:pStyle w:val="ListBullet"/>
        <w:ind w:left="357"/>
        <w:jc w:val="both"/>
      </w:pPr>
      <w:r>
        <w:rPr>
          <w:rFonts w:ascii="Cambria" w:hAnsi="Cambria"/>
          <w:sz w:val="22"/>
        </w:rPr>
        <w:t>Integrate gender education and sensitization modules within school and higher education curricula.</w:t>
      </w:r>
    </w:p>
    <w:p>
      <w:pPr>
        <w:spacing w:after="120"/>
        <w:jc w:val="both"/>
      </w:pPr>
      <w:r>
        <w:rPr>
          <w:rFonts w:ascii="Cambria" w:hAnsi="Cambria"/>
          <w:b/>
          <w:i w:val="0"/>
          <w:sz w:val="22"/>
        </w:rPr>
        <w:t>Legal and Institutional Reforms</w:t>
      </w:r>
    </w:p>
    <w:p>
      <w:pPr>
        <w:pStyle w:val="ListBullet"/>
        <w:ind w:left="357"/>
        <w:jc w:val="both"/>
      </w:pPr>
      <w:r>
        <w:rPr>
          <w:rFonts w:ascii="Cambria" w:hAnsi="Cambria"/>
          <w:sz w:val="22"/>
        </w:rPr>
        <w:t>Enact and enforce laws against gender discrimination in education, employment, healthcare, and property rights.</w:t>
      </w:r>
    </w:p>
    <w:p>
      <w:pPr>
        <w:pStyle w:val="ListBullet"/>
        <w:ind w:left="357"/>
        <w:jc w:val="both"/>
      </w:pPr>
      <w:r>
        <w:rPr>
          <w:rFonts w:ascii="Cambria" w:hAnsi="Cambria"/>
          <w:sz w:val="22"/>
        </w:rPr>
        <w:t>Strengthen institutional mechanisms such as State Women's Commissions and Gender Equality Cells for policy implementation and grievance redressal.</w:t>
      </w:r>
    </w:p>
    <w:p>
      <w:pPr>
        <w:pStyle w:val="ListBullet"/>
        <w:ind w:left="357"/>
        <w:jc w:val="both"/>
      </w:pPr>
      <w:r>
        <w:rPr>
          <w:rFonts w:ascii="Cambria" w:hAnsi="Cambria"/>
          <w:sz w:val="22"/>
        </w:rPr>
        <w:t>Ensure strict compliance with constitutional provisions guaranteeing equality and protection for women (Articles 14–16, 21, and 39).</w:t>
      </w:r>
    </w:p>
    <w:p>
      <w:pPr>
        <w:spacing w:before="200" w:after="80"/>
        <w:jc w:val="left"/>
      </w:pPr>
      <w:r>
        <w:rPr>
          <w:rFonts w:ascii="Cambria" w:hAnsi="Cambria"/>
          <w:b/>
          <w:color w:val="1F3A5F"/>
          <w:sz w:val="25"/>
        </w:rPr>
        <w:t>2. Implementation of Anti-Violence and Protection Measures</w:t>
      </w:r>
    </w:p>
    <w:p>
      <w:pPr>
        <w:spacing w:after="120"/>
        <w:jc w:val="both"/>
      </w:pPr>
      <w:r>
        <w:rPr>
          <w:rFonts w:ascii="Cambria" w:hAnsi="Cambria"/>
          <w:b/>
          <w:i w:val="0"/>
          <w:sz w:val="22"/>
        </w:rPr>
        <w:t>Combat Violence and Exploitation</w:t>
      </w:r>
    </w:p>
    <w:p>
      <w:pPr>
        <w:pStyle w:val="ListBullet"/>
        <w:ind w:left="357"/>
        <w:jc w:val="both"/>
      </w:pPr>
      <w:r>
        <w:rPr>
          <w:rFonts w:ascii="Cambria" w:hAnsi="Cambria"/>
          <w:sz w:val="22"/>
        </w:rPr>
        <w:t>Formulate and strictly implement policies to eliminate violence against women and girls in both public and private spaces.</w:t>
      </w:r>
    </w:p>
    <w:p>
      <w:pPr>
        <w:pStyle w:val="ListBullet"/>
        <w:ind w:left="357"/>
        <w:jc w:val="both"/>
      </w:pPr>
      <w:r>
        <w:rPr>
          <w:rFonts w:ascii="Cambria" w:hAnsi="Cambria"/>
          <w:sz w:val="22"/>
        </w:rPr>
        <w:t>Strengthen the enforcement of existing legal frameworks such as:</w:t>
      </w:r>
    </w:p>
    <w:p>
      <w:pPr>
        <w:spacing w:after="80"/>
        <w:ind w:left="1077"/>
      </w:pPr>
      <w:r>
        <w:rPr>
          <w:rFonts w:ascii="Cambria" w:hAnsi="Cambria"/>
          <w:sz w:val="22"/>
        </w:rPr>
        <w:t xml:space="preserve">o  </w:t>
      </w:r>
      <w:r>
        <w:rPr>
          <w:rFonts w:ascii="Cambria" w:hAnsi="Cambria"/>
          <w:i/>
          <w:sz w:val="22"/>
        </w:rPr>
        <w:t>The Protection of Women from Domestic Violence Act (2005)</w:t>
      </w:r>
    </w:p>
    <w:p>
      <w:pPr>
        <w:spacing w:after="80"/>
        <w:ind w:left="1077"/>
      </w:pPr>
      <w:r>
        <w:rPr>
          <w:rFonts w:ascii="Cambria" w:hAnsi="Cambria"/>
          <w:sz w:val="22"/>
        </w:rPr>
        <w:t xml:space="preserve">o  </w:t>
      </w:r>
      <w:r>
        <w:rPr>
          <w:rFonts w:ascii="Cambria" w:hAnsi="Cambria"/>
          <w:i/>
          <w:sz w:val="22"/>
        </w:rPr>
        <w:t>The Criminal Law (Amendment) Act (2013)</w:t>
      </w:r>
    </w:p>
    <w:p>
      <w:pPr>
        <w:spacing w:after="80"/>
        <w:ind w:left="1077"/>
      </w:pPr>
      <w:r>
        <w:rPr>
          <w:rFonts w:ascii="Cambria" w:hAnsi="Cambria"/>
          <w:sz w:val="22"/>
        </w:rPr>
        <w:t xml:space="preserve">o  </w:t>
      </w:r>
      <w:r>
        <w:rPr>
          <w:rFonts w:ascii="Cambria" w:hAnsi="Cambria"/>
          <w:i/>
          <w:sz w:val="22"/>
        </w:rPr>
        <w:t>The Immoral Traffic (Prevention) Act (1956)</w:t>
      </w:r>
    </w:p>
    <w:p>
      <w:pPr>
        <w:spacing w:after="120"/>
        <w:ind w:left="1077"/>
      </w:pPr>
      <w:r>
        <w:rPr>
          <w:rFonts w:ascii="Cambria" w:hAnsi="Cambria"/>
          <w:sz w:val="22"/>
        </w:rPr>
        <w:t xml:space="preserve">o  </w:t>
      </w:r>
      <w:r>
        <w:rPr>
          <w:rFonts w:ascii="Cambria" w:hAnsi="Cambria"/>
          <w:i/>
          <w:sz w:val="22"/>
        </w:rPr>
        <w:t>The Protection of Children from Sexual Offences (POCSO) Act (2012)</w:t>
      </w:r>
    </w:p>
    <w:p>
      <w:pPr>
        <w:pStyle w:val="ListBullet2"/>
        <w:ind w:left="720"/>
        <w:jc w:val="both"/>
      </w:pPr>
      <w:r>
        <w:rPr>
          <w:rFonts w:ascii="Cambria" w:hAnsi="Cambria"/>
          <w:sz w:val="22"/>
        </w:rPr>
        <w:t>Establish fast-track courts and legal aid services to ensure justice and accountability in cases of molestation, trafficking, and sexual exploitation.</w:t>
      </w:r>
    </w:p>
    <w:p>
      <w:pPr>
        <w:pStyle w:val="ListBullet2"/>
        <w:ind w:left="720"/>
        <w:jc w:val="both"/>
      </w:pPr>
      <w:r>
        <w:rPr>
          <w:rFonts w:ascii="Cambria" w:hAnsi="Cambria"/>
          <w:sz w:val="22"/>
        </w:rPr>
        <w:t>Deploy gender-sensitive law enforcement training programs to build empathy, efficiency, and responsiveness among police and judiciary personnel.</w:t>
      </w:r>
    </w:p>
    <w:p>
      <w:pPr>
        <w:spacing w:after="120"/>
        <w:jc w:val="both"/>
      </w:pPr>
      <w:r>
        <w:rPr>
          <w:rFonts w:ascii="Cambria" w:hAnsi="Cambria"/>
          <w:b/>
          <w:i w:val="0"/>
          <w:sz w:val="22"/>
        </w:rPr>
        <w:t>Strengthening Safety and Rehabilitation Mechanisms</w:t>
      </w:r>
    </w:p>
    <w:p>
      <w:pPr>
        <w:pStyle w:val="ListBullet"/>
        <w:ind w:left="357"/>
        <w:jc w:val="both"/>
      </w:pPr>
      <w:r>
        <w:rPr>
          <w:rFonts w:ascii="Cambria" w:hAnsi="Cambria"/>
          <w:sz w:val="22"/>
        </w:rPr>
        <w:t>Create comprehensive survivor support systems, including shelters, crisis helplines, and legal counselling.</w:t>
      </w:r>
    </w:p>
    <w:p>
      <w:pPr>
        <w:pStyle w:val="ListBullet"/>
        <w:ind w:left="357"/>
        <w:jc w:val="both"/>
      </w:pPr>
      <w:r>
        <w:rPr>
          <w:rFonts w:ascii="Cambria" w:hAnsi="Cambria"/>
          <w:sz w:val="22"/>
        </w:rPr>
        <w:t>Introduce rehabilitation and skill development programs for survivors of violence and trafficking.</w:t>
      </w:r>
    </w:p>
    <w:p>
      <w:pPr>
        <w:pStyle w:val="ListBullet"/>
        <w:ind w:left="357"/>
        <w:jc w:val="both"/>
      </w:pPr>
      <w:r>
        <w:rPr>
          <w:rFonts w:ascii="Cambria" w:hAnsi="Cambria"/>
          <w:sz w:val="22"/>
        </w:rPr>
        <w:t>Partner with NGOs and women's rights organizations to ensure grassroots-level implementation and awareness.</w:t>
      </w:r>
    </w:p>
    <w:p>
      <w:pPr>
        <w:spacing w:before="200" w:after="80"/>
        <w:jc w:val="left"/>
      </w:pPr>
      <w:r>
        <w:rPr>
          <w:rFonts w:ascii="Cambria" w:hAnsi="Cambria"/>
          <w:b/>
          <w:color w:val="1F3A5F"/>
          <w:sz w:val="25"/>
        </w:rPr>
        <w:t>3. Promoting Access to Education and Empowerment Programs</w:t>
      </w:r>
    </w:p>
    <w:p>
      <w:pPr>
        <w:spacing w:after="120"/>
        <w:jc w:val="both"/>
      </w:pPr>
      <w:r>
        <w:rPr>
          <w:rFonts w:ascii="Cambria" w:hAnsi="Cambria"/>
          <w:b/>
          <w:i w:val="0"/>
          <w:sz w:val="22"/>
        </w:rPr>
        <w:t>Educational Schemes for Girls' Empowerment</w:t>
      </w:r>
    </w:p>
    <w:p>
      <w:pPr>
        <w:spacing w:after="120"/>
        <w:jc w:val="both"/>
      </w:pPr>
      <w:r>
        <w:rPr>
          <w:rFonts w:ascii="Cambria" w:hAnsi="Cambria"/>
          <w:b w:val="0"/>
          <w:i w:val="0"/>
          <w:sz w:val="22"/>
        </w:rPr>
        <w:t>Scale up existing programs like:</w:t>
      </w:r>
    </w:p>
    <w:p>
      <w:pPr>
        <w:spacing w:after="120"/>
        <w:ind w:left="1077"/>
      </w:pPr>
      <w:r>
        <w:rPr>
          <w:rFonts w:ascii="Cambria" w:hAnsi="Cambria"/>
          <w:sz w:val="22"/>
        </w:rPr>
        <w:t>o  National Education Mission (Sarva Shiksha Abhiyan and Samagra Shiksha Abhiyan) – to ensure equitable access to quality education.</w:t>
      </w:r>
    </w:p>
    <w:p>
      <w:pPr>
        <w:spacing w:after="120"/>
        <w:ind w:left="1077"/>
      </w:pPr>
      <w:r>
        <w:rPr>
          <w:rFonts w:ascii="Cambria" w:hAnsi="Cambria"/>
          <w:sz w:val="22"/>
        </w:rPr>
        <w:t>o  Mukhyamantri Balika Cycle Yojana – to support girl students' school attendance by providing bicycles for safe transportation.</w:t>
      </w:r>
    </w:p>
    <w:p>
      <w:pPr>
        <w:spacing w:after="120"/>
        <w:ind w:left="1077"/>
      </w:pPr>
      <w:r>
        <w:rPr>
          <w:rFonts w:ascii="Cambria" w:hAnsi="Cambria"/>
          <w:sz w:val="22"/>
        </w:rPr>
        <w:t>o  Beti Bachao Beti Padhao Yojana – to reduce gender-based discrimination and promote girls' education.</w:t>
      </w:r>
    </w:p>
    <w:p>
      <w:pPr>
        <w:pStyle w:val="ListBullet"/>
        <w:ind w:left="357"/>
        <w:jc w:val="both"/>
      </w:pPr>
      <w:r>
        <w:rPr>
          <w:rFonts w:ascii="Cambria" w:hAnsi="Cambria"/>
          <w:sz w:val="22"/>
        </w:rPr>
        <w:t>Provide financial incentives and scholarships to encourage girls' participation in secondary and higher education.</w:t>
      </w:r>
    </w:p>
    <w:p>
      <w:pPr>
        <w:pStyle w:val="ListBullet"/>
        <w:ind w:left="357"/>
        <w:jc w:val="both"/>
      </w:pPr>
      <w:r>
        <w:rPr>
          <w:rFonts w:ascii="Cambria" w:hAnsi="Cambria"/>
          <w:sz w:val="22"/>
        </w:rPr>
        <w:t>Promote STEM education for girls through targeted programs and mentorship initiatives.</w:t>
      </w:r>
    </w:p>
    <w:p>
      <w:pPr>
        <w:spacing w:after="120"/>
        <w:jc w:val="both"/>
      </w:pPr>
      <w:r>
        <w:rPr>
          <w:rFonts w:ascii="Cambria" w:hAnsi="Cambria"/>
          <w:b/>
          <w:i w:val="0"/>
          <w:sz w:val="22"/>
        </w:rPr>
        <w:t>Infrastructure and Support Systems</w:t>
      </w:r>
    </w:p>
    <w:p>
      <w:pPr>
        <w:pStyle w:val="ListBullet"/>
        <w:ind w:left="357"/>
        <w:jc w:val="both"/>
      </w:pPr>
      <w:r>
        <w:rPr>
          <w:rFonts w:ascii="Cambria" w:hAnsi="Cambria"/>
          <w:sz w:val="22"/>
        </w:rPr>
        <w:t>Establish safe transport, sanitation facilities, and hostels for girls in schools and colleges to reduce dropout rates.</w:t>
      </w:r>
    </w:p>
    <w:p>
      <w:pPr>
        <w:pStyle w:val="ListBullet"/>
        <w:ind w:left="357"/>
        <w:jc w:val="both"/>
      </w:pPr>
      <w:r>
        <w:rPr>
          <w:rFonts w:ascii="Cambria" w:hAnsi="Cambria"/>
          <w:sz w:val="22"/>
        </w:rPr>
        <w:t>Implement digital literacy campaigns for girls, ensuring equitable access to online learning and skill development.</w:t>
      </w:r>
    </w:p>
    <w:p>
      <w:pPr>
        <w:pStyle w:val="ListBullet"/>
        <w:ind w:left="357"/>
        <w:jc w:val="both"/>
      </w:pPr>
      <w:r>
        <w:rPr>
          <w:rFonts w:ascii="Cambria" w:hAnsi="Cambria"/>
          <w:sz w:val="22"/>
        </w:rPr>
        <w:t>Introduce community outreach initiatives to raise awareness among parents about the importance of girls' education and empowerment.</w:t>
      </w:r>
    </w:p>
    <w:p>
      <w:pPr>
        <w:spacing w:before="200" w:after="80"/>
        <w:jc w:val="left"/>
      </w:pPr>
      <w:r>
        <w:rPr>
          <w:rFonts w:ascii="Cambria" w:hAnsi="Cambria"/>
          <w:b/>
          <w:color w:val="1F3A5F"/>
          <w:sz w:val="25"/>
        </w:rPr>
        <w:t>4. Building Institutional and Inter-Sectoral Partnerships</w:t>
      </w:r>
    </w:p>
    <w:p>
      <w:pPr>
        <w:spacing w:after="120"/>
        <w:jc w:val="both"/>
      </w:pPr>
      <w:r>
        <w:rPr>
          <w:rFonts w:ascii="Cambria" w:hAnsi="Cambria"/>
          <w:b/>
          <w:i w:val="0"/>
          <w:sz w:val="22"/>
        </w:rPr>
        <w:t>Collaborative Governance Model</w:t>
      </w:r>
    </w:p>
    <w:p>
      <w:pPr>
        <w:pStyle w:val="ListBullet"/>
        <w:ind w:left="357"/>
        <w:jc w:val="both"/>
      </w:pPr>
      <w:r>
        <w:rPr>
          <w:rFonts w:ascii="Cambria" w:hAnsi="Cambria"/>
          <w:sz w:val="22"/>
        </w:rPr>
        <w:t>Strengthen collaboration between ministries, local governments, NGOs, and private sectors for coordinated gender equity actions.</w:t>
      </w:r>
    </w:p>
    <w:p>
      <w:pPr>
        <w:pStyle w:val="ListBullet"/>
        <w:ind w:left="357"/>
        <w:jc w:val="both"/>
      </w:pPr>
      <w:r>
        <w:rPr>
          <w:rFonts w:ascii="Cambria" w:hAnsi="Cambria"/>
          <w:sz w:val="22"/>
        </w:rPr>
        <w:t>Empower Panchayati Raj Institutions and Urban Local Bodies to implement gender-inclusive development programs at the grassroots level.</w:t>
      </w:r>
    </w:p>
    <w:p>
      <w:pPr>
        <w:pStyle w:val="ListBullet"/>
        <w:ind w:left="357"/>
        <w:jc w:val="both"/>
      </w:pPr>
      <w:r>
        <w:rPr>
          <w:rFonts w:ascii="Cambria" w:hAnsi="Cambria"/>
          <w:sz w:val="22"/>
        </w:rPr>
        <w:t>Establish gender task forces to monitor progress toward SDG-5 targets and coordinate inter-departmental initiatives.</w:t>
      </w:r>
    </w:p>
    <w:p>
      <w:pPr>
        <w:spacing w:after="120"/>
        <w:jc w:val="both"/>
      </w:pPr>
      <w:r>
        <w:rPr>
          <w:rFonts w:ascii="Cambria" w:hAnsi="Cambria"/>
          <w:b/>
          <w:i w:val="0"/>
          <w:sz w:val="22"/>
        </w:rPr>
        <w:t>Monitoring and Data Collection</w:t>
      </w:r>
    </w:p>
    <w:p>
      <w:pPr>
        <w:pStyle w:val="ListBullet"/>
        <w:ind w:left="357"/>
        <w:jc w:val="both"/>
      </w:pPr>
      <w:r>
        <w:rPr>
          <w:rFonts w:ascii="Cambria" w:hAnsi="Cambria"/>
          <w:sz w:val="22"/>
        </w:rPr>
        <w:t>Develop national gender equality dashboards tracking indicators on discrimination, violence, education, and empowerment.</w:t>
      </w:r>
    </w:p>
    <w:p>
      <w:pPr>
        <w:pStyle w:val="ListBullet"/>
        <w:ind w:left="357"/>
        <w:jc w:val="both"/>
      </w:pPr>
      <w:r>
        <w:rPr>
          <w:rFonts w:ascii="Cambria" w:hAnsi="Cambria"/>
          <w:sz w:val="22"/>
        </w:rPr>
        <w:t>Collect sex-disaggregated data across all sectors to inform evidence-based policymaking.</w:t>
      </w:r>
    </w:p>
    <w:p>
      <w:pPr>
        <w:pStyle w:val="ListBullet"/>
        <w:ind w:left="357"/>
        <w:jc w:val="both"/>
      </w:pPr>
      <w:r>
        <w:rPr>
          <w:rFonts w:ascii="Cambria" w:hAnsi="Cambria"/>
          <w:sz w:val="22"/>
        </w:rPr>
        <w:t>Publish annual gender progress reports to ensure transparency and public accountability.</w:t>
      </w:r>
    </w:p>
    <w:p>
      <w:pPr>
        <w:spacing w:before="200" w:after="80"/>
        <w:jc w:val="left"/>
      </w:pPr>
      <w:r>
        <w:rPr>
          <w:rFonts w:ascii="Cambria" w:hAnsi="Cambria"/>
          <w:b/>
          <w:color w:val="1F3A5F"/>
          <w:sz w:val="25"/>
        </w:rPr>
        <w:t>5. Public Awareness and Community Engagement</w:t>
      </w:r>
    </w:p>
    <w:p>
      <w:pPr>
        <w:spacing w:after="120"/>
        <w:jc w:val="both"/>
      </w:pPr>
      <w:r>
        <w:rPr>
          <w:rFonts w:ascii="Cambria" w:hAnsi="Cambria"/>
          <w:b/>
          <w:i w:val="0"/>
          <w:sz w:val="22"/>
        </w:rPr>
        <w:t>Mass Awareness Campaigns</w:t>
      </w:r>
    </w:p>
    <w:p>
      <w:pPr>
        <w:pStyle w:val="ListBullet"/>
        <w:ind w:left="357"/>
        <w:jc w:val="both"/>
      </w:pPr>
      <w:r>
        <w:rPr>
          <w:rFonts w:ascii="Cambria" w:hAnsi="Cambria"/>
          <w:sz w:val="22"/>
        </w:rPr>
        <w:t>Launch national and state-level campaigns promoting gender equality as a shared societal value.</w:t>
      </w:r>
    </w:p>
    <w:p>
      <w:pPr>
        <w:pStyle w:val="ListBullet"/>
        <w:ind w:left="357"/>
        <w:jc w:val="both"/>
      </w:pPr>
      <w:r>
        <w:rPr>
          <w:rFonts w:ascii="Cambria" w:hAnsi="Cambria"/>
          <w:sz w:val="22"/>
        </w:rPr>
        <w:t>Partner with media, civil society, and educational institutions to disseminate information on women's rights and protections.</w:t>
      </w:r>
    </w:p>
    <w:p>
      <w:pPr>
        <w:pStyle w:val="ListBullet"/>
        <w:ind w:left="357"/>
        <w:jc w:val="both"/>
      </w:pPr>
      <w:r>
        <w:rPr>
          <w:rFonts w:ascii="Cambria" w:hAnsi="Cambria"/>
          <w:sz w:val="22"/>
        </w:rPr>
        <w:t>Recognize and celebrate role models and success stories of women achievers to inspire behavioral change in society.</w:t>
      </w:r>
    </w:p>
    <w:p>
      <w:pPr>
        <w:spacing w:after="120"/>
        <w:jc w:val="both"/>
      </w:pPr>
      <w:r>
        <w:rPr>
          <w:rFonts w:ascii="Cambria" w:hAnsi="Cambria"/>
          <w:b/>
          <w:i w:val="0"/>
          <w:sz w:val="22"/>
        </w:rPr>
        <w:t>Grassroots Mobilization</w:t>
      </w:r>
    </w:p>
    <w:p>
      <w:pPr>
        <w:pStyle w:val="ListBullet"/>
        <w:ind w:left="357"/>
        <w:jc w:val="both"/>
      </w:pPr>
      <w:r>
        <w:rPr>
          <w:rFonts w:ascii="Cambria" w:hAnsi="Cambria"/>
          <w:sz w:val="22"/>
        </w:rPr>
        <w:t>Involve self-help groups (SHGs), youth clubs, and local NGOs in spreading awareness about gender justice.</w:t>
      </w:r>
    </w:p>
    <w:p>
      <w:pPr>
        <w:pStyle w:val="ListBullet"/>
        <w:ind w:left="357"/>
        <w:jc w:val="both"/>
      </w:pPr>
      <w:r>
        <w:rPr>
          <w:rFonts w:ascii="Cambria" w:hAnsi="Cambria"/>
          <w:sz w:val="22"/>
        </w:rPr>
        <w:t>Conduct gender sensitization programs for men and boys to promote positive masculinity and equality-driven mindsets.</w:t>
      </w:r>
    </w:p>
    <w:p>
      <w:pPr>
        <w:spacing w:before="200" w:after="80"/>
        <w:jc w:val="left"/>
      </w:pPr>
      <w:r>
        <w:rPr>
          <w:rFonts w:ascii="Cambria" w:hAnsi="Cambria"/>
          <w:b/>
          <w:color w:val="1F3A5F"/>
          <w:sz w:val="25"/>
        </w:rPr>
        <w:t>6. Expected Outcomes</w:t>
      </w:r>
    </w:p>
    <w:p>
      <w:pPr>
        <w:pStyle w:val="ListBullet"/>
        <w:ind w:left="357"/>
        <w:jc w:val="both"/>
      </w:pPr>
      <w:r>
        <w:rPr>
          <w:rFonts w:ascii="Cambria" w:hAnsi="Cambria"/>
          <w:sz w:val="22"/>
        </w:rPr>
        <w:t>Enhanced legal protection, social acceptance, and educational opportunities for women and girls.</w:t>
      </w:r>
    </w:p>
    <w:p>
      <w:pPr>
        <w:pStyle w:val="ListBullet"/>
        <w:ind w:left="357"/>
        <w:jc w:val="both"/>
      </w:pPr>
      <w:r>
        <w:rPr>
          <w:rFonts w:ascii="Cambria" w:hAnsi="Cambria"/>
          <w:sz w:val="22"/>
        </w:rPr>
        <w:t>Reduction in gender-based violence, discrimination, and inequality across sectors.</w:t>
      </w:r>
    </w:p>
    <w:p>
      <w:pPr>
        <w:pStyle w:val="ListBullet"/>
        <w:ind w:left="357"/>
        <w:jc w:val="both"/>
      </w:pPr>
      <w:r>
        <w:rPr>
          <w:rFonts w:ascii="Cambria" w:hAnsi="Cambria"/>
          <w:sz w:val="22"/>
        </w:rPr>
        <w:t>Improved female participation in education, workforce, and governance.</w:t>
      </w:r>
    </w:p>
    <w:p>
      <w:pPr>
        <w:pStyle w:val="ListBullet"/>
        <w:ind w:left="357"/>
        <w:jc w:val="both"/>
      </w:pPr>
      <w:r>
        <w:rPr>
          <w:rFonts w:ascii="Cambria" w:hAnsi="Cambria"/>
          <w:sz w:val="22"/>
        </w:rPr>
        <w:t>Strengthened institutional accountability and data-driven monitoring mechanisms.</w:t>
      </w:r>
    </w:p>
    <w:p>
      <w:pPr>
        <w:spacing w:before="200" w:after="80"/>
        <w:jc w:val="left"/>
      </w:pPr>
      <w:r>
        <w:rPr>
          <w:rFonts w:ascii="Cambria" w:hAnsi="Cambria"/>
          <w:b/>
          <w:color w:val="1F3A5F"/>
          <w:sz w:val="25"/>
        </w:rPr>
        <w:t>7. Conclusion</w:t>
      </w:r>
    </w:p>
    <w:p>
      <w:pPr>
        <w:pStyle w:val="ListBullet"/>
        <w:ind w:left="357"/>
        <w:jc w:val="both"/>
      </w:pPr>
      <w:r>
        <w:rPr>
          <w:rFonts w:ascii="Cambria" w:hAnsi="Cambria"/>
          <w:sz w:val="22"/>
        </w:rPr>
        <w:t>Achieving SDG-5 (Gender Equality) requires multi-dimensional action from government agencies, policymakers, and society at large.</w:t>
      </w:r>
    </w:p>
    <w:p>
      <w:pPr>
        <w:pStyle w:val="ListBullet"/>
        <w:ind w:left="357"/>
        <w:jc w:val="both"/>
      </w:pPr>
      <w:r>
        <w:rPr>
          <w:rFonts w:ascii="Cambria" w:hAnsi="Cambria"/>
          <w:sz w:val="22"/>
        </w:rPr>
        <w:t>Through strategic planning, strong enforcement, and inclusive education, India can create a society where women and girls are empowered, protected, and equally represented.</w:t>
      </w:r>
    </w:p>
    <w:p>
      <w:pPr>
        <w:pStyle w:val="ListBullet"/>
        <w:ind w:left="357"/>
        <w:jc w:val="both"/>
      </w:pPr>
      <w:r>
        <w:rPr>
          <w:rFonts w:ascii="Cambria" w:hAnsi="Cambria"/>
          <w:sz w:val="22"/>
        </w:rPr>
        <w:t>The integration of policy, education, and community engagement ensures long-term sustainability in achieving gender equality and inclusive national growth.</w:t>
      </w:r>
    </w:p>
    <w:p>
      <w:pPr>
        <w:spacing w:before="240" w:after="120"/>
        <w:jc w:val="left"/>
      </w:pPr>
      <w:r>
        <w:rPr>
          <w:rFonts w:ascii="Cambria" w:hAnsi="Cambria"/>
          <w:b/>
          <w:color w:val="1F3A5F"/>
          <w:sz w:val="28"/>
        </w:rPr>
        <w:t>SDG Target 5.2 — Eliminate All Forms of Violence Against Girls and Women in Public and Private Spaces, Including Trafficking and Sexual Exploitation</w:t>
      </w:r>
    </w:p>
    <w:p>
      <w:pPr>
        <w:spacing w:before="200" w:after="80"/>
        <w:jc w:val="left"/>
      </w:pPr>
      <w:r>
        <w:rPr>
          <w:rFonts w:ascii="Cambria" w:hAnsi="Cambria"/>
          <w:b/>
          <w:color w:val="1F3A5F"/>
          <w:sz w:val="25"/>
        </w:rPr>
        <w:t>1. Strengthening Law Enforcement and Policy Frameworks</w:t>
      </w:r>
    </w:p>
    <w:p>
      <w:pPr>
        <w:spacing w:after="120"/>
        <w:jc w:val="both"/>
      </w:pPr>
      <w:r>
        <w:rPr>
          <w:rFonts w:ascii="Cambria" w:hAnsi="Cambria"/>
          <w:b/>
          <w:i w:val="0"/>
          <w:sz w:val="22"/>
        </w:rPr>
        <w:t>Formulation of Comprehensive Law Enforcement Policies</w:t>
      </w:r>
    </w:p>
    <w:p>
      <w:pPr>
        <w:pStyle w:val="ListBullet"/>
        <w:ind w:left="357"/>
        <w:jc w:val="both"/>
      </w:pPr>
      <w:r>
        <w:rPr>
          <w:rFonts w:ascii="Cambria" w:hAnsi="Cambria"/>
          <w:sz w:val="22"/>
        </w:rPr>
        <w:t>Develop and implement a robust national law enforcement framework specifically addressing violence against women and girls in all contexts — domestic, workplace, educational, and public spaces.</w:t>
      </w:r>
    </w:p>
    <w:p>
      <w:pPr>
        <w:pStyle w:val="ListBullet"/>
        <w:ind w:left="357"/>
        <w:jc w:val="both"/>
      </w:pPr>
      <w:r>
        <w:rPr>
          <w:rFonts w:ascii="Cambria" w:hAnsi="Cambria"/>
          <w:sz w:val="22"/>
        </w:rPr>
        <w:t>Enforce stringent laws against molestation, human trafficking, sexual exploitation, cyber harassment, and gender-based violence.</w:t>
      </w:r>
    </w:p>
    <w:p>
      <w:pPr>
        <w:pStyle w:val="ListBullet"/>
        <w:ind w:left="357"/>
        <w:jc w:val="both"/>
      </w:pPr>
      <w:r>
        <w:rPr>
          <w:rFonts w:ascii="Cambria" w:hAnsi="Cambria"/>
          <w:b/>
          <w:sz w:val="22"/>
        </w:rPr>
        <w:t xml:space="preserve">Amend and strengthen existing acts such as: </w:t>
      </w:r>
      <w:r>
        <w:rPr>
          <w:rFonts w:ascii="Cambria" w:hAnsi="Cambria"/>
          <w:sz w:val="22"/>
        </w:rPr>
      </w:r>
    </w:p>
    <w:p>
      <w:pPr>
        <w:spacing w:after="80"/>
        <w:ind w:left="1077"/>
      </w:pPr>
      <w:r>
        <w:rPr>
          <w:rFonts w:ascii="Cambria" w:hAnsi="Cambria"/>
          <w:sz w:val="22"/>
        </w:rPr>
        <w:t xml:space="preserve">o  </w:t>
      </w:r>
      <w:r>
        <w:rPr>
          <w:rFonts w:ascii="Cambria" w:hAnsi="Cambria"/>
          <w:i/>
          <w:sz w:val="22"/>
        </w:rPr>
        <w:t>The Protection of Women from Domestic Violence Act (2005)</w:t>
      </w:r>
    </w:p>
    <w:p>
      <w:pPr>
        <w:spacing w:after="80"/>
        <w:ind w:left="1077"/>
      </w:pPr>
      <w:r>
        <w:rPr>
          <w:rFonts w:ascii="Cambria" w:hAnsi="Cambria"/>
          <w:sz w:val="22"/>
        </w:rPr>
        <w:t xml:space="preserve">o  </w:t>
      </w:r>
      <w:r>
        <w:rPr>
          <w:rFonts w:ascii="Cambria" w:hAnsi="Cambria"/>
          <w:i/>
          <w:sz w:val="22"/>
        </w:rPr>
        <w:t>The Immoral Traffic (Prevention) Act (1956)</w:t>
      </w:r>
    </w:p>
    <w:p>
      <w:pPr>
        <w:spacing w:after="80"/>
        <w:ind w:left="1077"/>
      </w:pPr>
      <w:r>
        <w:rPr>
          <w:rFonts w:ascii="Cambria" w:hAnsi="Cambria"/>
          <w:sz w:val="22"/>
        </w:rPr>
        <w:t xml:space="preserve">o  </w:t>
      </w:r>
      <w:r>
        <w:rPr>
          <w:rFonts w:ascii="Cambria" w:hAnsi="Cambria"/>
          <w:i/>
          <w:sz w:val="22"/>
        </w:rPr>
        <w:t>The Criminal Law (Amendment) Act (2013)</w:t>
      </w:r>
    </w:p>
    <w:p>
      <w:pPr>
        <w:spacing w:after="80"/>
        <w:ind w:left="1077"/>
      </w:pPr>
      <w:r>
        <w:rPr>
          <w:rFonts w:ascii="Cambria" w:hAnsi="Cambria"/>
          <w:sz w:val="22"/>
        </w:rPr>
        <w:t xml:space="preserve">o  </w:t>
      </w:r>
      <w:r>
        <w:rPr>
          <w:rFonts w:ascii="Cambria" w:hAnsi="Cambria"/>
          <w:i/>
          <w:sz w:val="22"/>
        </w:rPr>
        <w:t>The Sexual Harassment of Women at Workplace (Prevention, Prohibition and Redressal) Act (2013)</w:t>
      </w:r>
    </w:p>
    <w:p>
      <w:pPr>
        <w:pStyle w:val="ListBullet"/>
        <w:ind w:left="357"/>
        <w:jc w:val="both"/>
      </w:pPr>
      <w:r>
        <w:rPr>
          <w:rFonts w:ascii="Cambria" w:hAnsi="Cambria"/>
          <w:sz w:val="22"/>
        </w:rPr>
        <w:t>Introduce mandatory gender-sensitization training for police, judiciary, and public officials to ensure empathetic and efficient handling of gender-based crimes.</w:t>
      </w:r>
    </w:p>
    <w:p>
      <w:pPr>
        <w:spacing w:after="120"/>
        <w:jc w:val="both"/>
      </w:pPr>
      <w:r>
        <w:rPr>
          <w:rFonts w:ascii="Cambria" w:hAnsi="Cambria"/>
          <w:b/>
          <w:i w:val="0"/>
          <w:sz w:val="22"/>
        </w:rPr>
        <w:t>Community Education and Awareness</w:t>
      </w:r>
    </w:p>
    <w:p>
      <w:pPr>
        <w:pStyle w:val="ListBullet"/>
        <w:ind w:left="357"/>
        <w:jc w:val="both"/>
      </w:pPr>
      <w:r>
        <w:rPr>
          <w:rFonts w:ascii="Cambria" w:hAnsi="Cambria"/>
          <w:sz w:val="22"/>
        </w:rPr>
        <w:t>Implement nationwide awareness campaigns to educate men and women about legal rights, reporting mechanisms, and preventive safety measures.</w:t>
      </w:r>
    </w:p>
    <w:p>
      <w:pPr>
        <w:pStyle w:val="ListBullet"/>
        <w:ind w:left="357"/>
        <w:jc w:val="both"/>
      </w:pPr>
      <w:r>
        <w:rPr>
          <w:rFonts w:ascii="Cambria" w:hAnsi="Cambria"/>
          <w:sz w:val="22"/>
        </w:rPr>
        <w:t>Make gender equality and anti-violence education mandatory in schools, universities, and community training programs.</w:t>
      </w:r>
    </w:p>
    <w:p>
      <w:pPr>
        <w:pStyle w:val="ListBullet"/>
        <w:ind w:left="357"/>
        <w:jc w:val="both"/>
      </w:pPr>
      <w:r>
        <w:rPr>
          <w:rFonts w:ascii="Cambria" w:hAnsi="Cambria"/>
          <w:sz w:val="22"/>
        </w:rPr>
        <w:t>Promote media campaigns and social initiatives to challenge gender stereotypes and normalization of violence.</w:t>
      </w:r>
    </w:p>
    <w:p>
      <w:pPr>
        <w:spacing w:before="200" w:after="80"/>
        <w:jc w:val="left"/>
      </w:pPr>
      <w:r>
        <w:rPr>
          <w:rFonts w:ascii="Cambria" w:hAnsi="Cambria"/>
          <w:b/>
          <w:color w:val="1F3A5F"/>
          <w:sz w:val="25"/>
        </w:rPr>
        <w:t>2. Enhancing Women's Safety Infrastructure and Services</w:t>
      </w:r>
    </w:p>
    <w:p>
      <w:pPr>
        <w:spacing w:after="120"/>
        <w:jc w:val="both"/>
      </w:pPr>
      <w:r>
        <w:rPr>
          <w:rFonts w:ascii="Cambria" w:hAnsi="Cambria"/>
          <w:b/>
          <w:i w:val="0"/>
          <w:sz w:val="22"/>
        </w:rPr>
        <w:t>Integrated Safety Ecosystem</w:t>
      </w:r>
    </w:p>
    <w:p>
      <w:pPr>
        <w:pStyle w:val="ListBullet"/>
        <w:ind w:left="357"/>
        <w:jc w:val="both"/>
      </w:pPr>
      <w:r>
        <w:rPr>
          <w:rFonts w:ascii="Cambria" w:hAnsi="Cambria"/>
          <w:sz w:val="22"/>
        </w:rPr>
        <w:t>Strengthen surveillance systems, women's helplines, and emergency transport facilities — especially for women working in night shifts or high-risk environments.</w:t>
      </w:r>
    </w:p>
    <w:p>
      <w:pPr>
        <w:spacing w:after="120"/>
        <w:jc w:val="both"/>
      </w:pPr>
      <w:r>
        <w:rPr>
          <w:rFonts w:ascii="Cambria" w:hAnsi="Cambria"/>
          <w:b w:val="0"/>
          <w:i w:val="0"/>
          <w:sz w:val="22"/>
        </w:rPr>
        <w:t>Develop smart safety infrastructure such as:</w:t>
      </w:r>
    </w:p>
    <w:p>
      <w:pPr>
        <w:pStyle w:val="ListBullet2"/>
        <w:ind w:left="720"/>
        <w:jc w:val="both"/>
      </w:pPr>
      <w:r>
        <w:rPr>
          <w:rFonts w:ascii="Cambria" w:hAnsi="Cambria"/>
          <w:sz w:val="22"/>
        </w:rPr>
        <w:t>GPS-enabled public transport tracking.</w:t>
      </w:r>
    </w:p>
    <w:p>
      <w:pPr>
        <w:pStyle w:val="ListBullet2"/>
        <w:ind w:left="720"/>
        <w:jc w:val="both"/>
      </w:pPr>
      <w:r>
        <w:rPr>
          <w:rFonts w:ascii="Cambria" w:hAnsi="Cambria"/>
          <w:sz w:val="22"/>
        </w:rPr>
        <w:t>CCTV monitoring in high-risk areas.</w:t>
      </w:r>
    </w:p>
    <w:p>
      <w:pPr>
        <w:pStyle w:val="ListBullet2"/>
        <w:ind w:left="720"/>
        <w:jc w:val="both"/>
      </w:pPr>
      <w:r>
        <w:rPr>
          <w:rFonts w:ascii="Cambria" w:hAnsi="Cambria"/>
          <w:sz w:val="22"/>
        </w:rPr>
        <w:t>Panic button integration in mobile apps and public vehicles.</w:t>
      </w:r>
    </w:p>
    <w:p>
      <w:pPr>
        <w:pStyle w:val="ListBullet"/>
        <w:ind w:left="357"/>
        <w:jc w:val="both"/>
      </w:pPr>
      <w:r>
        <w:rPr>
          <w:rFonts w:ascii="Cambria" w:hAnsi="Cambria"/>
          <w:sz w:val="22"/>
        </w:rPr>
        <w:t>Ensure availability of 24x7 helplines (like 181 Women Helpline) with multi-language support and real-time coordination with local police.</w:t>
      </w:r>
    </w:p>
    <w:p>
      <w:pPr>
        <w:spacing w:after="120"/>
        <w:jc w:val="both"/>
      </w:pPr>
      <w:r>
        <w:rPr>
          <w:rFonts w:ascii="Cambria" w:hAnsi="Cambria"/>
          <w:b/>
          <w:i w:val="0"/>
          <w:sz w:val="22"/>
        </w:rPr>
        <w:t>Recruitment and Capacity Building</w:t>
      </w:r>
    </w:p>
    <w:p>
      <w:pPr>
        <w:pStyle w:val="ListBullet"/>
        <w:ind w:left="357"/>
        <w:jc w:val="both"/>
      </w:pPr>
      <w:r>
        <w:rPr>
          <w:rFonts w:ascii="Cambria" w:hAnsi="Cambria"/>
          <w:sz w:val="22"/>
        </w:rPr>
        <w:t>Increase the recruitment of female security personnel, police officers, and service providers to strengthen trust and responsiveness.</w:t>
      </w:r>
    </w:p>
    <w:p>
      <w:pPr>
        <w:pStyle w:val="ListBullet"/>
        <w:ind w:left="357"/>
        <w:jc w:val="both"/>
      </w:pPr>
      <w:r>
        <w:rPr>
          <w:rFonts w:ascii="Cambria" w:hAnsi="Cambria"/>
          <w:sz w:val="22"/>
        </w:rPr>
        <w:t>Provide training in trauma-informed care for law enforcement and healthcare professionals dealing with survivors.</w:t>
      </w:r>
    </w:p>
    <w:p>
      <w:pPr>
        <w:pStyle w:val="ListBullet"/>
        <w:ind w:left="357"/>
        <w:jc w:val="both"/>
      </w:pPr>
      <w:r>
        <w:rPr>
          <w:rFonts w:ascii="Cambria" w:hAnsi="Cambria"/>
          <w:sz w:val="22"/>
        </w:rPr>
        <w:t>Encourage community policing initiatives to involve citizens in creating safe and inclusive environments.</w:t>
      </w:r>
    </w:p>
    <w:p>
      <w:pPr>
        <w:spacing w:before="200" w:after="80"/>
        <w:jc w:val="left"/>
      </w:pPr>
      <w:r>
        <w:rPr>
          <w:rFonts w:ascii="Cambria" w:hAnsi="Cambria"/>
          <w:b/>
          <w:color w:val="1F3A5F"/>
          <w:sz w:val="25"/>
        </w:rPr>
        <w:t>3. Establishment of Comprehensive One-Stop Crisis Centres (OSCCs)</w:t>
      </w:r>
    </w:p>
    <w:p>
      <w:pPr>
        <w:spacing w:after="120"/>
        <w:jc w:val="both"/>
      </w:pPr>
      <w:r>
        <w:rPr>
          <w:rFonts w:ascii="Cambria" w:hAnsi="Cambria"/>
          <w:b/>
          <w:i w:val="0"/>
          <w:sz w:val="22"/>
        </w:rPr>
        <w:t>Integrated Support Systems for Survivors</w:t>
      </w:r>
    </w:p>
    <w:p>
      <w:pPr>
        <w:pStyle w:val="ListBullet"/>
        <w:ind w:left="357"/>
        <w:jc w:val="both"/>
      </w:pPr>
      <w:r>
        <w:rPr>
          <w:rFonts w:ascii="Cambria" w:hAnsi="Cambria"/>
          <w:sz w:val="22"/>
        </w:rPr>
        <w:t>Set up One Stop Crisis Centres (OSCCs) at district and urban levels to offer medical aid, psychological counselling, legal assistance, and temporary shelter under one roof.</w:t>
      </w:r>
    </w:p>
    <w:p>
      <w:pPr>
        <w:pStyle w:val="ListBullet"/>
        <w:ind w:left="357"/>
        <w:jc w:val="both"/>
      </w:pPr>
      <w:r>
        <w:rPr>
          <w:rFonts w:ascii="Cambria" w:hAnsi="Cambria"/>
          <w:sz w:val="22"/>
        </w:rPr>
        <w:t>Ensure interlinking of OSCCs with hospital emergency units, police control rooms, and legal aid cells for seamless service delivery.</w:t>
      </w:r>
    </w:p>
    <w:p>
      <w:pPr>
        <w:pStyle w:val="ListBullet"/>
        <w:ind w:left="357"/>
        <w:jc w:val="both"/>
      </w:pPr>
      <w:r>
        <w:rPr>
          <w:rFonts w:ascii="Cambria" w:hAnsi="Cambria"/>
          <w:sz w:val="22"/>
        </w:rPr>
        <w:t>Create standard operating procedures (SOPs) for timely intervention and survivor confidentiality.</w:t>
      </w:r>
    </w:p>
    <w:p>
      <w:pPr>
        <w:pStyle w:val="ListBullet"/>
        <w:ind w:left="357"/>
        <w:jc w:val="both"/>
      </w:pPr>
      <w:r>
        <w:rPr>
          <w:rFonts w:ascii="Cambria" w:hAnsi="Cambria"/>
          <w:sz w:val="22"/>
        </w:rPr>
        <w:t>Provide rehabilitation and livelihood support for victims to reintegrate into society with dignity.</w:t>
      </w:r>
    </w:p>
    <w:p>
      <w:pPr>
        <w:spacing w:after="120"/>
        <w:jc w:val="both"/>
      </w:pPr>
      <w:r>
        <w:rPr>
          <w:rFonts w:ascii="Cambria" w:hAnsi="Cambria"/>
          <w:b/>
          <w:i w:val="0"/>
          <w:sz w:val="22"/>
        </w:rPr>
        <w:t>Model Initiatives for Reference</w:t>
      </w:r>
    </w:p>
    <w:p>
      <w:pPr>
        <w:spacing w:after="120"/>
        <w:ind w:left="720"/>
      </w:pPr>
      <w:r>
        <w:rPr>
          <w:rFonts w:ascii="Cambria" w:hAnsi="Cambria"/>
          <w:sz w:val="22"/>
        </w:rPr>
        <w:t>• Bharosa (Trust) – A Telangana Police initiative in Hyderabad offering integrated support through counselling, legal, and forensic services.</w:t>
      </w:r>
    </w:p>
    <w:p>
      <w:pPr>
        <w:spacing w:after="120"/>
        <w:ind w:left="720"/>
      </w:pPr>
      <w:r>
        <w:rPr>
          <w:rFonts w:ascii="Cambria" w:hAnsi="Cambria"/>
          <w:sz w:val="22"/>
        </w:rPr>
        <w:t>• Himmat App (Courage) – Delhi Police's digital emergency platform offering instant safety alerts and assistance to women in distress.</w:t>
      </w:r>
    </w:p>
    <w:p>
      <w:pPr>
        <w:spacing w:after="120"/>
        <w:ind w:left="720"/>
      </w:pPr>
      <w:r>
        <w:rPr>
          <w:rFonts w:ascii="Cambria" w:hAnsi="Cambria"/>
          <w:sz w:val="22"/>
        </w:rPr>
        <w:t xml:space="preserve">• Sakhi Centres (MoWCD Initiative) – Government-run OSCCs established under the </w:t>
      </w:r>
      <w:r>
        <w:rPr>
          <w:rFonts w:ascii="Cambria" w:hAnsi="Cambria"/>
          <w:i/>
          <w:sz w:val="22"/>
        </w:rPr>
        <w:t>Nirbhaya Fund</w:t>
      </w:r>
      <w:r>
        <w:rPr>
          <w:rFonts w:ascii="Cambria" w:hAnsi="Cambria"/>
          <w:sz w:val="22"/>
        </w:rPr>
        <w:t xml:space="preserve"> for survivor assistance nationwide.</w:t>
      </w:r>
    </w:p>
    <w:p>
      <w:pPr>
        <w:spacing w:before="200" w:after="80"/>
        <w:jc w:val="left"/>
      </w:pPr>
      <w:r>
        <w:rPr>
          <w:rFonts w:ascii="Cambria" w:hAnsi="Cambria"/>
          <w:b/>
          <w:color w:val="1F3A5F"/>
          <w:sz w:val="25"/>
        </w:rPr>
        <w:t>4. Expansion of Surveillance, Security, and Transportation Facilities</w:t>
      </w:r>
    </w:p>
    <w:p>
      <w:pPr>
        <w:spacing w:after="120"/>
        <w:jc w:val="both"/>
      </w:pPr>
      <w:r>
        <w:rPr>
          <w:rFonts w:ascii="Cambria" w:hAnsi="Cambria"/>
          <w:b/>
          <w:i w:val="0"/>
          <w:sz w:val="22"/>
        </w:rPr>
        <w:t>Infrastructure for Safe Mobility</w:t>
      </w:r>
    </w:p>
    <w:p>
      <w:pPr>
        <w:pStyle w:val="ListBullet"/>
        <w:ind w:left="357"/>
        <w:jc w:val="both"/>
      </w:pPr>
      <w:r>
        <w:rPr>
          <w:rFonts w:ascii="Cambria" w:hAnsi="Cambria"/>
          <w:sz w:val="22"/>
        </w:rPr>
        <w:t>Expand women-only public transport options and ensure presence of trained female staff.</w:t>
      </w:r>
    </w:p>
    <w:p>
      <w:pPr>
        <w:pStyle w:val="ListBullet"/>
        <w:ind w:left="357"/>
        <w:jc w:val="both"/>
      </w:pPr>
      <w:r>
        <w:rPr>
          <w:rFonts w:ascii="Cambria" w:hAnsi="Cambria"/>
          <w:sz w:val="22"/>
        </w:rPr>
        <w:t>Introduce night-time safety measures including well-lit streets, safe bus stops, and secure pathways near educational and commercial areas.</w:t>
      </w:r>
    </w:p>
    <w:p>
      <w:pPr>
        <w:pStyle w:val="ListBullet"/>
        <w:ind w:left="357"/>
        <w:jc w:val="both"/>
      </w:pPr>
      <w:r>
        <w:rPr>
          <w:rFonts w:ascii="Cambria" w:hAnsi="Cambria"/>
          <w:sz w:val="22"/>
        </w:rPr>
        <w:t>Strengthen transport surveillance with integrated control systems between police and transit authorities.</w:t>
      </w:r>
    </w:p>
    <w:p>
      <w:pPr>
        <w:spacing w:after="120"/>
        <w:jc w:val="both"/>
      </w:pPr>
      <w:r>
        <w:rPr>
          <w:rFonts w:ascii="Cambria" w:hAnsi="Cambria"/>
          <w:b/>
          <w:i w:val="0"/>
          <w:sz w:val="22"/>
        </w:rPr>
        <w:t>Technology-Enabled Safety Solutions</w:t>
      </w:r>
    </w:p>
    <w:p>
      <w:pPr>
        <w:pStyle w:val="ListBullet"/>
        <w:ind w:left="357"/>
        <w:jc w:val="both"/>
      </w:pPr>
      <w:r>
        <w:rPr>
          <w:rFonts w:ascii="Cambria" w:hAnsi="Cambria"/>
          <w:sz w:val="22"/>
        </w:rPr>
        <w:t>Develop AI-based safety monitoring systems for identifying unsafe zones through real-time data analytics.</w:t>
      </w:r>
    </w:p>
    <w:p>
      <w:pPr>
        <w:pStyle w:val="ListBullet"/>
        <w:ind w:left="357"/>
        <w:jc w:val="both"/>
      </w:pPr>
      <w:r>
        <w:rPr>
          <w:rFonts w:ascii="Cambria" w:hAnsi="Cambria"/>
          <w:sz w:val="22"/>
        </w:rPr>
        <w:t>Promote use of emergency mobile apps and wearable safety devices for women's personal security.</w:t>
      </w:r>
    </w:p>
    <w:p>
      <w:pPr>
        <w:pStyle w:val="ListBullet"/>
        <w:ind w:left="357"/>
        <w:jc w:val="both"/>
      </w:pPr>
      <w:r>
        <w:rPr>
          <w:rFonts w:ascii="Cambria" w:hAnsi="Cambria"/>
          <w:sz w:val="22"/>
        </w:rPr>
        <w:t>Encourage public-private partnerships (PPPs) to fund and maintain safety infrastructure.</w:t>
      </w:r>
    </w:p>
    <w:p>
      <w:pPr>
        <w:spacing w:before="200" w:after="80"/>
        <w:jc w:val="left"/>
      </w:pPr>
      <w:r>
        <w:rPr>
          <w:rFonts w:ascii="Cambria" w:hAnsi="Cambria"/>
          <w:b/>
          <w:color w:val="1F3A5F"/>
          <w:sz w:val="25"/>
        </w:rPr>
        <w:t>5. Institutional Collaboration and Governance</w:t>
      </w:r>
    </w:p>
    <w:p>
      <w:pPr>
        <w:spacing w:after="120"/>
        <w:jc w:val="both"/>
      </w:pPr>
      <w:r>
        <w:rPr>
          <w:rFonts w:ascii="Cambria" w:hAnsi="Cambria"/>
          <w:b/>
          <w:i w:val="0"/>
          <w:sz w:val="22"/>
        </w:rPr>
        <w:t>Inter-Ministerial Coordination</w:t>
      </w:r>
    </w:p>
    <w:p>
      <w:pPr>
        <w:pStyle w:val="ListBullet"/>
        <w:ind w:left="357"/>
        <w:jc w:val="both"/>
      </w:pPr>
      <w:r>
        <w:rPr>
          <w:rFonts w:ascii="Cambria" w:hAnsi="Cambria"/>
          <w:sz w:val="22"/>
        </w:rPr>
        <w:t>Create national and state-level task forces comprising ministries of Home Affairs, Women &amp; Child Development, Transport, and Education to coordinate anti-violence efforts.</w:t>
      </w:r>
    </w:p>
    <w:p>
      <w:pPr>
        <w:pStyle w:val="ListBullet"/>
        <w:ind w:left="357"/>
        <w:jc w:val="both"/>
      </w:pPr>
      <w:r>
        <w:rPr>
          <w:rFonts w:ascii="Cambria" w:hAnsi="Cambria"/>
          <w:sz w:val="22"/>
        </w:rPr>
        <w:t>Mandate quarterly safety audits in schools, workplaces, and public transport systems.</w:t>
      </w:r>
    </w:p>
    <w:p>
      <w:pPr>
        <w:pStyle w:val="ListBullet"/>
        <w:ind w:left="357"/>
        <w:jc w:val="both"/>
      </w:pPr>
      <w:r>
        <w:rPr>
          <w:rFonts w:ascii="Cambria" w:hAnsi="Cambria"/>
          <w:sz w:val="22"/>
        </w:rPr>
        <w:t>Develop gender-based safety indicators as part of the National Crime Records Bureau (NCRB) reporting.</w:t>
      </w:r>
    </w:p>
    <w:p>
      <w:pPr>
        <w:spacing w:after="120"/>
        <w:jc w:val="both"/>
      </w:pPr>
      <w:r>
        <w:rPr>
          <w:rFonts w:ascii="Cambria" w:hAnsi="Cambria"/>
          <w:b/>
          <w:i w:val="0"/>
          <w:sz w:val="22"/>
        </w:rPr>
        <w:t>Partnerships with NGOs and Civil Society</w:t>
      </w:r>
    </w:p>
    <w:p>
      <w:pPr>
        <w:pStyle w:val="ListBullet"/>
        <w:ind w:left="357"/>
        <w:jc w:val="both"/>
      </w:pPr>
      <w:r>
        <w:rPr>
          <w:rFonts w:ascii="Cambria" w:hAnsi="Cambria"/>
          <w:sz w:val="22"/>
        </w:rPr>
        <w:t>Collaborate with non-profits and women's rights organizations for community awareness, survivor counselling, and grassroots implementation.</w:t>
      </w:r>
    </w:p>
    <w:p>
      <w:pPr>
        <w:pStyle w:val="ListBullet"/>
        <w:ind w:left="357"/>
        <w:jc w:val="both"/>
      </w:pPr>
      <w:r>
        <w:rPr>
          <w:rFonts w:ascii="Cambria" w:hAnsi="Cambria"/>
          <w:sz w:val="22"/>
        </w:rPr>
        <w:t>Involve academic institutions in research and innovation on gender violence prevention and policy impact assessment.</w:t>
      </w:r>
    </w:p>
    <w:p>
      <w:pPr>
        <w:spacing w:before="200" w:after="80"/>
        <w:jc w:val="left"/>
      </w:pPr>
      <w:r>
        <w:rPr>
          <w:rFonts w:ascii="Cambria" w:hAnsi="Cambria"/>
          <w:b/>
          <w:color w:val="1F3A5F"/>
          <w:sz w:val="25"/>
        </w:rPr>
        <w:t>6. Expected Outcomes</w:t>
      </w:r>
    </w:p>
    <w:p>
      <w:pPr>
        <w:pStyle w:val="ListBullet"/>
        <w:ind w:left="357"/>
        <w:jc w:val="both"/>
      </w:pPr>
      <w:r>
        <w:rPr>
          <w:rFonts w:ascii="Cambria" w:hAnsi="Cambria"/>
          <w:sz w:val="22"/>
        </w:rPr>
        <w:t>Reduction in incidents of gender-based violence through prevention, protection, and prosecution measures.</w:t>
      </w:r>
    </w:p>
    <w:p>
      <w:pPr>
        <w:pStyle w:val="ListBullet"/>
        <w:ind w:left="357"/>
        <w:jc w:val="both"/>
      </w:pPr>
      <w:r>
        <w:rPr>
          <w:rFonts w:ascii="Cambria" w:hAnsi="Cambria"/>
          <w:sz w:val="22"/>
        </w:rPr>
        <w:t>Establishment of safe, responsive, and inclusive public environments for women and girls.</w:t>
      </w:r>
    </w:p>
    <w:p>
      <w:pPr>
        <w:pStyle w:val="ListBullet"/>
        <w:ind w:left="357"/>
        <w:jc w:val="both"/>
      </w:pPr>
      <w:r>
        <w:rPr>
          <w:rFonts w:ascii="Cambria" w:hAnsi="Cambria"/>
          <w:sz w:val="22"/>
        </w:rPr>
        <w:t>Increased trust in law enforcement agencies and improved reporting of gender-related crimes.</w:t>
      </w:r>
    </w:p>
    <w:p>
      <w:pPr>
        <w:pStyle w:val="ListBullet"/>
        <w:ind w:left="357"/>
        <w:jc w:val="both"/>
      </w:pPr>
      <w:r>
        <w:rPr>
          <w:rFonts w:ascii="Cambria" w:hAnsi="Cambria"/>
          <w:sz w:val="22"/>
        </w:rPr>
        <w:t>Empowerment of women through accessible safety services and legal support mechanisms.</w:t>
      </w:r>
    </w:p>
    <w:p>
      <w:pPr>
        <w:spacing w:before="200" w:after="80"/>
        <w:jc w:val="left"/>
      </w:pPr>
      <w:r>
        <w:rPr>
          <w:rFonts w:ascii="Cambria" w:hAnsi="Cambria"/>
          <w:b/>
          <w:color w:val="1F3A5F"/>
          <w:sz w:val="25"/>
        </w:rPr>
        <w:t>7. Conclusion</w:t>
      </w:r>
    </w:p>
    <w:p>
      <w:pPr>
        <w:pStyle w:val="ListBullet"/>
        <w:ind w:left="357"/>
        <w:jc w:val="both"/>
      </w:pPr>
      <w:r>
        <w:rPr>
          <w:rFonts w:ascii="Cambria" w:hAnsi="Cambria"/>
          <w:sz w:val="22"/>
        </w:rPr>
        <w:t>To achieve SDG-5.2, government agencies must move beyond legislation toward comprehensive, preventive, and survivor-centric mechanisms.</w:t>
      </w:r>
    </w:p>
    <w:p>
      <w:pPr>
        <w:pStyle w:val="ListBullet"/>
        <w:ind w:left="357"/>
        <w:jc w:val="both"/>
      </w:pPr>
      <w:r>
        <w:rPr>
          <w:rFonts w:ascii="Cambria" w:hAnsi="Cambria"/>
          <w:sz w:val="22"/>
        </w:rPr>
        <w:t>A coordinated approach involving law enforcement, civil society, technology, and education is essential to eliminate all forms of violence and exploitation against women.</w:t>
      </w:r>
    </w:p>
    <w:p>
      <w:pPr>
        <w:pStyle w:val="ListBullet"/>
        <w:ind w:left="357"/>
        <w:jc w:val="both"/>
      </w:pPr>
      <w:r>
        <w:rPr>
          <w:rFonts w:ascii="Cambria" w:hAnsi="Cambria"/>
          <w:sz w:val="22"/>
        </w:rPr>
        <w:t>Strengthening safety networks, awareness programs, and institutional accountability will ensure that women's rights to safety, dignity, and equality are protected in both public and private spaces.</w:t>
      </w:r>
    </w:p>
    <w:p>
      <w:pPr>
        <w:spacing w:before="240" w:after="120"/>
        <w:jc w:val="left"/>
      </w:pPr>
      <w:r>
        <w:rPr>
          <w:rFonts w:ascii="Cambria" w:hAnsi="Cambria"/>
          <w:b/>
          <w:color w:val="1F3A5F"/>
          <w:sz w:val="28"/>
        </w:rPr>
        <w:t>SDG Target 5.3 — Eliminate Harmful Practices Including Child Marriage, Forced and Early Marriages, and Female Genital Mutilation (FGM)</w:t>
      </w:r>
    </w:p>
    <w:p>
      <w:pPr>
        <w:spacing w:before="200" w:after="80"/>
        <w:jc w:val="left"/>
      </w:pPr>
      <w:r>
        <w:rPr>
          <w:rFonts w:ascii="Cambria" w:hAnsi="Cambria"/>
          <w:b/>
          <w:color w:val="1F3A5F"/>
          <w:sz w:val="25"/>
        </w:rPr>
        <w:t>1. Strengthening Multi-Sectoral Government Collaboration</w:t>
      </w:r>
    </w:p>
    <w:p>
      <w:pPr>
        <w:spacing w:after="120"/>
        <w:jc w:val="both"/>
      </w:pPr>
      <w:r>
        <w:rPr>
          <w:rFonts w:ascii="Cambria" w:hAnsi="Cambria"/>
          <w:b/>
          <w:i w:val="0"/>
          <w:sz w:val="22"/>
        </w:rPr>
        <w:t>Coordinated Institutional Action</w:t>
      </w:r>
    </w:p>
    <w:p>
      <w:pPr>
        <w:pStyle w:val="ListBullet"/>
        <w:ind w:left="357"/>
        <w:jc w:val="both"/>
      </w:pPr>
      <w:r>
        <w:rPr>
          <w:rFonts w:ascii="Cambria" w:hAnsi="Cambria"/>
          <w:sz w:val="22"/>
        </w:rPr>
        <w:t>Government regulatory bodies under Education, Health &amp; Family Welfare, Media &amp; Communication, and Law Enforcement must jointly formulate a national action plan to eliminate harmful gender-based practices.</w:t>
      </w:r>
    </w:p>
    <w:p>
      <w:pPr>
        <w:pStyle w:val="ListBullet"/>
        <w:ind w:left="357"/>
        <w:jc w:val="both"/>
      </w:pPr>
      <w:r>
        <w:rPr>
          <w:rFonts w:ascii="Cambria" w:hAnsi="Cambria"/>
          <w:sz w:val="22"/>
        </w:rPr>
        <w:t>Establish a central inter-ministerial task force to monitor progress and ensure coordination among national and state agencies.</w:t>
      </w:r>
    </w:p>
    <w:p>
      <w:pPr>
        <w:pStyle w:val="ListBullet"/>
        <w:ind w:left="357"/>
        <w:jc w:val="both"/>
      </w:pPr>
      <w:r>
        <w:rPr>
          <w:rFonts w:ascii="Cambria" w:hAnsi="Cambria"/>
          <w:sz w:val="22"/>
        </w:rPr>
        <w:t>Integrate gender sensitization modules into all educational and public health programs to address socio-cultural norms that perpetuate these practices.</w:t>
      </w:r>
    </w:p>
    <w:p>
      <w:pPr>
        <w:pStyle w:val="ListBullet"/>
        <w:ind w:left="357"/>
        <w:jc w:val="both"/>
      </w:pPr>
      <w:r>
        <w:rPr>
          <w:rFonts w:ascii="Cambria" w:hAnsi="Cambria"/>
          <w:sz w:val="22"/>
        </w:rPr>
        <w:t>Involve local governments, Panchayati Raj Institutions (PRIs), and community leaders in implementing awareness campaigns and enforcing legal prohibitions.</w:t>
      </w:r>
    </w:p>
    <w:p>
      <w:pPr>
        <w:spacing w:before="200" w:after="80"/>
        <w:jc w:val="left"/>
      </w:pPr>
      <w:r>
        <w:rPr>
          <w:rFonts w:ascii="Cambria" w:hAnsi="Cambria"/>
          <w:b/>
          <w:color w:val="1F3A5F"/>
          <w:sz w:val="25"/>
        </w:rPr>
        <w:t>2. Education and Awareness Programs</w:t>
      </w:r>
    </w:p>
    <w:p>
      <w:pPr>
        <w:spacing w:after="120"/>
        <w:jc w:val="both"/>
      </w:pPr>
      <w:r>
        <w:rPr>
          <w:rFonts w:ascii="Cambria" w:hAnsi="Cambria"/>
          <w:b/>
          <w:i w:val="0"/>
          <w:sz w:val="22"/>
        </w:rPr>
        <w:t>National-Level Sensitization Campaigns</w:t>
      </w:r>
    </w:p>
    <w:p>
      <w:pPr>
        <w:pStyle w:val="ListBullet"/>
        <w:ind w:left="357"/>
        <w:jc w:val="both"/>
      </w:pPr>
      <w:r>
        <w:rPr>
          <w:rFonts w:ascii="Cambria" w:hAnsi="Cambria"/>
          <w:sz w:val="22"/>
        </w:rPr>
        <w:t>Launch nationwide educational campaigns in both urban and rural areas to inform families about the health, legal, and social consequences of child marriage and FGM.</w:t>
      </w:r>
    </w:p>
    <w:p>
      <w:pPr>
        <w:pStyle w:val="ListBullet"/>
        <w:ind w:left="357"/>
        <w:jc w:val="both"/>
      </w:pPr>
      <w:r>
        <w:rPr>
          <w:rFonts w:ascii="Cambria" w:hAnsi="Cambria"/>
          <w:sz w:val="22"/>
        </w:rPr>
        <w:t>Utilize both online and offline media — television, radio, social media, and community theatre — to reach diverse populations.</w:t>
      </w:r>
    </w:p>
    <w:p>
      <w:pPr>
        <w:pStyle w:val="ListBullet"/>
        <w:ind w:left="357"/>
        <w:jc w:val="both"/>
      </w:pPr>
      <w:r>
        <w:rPr>
          <w:rFonts w:ascii="Cambria" w:hAnsi="Cambria"/>
          <w:sz w:val="22"/>
        </w:rPr>
        <w:t>Promote school-based gender awareness programs that encourage students to challenge discriminatory customs and advocate for gender equality.</w:t>
      </w:r>
    </w:p>
    <w:p>
      <w:pPr>
        <w:pStyle w:val="ListBullet"/>
        <w:ind w:left="357"/>
        <w:jc w:val="both"/>
      </w:pPr>
      <w:r>
        <w:rPr>
          <w:rFonts w:ascii="Cambria" w:hAnsi="Cambria"/>
          <w:sz w:val="22"/>
        </w:rPr>
        <w:t>Collaborate with religious and cultural leaders to dispel myths and promote community acceptance of gender-just norms.</w:t>
      </w:r>
    </w:p>
    <w:p>
      <w:pPr>
        <w:spacing w:after="120"/>
        <w:jc w:val="both"/>
      </w:pPr>
      <w:r>
        <w:rPr>
          <w:rFonts w:ascii="Cambria" w:hAnsi="Cambria"/>
          <w:b/>
          <w:i w:val="0"/>
          <w:sz w:val="22"/>
        </w:rPr>
        <w:t>Curriculum Integration</w:t>
      </w:r>
    </w:p>
    <w:p>
      <w:pPr>
        <w:pStyle w:val="ListBullet"/>
        <w:ind w:left="357"/>
        <w:jc w:val="both"/>
      </w:pPr>
      <w:r>
        <w:rPr>
          <w:rFonts w:ascii="Cambria" w:hAnsi="Cambria"/>
          <w:sz w:val="22"/>
        </w:rPr>
        <w:t>Include gender, human rights, and reproductive health education in school curricula to empower students with accurate information.</w:t>
      </w:r>
    </w:p>
    <w:p>
      <w:pPr>
        <w:pStyle w:val="ListBullet"/>
        <w:ind w:left="357"/>
        <w:jc w:val="both"/>
      </w:pPr>
      <w:r>
        <w:rPr>
          <w:rFonts w:ascii="Cambria" w:hAnsi="Cambria"/>
          <w:sz w:val="22"/>
        </w:rPr>
        <w:t>Conduct training programs for teachers and healthcare professionals to detect and respond to signs of early marriage or FGM.</w:t>
      </w:r>
    </w:p>
    <w:p>
      <w:pPr>
        <w:spacing w:before="200" w:after="80"/>
        <w:jc w:val="left"/>
      </w:pPr>
      <w:r>
        <w:rPr>
          <w:rFonts w:ascii="Cambria" w:hAnsi="Cambria"/>
          <w:b/>
          <w:color w:val="1F3A5F"/>
          <w:sz w:val="25"/>
        </w:rPr>
        <w:t>3. Legal Enforcement and Protection Mechanisms</w:t>
      </w:r>
    </w:p>
    <w:p>
      <w:pPr>
        <w:spacing w:after="120"/>
        <w:jc w:val="both"/>
      </w:pPr>
      <w:r>
        <w:rPr>
          <w:rFonts w:ascii="Cambria" w:hAnsi="Cambria"/>
          <w:b/>
          <w:i w:val="0"/>
          <w:sz w:val="22"/>
        </w:rPr>
        <w:t>Strengthening Legal Frameworks</w:t>
      </w:r>
    </w:p>
    <w:p>
      <w:pPr>
        <w:pStyle w:val="ListBullet"/>
        <w:ind w:left="357"/>
        <w:jc w:val="both"/>
      </w:pPr>
      <w:r>
        <w:rPr>
          <w:rFonts w:ascii="Cambria" w:hAnsi="Cambria"/>
          <w:sz w:val="22"/>
        </w:rPr>
        <w:t>Rigorously enforce the Prohibition of Child Marriage Act (2006) and Protection of Children from Sexual Offences (POCSO) Act (2012).</w:t>
      </w:r>
    </w:p>
    <w:p>
      <w:pPr>
        <w:pStyle w:val="ListBullet"/>
        <w:ind w:left="357"/>
        <w:jc w:val="both"/>
      </w:pPr>
      <w:r>
        <w:rPr>
          <w:rFonts w:ascii="Cambria" w:hAnsi="Cambria"/>
          <w:sz w:val="22"/>
        </w:rPr>
        <w:t>Enact specific legislation banning Female Genital Mutilation (FGM) with strict penalties for offenders and institutional accountability mechanisms.</w:t>
      </w:r>
    </w:p>
    <w:p>
      <w:pPr>
        <w:pStyle w:val="ListBullet"/>
        <w:ind w:left="357"/>
        <w:jc w:val="both"/>
      </w:pPr>
      <w:r>
        <w:rPr>
          <w:rFonts w:ascii="Cambria" w:hAnsi="Cambria"/>
          <w:sz w:val="22"/>
        </w:rPr>
        <w:t>Ensure mandatory reporting obligations for educators, doctors, and local authorities when cases of child marriage or FGM are identified.</w:t>
      </w:r>
    </w:p>
    <w:p>
      <w:pPr>
        <w:pStyle w:val="ListBullet"/>
        <w:ind w:left="357"/>
        <w:jc w:val="both"/>
      </w:pPr>
      <w:r>
        <w:rPr>
          <w:rFonts w:ascii="Cambria" w:hAnsi="Cambria"/>
          <w:sz w:val="22"/>
        </w:rPr>
        <w:t>Establish fast-track courts and legal aid services for victims of forced or early marriages and FGM survivors.</w:t>
      </w:r>
    </w:p>
    <w:p>
      <w:pPr>
        <w:spacing w:after="120"/>
        <w:jc w:val="both"/>
      </w:pPr>
      <w:r>
        <w:rPr>
          <w:rFonts w:ascii="Cambria" w:hAnsi="Cambria"/>
          <w:b/>
          <w:i w:val="0"/>
          <w:sz w:val="22"/>
        </w:rPr>
        <w:t>Law Enforcement Training</w:t>
      </w:r>
    </w:p>
    <w:p>
      <w:pPr>
        <w:pStyle w:val="ListBullet"/>
        <w:ind w:left="357"/>
        <w:jc w:val="both"/>
      </w:pPr>
      <w:r>
        <w:rPr>
          <w:rFonts w:ascii="Cambria" w:hAnsi="Cambria"/>
          <w:sz w:val="22"/>
        </w:rPr>
        <w:t>Provide gender-sensitive training to police and judiciary personnel to handle such cases with empathy, confidentiality, and urgency.</w:t>
      </w:r>
    </w:p>
    <w:p>
      <w:pPr>
        <w:pStyle w:val="ListBullet"/>
        <w:ind w:left="357"/>
        <w:jc w:val="both"/>
      </w:pPr>
      <w:r>
        <w:rPr>
          <w:rFonts w:ascii="Cambria" w:hAnsi="Cambria"/>
          <w:sz w:val="22"/>
        </w:rPr>
        <w:t>Strengthen coordination between police, healthcare workers, and NGOs to ensure swift intervention and victim protection.</w:t>
      </w:r>
    </w:p>
    <w:p>
      <w:pPr>
        <w:spacing w:before="200" w:after="80"/>
        <w:jc w:val="left"/>
      </w:pPr>
      <w:r>
        <w:rPr>
          <w:rFonts w:ascii="Cambria" w:hAnsi="Cambria"/>
          <w:b/>
          <w:color w:val="1F3A5F"/>
          <w:sz w:val="25"/>
        </w:rPr>
        <w:t>4. Financial and Social Incentives for Prevention</w:t>
      </w:r>
    </w:p>
    <w:p>
      <w:pPr>
        <w:spacing w:after="120"/>
        <w:jc w:val="both"/>
      </w:pPr>
      <w:r>
        <w:rPr>
          <w:rFonts w:ascii="Cambria" w:hAnsi="Cambria"/>
          <w:b/>
          <w:i w:val="0"/>
          <w:sz w:val="22"/>
        </w:rPr>
        <w:t>Economic Support and Empowerment Schemes</w:t>
      </w:r>
    </w:p>
    <w:p>
      <w:pPr>
        <w:pStyle w:val="ListBullet"/>
        <w:ind w:left="357"/>
        <w:jc w:val="both"/>
      </w:pPr>
      <w:r>
        <w:rPr>
          <w:rFonts w:ascii="Cambria" w:hAnsi="Cambria"/>
          <w:sz w:val="22"/>
        </w:rPr>
        <w:t>Introduce financial incentives and scholarships to families that prioritize girls' education over early marriage.</w:t>
      </w:r>
    </w:p>
    <w:p>
      <w:pPr>
        <w:spacing w:after="120"/>
        <w:jc w:val="both"/>
      </w:pPr>
      <w:r>
        <w:rPr>
          <w:rFonts w:ascii="Cambria" w:hAnsi="Cambria"/>
          <w:b w:val="0"/>
          <w:i w:val="0"/>
          <w:sz w:val="22"/>
        </w:rPr>
        <w:t>Expand programs such as:</w:t>
      </w:r>
    </w:p>
    <w:p>
      <w:pPr>
        <w:spacing w:after="80"/>
        <w:ind w:left="1077"/>
      </w:pPr>
      <w:r>
        <w:rPr>
          <w:rFonts w:ascii="Cambria" w:hAnsi="Cambria"/>
          <w:sz w:val="22"/>
        </w:rPr>
        <w:t xml:space="preserve">o  </w:t>
      </w:r>
      <w:r>
        <w:rPr>
          <w:rFonts w:ascii="Cambria" w:hAnsi="Cambria"/>
          <w:i/>
          <w:sz w:val="22"/>
        </w:rPr>
        <w:t>Sukanya Samriddhi Yojana</w:t>
      </w:r>
      <w:r>
        <w:rPr>
          <w:rFonts w:ascii="Cambria" w:hAnsi="Cambria"/>
          <w:sz w:val="22"/>
        </w:rPr>
        <w:t xml:space="preserve"> – encouraging long-term savings for the girl child.</w:t>
      </w:r>
    </w:p>
    <w:p>
      <w:pPr>
        <w:spacing w:after="120"/>
        <w:ind w:left="1077"/>
      </w:pPr>
      <w:r>
        <w:rPr>
          <w:rFonts w:ascii="Cambria" w:hAnsi="Cambria"/>
          <w:sz w:val="22"/>
        </w:rPr>
        <w:t xml:space="preserve">o  </w:t>
      </w:r>
      <w:r>
        <w:rPr>
          <w:rFonts w:ascii="Cambria" w:hAnsi="Cambria"/>
          <w:i/>
          <w:sz w:val="22"/>
        </w:rPr>
        <w:t>Kanyashree Prakalpa (West Bengal)</w:t>
      </w:r>
      <w:r>
        <w:rPr>
          <w:rFonts w:ascii="Cambria" w:hAnsi="Cambria"/>
          <w:sz w:val="22"/>
        </w:rPr>
        <w:t xml:space="preserve"> and </w:t>
      </w:r>
      <w:r>
        <w:rPr>
          <w:rFonts w:ascii="Cambria" w:hAnsi="Cambria"/>
          <w:i/>
          <w:sz w:val="22"/>
        </w:rPr>
        <w:t>Ladli Laxmi Yojana (Madhya Pradesh)</w:t>
      </w:r>
      <w:r>
        <w:rPr>
          <w:rFonts w:ascii="Cambria" w:hAnsi="Cambria"/>
          <w:sz w:val="22"/>
        </w:rPr>
        <w:t xml:space="preserve"> – promoting retention of girls in schools.</w:t>
      </w:r>
    </w:p>
    <w:p>
      <w:pPr>
        <w:pStyle w:val="ListBullet"/>
        <w:ind w:left="357"/>
        <w:jc w:val="both"/>
      </w:pPr>
      <w:r>
        <w:rPr>
          <w:rFonts w:ascii="Cambria" w:hAnsi="Cambria"/>
          <w:sz w:val="22"/>
        </w:rPr>
        <w:t>Provide employment guarantees, training opportunities, and micro-investment benefits for young women to ensure financial independence.</w:t>
      </w:r>
    </w:p>
    <w:p>
      <w:pPr>
        <w:pStyle w:val="ListBullet"/>
        <w:ind w:left="357"/>
        <w:jc w:val="both"/>
      </w:pPr>
      <w:r>
        <w:rPr>
          <w:rFonts w:ascii="Cambria" w:hAnsi="Cambria"/>
          <w:sz w:val="22"/>
        </w:rPr>
        <w:t>Create conditional cash transfer schemes that reward families for allowing girls to complete secondary and higher education.</w:t>
      </w:r>
    </w:p>
    <w:p>
      <w:pPr>
        <w:spacing w:before="200" w:after="80"/>
        <w:jc w:val="left"/>
      </w:pPr>
      <w:r>
        <w:rPr>
          <w:rFonts w:ascii="Cambria" w:hAnsi="Cambria"/>
          <w:b/>
          <w:color w:val="1F3A5F"/>
          <w:sz w:val="25"/>
        </w:rPr>
        <w:t>5. Establishing Centralized Reporting and Helpline Systems</w:t>
      </w:r>
    </w:p>
    <w:p>
      <w:pPr>
        <w:spacing w:after="120"/>
        <w:jc w:val="both"/>
      </w:pPr>
      <w:r>
        <w:rPr>
          <w:rFonts w:ascii="Cambria" w:hAnsi="Cambria"/>
          <w:b/>
          <w:i w:val="0"/>
          <w:sz w:val="22"/>
        </w:rPr>
        <w:t>Unified Complaint and Support Mechanisms</w:t>
      </w:r>
    </w:p>
    <w:p>
      <w:pPr>
        <w:pStyle w:val="ListBullet"/>
        <w:ind w:left="357"/>
        <w:jc w:val="both"/>
      </w:pPr>
      <w:r>
        <w:rPr>
          <w:rFonts w:ascii="Cambria" w:hAnsi="Cambria"/>
          <w:sz w:val="22"/>
        </w:rPr>
        <w:t>Set up a centralized national helpline and online reporting portal for early detection and redressal of child marriage and FGM cases.</w:t>
      </w:r>
    </w:p>
    <w:p>
      <w:pPr>
        <w:spacing w:after="120"/>
        <w:ind w:left="720"/>
      </w:pPr>
      <w:r>
        <w:rPr>
          <w:rFonts w:ascii="Cambria" w:hAnsi="Cambria"/>
          <w:sz w:val="22"/>
        </w:rPr>
        <w:t xml:space="preserve">• Ensure integration with district-level child protection units, </w:t>
      </w:r>
      <w:r>
        <w:rPr>
          <w:rFonts w:ascii="Cambria" w:hAnsi="Cambria"/>
          <w:i/>
          <w:sz w:val="22"/>
        </w:rPr>
        <w:t>Women Helpline (181)</w:t>
      </w:r>
      <w:r>
        <w:rPr>
          <w:rFonts w:ascii="Cambria" w:hAnsi="Cambria"/>
          <w:sz w:val="22"/>
        </w:rPr>
        <w:t xml:space="preserve">, and </w:t>
      </w:r>
      <w:r>
        <w:rPr>
          <w:rFonts w:ascii="Cambria" w:hAnsi="Cambria"/>
          <w:i/>
          <w:sz w:val="22"/>
        </w:rPr>
        <w:t>Childline (1098)</w:t>
      </w:r>
      <w:r>
        <w:rPr>
          <w:rFonts w:ascii="Cambria" w:hAnsi="Cambria"/>
          <w:sz w:val="22"/>
        </w:rPr>
        <w:t xml:space="preserve"> networks for rapid response.</w:t>
      </w:r>
    </w:p>
    <w:p>
      <w:pPr>
        <w:pStyle w:val="ListBullet"/>
        <w:ind w:left="357"/>
        <w:jc w:val="both"/>
      </w:pPr>
      <w:r>
        <w:rPr>
          <w:rFonts w:ascii="Cambria" w:hAnsi="Cambria"/>
          <w:sz w:val="22"/>
        </w:rPr>
        <w:t>Implement anonymous reporting features to encourage bystander intervention without fear of retaliation.</w:t>
      </w:r>
    </w:p>
    <w:p>
      <w:pPr>
        <w:pStyle w:val="ListBullet"/>
        <w:ind w:left="357"/>
        <w:jc w:val="both"/>
      </w:pPr>
      <w:r>
        <w:rPr>
          <w:rFonts w:ascii="Cambria" w:hAnsi="Cambria"/>
          <w:sz w:val="22"/>
        </w:rPr>
        <w:t>Develop a judicial monitoring framework that tracks case resolution timelines and victim rehabilitation outcomes.</w:t>
      </w:r>
    </w:p>
    <w:p>
      <w:pPr>
        <w:spacing w:before="200" w:after="80"/>
        <w:jc w:val="left"/>
      </w:pPr>
      <w:r>
        <w:rPr>
          <w:rFonts w:ascii="Cambria" w:hAnsi="Cambria"/>
          <w:b/>
          <w:color w:val="1F3A5F"/>
          <w:sz w:val="25"/>
        </w:rPr>
        <w:t>6. Healthcare and Rehabilitation Support</w:t>
      </w:r>
    </w:p>
    <w:p>
      <w:pPr>
        <w:spacing w:after="120"/>
        <w:jc w:val="both"/>
      </w:pPr>
      <w:r>
        <w:rPr>
          <w:rFonts w:ascii="Cambria" w:hAnsi="Cambria"/>
          <w:b/>
          <w:i w:val="0"/>
          <w:sz w:val="22"/>
        </w:rPr>
        <w:t>Medical and Psychological Assistance</w:t>
      </w:r>
    </w:p>
    <w:p>
      <w:pPr>
        <w:pStyle w:val="ListBullet"/>
        <w:ind w:left="357"/>
        <w:jc w:val="both"/>
      </w:pPr>
      <w:r>
        <w:rPr>
          <w:rFonts w:ascii="Cambria" w:hAnsi="Cambria"/>
          <w:sz w:val="22"/>
        </w:rPr>
        <w:t>Establish dedicated healthcare services for survivors of FGM and early marriage, including physical and mental health care.</w:t>
      </w:r>
    </w:p>
    <w:p>
      <w:pPr>
        <w:pStyle w:val="ListBullet"/>
        <w:ind w:left="357"/>
        <w:jc w:val="both"/>
      </w:pPr>
      <w:r>
        <w:rPr>
          <w:rFonts w:ascii="Cambria" w:hAnsi="Cambria"/>
          <w:sz w:val="22"/>
        </w:rPr>
        <w:t>Train healthcare professionals to identify, counsel, and support survivors, ensuring privacy and dignity.</w:t>
      </w:r>
    </w:p>
    <w:p>
      <w:pPr>
        <w:pStyle w:val="ListBullet"/>
        <w:ind w:left="357"/>
        <w:jc w:val="both"/>
      </w:pPr>
      <w:r>
        <w:rPr>
          <w:rFonts w:ascii="Cambria" w:hAnsi="Cambria"/>
          <w:sz w:val="22"/>
        </w:rPr>
        <w:t>Create rehabilitation and skill development programs for victims to reintegrate them into society and restore autonomy.</w:t>
      </w:r>
    </w:p>
    <w:p>
      <w:pPr>
        <w:spacing w:before="200" w:after="80"/>
        <w:jc w:val="left"/>
      </w:pPr>
      <w:r>
        <w:rPr>
          <w:rFonts w:ascii="Cambria" w:hAnsi="Cambria"/>
          <w:b/>
          <w:color w:val="1F3A5F"/>
          <w:sz w:val="25"/>
        </w:rPr>
        <w:t>7. Role of Community and Civil Society</w:t>
      </w:r>
    </w:p>
    <w:p>
      <w:pPr>
        <w:spacing w:after="120"/>
        <w:jc w:val="both"/>
      </w:pPr>
      <w:r>
        <w:rPr>
          <w:rFonts w:ascii="Cambria" w:hAnsi="Cambria"/>
          <w:b/>
          <w:i w:val="0"/>
          <w:sz w:val="22"/>
        </w:rPr>
        <w:t>Community-Based Interventions</w:t>
      </w:r>
    </w:p>
    <w:p>
      <w:pPr>
        <w:pStyle w:val="ListBullet"/>
        <w:ind w:left="357"/>
        <w:jc w:val="both"/>
      </w:pPr>
      <w:r>
        <w:rPr>
          <w:rFonts w:ascii="Cambria" w:hAnsi="Cambria"/>
          <w:sz w:val="22"/>
        </w:rPr>
        <w:t>Engage grassroots organizations, NGOs, and youth groups in community outreach and capacity-building programs.</w:t>
      </w:r>
    </w:p>
    <w:p>
      <w:pPr>
        <w:pStyle w:val="ListBullet"/>
        <w:ind w:left="357"/>
        <w:jc w:val="both"/>
      </w:pPr>
      <w:r>
        <w:rPr>
          <w:rFonts w:ascii="Cambria" w:hAnsi="Cambria"/>
          <w:sz w:val="22"/>
        </w:rPr>
        <w:t>Empower local women's collectives and SHGs (Self-Help Groups) to monitor and report instances of harmful practices.</w:t>
      </w:r>
    </w:p>
    <w:p>
      <w:pPr>
        <w:pStyle w:val="ListBullet"/>
        <w:ind w:left="357"/>
        <w:jc w:val="both"/>
      </w:pPr>
      <w:r>
        <w:rPr>
          <w:rFonts w:ascii="Cambria" w:hAnsi="Cambria"/>
          <w:sz w:val="22"/>
        </w:rPr>
        <w:t>Encourage community pledges and public declarations against child marriage and FGM, reinforcing social accountability.</w:t>
      </w:r>
    </w:p>
    <w:p>
      <w:pPr>
        <w:spacing w:before="200" w:after="80"/>
        <w:jc w:val="left"/>
      </w:pPr>
      <w:r>
        <w:rPr>
          <w:rFonts w:ascii="Cambria" w:hAnsi="Cambria"/>
          <w:b/>
          <w:color w:val="1F3A5F"/>
          <w:sz w:val="25"/>
        </w:rPr>
        <w:t>8. Monitoring and Evaluation</w:t>
      </w:r>
    </w:p>
    <w:p>
      <w:pPr>
        <w:spacing w:after="120"/>
        <w:jc w:val="both"/>
      </w:pPr>
      <w:r>
        <w:rPr>
          <w:rFonts w:ascii="Cambria" w:hAnsi="Cambria"/>
          <w:b/>
          <w:i w:val="0"/>
          <w:sz w:val="22"/>
        </w:rPr>
        <w:t>Tracking and Accountability Systems</w:t>
      </w:r>
    </w:p>
    <w:p>
      <w:pPr>
        <w:pStyle w:val="ListBullet"/>
        <w:ind w:left="357"/>
        <w:jc w:val="both"/>
      </w:pPr>
      <w:r>
        <w:rPr>
          <w:rFonts w:ascii="Cambria" w:hAnsi="Cambria"/>
          <w:sz w:val="22"/>
        </w:rPr>
        <w:t>Develop district-level gender equality dashboards to track the prevalence and response to child marriage and FGM cases.</w:t>
      </w:r>
    </w:p>
    <w:p>
      <w:pPr>
        <w:pStyle w:val="ListBullet"/>
        <w:ind w:left="357"/>
        <w:jc w:val="both"/>
      </w:pPr>
      <w:r>
        <w:rPr>
          <w:rFonts w:ascii="Cambria" w:hAnsi="Cambria"/>
          <w:sz w:val="22"/>
        </w:rPr>
        <w:t>Conduct annual impact assessments of awareness programs and enforcement initiatives.</w:t>
      </w:r>
    </w:p>
    <w:p>
      <w:pPr>
        <w:pStyle w:val="ListBullet"/>
        <w:ind w:left="357"/>
        <w:jc w:val="both"/>
      </w:pPr>
      <w:r>
        <w:rPr>
          <w:rFonts w:ascii="Cambria" w:hAnsi="Cambria"/>
          <w:sz w:val="22"/>
        </w:rPr>
        <w:t>Encourage academic institutions to carry out policy research on cultural, social, and economic determinants of these practices.</w:t>
      </w:r>
    </w:p>
    <w:p>
      <w:pPr>
        <w:spacing w:before="200" w:after="80"/>
        <w:jc w:val="left"/>
      </w:pPr>
      <w:r>
        <w:rPr>
          <w:rFonts w:ascii="Cambria" w:hAnsi="Cambria"/>
          <w:b/>
          <w:color w:val="1F3A5F"/>
          <w:sz w:val="25"/>
        </w:rPr>
        <w:t>9. Expected Outcomes</w:t>
      </w:r>
    </w:p>
    <w:p>
      <w:pPr>
        <w:pStyle w:val="ListBullet"/>
        <w:ind w:left="357"/>
        <w:jc w:val="both"/>
      </w:pPr>
      <w:r>
        <w:rPr>
          <w:rFonts w:ascii="Cambria" w:hAnsi="Cambria"/>
          <w:sz w:val="22"/>
        </w:rPr>
        <w:t>Significant reduction in the incidence of child marriage, forced marriage, and FGM.</w:t>
      </w:r>
    </w:p>
    <w:p>
      <w:pPr>
        <w:pStyle w:val="ListBullet"/>
        <w:ind w:left="357"/>
        <w:jc w:val="both"/>
      </w:pPr>
      <w:r>
        <w:rPr>
          <w:rFonts w:ascii="Cambria" w:hAnsi="Cambria"/>
          <w:sz w:val="22"/>
        </w:rPr>
        <w:t>Enhanced awareness and community vigilance through education and legal literacy.</w:t>
      </w:r>
    </w:p>
    <w:p>
      <w:pPr>
        <w:pStyle w:val="ListBullet"/>
        <w:ind w:left="357"/>
        <w:jc w:val="both"/>
      </w:pPr>
      <w:r>
        <w:rPr>
          <w:rFonts w:ascii="Cambria" w:hAnsi="Cambria"/>
          <w:sz w:val="22"/>
        </w:rPr>
        <w:t>Improved institutional accountability and service coordination across sectors.</w:t>
      </w:r>
    </w:p>
    <w:p>
      <w:pPr>
        <w:pStyle w:val="ListBullet"/>
        <w:ind w:left="357"/>
        <w:jc w:val="both"/>
      </w:pPr>
      <w:r>
        <w:rPr>
          <w:rFonts w:ascii="Cambria" w:hAnsi="Cambria"/>
          <w:sz w:val="22"/>
        </w:rPr>
        <w:t>Empowered girls and women with greater access to education, autonomy, and protection.</w:t>
      </w:r>
    </w:p>
    <w:p>
      <w:pPr>
        <w:spacing w:before="200" w:after="80"/>
        <w:jc w:val="left"/>
      </w:pPr>
      <w:r>
        <w:rPr>
          <w:rFonts w:ascii="Cambria" w:hAnsi="Cambria"/>
          <w:b/>
          <w:color w:val="1F3A5F"/>
          <w:sz w:val="25"/>
        </w:rPr>
        <w:t>10. Conclusion</w:t>
      </w:r>
    </w:p>
    <w:p>
      <w:pPr>
        <w:pStyle w:val="ListBullet"/>
        <w:ind w:left="357"/>
        <w:jc w:val="both"/>
      </w:pPr>
      <w:r>
        <w:rPr>
          <w:rFonts w:ascii="Cambria" w:hAnsi="Cambria"/>
          <w:sz w:val="22"/>
        </w:rPr>
        <w:t>To achieve SDG Target 5.3, government agencies must combine legislative enforcement, public awareness, and economic empowerment to eliminate harmful gender practices.</w:t>
      </w:r>
    </w:p>
    <w:p>
      <w:pPr>
        <w:pStyle w:val="ListBullet"/>
        <w:ind w:left="357"/>
        <w:jc w:val="both"/>
      </w:pPr>
      <w:r>
        <w:rPr>
          <w:rFonts w:ascii="Cambria" w:hAnsi="Cambria"/>
          <w:sz w:val="22"/>
        </w:rPr>
        <w:t>Education and collaboration across health, law, and community sectors are essential for sustainable change.</w:t>
      </w:r>
    </w:p>
    <w:p>
      <w:pPr>
        <w:pStyle w:val="ListBullet"/>
        <w:ind w:left="357"/>
        <w:jc w:val="both"/>
      </w:pPr>
      <w:r>
        <w:rPr>
          <w:rFonts w:ascii="Cambria" w:hAnsi="Cambria"/>
          <w:sz w:val="22"/>
        </w:rPr>
        <w:t>Through proactive prevention, reporting systems, and social incentives, India can move closer to a society free from child marriage, forced marriage, and female genital mutilation, ensuring safety, dignity, and equality for all women and girls.</w:t>
      </w:r>
    </w:p>
    <w:p>
      <w:pPr>
        <w:spacing w:before="240" w:after="120"/>
        <w:jc w:val="left"/>
      </w:pPr>
      <w:r>
        <w:rPr>
          <w:rFonts w:ascii="Cambria" w:hAnsi="Cambria"/>
          <w:b/>
          <w:color w:val="1F3A5F"/>
          <w:sz w:val="28"/>
        </w:rPr>
        <w:t>SDG Target 5.4 — Recognize and Value Unpaid Care and Domestic Work through Public Services, Social Protection Policies, and Promotion of Shared Responsibility within Households and Families</w:t>
      </w:r>
    </w:p>
    <w:p>
      <w:pPr>
        <w:spacing w:before="200" w:after="80"/>
        <w:jc w:val="left"/>
      </w:pPr>
      <w:r>
        <w:rPr>
          <w:rFonts w:ascii="Cambria" w:hAnsi="Cambria"/>
          <w:b/>
          <w:color w:val="1F3A5F"/>
          <w:sz w:val="25"/>
        </w:rPr>
        <w:t>1. Strengthening Public Services for Care and Support</w:t>
      </w:r>
    </w:p>
    <w:p>
      <w:pPr>
        <w:spacing w:after="120"/>
        <w:jc w:val="both"/>
      </w:pPr>
      <w:r>
        <w:rPr>
          <w:rFonts w:ascii="Cambria" w:hAnsi="Cambria"/>
          <w:b/>
          <w:i w:val="0"/>
          <w:sz w:val="22"/>
        </w:rPr>
        <w:t>Creation of Community-Based Care Infrastructure</w:t>
      </w:r>
    </w:p>
    <w:p>
      <w:pPr>
        <w:pStyle w:val="ListBullet"/>
        <w:ind w:left="357"/>
        <w:jc w:val="both"/>
      </w:pPr>
      <w:r>
        <w:rPr>
          <w:rFonts w:ascii="Cambria" w:hAnsi="Cambria"/>
          <w:sz w:val="22"/>
        </w:rPr>
        <w:t>Establish publicly funded crèches, day-care centres, and elderly care facilities in both urban and rural areas to support working parents and caregivers.</w:t>
      </w:r>
    </w:p>
    <w:p>
      <w:pPr>
        <w:pStyle w:val="ListBullet"/>
        <w:ind w:left="357"/>
        <w:jc w:val="both"/>
      </w:pPr>
      <w:r>
        <w:rPr>
          <w:rFonts w:ascii="Cambria" w:hAnsi="Cambria"/>
          <w:sz w:val="22"/>
        </w:rPr>
        <w:t>Integrate medical, childcare, and elderly care services within local community centres, universities, and workplaces for accessibility.</w:t>
      </w:r>
    </w:p>
    <w:p>
      <w:pPr>
        <w:pStyle w:val="ListBullet"/>
        <w:ind w:left="357"/>
        <w:jc w:val="both"/>
      </w:pPr>
      <w:r>
        <w:rPr>
          <w:rFonts w:ascii="Cambria" w:hAnsi="Cambria"/>
          <w:sz w:val="22"/>
        </w:rPr>
        <w:t>Encourage public-private partnerships (PPPs) to expand quality care services across regions, especially in rural and low-income communities.</w:t>
      </w:r>
    </w:p>
    <w:p>
      <w:pPr>
        <w:pStyle w:val="ListBullet"/>
        <w:ind w:left="357"/>
        <w:jc w:val="both"/>
      </w:pPr>
      <w:r>
        <w:rPr>
          <w:rFonts w:ascii="Cambria" w:hAnsi="Cambria"/>
          <w:sz w:val="22"/>
        </w:rPr>
        <w:t>Promote “Care Economy” initiatives recognizing caregiving as an essential social and economic function contributing to national productivity.</w:t>
      </w:r>
    </w:p>
    <w:p>
      <w:pPr>
        <w:spacing w:after="120"/>
        <w:jc w:val="both"/>
      </w:pPr>
      <w:r>
        <w:rPr>
          <w:rFonts w:ascii="Cambria" w:hAnsi="Cambria"/>
          <w:b/>
          <w:i w:val="0"/>
          <w:sz w:val="22"/>
        </w:rPr>
        <w:t>Healthcare and Social Welfare Services</w:t>
      </w:r>
    </w:p>
    <w:p>
      <w:pPr>
        <w:pStyle w:val="ListBullet"/>
        <w:ind w:left="357"/>
        <w:jc w:val="both"/>
      </w:pPr>
      <w:r>
        <w:rPr>
          <w:rFonts w:ascii="Cambria" w:hAnsi="Cambria"/>
          <w:sz w:val="22"/>
        </w:rPr>
        <w:t>Enhance the reach of primary healthcare, maternal health, and elder support programs, ensuring women caregivers are not overburdened.</w:t>
      </w:r>
    </w:p>
    <w:p>
      <w:pPr>
        <w:pStyle w:val="ListBullet"/>
        <w:ind w:left="357"/>
        <w:jc w:val="both"/>
      </w:pPr>
      <w:r>
        <w:rPr>
          <w:rFonts w:ascii="Cambria" w:hAnsi="Cambria"/>
          <w:sz w:val="22"/>
        </w:rPr>
        <w:t>Provide training and certification programs for professional caregivers, creating employment opportunities in the care sector.</w:t>
      </w:r>
    </w:p>
    <w:p>
      <w:pPr>
        <w:spacing w:before="200" w:after="80"/>
        <w:jc w:val="left"/>
      </w:pPr>
      <w:r>
        <w:rPr>
          <w:rFonts w:ascii="Cambria" w:hAnsi="Cambria"/>
          <w:b/>
          <w:color w:val="1F3A5F"/>
          <w:sz w:val="25"/>
        </w:rPr>
        <w:t>2. Promotion of Flexible Work Policies and Family-Friendly Employment</w:t>
      </w:r>
    </w:p>
    <w:p>
      <w:pPr>
        <w:spacing w:after="120"/>
        <w:jc w:val="both"/>
      </w:pPr>
      <w:r>
        <w:rPr>
          <w:rFonts w:ascii="Cambria" w:hAnsi="Cambria"/>
          <w:b/>
          <w:i w:val="0"/>
          <w:sz w:val="22"/>
        </w:rPr>
        <w:t>Workplace Flexibility and Supportive Policies</w:t>
      </w:r>
    </w:p>
    <w:p>
      <w:pPr>
        <w:pStyle w:val="ListBullet"/>
        <w:ind w:left="357"/>
        <w:jc w:val="both"/>
      </w:pPr>
      <w:r>
        <w:rPr>
          <w:rFonts w:ascii="Cambria" w:hAnsi="Cambria"/>
          <w:sz w:val="22"/>
        </w:rPr>
        <w:t>Introduce flexible working hours, remote work (work-from-home), and part-time opportunities for employees with caregiving responsibilities — regardless of gender.</w:t>
      </w:r>
    </w:p>
    <w:p>
      <w:pPr>
        <w:pStyle w:val="ListBullet"/>
        <w:ind w:left="357"/>
        <w:jc w:val="both"/>
      </w:pPr>
      <w:r>
        <w:rPr>
          <w:rFonts w:ascii="Cambria" w:hAnsi="Cambria"/>
          <w:sz w:val="22"/>
        </w:rPr>
        <w:t>Ensure organizations adopt “Family-Responsible Employment Policies”, balancing productivity with employee well-being.</w:t>
      </w:r>
    </w:p>
    <w:p>
      <w:pPr>
        <w:pStyle w:val="ListBullet"/>
        <w:ind w:left="357"/>
        <w:jc w:val="both"/>
      </w:pPr>
      <w:r>
        <w:rPr>
          <w:rFonts w:ascii="Cambria" w:hAnsi="Cambria"/>
          <w:sz w:val="22"/>
        </w:rPr>
        <w:t>Mandate paid parental leave (maternity, paternity, and adoption leave) to promote shared caregiving roles within households.</w:t>
      </w:r>
    </w:p>
    <w:p>
      <w:pPr>
        <w:pStyle w:val="ListBullet"/>
        <w:ind w:left="357"/>
        <w:jc w:val="both"/>
      </w:pPr>
      <w:r>
        <w:rPr>
          <w:rFonts w:ascii="Cambria" w:hAnsi="Cambria"/>
          <w:sz w:val="22"/>
        </w:rPr>
        <w:t>Encourage corporate sectors to implement on-site crèche facilities, lactation rooms, and wellness spaces as part of workplace inclusivity.</w:t>
      </w:r>
    </w:p>
    <w:p>
      <w:pPr>
        <w:spacing w:after="120"/>
        <w:jc w:val="both"/>
      </w:pPr>
      <w:r>
        <w:rPr>
          <w:rFonts w:ascii="Cambria" w:hAnsi="Cambria"/>
          <w:b/>
          <w:i w:val="0"/>
          <w:sz w:val="22"/>
        </w:rPr>
        <w:t>Government Regulation and Incentives</w:t>
      </w:r>
    </w:p>
    <w:p>
      <w:pPr>
        <w:pStyle w:val="ListBullet"/>
        <w:ind w:left="357"/>
        <w:jc w:val="both"/>
      </w:pPr>
      <w:r>
        <w:rPr>
          <w:rFonts w:ascii="Cambria" w:hAnsi="Cambria"/>
          <w:sz w:val="22"/>
        </w:rPr>
        <w:t>Develop labour laws and policy guidelines under the Ministry of Labour and Employment to standardize flexible and family-supportive workplace practices.</w:t>
      </w:r>
    </w:p>
    <w:p>
      <w:pPr>
        <w:pStyle w:val="ListBullet"/>
        <w:ind w:left="357"/>
        <w:jc w:val="both"/>
      </w:pPr>
      <w:r>
        <w:rPr>
          <w:rFonts w:ascii="Cambria" w:hAnsi="Cambria"/>
          <w:sz w:val="22"/>
        </w:rPr>
        <w:t>Offer tax incentives and subsidies to organizations implementing gender-equitable family policies.</w:t>
      </w:r>
    </w:p>
    <w:p>
      <w:pPr>
        <w:spacing w:before="200" w:after="80"/>
        <w:jc w:val="left"/>
      </w:pPr>
      <w:r>
        <w:rPr>
          <w:rFonts w:ascii="Cambria" w:hAnsi="Cambria"/>
          <w:b/>
          <w:color w:val="1F3A5F"/>
          <w:sz w:val="25"/>
        </w:rPr>
        <w:t>3. Recognition and Appreciation of Women's Contributions</w:t>
      </w:r>
    </w:p>
    <w:p>
      <w:pPr>
        <w:spacing w:after="120"/>
        <w:jc w:val="both"/>
      </w:pPr>
      <w:r>
        <w:rPr>
          <w:rFonts w:ascii="Cambria" w:hAnsi="Cambria"/>
          <w:b/>
          <w:i w:val="0"/>
          <w:sz w:val="22"/>
        </w:rPr>
        <w:t>Institutional and Social Recognition</w:t>
      </w:r>
    </w:p>
    <w:p>
      <w:pPr>
        <w:pStyle w:val="ListBullet"/>
        <w:ind w:left="357"/>
        <w:jc w:val="both"/>
      </w:pPr>
      <w:r>
        <w:rPr>
          <w:rFonts w:ascii="Cambria" w:hAnsi="Cambria"/>
          <w:sz w:val="22"/>
        </w:rPr>
        <w:t>Introduce “Work–Family Balance Awards” recognizing women (and men) who successfully manage professional and caregiving roles.</w:t>
      </w:r>
    </w:p>
    <w:p>
      <w:pPr>
        <w:pStyle w:val="ListBullet"/>
        <w:ind w:left="357"/>
        <w:jc w:val="both"/>
      </w:pPr>
      <w:r>
        <w:rPr>
          <w:rFonts w:ascii="Cambria" w:hAnsi="Cambria"/>
          <w:sz w:val="22"/>
        </w:rPr>
        <w:t>Encourage organizations to highlight and celebrate female employees' dual contributions — to both work and family responsibilities.</w:t>
      </w:r>
    </w:p>
    <w:p>
      <w:pPr>
        <w:pStyle w:val="ListBullet"/>
        <w:ind w:left="357"/>
        <w:jc w:val="both"/>
      </w:pPr>
      <w:r>
        <w:rPr>
          <w:rFonts w:ascii="Cambria" w:hAnsi="Cambria"/>
          <w:sz w:val="22"/>
        </w:rPr>
        <w:t>Create awareness campaigns promoting respect and shared responsibility for domestic work within families and communities.</w:t>
      </w:r>
    </w:p>
    <w:p>
      <w:pPr>
        <w:spacing w:after="120"/>
        <w:jc w:val="both"/>
      </w:pPr>
      <w:r>
        <w:rPr>
          <w:rFonts w:ascii="Cambria" w:hAnsi="Cambria"/>
          <w:b/>
          <w:i w:val="0"/>
          <w:sz w:val="22"/>
        </w:rPr>
        <w:t>Gender-Equitable Workplaces</w:t>
      </w:r>
    </w:p>
    <w:p>
      <w:pPr>
        <w:pStyle w:val="ListBullet"/>
        <w:ind w:left="357"/>
        <w:jc w:val="both"/>
      </w:pPr>
      <w:r>
        <w:rPr>
          <w:rFonts w:ascii="Cambria" w:hAnsi="Cambria"/>
          <w:sz w:val="22"/>
        </w:rPr>
        <w:t>Integrate recognition of unpaid care work into performance appraisal and promotion frameworks, acknowledging its indirect contribution to productivity.</w:t>
      </w:r>
    </w:p>
    <w:p>
      <w:pPr>
        <w:pStyle w:val="ListBullet"/>
        <w:ind w:left="357"/>
        <w:jc w:val="both"/>
      </w:pPr>
      <w:r>
        <w:rPr>
          <w:rFonts w:ascii="Cambria" w:hAnsi="Cambria"/>
          <w:sz w:val="22"/>
        </w:rPr>
        <w:t>Include training programs for management and HR professionals to ensure gender-sensitive evaluation of employee responsibilities.</w:t>
      </w:r>
    </w:p>
    <w:p>
      <w:pPr>
        <w:spacing w:before="200" w:after="80"/>
        <w:jc w:val="left"/>
      </w:pPr>
      <w:r>
        <w:rPr>
          <w:rFonts w:ascii="Cambria" w:hAnsi="Cambria"/>
          <w:b/>
          <w:color w:val="1F3A5F"/>
          <w:sz w:val="25"/>
        </w:rPr>
        <w:t>4. Expanding Social Protection and Safety Nets</w:t>
      </w:r>
    </w:p>
    <w:p>
      <w:pPr>
        <w:spacing w:after="120"/>
        <w:jc w:val="both"/>
      </w:pPr>
      <w:r>
        <w:rPr>
          <w:rFonts w:ascii="Cambria" w:hAnsi="Cambria"/>
          <w:b/>
          <w:i w:val="0"/>
          <w:sz w:val="22"/>
        </w:rPr>
        <w:t>Inclusive Social Welfare Policies</w:t>
      </w:r>
    </w:p>
    <w:p>
      <w:pPr>
        <w:pStyle w:val="ListBullet"/>
        <w:ind w:left="357"/>
        <w:jc w:val="both"/>
      </w:pPr>
      <w:r>
        <w:rPr>
          <w:rFonts w:ascii="Cambria" w:hAnsi="Cambria"/>
          <w:sz w:val="22"/>
        </w:rPr>
        <w:t>Strengthen social protection systems such as pensions, maternity benefits, and health insurance for unpaid caregivers and informal workers.</w:t>
      </w:r>
    </w:p>
    <w:p>
      <w:pPr>
        <w:pStyle w:val="ListBullet"/>
        <w:ind w:left="357"/>
        <w:jc w:val="both"/>
      </w:pPr>
      <w:r>
        <w:rPr>
          <w:rFonts w:ascii="Cambria" w:hAnsi="Cambria"/>
          <w:sz w:val="22"/>
        </w:rPr>
        <w:t>Include unpaid domestic workers in government welfare schemes, ensuring access to healthcare, skill development, and financial inclusion.</w:t>
      </w:r>
    </w:p>
    <w:p>
      <w:pPr>
        <w:pStyle w:val="ListBullet"/>
        <w:ind w:left="357"/>
        <w:jc w:val="both"/>
      </w:pPr>
      <w:r>
        <w:rPr>
          <w:rFonts w:ascii="Cambria" w:hAnsi="Cambria"/>
          <w:sz w:val="22"/>
        </w:rPr>
        <w:t>Provide direct cash transfers and subsidies for families engaged in long-term caregiving of dependents.</w:t>
      </w:r>
    </w:p>
    <w:p>
      <w:pPr>
        <w:pStyle w:val="ListBullet"/>
        <w:ind w:left="357"/>
        <w:jc w:val="both"/>
      </w:pPr>
      <w:r>
        <w:rPr>
          <w:rFonts w:ascii="Cambria" w:hAnsi="Cambria"/>
          <w:sz w:val="22"/>
        </w:rPr>
        <w:t>Develop community-based micro-insurance schemes covering caregivers for illness, unemployment, or eldercare responsibilities.</w:t>
      </w:r>
    </w:p>
    <w:p>
      <w:pPr>
        <w:spacing w:after="120"/>
        <w:jc w:val="both"/>
      </w:pPr>
      <w:r>
        <w:rPr>
          <w:rFonts w:ascii="Cambria" w:hAnsi="Cambria"/>
          <w:b/>
          <w:i w:val="0"/>
          <w:sz w:val="22"/>
        </w:rPr>
        <w:t>Integration with National Missions</w:t>
      </w:r>
    </w:p>
    <w:p>
      <w:pPr>
        <w:spacing w:after="120"/>
        <w:jc w:val="both"/>
      </w:pPr>
      <w:r>
        <w:rPr>
          <w:rFonts w:ascii="Cambria" w:hAnsi="Cambria"/>
          <w:b w:val="0"/>
          <w:i w:val="0"/>
          <w:sz w:val="22"/>
        </w:rPr>
        <w:t>Link domestic and care workers with national initiatives like:</w:t>
      </w:r>
    </w:p>
    <w:p>
      <w:pPr>
        <w:spacing w:after="120"/>
        <w:ind w:left="1077"/>
      </w:pPr>
      <w:r>
        <w:rPr>
          <w:rFonts w:ascii="Cambria" w:hAnsi="Cambria"/>
          <w:sz w:val="22"/>
        </w:rPr>
        <w:t xml:space="preserve">o  </w:t>
      </w:r>
      <w:r>
        <w:rPr>
          <w:rFonts w:ascii="Cambria" w:hAnsi="Cambria"/>
          <w:i/>
          <w:sz w:val="22"/>
        </w:rPr>
        <w:t>Pradhan Mantri Jan Arogya Yojana (PM-JAY)</w:t>
      </w:r>
      <w:r>
        <w:rPr>
          <w:rFonts w:ascii="Cambria" w:hAnsi="Cambria"/>
          <w:sz w:val="22"/>
        </w:rPr>
        <w:t xml:space="preserve"> – for health coverage.</w:t>
      </w:r>
    </w:p>
    <w:p>
      <w:pPr>
        <w:spacing w:after="120"/>
        <w:ind w:left="1077"/>
      </w:pPr>
      <w:r>
        <w:rPr>
          <w:rFonts w:ascii="Cambria" w:hAnsi="Cambria"/>
          <w:sz w:val="22"/>
        </w:rPr>
        <w:t xml:space="preserve">o  </w:t>
      </w:r>
      <w:r>
        <w:rPr>
          <w:rFonts w:ascii="Cambria" w:hAnsi="Cambria"/>
          <w:i/>
          <w:sz w:val="22"/>
        </w:rPr>
        <w:t>National Social Assistance Programme (NSAP)</w:t>
      </w:r>
      <w:r>
        <w:rPr>
          <w:rFonts w:ascii="Cambria" w:hAnsi="Cambria"/>
          <w:sz w:val="22"/>
        </w:rPr>
        <w:t xml:space="preserve"> – for elderly and widow support.</w:t>
      </w:r>
    </w:p>
    <w:p>
      <w:pPr>
        <w:spacing w:after="120"/>
        <w:ind w:left="1077"/>
      </w:pPr>
      <w:r>
        <w:rPr>
          <w:rFonts w:ascii="Cambria" w:hAnsi="Cambria"/>
          <w:sz w:val="22"/>
        </w:rPr>
        <w:t xml:space="preserve">o  </w:t>
      </w:r>
      <w:r>
        <w:rPr>
          <w:rFonts w:ascii="Cambria" w:hAnsi="Cambria"/>
          <w:i/>
          <w:sz w:val="22"/>
        </w:rPr>
        <w:t>PM Shram Yogi Maan-dhan Yojana</w:t>
      </w:r>
      <w:r>
        <w:rPr>
          <w:rFonts w:ascii="Cambria" w:hAnsi="Cambria"/>
          <w:sz w:val="22"/>
        </w:rPr>
        <w:t xml:space="preserve"> – for pension benefits to unorganized workers.</w:t>
      </w:r>
    </w:p>
    <w:p>
      <w:pPr>
        <w:spacing w:before="200" w:after="80"/>
        <w:jc w:val="left"/>
      </w:pPr>
      <w:r>
        <w:rPr>
          <w:rFonts w:ascii="Cambria" w:hAnsi="Cambria"/>
          <w:b/>
          <w:color w:val="1F3A5F"/>
          <w:sz w:val="25"/>
        </w:rPr>
        <w:t>5. Promoting Shared Responsibility in Households and Families</w:t>
      </w:r>
    </w:p>
    <w:p>
      <w:pPr>
        <w:spacing w:after="120"/>
        <w:jc w:val="both"/>
      </w:pPr>
      <w:r>
        <w:rPr>
          <w:rFonts w:ascii="Cambria" w:hAnsi="Cambria"/>
          <w:b/>
          <w:i w:val="0"/>
          <w:sz w:val="22"/>
        </w:rPr>
        <w:t>Cultural and Behavioral Transformation</w:t>
      </w:r>
    </w:p>
    <w:p>
      <w:pPr>
        <w:pStyle w:val="ListBullet"/>
        <w:ind w:left="357"/>
        <w:jc w:val="both"/>
      </w:pPr>
      <w:r>
        <w:rPr>
          <w:rFonts w:ascii="Cambria" w:hAnsi="Cambria"/>
          <w:sz w:val="22"/>
        </w:rPr>
        <w:t>Launch national awareness campaigns to promote shared domestic responsibilities between men and women.</w:t>
      </w:r>
    </w:p>
    <w:p>
      <w:pPr>
        <w:pStyle w:val="ListBullet"/>
        <w:ind w:left="357"/>
        <w:jc w:val="both"/>
      </w:pPr>
      <w:r>
        <w:rPr>
          <w:rFonts w:ascii="Cambria" w:hAnsi="Cambria"/>
          <w:sz w:val="22"/>
        </w:rPr>
        <w:t>Partner with media and educational institutions to challenge gender stereotypes around unpaid work.</w:t>
      </w:r>
    </w:p>
    <w:p>
      <w:pPr>
        <w:pStyle w:val="ListBullet"/>
        <w:ind w:left="357"/>
        <w:jc w:val="both"/>
      </w:pPr>
      <w:r>
        <w:rPr>
          <w:rFonts w:ascii="Cambria" w:hAnsi="Cambria"/>
          <w:sz w:val="22"/>
        </w:rPr>
        <w:t>Include modules on gender equality, care work, and family responsibility in school and college curricula.</w:t>
      </w:r>
    </w:p>
    <w:p>
      <w:pPr>
        <w:pStyle w:val="ListBullet"/>
        <w:ind w:left="357"/>
        <w:jc w:val="both"/>
      </w:pPr>
      <w:r>
        <w:rPr>
          <w:rFonts w:ascii="Cambria" w:hAnsi="Cambria"/>
          <w:sz w:val="22"/>
        </w:rPr>
        <w:t>Encourage male participation in household care roles through social media initiatives, community programs, and workplace sensitization drives.</w:t>
      </w:r>
    </w:p>
    <w:p>
      <w:pPr>
        <w:spacing w:after="120"/>
        <w:jc w:val="both"/>
      </w:pPr>
      <w:r>
        <w:rPr>
          <w:rFonts w:ascii="Cambria" w:hAnsi="Cambria"/>
          <w:b/>
          <w:i w:val="0"/>
          <w:sz w:val="22"/>
        </w:rPr>
        <w:t>Community Engagement</w:t>
      </w:r>
    </w:p>
    <w:p>
      <w:pPr>
        <w:pStyle w:val="ListBullet"/>
        <w:ind w:left="357"/>
        <w:jc w:val="both"/>
      </w:pPr>
      <w:r>
        <w:rPr>
          <w:rFonts w:ascii="Cambria" w:hAnsi="Cambria"/>
          <w:sz w:val="22"/>
        </w:rPr>
        <w:t>Collaborate with NGOs and local bodies to conduct workshops emphasizing the value of unpaid care work and balanced domestic roles.</w:t>
      </w:r>
    </w:p>
    <w:p>
      <w:pPr>
        <w:pStyle w:val="ListBullet"/>
        <w:ind w:left="357"/>
        <w:jc w:val="both"/>
      </w:pPr>
      <w:r>
        <w:rPr>
          <w:rFonts w:ascii="Cambria" w:hAnsi="Cambria"/>
          <w:sz w:val="22"/>
        </w:rPr>
        <w:t>Recognize and reward men who contribute to caregiving and domestic work, reinforcing positive examples.</w:t>
      </w:r>
    </w:p>
    <w:p>
      <w:pPr>
        <w:spacing w:before="200" w:after="80"/>
        <w:jc w:val="left"/>
      </w:pPr>
      <w:r>
        <w:rPr>
          <w:rFonts w:ascii="Cambria" w:hAnsi="Cambria"/>
          <w:b/>
          <w:color w:val="1F3A5F"/>
          <w:sz w:val="25"/>
        </w:rPr>
        <w:t>6. Strengthening and Promoting Government Flagship Programs</w:t>
      </w:r>
    </w:p>
    <w:p>
      <w:pPr>
        <w:spacing w:after="120"/>
        <w:jc w:val="both"/>
      </w:pPr>
      <w:r>
        <w:rPr>
          <w:rFonts w:ascii="Cambria" w:hAnsi="Cambria"/>
          <w:b/>
          <w:i w:val="0"/>
          <w:sz w:val="22"/>
        </w:rPr>
        <w:t>Integration with Existing Initiatives</w:t>
      </w:r>
    </w:p>
    <w:p>
      <w:pPr>
        <w:spacing w:after="120"/>
        <w:jc w:val="both"/>
      </w:pPr>
      <w:r>
        <w:rPr>
          <w:rFonts w:ascii="Cambria" w:hAnsi="Cambria"/>
          <w:b w:val="0"/>
          <w:i w:val="0"/>
          <w:sz w:val="22"/>
        </w:rPr>
        <w:t>Promote and expand flagship government programs that support women's well-being and domestic work recognition:</w:t>
      </w:r>
    </w:p>
    <w:p>
      <w:pPr>
        <w:spacing w:after="120"/>
        <w:ind w:left="1077"/>
      </w:pPr>
      <w:r>
        <w:rPr>
          <w:rFonts w:ascii="Cambria" w:hAnsi="Cambria"/>
          <w:sz w:val="22"/>
        </w:rPr>
        <w:t>o  Swachh Bharat Mission (SBM) – focusing on sanitation, hygiene, and women's dignity.</w:t>
      </w:r>
    </w:p>
    <w:p>
      <w:pPr>
        <w:spacing w:after="120"/>
        <w:ind w:left="1077"/>
      </w:pPr>
      <w:r>
        <w:rPr>
          <w:rFonts w:ascii="Cambria" w:hAnsi="Cambria"/>
          <w:sz w:val="22"/>
        </w:rPr>
        <w:t>o  Pradhan Mantri Ujjwala Yojana (PMUY) – providing clean energy to reduce women's domestic burden.</w:t>
      </w:r>
    </w:p>
    <w:p>
      <w:pPr>
        <w:spacing w:after="120"/>
        <w:ind w:left="1077"/>
      </w:pPr>
      <w:r>
        <w:rPr>
          <w:rFonts w:ascii="Cambria" w:hAnsi="Cambria"/>
          <w:sz w:val="22"/>
        </w:rPr>
        <w:t>o  Poshan Abhiyaan – addressing nutritional needs of women and children.</w:t>
      </w:r>
    </w:p>
    <w:p>
      <w:pPr>
        <w:spacing w:after="120"/>
        <w:ind w:left="1077"/>
      </w:pPr>
      <w:r>
        <w:rPr>
          <w:rFonts w:ascii="Cambria" w:hAnsi="Cambria"/>
          <w:sz w:val="22"/>
        </w:rPr>
        <w:t>o  National Creche Scheme – supporting working mothers through accessible childcare services.</w:t>
      </w:r>
    </w:p>
    <w:p>
      <w:pPr>
        <w:spacing w:after="120"/>
        <w:ind w:left="720"/>
      </w:pPr>
      <w:r>
        <w:rPr>
          <w:rFonts w:ascii="Cambria" w:hAnsi="Cambria"/>
          <w:sz w:val="22"/>
        </w:rPr>
        <w:t xml:space="preserve">• Ensure cross-departmental coordination to link these programs under the umbrella of </w:t>
      </w:r>
      <w:r>
        <w:rPr>
          <w:rFonts w:ascii="Cambria" w:hAnsi="Cambria"/>
          <w:i/>
          <w:sz w:val="22"/>
        </w:rPr>
        <w:t>SDG-5.4 Implementation Framework</w:t>
      </w:r>
      <w:r>
        <w:rPr>
          <w:rFonts w:ascii="Cambria" w:hAnsi="Cambria"/>
          <w:sz w:val="22"/>
        </w:rPr>
        <w:t>.</w:t>
      </w:r>
    </w:p>
    <w:p>
      <w:pPr>
        <w:spacing w:before="200" w:after="80"/>
        <w:jc w:val="left"/>
      </w:pPr>
      <w:r>
        <w:rPr>
          <w:rFonts w:ascii="Cambria" w:hAnsi="Cambria"/>
          <w:b/>
          <w:color w:val="1F3A5F"/>
          <w:sz w:val="25"/>
        </w:rPr>
        <w:t>7. Expected Outcomes</w:t>
      </w:r>
    </w:p>
    <w:p>
      <w:pPr>
        <w:pStyle w:val="ListBullet"/>
        <w:ind w:left="357"/>
        <w:jc w:val="both"/>
      </w:pPr>
      <w:r>
        <w:rPr>
          <w:rFonts w:ascii="Cambria" w:hAnsi="Cambria"/>
          <w:sz w:val="22"/>
        </w:rPr>
        <w:t>Recognition of unpaid care and domestic work as a core component of the national economy.</w:t>
      </w:r>
    </w:p>
    <w:p>
      <w:pPr>
        <w:pStyle w:val="ListBullet"/>
        <w:ind w:left="357"/>
        <w:jc w:val="both"/>
      </w:pPr>
      <w:r>
        <w:rPr>
          <w:rFonts w:ascii="Cambria" w:hAnsi="Cambria"/>
          <w:sz w:val="22"/>
        </w:rPr>
        <w:t>Improved work–life balance and shared household responsibilities among men and women.</w:t>
      </w:r>
    </w:p>
    <w:p>
      <w:pPr>
        <w:pStyle w:val="ListBullet"/>
        <w:ind w:left="357"/>
        <w:jc w:val="both"/>
      </w:pPr>
      <w:r>
        <w:rPr>
          <w:rFonts w:ascii="Cambria" w:hAnsi="Cambria"/>
          <w:sz w:val="22"/>
        </w:rPr>
        <w:t>Expansion of public and private childcare and eldercare infrastructure.</w:t>
      </w:r>
    </w:p>
    <w:p>
      <w:pPr>
        <w:pStyle w:val="ListBullet"/>
        <w:ind w:left="357"/>
        <w:jc w:val="both"/>
      </w:pPr>
      <w:r>
        <w:rPr>
          <w:rFonts w:ascii="Cambria" w:hAnsi="Cambria"/>
          <w:sz w:val="22"/>
        </w:rPr>
        <w:t>Enhanced women's labour force participation through flexible work and social protection.</w:t>
      </w:r>
    </w:p>
    <w:p>
      <w:pPr>
        <w:pStyle w:val="ListBullet"/>
        <w:ind w:left="357"/>
        <w:jc w:val="both"/>
      </w:pPr>
      <w:r>
        <w:rPr>
          <w:rFonts w:ascii="Cambria" w:hAnsi="Cambria"/>
          <w:sz w:val="22"/>
        </w:rPr>
        <w:t>Greater awareness and institutional recognition of care work as essential social capital.</w:t>
      </w:r>
    </w:p>
    <w:p>
      <w:pPr>
        <w:spacing w:before="200" w:after="80"/>
        <w:jc w:val="left"/>
      </w:pPr>
      <w:r>
        <w:rPr>
          <w:rFonts w:ascii="Cambria" w:hAnsi="Cambria"/>
          <w:b/>
          <w:color w:val="1F3A5F"/>
          <w:sz w:val="25"/>
        </w:rPr>
        <w:t>8. Conclusion</w:t>
      </w:r>
    </w:p>
    <w:p>
      <w:pPr>
        <w:pStyle w:val="ListBullet"/>
        <w:ind w:left="357"/>
        <w:jc w:val="both"/>
      </w:pPr>
      <w:r>
        <w:rPr>
          <w:rFonts w:ascii="Cambria" w:hAnsi="Cambria"/>
          <w:sz w:val="22"/>
        </w:rPr>
        <w:t>Achieving SDG-5.4 requires transforming how societies value and support unpaid care and domestic work.</w:t>
      </w:r>
    </w:p>
    <w:p>
      <w:pPr>
        <w:pStyle w:val="ListBullet"/>
        <w:ind w:left="357"/>
        <w:jc w:val="both"/>
      </w:pPr>
      <w:r>
        <w:rPr>
          <w:rFonts w:ascii="Cambria" w:hAnsi="Cambria"/>
          <w:sz w:val="22"/>
        </w:rPr>
        <w:t>Through comprehensive social protection, workplace flexibility, and cultural reform, the government can ensure equitable recognition of caregiving contributions.</w:t>
      </w:r>
    </w:p>
    <w:p>
      <w:pPr>
        <w:pStyle w:val="ListBullet"/>
        <w:ind w:left="357"/>
        <w:jc w:val="both"/>
      </w:pPr>
      <w:r>
        <w:rPr>
          <w:rFonts w:ascii="Cambria" w:hAnsi="Cambria"/>
          <w:sz w:val="22"/>
        </w:rPr>
        <w:t>Programs such as Ujjwala Yojana and Swachh Bharat Mission exemplify how national initiatives can reduce the domestic burden on women and advance gender equality, dignity, and economic inclusion.</w:t>
      </w:r>
    </w:p>
    <w:p>
      <w:pPr>
        <w:pStyle w:val="ListBullet"/>
        <w:ind w:left="357"/>
        <w:jc w:val="both"/>
      </w:pPr>
      <w:r>
        <w:rPr>
          <w:rFonts w:ascii="Cambria" w:hAnsi="Cambria"/>
          <w:sz w:val="22"/>
        </w:rPr>
        <w:t>Recognizing and rewarding care work strengthens both family well-being and the foundation of sustainable development in India.</w:t>
      </w:r>
    </w:p>
    <w:p>
      <w:pPr>
        <w:spacing w:before="240" w:after="120"/>
        <w:jc w:val="left"/>
      </w:pPr>
      <w:r>
        <w:rPr>
          <w:rFonts w:ascii="Cambria" w:hAnsi="Cambria"/>
          <w:b/>
          <w:color w:val="1F3A5F"/>
          <w:sz w:val="28"/>
        </w:rPr>
        <w:t>SDG Target 5.5 — Ensure Full and Effective Participation and Equal Opportunities for Leadership at All Levels of Decision-Making in Political, Economic, and Public Life</w:t>
      </w:r>
    </w:p>
    <w:p>
      <w:pPr>
        <w:spacing w:before="200" w:after="80"/>
        <w:jc w:val="left"/>
      </w:pPr>
      <w:r>
        <w:rPr>
          <w:rFonts w:ascii="Cambria" w:hAnsi="Cambria"/>
          <w:b/>
          <w:color w:val="1F3A5F"/>
          <w:sz w:val="25"/>
        </w:rPr>
        <w:t>1. Promoting Women's Participation Across All Sectors</w:t>
      </w:r>
    </w:p>
    <w:p>
      <w:pPr>
        <w:spacing w:after="120"/>
        <w:jc w:val="both"/>
      </w:pPr>
      <w:r>
        <w:rPr>
          <w:rFonts w:ascii="Cambria" w:hAnsi="Cambria"/>
          <w:b/>
          <w:i w:val="0"/>
          <w:sz w:val="22"/>
        </w:rPr>
        <w:t>Expanding Job Opportunities for Women</w:t>
      </w:r>
    </w:p>
    <w:p>
      <w:pPr>
        <w:pStyle w:val="ListBullet"/>
        <w:ind w:left="357"/>
        <w:jc w:val="both"/>
      </w:pPr>
      <w:r>
        <w:rPr>
          <w:rFonts w:ascii="Cambria" w:hAnsi="Cambria"/>
          <w:sz w:val="22"/>
        </w:rPr>
        <w:t>The Ministry of Education (MoE), in collaboration with other line ministries, should facilitate the creation of employment opportunities for women across all major sectors — including education, healthcare, agriculture, manufacturing, sports, transport, and technology.</w:t>
      </w:r>
    </w:p>
    <w:p>
      <w:pPr>
        <w:pStyle w:val="ListBullet"/>
        <w:ind w:left="357"/>
        <w:jc w:val="both"/>
      </w:pPr>
      <w:r>
        <w:rPr>
          <w:rFonts w:ascii="Cambria" w:hAnsi="Cambria"/>
          <w:sz w:val="22"/>
        </w:rPr>
        <w:t>Formulate sector-specific gender inclusion policies encouraging both public and private organizations to maintain equitable representation of women in recruitment and promotion.</w:t>
      </w:r>
    </w:p>
    <w:p>
      <w:pPr>
        <w:pStyle w:val="ListBullet"/>
        <w:ind w:left="357"/>
        <w:jc w:val="both"/>
      </w:pPr>
      <w:r>
        <w:rPr>
          <w:rFonts w:ascii="Cambria" w:hAnsi="Cambria"/>
          <w:sz w:val="22"/>
        </w:rPr>
        <w:t>Introduce gender-responsive workforce targets to ensure balanced participation of women at entry, mid, and senior levels in all government and private enterprises.</w:t>
      </w:r>
    </w:p>
    <w:p>
      <w:pPr>
        <w:pStyle w:val="ListBullet"/>
        <w:ind w:left="357"/>
        <w:jc w:val="both"/>
      </w:pPr>
      <w:r>
        <w:rPr>
          <w:rFonts w:ascii="Cambria" w:hAnsi="Cambria"/>
          <w:sz w:val="22"/>
        </w:rPr>
        <w:t>Promote gender-focused skill development and training programs to equip women with competencies required for leadership roles.</w:t>
      </w:r>
    </w:p>
    <w:p>
      <w:pPr>
        <w:spacing w:after="120"/>
        <w:jc w:val="both"/>
      </w:pPr>
      <w:r>
        <w:rPr>
          <w:rFonts w:ascii="Cambria" w:hAnsi="Cambria"/>
          <w:b/>
          <w:i w:val="0"/>
          <w:sz w:val="22"/>
        </w:rPr>
        <w:t>Supportive Ecosystem for Career Growth</w:t>
      </w:r>
    </w:p>
    <w:p>
      <w:pPr>
        <w:pStyle w:val="ListBullet"/>
        <w:ind w:left="357"/>
        <w:jc w:val="both"/>
      </w:pPr>
      <w:r>
        <w:rPr>
          <w:rFonts w:ascii="Cambria" w:hAnsi="Cambria"/>
          <w:sz w:val="22"/>
        </w:rPr>
        <w:t>Implement mentorship and leadership development programs for women professionals in government, industry, and academia.</w:t>
      </w:r>
    </w:p>
    <w:p>
      <w:pPr>
        <w:pStyle w:val="ListBullet"/>
        <w:ind w:left="357"/>
        <w:jc w:val="both"/>
      </w:pPr>
      <w:r>
        <w:rPr>
          <w:rFonts w:ascii="Cambria" w:hAnsi="Cambria"/>
          <w:sz w:val="22"/>
        </w:rPr>
        <w:t>Encourage women's participation in sports and cultural leadership roles, expanding the gender representation in areas traditionally dominated by men.</w:t>
      </w:r>
    </w:p>
    <w:p>
      <w:pPr>
        <w:pStyle w:val="ListBullet"/>
        <w:ind w:left="357"/>
        <w:jc w:val="both"/>
      </w:pPr>
      <w:r>
        <w:rPr>
          <w:rFonts w:ascii="Cambria" w:hAnsi="Cambria"/>
          <w:sz w:val="22"/>
        </w:rPr>
        <w:t>Facilitate re-entry programs for women returning to work after maternity or caregiving breaks through flexible employment opportunities.</w:t>
      </w:r>
    </w:p>
    <w:p>
      <w:pPr>
        <w:spacing w:before="200" w:after="80"/>
        <w:jc w:val="left"/>
      </w:pPr>
      <w:r>
        <w:rPr>
          <w:rFonts w:ascii="Cambria" w:hAnsi="Cambria"/>
          <w:b/>
          <w:color w:val="1F3A5F"/>
          <w:sz w:val="25"/>
        </w:rPr>
        <w:t>2. Equal Representation in Decision-Making and Governance Structures</w:t>
      </w:r>
    </w:p>
    <w:p>
      <w:pPr>
        <w:spacing w:after="120"/>
        <w:jc w:val="both"/>
      </w:pPr>
      <w:r>
        <w:rPr>
          <w:rFonts w:ascii="Cambria" w:hAnsi="Cambria"/>
          <w:b/>
          <w:i w:val="0"/>
          <w:sz w:val="22"/>
        </w:rPr>
        <w:t>Mandatory Gender Quorum in Committees</w:t>
      </w:r>
    </w:p>
    <w:p>
      <w:pPr>
        <w:pStyle w:val="ListBullet"/>
        <w:ind w:left="357"/>
        <w:jc w:val="both"/>
      </w:pPr>
      <w:r>
        <w:rPr>
          <w:rFonts w:ascii="Cambria" w:hAnsi="Cambria"/>
          <w:sz w:val="22"/>
        </w:rPr>
        <w:t>Establish a mandatory inclusion policy ensuring equal female representation in all selection committees, governing bodies, academic councils, and expert panels at national, state, and institutional levels.</w:t>
      </w:r>
    </w:p>
    <w:p>
      <w:pPr>
        <w:pStyle w:val="ListBullet"/>
        <w:ind w:left="357"/>
        <w:jc w:val="both"/>
      </w:pPr>
      <w:r>
        <w:rPr>
          <w:rFonts w:ascii="Cambria" w:hAnsi="Cambria"/>
          <w:sz w:val="22"/>
        </w:rPr>
        <w:t>The Central and State Governments, along with public and private sector agencies, must integrate this requirement into administrative bylaws, HR policies, and recruitment procedures.</w:t>
      </w:r>
    </w:p>
    <w:p>
      <w:pPr>
        <w:pStyle w:val="ListBullet"/>
        <w:ind w:left="357"/>
        <w:jc w:val="both"/>
      </w:pPr>
      <w:r>
        <w:rPr>
          <w:rFonts w:ascii="Cambria" w:hAnsi="Cambria"/>
          <w:sz w:val="22"/>
        </w:rPr>
        <w:t>Define minimum gender representation thresholds (at least 40–50%) in decision-making quorums to institutionalize women's participation.</w:t>
      </w:r>
    </w:p>
    <w:p>
      <w:pPr>
        <w:pStyle w:val="ListBullet"/>
        <w:ind w:left="357"/>
        <w:jc w:val="both"/>
      </w:pPr>
      <w:r>
        <w:rPr>
          <w:rFonts w:ascii="Cambria" w:hAnsi="Cambria"/>
          <w:sz w:val="22"/>
        </w:rPr>
        <w:t>Encourage rotation of leadership roles among male and female members to foster equal exposure and experience.</w:t>
      </w:r>
    </w:p>
    <w:p>
      <w:pPr>
        <w:spacing w:after="120"/>
        <w:jc w:val="both"/>
      </w:pPr>
      <w:r>
        <w:rPr>
          <w:rFonts w:ascii="Cambria" w:hAnsi="Cambria"/>
          <w:b/>
          <w:i w:val="0"/>
          <w:sz w:val="22"/>
        </w:rPr>
        <w:t>Institutional and Corporate Governance</w:t>
      </w:r>
    </w:p>
    <w:p>
      <w:pPr>
        <w:pStyle w:val="ListBullet"/>
        <w:ind w:left="357"/>
        <w:jc w:val="both"/>
      </w:pPr>
      <w:r>
        <w:rPr>
          <w:rFonts w:ascii="Cambria" w:hAnsi="Cambria"/>
          <w:sz w:val="22"/>
        </w:rPr>
        <w:t>Mandate corporate boards and governing councils to have proportionate representation of women directors and executives, following SEBI and Companies Act guidelines.</w:t>
      </w:r>
    </w:p>
    <w:p>
      <w:pPr>
        <w:pStyle w:val="ListBullet"/>
        <w:ind w:left="357"/>
        <w:jc w:val="both"/>
      </w:pPr>
      <w:r>
        <w:rPr>
          <w:rFonts w:ascii="Cambria" w:hAnsi="Cambria"/>
          <w:sz w:val="22"/>
        </w:rPr>
        <w:t>Strengthen women's inclusion in university senates, academic councils, and regulatory boards under the Ministry of Education and UGC.</w:t>
      </w:r>
    </w:p>
    <w:p>
      <w:pPr>
        <w:pStyle w:val="ListBullet"/>
        <w:ind w:left="357"/>
        <w:jc w:val="both"/>
      </w:pPr>
      <w:r>
        <w:rPr>
          <w:rFonts w:ascii="Cambria" w:hAnsi="Cambria"/>
          <w:sz w:val="22"/>
        </w:rPr>
        <w:t>Establish Women's Leadership Cells (WLCs) in universities and organizations to track leadership participation metrics and mentor emerging women leaders.</w:t>
      </w:r>
    </w:p>
    <w:p>
      <w:pPr>
        <w:spacing w:before="200" w:after="80"/>
        <w:jc w:val="left"/>
      </w:pPr>
      <w:r>
        <w:rPr>
          <w:rFonts w:ascii="Cambria" w:hAnsi="Cambria"/>
          <w:b/>
          <w:color w:val="1F3A5F"/>
          <w:sz w:val="25"/>
        </w:rPr>
        <w:t>3. Building Leadership Capacity in Women</w:t>
      </w:r>
    </w:p>
    <w:p>
      <w:pPr>
        <w:spacing w:after="120"/>
        <w:jc w:val="both"/>
      </w:pPr>
      <w:r>
        <w:rPr>
          <w:rFonts w:ascii="Cambria" w:hAnsi="Cambria"/>
          <w:b/>
          <w:i w:val="0"/>
          <w:sz w:val="22"/>
        </w:rPr>
        <w:t>Training and Development Initiatives</w:t>
      </w:r>
    </w:p>
    <w:p>
      <w:pPr>
        <w:pStyle w:val="ListBullet"/>
        <w:ind w:left="357"/>
        <w:jc w:val="both"/>
      </w:pPr>
      <w:r>
        <w:rPr>
          <w:rFonts w:ascii="Cambria" w:hAnsi="Cambria"/>
          <w:sz w:val="22"/>
        </w:rPr>
        <w:t>Launch national-level leadership academies and fellowships for women in public administration, politics, and academia.</w:t>
      </w:r>
    </w:p>
    <w:p>
      <w:pPr>
        <w:pStyle w:val="ListBullet"/>
        <w:ind w:left="357"/>
        <w:jc w:val="both"/>
      </w:pPr>
      <w:r>
        <w:rPr>
          <w:rFonts w:ascii="Cambria" w:hAnsi="Cambria"/>
          <w:sz w:val="22"/>
        </w:rPr>
        <w:t>Organize capacity-building programs focused on negotiation, communication, and decision-making for women aspiring to leadership positions.</w:t>
      </w:r>
    </w:p>
    <w:p>
      <w:pPr>
        <w:pStyle w:val="ListBullet"/>
        <w:ind w:left="357"/>
        <w:jc w:val="both"/>
      </w:pPr>
      <w:r>
        <w:rPr>
          <w:rFonts w:ascii="Cambria" w:hAnsi="Cambria"/>
          <w:sz w:val="22"/>
        </w:rPr>
        <w:t>Promote exchange programs and leadership residencies for women with global institutions to develop international perspectives.</w:t>
      </w:r>
    </w:p>
    <w:p>
      <w:pPr>
        <w:pStyle w:val="ListBullet"/>
        <w:ind w:left="357"/>
        <w:jc w:val="both"/>
      </w:pPr>
      <w:r>
        <w:rPr>
          <w:rFonts w:ascii="Cambria" w:hAnsi="Cambria"/>
          <w:sz w:val="22"/>
        </w:rPr>
        <w:t>Integrate leadership modules in higher education curricula to nurture confidence and governance skills among young women.</w:t>
      </w:r>
    </w:p>
    <w:p>
      <w:pPr>
        <w:spacing w:after="120"/>
        <w:jc w:val="both"/>
      </w:pPr>
      <w:r>
        <w:rPr>
          <w:rFonts w:ascii="Cambria" w:hAnsi="Cambria"/>
          <w:b/>
          <w:i w:val="0"/>
          <w:sz w:val="22"/>
        </w:rPr>
        <w:t>Encouraging Political Participation</w:t>
      </w:r>
    </w:p>
    <w:p>
      <w:pPr>
        <w:pStyle w:val="ListBullet"/>
        <w:ind w:left="357"/>
        <w:jc w:val="both"/>
      </w:pPr>
      <w:r>
        <w:rPr>
          <w:rFonts w:ascii="Cambria" w:hAnsi="Cambria"/>
          <w:sz w:val="22"/>
        </w:rPr>
        <w:t>Strengthen implementation of 33% reservation for women in Panchayati Raj Institutions (PRIs) and local bodies across all states.</w:t>
      </w:r>
    </w:p>
    <w:p>
      <w:pPr>
        <w:pStyle w:val="ListBullet"/>
        <w:ind w:left="357"/>
        <w:jc w:val="both"/>
      </w:pPr>
      <w:r>
        <w:rPr>
          <w:rFonts w:ascii="Cambria" w:hAnsi="Cambria"/>
          <w:sz w:val="22"/>
        </w:rPr>
        <w:t>Encourage political parties to ensure gender balance in candidate nominations and internal leadership committees.</w:t>
      </w:r>
    </w:p>
    <w:p>
      <w:pPr>
        <w:pStyle w:val="ListBullet"/>
        <w:ind w:left="357"/>
        <w:jc w:val="both"/>
      </w:pPr>
      <w:r>
        <w:rPr>
          <w:rFonts w:ascii="Cambria" w:hAnsi="Cambria"/>
          <w:sz w:val="22"/>
        </w:rPr>
        <w:t>Provide campaign training and capacity-building programs for women aspiring to political office at the local, state, and national levels.</w:t>
      </w:r>
    </w:p>
    <w:p>
      <w:pPr>
        <w:spacing w:before="200" w:after="80"/>
        <w:jc w:val="left"/>
      </w:pPr>
      <w:r>
        <w:rPr>
          <w:rFonts w:ascii="Cambria" w:hAnsi="Cambria"/>
          <w:b/>
          <w:color w:val="1F3A5F"/>
          <w:sz w:val="25"/>
        </w:rPr>
        <w:t>4. Policy Reforms and Institutional Support</w:t>
      </w:r>
    </w:p>
    <w:p>
      <w:pPr>
        <w:spacing w:after="120"/>
        <w:jc w:val="both"/>
      </w:pPr>
      <w:r>
        <w:rPr>
          <w:rFonts w:ascii="Cambria" w:hAnsi="Cambria"/>
          <w:b/>
          <w:i w:val="0"/>
          <w:sz w:val="22"/>
        </w:rPr>
        <w:t>Gender Mainstreaming in Public Administration</w:t>
      </w:r>
    </w:p>
    <w:p>
      <w:pPr>
        <w:pStyle w:val="ListBullet"/>
        <w:ind w:left="357"/>
        <w:jc w:val="both"/>
      </w:pPr>
      <w:r>
        <w:rPr>
          <w:rFonts w:ascii="Cambria" w:hAnsi="Cambria"/>
          <w:sz w:val="22"/>
        </w:rPr>
        <w:t>Enforce gender auditing of ministries, departments, and institutions to evaluate progress in leadership diversity.</w:t>
      </w:r>
    </w:p>
    <w:p>
      <w:pPr>
        <w:pStyle w:val="ListBullet"/>
        <w:ind w:left="357"/>
        <w:jc w:val="both"/>
      </w:pPr>
      <w:r>
        <w:rPr>
          <w:rFonts w:ascii="Cambria" w:hAnsi="Cambria"/>
          <w:sz w:val="22"/>
        </w:rPr>
        <w:t>Introduce gender-balanced recruitment policies in civil services, public sector undertakings (PSUs), and autonomous organizations.</w:t>
      </w:r>
    </w:p>
    <w:p>
      <w:pPr>
        <w:pStyle w:val="ListBullet"/>
        <w:ind w:left="357"/>
        <w:jc w:val="both"/>
      </w:pPr>
      <w:r>
        <w:rPr>
          <w:rFonts w:ascii="Cambria" w:hAnsi="Cambria"/>
          <w:sz w:val="22"/>
        </w:rPr>
        <w:t>Establish performance indicators to measure inclusion outcomes as part of institutional and corporate annual reports.</w:t>
      </w:r>
    </w:p>
    <w:p>
      <w:pPr>
        <w:spacing w:after="120"/>
        <w:jc w:val="both"/>
      </w:pPr>
      <w:r>
        <w:rPr>
          <w:rFonts w:ascii="Cambria" w:hAnsi="Cambria"/>
          <w:b/>
          <w:i w:val="0"/>
          <w:sz w:val="22"/>
        </w:rPr>
        <w:t>Government Incentives and Support Systems</w:t>
      </w:r>
    </w:p>
    <w:p>
      <w:pPr>
        <w:pStyle w:val="ListBullet"/>
        <w:ind w:left="357"/>
        <w:jc w:val="both"/>
      </w:pPr>
      <w:r>
        <w:rPr>
          <w:rFonts w:ascii="Cambria" w:hAnsi="Cambria"/>
          <w:sz w:val="22"/>
        </w:rPr>
        <w:t>Offer tax rebates, CSR credits, or funding incentives for organizations demonstrating measurable improvements in female leadership participation.</w:t>
      </w:r>
    </w:p>
    <w:p>
      <w:pPr>
        <w:pStyle w:val="ListBullet"/>
        <w:ind w:left="357"/>
        <w:jc w:val="both"/>
      </w:pPr>
      <w:r>
        <w:rPr>
          <w:rFonts w:ascii="Cambria" w:hAnsi="Cambria"/>
          <w:sz w:val="22"/>
        </w:rPr>
        <w:t>Encourage cross-sectoral collaborations between ministries, universities, and corporate sectors to advance women's leadership networks.</w:t>
      </w:r>
    </w:p>
    <w:p>
      <w:pPr>
        <w:spacing w:before="200" w:after="80"/>
        <w:jc w:val="left"/>
      </w:pPr>
      <w:r>
        <w:rPr>
          <w:rFonts w:ascii="Cambria" w:hAnsi="Cambria"/>
          <w:b/>
          <w:color w:val="1F3A5F"/>
          <w:sz w:val="25"/>
        </w:rPr>
        <w:t>5. Creating Inclusive Work Environments for Leadership Growth</w:t>
      </w:r>
    </w:p>
    <w:p>
      <w:pPr>
        <w:spacing w:after="120"/>
        <w:jc w:val="both"/>
      </w:pPr>
      <w:r>
        <w:rPr>
          <w:rFonts w:ascii="Cambria" w:hAnsi="Cambria"/>
          <w:b/>
          <w:i w:val="0"/>
          <w:sz w:val="22"/>
        </w:rPr>
        <w:t>Workplace Equity and Empowerment</w:t>
      </w:r>
    </w:p>
    <w:p>
      <w:pPr>
        <w:pStyle w:val="ListBullet"/>
        <w:ind w:left="357"/>
        <w:jc w:val="both"/>
      </w:pPr>
      <w:r>
        <w:rPr>
          <w:rFonts w:ascii="Cambria" w:hAnsi="Cambria"/>
          <w:sz w:val="22"/>
        </w:rPr>
        <w:t>Implement family-friendly work policies, childcare facilities, and flexible schedules to support women leaders balancing professional and personal commitments.</w:t>
      </w:r>
    </w:p>
    <w:p>
      <w:pPr>
        <w:pStyle w:val="ListBullet"/>
        <w:ind w:left="357"/>
        <w:jc w:val="both"/>
      </w:pPr>
      <w:r>
        <w:rPr>
          <w:rFonts w:ascii="Cambria" w:hAnsi="Cambria"/>
          <w:sz w:val="22"/>
        </w:rPr>
        <w:t>Introduce gender-sensitivity and unconscious bias training for all senior executives and policymakers.</w:t>
      </w:r>
    </w:p>
    <w:p>
      <w:pPr>
        <w:pStyle w:val="ListBullet"/>
        <w:ind w:left="357"/>
        <w:jc w:val="both"/>
      </w:pPr>
      <w:r>
        <w:rPr>
          <w:rFonts w:ascii="Cambria" w:hAnsi="Cambria"/>
          <w:sz w:val="22"/>
        </w:rPr>
        <w:t>Foster a culture of accountability by linking institutional accreditation, NIRF rankings, and performance evaluations with gender equity indicators.</w:t>
      </w:r>
    </w:p>
    <w:p>
      <w:pPr>
        <w:spacing w:after="120"/>
        <w:jc w:val="both"/>
      </w:pPr>
      <w:r>
        <w:rPr>
          <w:rFonts w:ascii="Cambria" w:hAnsi="Cambria"/>
          <w:b/>
          <w:i w:val="0"/>
          <w:sz w:val="22"/>
        </w:rPr>
        <w:t>Visibility and Recognition of Women Leaders</w:t>
      </w:r>
    </w:p>
    <w:p>
      <w:pPr>
        <w:pStyle w:val="ListBullet"/>
        <w:ind w:left="357"/>
        <w:jc w:val="both"/>
      </w:pPr>
      <w:r>
        <w:rPr>
          <w:rFonts w:ascii="Cambria" w:hAnsi="Cambria"/>
          <w:sz w:val="22"/>
        </w:rPr>
        <w:t>Launch “Women in Leadership Awards” recognizing exceptional women contributing to academia, governance, entrepreneurship, and social innovation.</w:t>
      </w:r>
    </w:p>
    <w:p>
      <w:pPr>
        <w:pStyle w:val="ListBullet"/>
        <w:ind w:left="357"/>
        <w:jc w:val="both"/>
      </w:pPr>
      <w:r>
        <w:rPr>
          <w:rFonts w:ascii="Cambria" w:hAnsi="Cambria"/>
          <w:sz w:val="22"/>
        </w:rPr>
        <w:t>Promote public awareness campaigns to highlight the role and success stories of women leaders, inspiring younger generations.</w:t>
      </w:r>
    </w:p>
    <w:p>
      <w:pPr>
        <w:spacing w:before="200" w:after="80"/>
        <w:jc w:val="left"/>
      </w:pPr>
      <w:r>
        <w:rPr>
          <w:rFonts w:ascii="Cambria" w:hAnsi="Cambria"/>
          <w:b/>
          <w:color w:val="1F3A5F"/>
          <w:sz w:val="25"/>
        </w:rPr>
        <w:t>6. Expected Outcomes</w:t>
      </w:r>
    </w:p>
    <w:p>
      <w:pPr>
        <w:pStyle w:val="ListBullet"/>
        <w:ind w:left="357"/>
        <w:jc w:val="both"/>
      </w:pPr>
      <w:r>
        <w:rPr>
          <w:rFonts w:ascii="Cambria" w:hAnsi="Cambria"/>
          <w:sz w:val="22"/>
        </w:rPr>
        <w:t>Increased female representation in leadership roles across all sectors and governance levels.</w:t>
      </w:r>
    </w:p>
    <w:p>
      <w:pPr>
        <w:pStyle w:val="ListBullet"/>
        <w:ind w:left="357"/>
        <w:jc w:val="both"/>
      </w:pPr>
      <w:r>
        <w:rPr>
          <w:rFonts w:ascii="Cambria" w:hAnsi="Cambria"/>
          <w:sz w:val="22"/>
        </w:rPr>
        <w:t>Establishment of gender-balanced decision-making frameworks in public and private institutions.</w:t>
      </w:r>
    </w:p>
    <w:p>
      <w:pPr>
        <w:pStyle w:val="ListBullet"/>
        <w:ind w:left="357"/>
        <w:jc w:val="both"/>
      </w:pPr>
      <w:r>
        <w:rPr>
          <w:rFonts w:ascii="Cambria" w:hAnsi="Cambria"/>
          <w:sz w:val="22"/>
        </w:rPr>
        <w:t>Enhanced visibility, empowerment, and influence of women leaders in economic, academic, and political life.</w:t>
      </w:r>
    </w:p>
    <w:p>
      <w:pPr>
        <w:pStyle w:val="ListBullet"/>
        <w:ind w:left="357"/>
        <w:jc w:val="both"/>
      </w:pPr>
      <w:r>
        <w:rPr>
          <w:rFonts w:ascii="Cambria" w:hAnsi="Cambria"/>
          <w:sz w:val="22"/>
        </w:rPr>
        <w:t>Cultural shift towards inclusive and equitable leadership as a national norm.</w:t>
      </w:r>
    </w:p>
    <w:p>
      <w:pPr>
        <w:spacing w:before="200" w:after="80"/>
        <w:jc w:val="left"/>
      </w:pPr>
      <w:r>
        <w:rPr>
          <w:rFonts w:ascii="Cambria" w:hAnsi="Cambria"/>
          <w:b/>
          <w:color w:val="1F3A5F"/>
          <w:sz w:val="25"/>
        </w:rPr>
        <w:t>7. Conclusion</w:t>
      </w:r>
    </w:p>
    <w:p>
      <w:pPr>
        <w:pStyle w:val="ListBullet"/>
        <w:ind w:left="357"/>
        <w:jc w:val="both"/>
      </w:pPr>
      <w:r>
        <w:rPr>
          <w:rFonts w:ascii="Cambria" w:hAnsi="Cambria"/>
          <w:sz w:val="22"/>
        </w:rPr>
        <w:t>Achieving SDG Target 5.5 requires systemic transformation in how leadership opportunities are distributed and valued.</w:t>
      </w:r>
    </w:p>
    <w:p>
      <w:pPr>
        <w:pStyle w:val="ListBullet"/>
        <w:ind w:left="357"/>
        <w:jc w:val="both"/>
      </w:pPr>
      <w:r>
        <w:rPr>
          <w:rFonts w:ascii="Cambria" w:hAnsi="Cambria"/>
          <w:sz w:val="22"/>
        </w:rPr>
        <w:t>By mandating female representation in governance bodies, expanding career opportunities, and fostering inclusive leadership ecosystems, the government can bridge the gender gap in decision-making.</w:t>
      </w:r>
    </w:p>
    <w:p>
      <w:pPr>
        <w:pStyle w:val="ListBullet"/>
        <w:ind w:left="357"/>
        <w:jc w:val="both"/>
      </w:pPr>
      <w:r>
        <w:rPr>
          <w:rFonts w:ascii="Cambria" w:hAnsi="Cambria"/>
          <w:sz w:val="22"/>
        </w:rPr>
        <w:t>Empowered women leaders contribute not only to gender equality (SDG-5) but also to stronger institutions, inclusive governance, and sustainable national development.</w:t>
      </w:r>
    </w:p>
    <w:p>
      <w:pPr>
        <w:spacing w:before="240" w:after="120"/>
        <w:jc w:val="left"/>
      </w:pPr>
      <w:r>
        <w:rPr>
          <w:rFonts w:ascii="Cambria" w:hAnsi="Cambria"/>
          <w:b/>
          <w:color w:val="1F3A5F"/>
          <w:sz w:val="28"/>
        </w:rPr>
        <w:t>SDG Target 5.6 — Ensure Universal Access to Reproductive and Sexual Health and Reproductive Rights as per the International Conference on Population and Development (ICPD) and the Beijing Platform for Action</w:t>
      </w:r>
    </w:p>
    <w:p>
      <w:pPr>
        <w:spacing w:before="200" w:after="80"/>
        <w:jc w:val="left"/>
      </w:pPr>
      <w:r>
        <w:rPr>
          <w:rFonts w:ascii="Cambria" w:hAnsi="Cambria"/>
          <w:b/>
          <w:color w:val="1F3A5F"/>
          <w:sz w:val="25"/>
        </w:rPr>
        <w:t>1. Comprehensive Sexual and Reproductive Health Education (SRHE)</w:t>
      </w:r>
    </w:p>
    <w:p>
      <w:pPr>
        <w:spacing w:after="120"/>
        <w:jc w:val="both"/>
      </w:pPr>
      <w:r>
        <w:rPr>
          <w:rFonts w:ascii="Cambria" w:hAnsi="Cambria"/>
          <w:b/>
          <w:i w:val="0"/>
          <w:sz w:val="22"/>
        </w:rPr>
        <w:t>Integration of Health Literacy into Education</w:t>
      </w:r>
    </w:p>
    <w:p>
      <w:pPr>
        <w:pStyle w:val="ListBullet"/>
        <w:ind w:left="357"/>
        <w:jc w:val="both"/>
      </w:pPr>
      <w:r>
        <w:rPr>
          <w:rFonts w:ascii="Cambria" w:hAnsi="Cambria"/>
          <w:sz w:val="22"/>
        </w:rPr>
        <w:t>Develop and implement comprehensive reproductive health education programs covering body composition, hormonal changes, menstruation, fertility, pregnancy, and emotional well-being for both genders.</w:t>
      </w:r>
    </w:p>
    <w:p>
      <w:pPr>
        <w:pStyle w:val="ListBullet"/>
        <w:ind w:left="357"/>
        <w:jc w:val="both"/>
      </w:pPr>
      <w:r>
        <w:rPr>
          <w:rFonts w:ascii="Cambria" w:hAnsi="Cambria"/>
          <w:sz w:val="22"/>
        </w:rPr>
        <w:t>Use print, digital, and audiovisual media to enhance awareness among adolescents and young adults in both rural and urban areas.</w:t>
      </w:r>
    </w:p>
    <w:p>
      <w:pPr>
        <w:pStyle w:val="ListBullet"/>
        <w:ind w:left="357"/>
        <w:jc w:val="both"/>
      </w:pPr>
      <w:r>
        <w:rPr>
          <w:rFonts w:ascii="Cambria" w:hAnsi="Cambria"/>
          <w:sz w:val="22"/>
        </w:rPr>
        <w:t>Introduce age-appropriate curricula on reproductive health, consent, and gender sensitivity at school and college levels.</w:t>
      </w:r>
    </w:p>
    <w:p>
      <w:pPr>
        <w:pStyle w:val="ListBullet"/>
        <w:ind w:left="357"/>
        <w:jc w:val="both"/>
      </w:pPr>
      <w:r>
        <w:rPr>
          <w:rFonts w:ascii="Cambria" w:hAnsi="Cambria"/>
          <w:sz w:val="22"/>
        </w:rPr>
        <w:t>Encourage collaboration between the Ministries of Health, Education, and Women &amp; Child Development to design standard SRHE modules for all educational institutions.</w:t>
      </w:r>
    </w:p>
    <w:p>
      <w:pPr>
        <w:spacing w:after="120"/>
        <w:jc w:val="both"/>
      </w:pPr>
      <w:r>
        <w:rPr>
          <w:rFonts w:ascii="Cambria" w:hAnsi="Cambria"/>
          <w:b/>
          <w:i w:val="0"/>
          <w:sz w:val="22"/>
        </w:rPr>
        <w:t>Behavioural and Emotional Awareness</w:t>
      </w:r>
    </w:p>
    <w:p>
      <w:pPr>
        <w:pStyle w:val="ListBullet"/>
        <w:ind w:left="357"/>
        <w:jc w:val="both"/>
      </w:pPr>
      <w:r>
        <w:rPr>
          <w:rFonts w:ascii="Cambria" w:hAnsi="Cambria"/>
          <w:sz w:val="22"/>
        </w:rPr>
        <w:t>Include topics addressing psychological and social dimensions of adolescence, such as self-esteem, emotional maturity, and relationship awareness.</w:t>
      </w:r>
    </w:p>
    <w:p>
      <w:pPr>
        <w:pStyle w:val="ListBullet"/>
        <w:ind w:left="357"/>
        <w:jc w:val="both"/>
      </w:pPr>
      <w:r>
        <w:rPr>
          <w:rFonts w:ascii="Cambria" w:hAnsi="Cambria"/>
          <w:sz w:val="22"/>
        </w:rPr>
        <w:t>Organize interactive workshops, webinars, and community sessions led by health educators and counsellors.</w:t>
      </w:r>
    </w:p>
    <w:p>
      <w:pPr>
        <w:pStyle w:val="ListBullet"/>
        <w:ind w:left="357"/>
        <w:jc w:val="both"/>
      </w:pPr>
      <w:r>
        <w:rPr>
          <w:rFonts w:ascii="Cambria" w:hAnsi="Cambria"/>
          <w:sz w:val="22"/>
        </w:rPr>
        <w:t>Engage parents, teachers, and community leaders to build supportive environments for discussing reproductive health issues openly.</w:t>
      </w:r>
    </w:p>
    <w:p>
      <w:pPr>
        <w:spacing w:before="200" w:after="80"/>
        <w:jc w:val="left"/>
      </w:pPr>
      <w:r>
        <w:rPr>
          <w:rFonts w:ascii="Cambria" w:hAnsi="Cambria"/>
          <w:b/>
          <w:color w:val="1F3A5F"/>
          <w:sz w:val="25"/>
        </w:rPr>
        <w:t>2. Establishing Public and Family Counselling Systems</w:t>
      </w:r>
    </w:p>
    <w:p>
      <w:pPr>
        <w:spacing w:after="120"/>
        <w:jc w:val="both"/>
      </w:pPr>
      <w:r>
        <w:rPr>
          <w:rFonts w:ascii="Cambria" w:hAnsi="Cambria"/>
          <w:b/>
          <w:i w:val="0"/>
          <w:sz w:val="22"/>
        </w:rPr>
        <w:t>Accessible Counselling Infrastructure</w:t>
      </w:r>
    </w:p>
    <w:p>
      <w:pPr>
        <w:pStyle w:val="ListBullet"/>
        <w:ind w:left="357"/>
        <w:jc w:val="both"/>
      </w:pPr>
      <w:r>
        <w:rPr>
          <w:rFonts w:ascii="Cambria" w:hAnsi="Cambria"/>
          <w:sz w:val="22"/>
        </w:rPr>
        <w:t>Create a national network of certified reproductive and mental health counsellors accessible through schools, primary health centres, and local governance bodies.</w:t>
      </w:r>
    </w:p>
    <w:p>
      <w:pPr>
        <w:pStyle w:val="ListBullet"/>
        <w:ind w:left="357"/>
        <w:jc w:val="both"/>
      </w:pPr>
      <w:r>
        <w:rPr>
          <w:rFonts w:ascii="Cambria" w:hAnsi="Cambria"/>
          <w:sz w:val="22"/>
        </w:rPr>
        <w:t>Set up Family Counselling Centres (FCCs) at district and block levels under the supervision of the Ministry of Health &amp; Family Welfare (MoHFW).</w:t>
      </w:r>
    </w:p>
    <w:p>
      <w:pPr>
        <w:pStyle w:val="ListBullet"/>
        <w:ind w:left="357"/>
        <w:jc w:val="both"/>
      </w:pPr>
      <w:r>
        <w:rPr>
          <w:rFonts w:ascii="Cambria" w:hAnsi="Cambria"/>
          <w:sz w:val="22"/>
        </w:rPr>
        <w:t>Ensure each centre includes trained medical, psychological, and social work professionals to handle gender-specific and adolescent-related health concerns.</w:t>
      </w:r>
    </w:p>
    <w:p>
      <w:pPr>
        <w:pStyle w:val="ListBullet"/>
        <w:ind w:left="357"/>
        <w:jc w:val="both"/>
      </w:pPr>
      <w:r>
        <w:rPr>
          <w:rFonts w:ascii="Cambria" w:hAnsi="Cambria"/>
          <w:sz w:val="22"/>
        </w:rPr>
        <w:t>Introduce digital counselling platforms and helplines offering confidential advice and referrals for reproductive or emotional issues.</w:t>
      </w:r>
    </w:p>
    <w:p>
      <w:pPr>
        <w:spacing w:after="120"/>
        <w:jc w:val="both"/>
      </w:pPr>
      <w:r>
        <w:rPr>
          <w:rFonts w:ascii="Cambria" w:hAnsi="Cambria"/>
          <w:b/>
          <w:i w:val="0"/>
          <w:sz w:val="22"/>
        </w:rPr>
        <w:t>Government and Community Partnership</w:t>
      </w:r>
    </w:p>
    <w:p>
      <w:pPr>
        <w:pStyle w:val="ListBullet"/>
        <w:ind w:left="357"/>
        <w:jc w:val="both"/>
      </w:pPr>
      <w:r>
        <w:rPr>
          <w:rFonts w:ascii="Cambria" w:hAnsi="Cambria"/>
          <w:sz w:val="22"/>
        </w:rPr>
        <w:t>Mandate collaboration between public health authorities, NGOs, and educational institutions to facilitate awareness and intervention programs.</w:t>
      </w:r>
    </w:p>
    <w:p>
      <w:pPr>
        <w:pStyle w:val="ListBullet"/>
        <w:ind w:left="357"/>
        <w:jc w:val="both"/>
      </w:pPr>
      <w:r>
        <w:rPr>
          <w:rFonts w:ascii="Cambria" w:hAnsi="Cambria"/>
          <w:sz w:val="22"/>
        </w:rPr>
        <w:t>Train Anganwadi and ASHA workers to identify and refer individuals facing reproductive health challenges.</w:t>
      </w:r>
    </w:p>
    <w:p>
      <w:pPr>
        <w:spacing w:before="200" w:after="80"/>
        <w:jc w:val="left"/>
      </w:pPr>
      <w:r>
        <w:rPr>
          <w:rFonts w:ascii="Cambria" w:hAnsi="Cambria"/>
          <w:b/>
          <w:color w:val="1F3A5F"/>
          <w:sz w:val="25"/>
        </w:rPr>
        <w:t>3. Strengthening Government Schemes for Maternal and Child Health</w:t>
      </w:r>
    </w:p>
    <w:p>
      <w:pPr>
        <w:spacing w:after="120"/>
        <w:jc w:val="both"/>
      </w:pPr>
      <w:r>
        <w:rPr>
          <w:rFonts w:ascii="Cambria" w:hAnsi="Cambria"/>
          <w:b/>
          <w:i w:val="0"/>
          <w:sz w:val="22"/>
        </w:rPr>
        <w:t>Integrated Child Development Services (ICDS)</w:t>
      </w:r>
    </w:p>
    <w:p>
      <w:pPr>
        <w:pStyle w:val="ListBullet"/>
        <w:ind w:left="357"/>
        <w:jc w:val="both"/>
      </w:pPr>
      <w:r>
        <w:rPr>
          <w:rFonts w:ascii="Cambria" w:hAnsi="Cambria"/>
          <w:sz w:val="22"/>
        </w:rPr>
        <w:t>Expand ICDS services to include nutrition counselling, prenatal education, and reproductive health awareness for adolescent girls and young mothers.</w:t>
      </w:r>
    </w:p>
    <w:p>
      <w:pPr>
        <w:pStyle w:val="ListBullet"/>
        <w:ind w:left="357"/>
        <w:jc w:val="both"/>
      </w:pPr>
      <w:r>
        <w:rPr>
          <w:rFonts w:ascii="Cambria" w:hAnsi="Cambria"/>
          <w:sz w:val="22"/>
        </w:rPr>
        <w:t>Enhance monitoring systems to address maternal and child malnutrition, ensuring early intervention.</w:t>
      </w:r>
    </w:p>
    <w:p>
      <w:pPr>
        <w:spacing w:after="120"/>
        <w:jc w:val="both"/>
      </w:pPr>
      <w:r>
        <w:rPr>
          <w:rFonts w:ascii="Cambria" w:hAnsi="Cambria"/>
          <w:b/>
          <w:i w:val="0"/>
          <w:sz w:val="22"/>
        </w:rPr>
        <w:t>Janani Suraksha Yojana (JSY)</w:t>
      </w:r>
    </w:p>
    <w:p>
      <w:pPr>
        <w:pStyle w:val="ListBullet"/>
        <w:ind w:left="357"/>
        <w:jc w:val="both"/>
      </w:pPr>
      <w:r>
        <w:rPr>
          <w:rFonts w:ascii="Cambria" w:hAnsi="Cambria"/>
          <w:sz w:val="22"/>
        </w:rPr>
        <w:t>Continue promoting institutional deliveries through conditional cash transfers to reduce maternal mortality, especially in remote and tribal areas.</w:t>
      </w:r>
    </w:p>
    <w:p>
      <w:pPr>
        <w:pStyle w:val="ListBullet"/>
        <w:ind w:left="357"/>
        <w:jc w:val="both"/>
      </w:pPr>
      <w:r>
        <w:rPr>
          <w:rFonts w:ascii="Cambria" w:hAnsi="Cambria"/>
          <w:sz w:val="22"/>
        </w:rPr>
        <w:t>Integrate JSY with Janani Shishu Suraksha Karyakram (JSSK) for free delivery, medication, and postnatal care support.</w:t>
      </w:r>
    </w:p>
    <w:p>
      <w:pPr>
        <w:spacing w:after="120"/>
        <w:jc w:val="both"/>
      </w:pPr>
      <w:r>
        <w:rPr>
          <w:rFonts w:ascii="Cambria" w:hAnsi="Cambria"/>
          <w:b/>
          <w:i w:val="0"/>
          <w:sz w:val="22"/>
        </w:rPr>
        <w:t>National Health Policy (NHP) Implementation</w:t>
      </w:r>
    </w:p>
    <w:p>
      <w:pPr>
        <w:pStyle w:val="ListBullet"/>
        <w:ind w:left="357"/>
        <w:jc w:val="both"/>
      </w:pPr>
      <w:r>
        <w:rPr>
          <w:rFonts w:ascii="Cambria" w:hAnsi="Cambria"/>
          <w:sz w:val="22"/>
        </w:rPr>
        <w:t>Ensure universal access to reproductive health services, including contraception, maternal care, infertility support, and disease prevention.</w:t>
      </w:r>
    </w:p>
    <w:p>
      <w:pPr>
        <w:pStyle w:val="ListBullet"/>
        <w:ind w:left="357"/>
        <w:jc w:val="both"/>
      </w:pPr>
      <w:r>
        <w:rPr>
          <w:rFonts w:ascii="Cambria" w:hAnsi="Cambria"/>
          <w:sz w:val="22"/>
        </w:rPr>
        <w:t>Promote gender equity in healthcare access by targeting underserved rural, slum, and marginalized populations.</w:t>
      </w:r>
    </w:p>
    <w:p>
      <w:pPr>
        <w:spacing w:before="200" w:after="80"/>
        <w:jc w:val="left"/>
      </w:pPr>
      <w:r>
        <w:rPr>
          <w:rFonts w:ascii="Cambria" w:hAnsi="Cambria"/>
          <w:b/>
          <w:color w:val="1F3A5F"/>
          <w:sz w:val="25"/>
        </w:rPr>
        <w:t>4. Preventing Female Feticide and Sex-Selective Practices</w:t>
      </w:r>
    </w:p>
    <w:p>
      <w:pPr>
        <w:spacing w:after="120"/>
        <w:jc w:val="both"/>
      </w:pPr>
      <w:r>
        <w:rPr>
          <w:rFonts w:ascii="Cambria" w:hAnsi="Cambria"/>
          <w:b/>
          <w:i w:val="0"/>
          <w:sz w:val="22"/>
        </w:rPr>
        <w:t>Strict Enforcement of Legal Provisions</w:t>
      </w:r>
    </w:p>
    <w:p>
      <w:pPr>
        <w:pStyle w:val="ListBullet"/>
        <w:ind w:left="357"/>
        <w:jc w:val="both"/>
      </w:pPr>
      <w:r>
        <w:rPr>
          <w:rFonts w:ascii="Cambria" w:hAnsi="Cambria"/>
          <w:sz w:val="22"/>
        </w:rPr>
        <w:t>Enforce the Pre-Conception and Pre-Natal Diagnostic Techniques (PCPNDT) Act (1994) to prevent misuse of technology for sex determination.</w:t>
      </w:r>
    </w:p>
    <w:p>
      <w:pPr>
        <w:pStyle w:val="ListBullet"/>
        <w:ind w:left="357"/>
        <w:jc w:val="both"/>
      </w:pPr>
      <w:r>
        <w:rPr>
          <w:rFonts w:ascii="Cambria" w:hAnsi="Cambria"/>
          <w:sz w:val="22"/>
        </w:rPr>
        <w:t>Monitor private and public diagnostic centres through regular audits and licensing controls.</w:t>
      </w:r>
    </w:p>
    <w:p>
      <w:pPr>
        <w:pStyle w:val="ListBullet"/>
        <w:ind w:left="357"/>
        <w:jc w:val="both"/>
      </w:pPr>
      <w:r>
        <w:rPr>
          <w:rFonts w:ascii="Cambria" w:hAnsi="Cambria"/>
          <w:sz w:val="22"/>
        </w:rPr>
        <w:t>Organize awareness campaigns against gender-biased practices, highlighting the moral, social, and legal consequences of female feticide.</w:t>
      </w:r>
    </w:p>
    <w:p>
      <w:pPr>
        <w:spacing w:after="120"/>
        <w:jc w:val="both"/>
      </w:pPr>
      <w:r>
        <w:rPr>
          <w:rFonts w:ascii="Cambria" w:hAnsi="Cambria"/>
          <w:b/>
          <w:i w:val="0"/>
          <w:sz w:val="22"/>
        </w:rPr>
        <w:t>Community Awareness Programs</w:t>
      </w:r>
    </w:p>
    <w:p>
      <w:pPr>
        <w:pStyle w:val="ListBullet"/>
        <w:ind w:left="357"/>
        <w:jc w:val="both"/>
      </w:pPr>
      <w:r>
        <w:rPr>
          <w:rFonts w:ascii="Cambria" w:hAnsi="Cambria"/>
          <w:sz w:val="22"/>
        </w:rPr>
        <w:t>Empower community leaders and local self-governance bodies to monitor and report cases of sex-selective abortion.</w:t>
      </w:r>
    </w:p>
    <w:p>
      <w:pPr>
        <w:pStyle w:val="ListBullet"/>
        <w:ind w:left="357"/>
        <w:jc w:val="both"/>
      </w:pPr>
      <w:r>
        <w:rPr>
          <w:rFonts w:ascii="Cambria" w:hAnsi="Cambria"/>
          <w:sz w:val="22"/>
        </w:rPr>
        <w:t>Encourage educational campaigns emphasizing the value of the girl child and the importance of gender equality.</w:t>
      </w:r>
    </w:p>
    <w:p>
      <w:pPr>
        <w:spacing w:before="200" w:after="80"/>
        <w:jc w:val="left"/>
      </w:pPr>
      <w:r>
        <w:rPr>
          <w:rFonts w:ascii="Cambria" w:hAnsi="Cambria"/>
          <w:b/>
          <w:color w:val="1F3A5F"/>
          <w:sz w:val="25"/>
        </w:rPr>
        <w:t>5. Ensuring Access to Clean Energy and Healthy Living Conditions</w:t>
      </w:r>
    </w:p>
    <w:p>
      <w:pPr>
        <w:spacing w:after="120"/>
        <w:jc w:val="both"/>
      </w:pPr>
      <w:r>
        <w:rPr>
          <w:rFonts w:ascii="Cambria" w:hAnsi="Cambria"/>
          <w:b/>
          <w:i w:val="0"/>
          <w:sz w:val="22"/>
        </w:rPr>
        <w:t>Pradhan Mantri Ujjwala Yojana (PMUY)</w:t>
      </w:r>
    </w:p>
    <w:p>
      <w:pPr>
        <w:pStyle w:val="ListBullet"/>
        <w:ind w:left="357"/>
        <w:jc w:val="both"/>
      </w:pPr>
      <w:r>
        <w:rPr>
          <w:rFonts w:ascii="Cambria" w:hAnsi="Cambria"/>
          <w:sz w:val="22"/>
        </w:rPr>
        <w:t>Continue the distribution of LPG connections to low-income households to eliminate health risks associated with traditional cooking fuels.</w:t>
      </w:r>
    </w:p>
    <w:p>
      <w:pPr>
        <w:pStyle w:val="ListBullet"/>
        <w:ind w:left="357"/>
        <w:jc w:val="both"/>
      </w:pPr>
      <w:r>
        <w:rPr>
          <w:rFonts w:ascii="Cambria" w:hAnsi="Cambria"/>
          <w:sz w:val="22"/>
        </w:rPr>
        <w:t>Improve access to clean energy and sanitation facilities, reducing women's exposure to smoke, pollutants, and drudgery.</w:t>
      </w:r>
    </w:p>
    <w:p>
      <w:pPr>
        <w:pStyle w:val="ListBullet"/>
        <w:ind w:left="357"/>
        <w:jc w:val="both"/>
      </w:pPr>
      <w:r>
        <w:rPr>
          <w:rFonts w:ascii="Cambria" w:hAnsi="Cambria"/>
          <w:sz w:val="22"/>
        </w:rPr>
        <w:t>Integrate PMUY with Swachh Bharat Mission (SBM) to promote hygiene, menstrual health management, and safe disposal systems.</w:t>
      </w:r>
    </w:p>
    <w:p>
      <w:pPr>
        <w:spacing w:after="120"/>
        <w:jc w:val="both"/>
      </w:pPr>
      <w:r>
        <w:rPr>
          <w:rFonts w:ascii="Cambria" w:hAnsi="Cambria"/>
          <w:b/>
          <w:i w:val="0"/>
          <w:sz w:val="22"/>
        </w:rPr>
        <w:t>Women's Health and Environmental Safety</w:t>
      </w:r>
    </w:p>
    <w:p>
      <w:pPr>
        <w:pStyle w:val="ListBullet"/>
        <w:ind w:left="357"/>
        <w:jc w:val="both"/>
      </w:pPr>
      <w:r>
        <w:rPr>
          <w:rFonts w:ascii="Cambria" w:hAnsi="Cambria"/>
          <w:sz w:val="22"/>
        </w:rPr>
        <w:t>Introduce programs addressing indoor air pollution, menstrual hygiene, and reproductive health awareness through public campaigns.</w:t>
      </w:r>
    </w:p>
    <w:p>
      <w:pPr>
        <w:pStyle w:val="ListBullet"/>
        <w:ind w:left="357"/>
        <w:jc w:val="both"/>
      </w:pPr>
      <w:r>
        <w:rPr>
          <w:rFonts w:ascii="Cambria" w:hAnsi="Cambria"/>
          <w:sz w:val="22"/>
        </w:rPr>
        <w:t>Train community workers to link women's health with sustainable energy, hygiene, and water access.</w:t>
      </w:r>
    </w:p>
    <w:p>
      <w:pPr>
        <w:spacing w:before="200" w:after="80"/>
        <w:jc w:val="left"/>
      </w:pPr>
      <w:r>
        <w:rPr>
          <w:rFonts w:ascii="Cambria" w:hAnsi="Cambria"/>
          <w:b/>
          <w:color w:val="1F3A5F"/>
          <w:sz w:val="25"/>
        </w:rPr>
        <w:t>6. Legal and Policy Framework for Reproductive Rights</w:t>
      </w:r>
    </w:p>
    <w:p>
      <w:pPr>
        <w:spacing w:after="120"/>
        <w:jc w:val="both"/>
      </w:pPr>
      <w:r>
        <w:rPr>
          <w:rFonts w:ascii="Cambria" w:hAnsi="Cambria"/>
          <w:b/>
          <w:i w:val="0"/>
          <w:sz w:val="22"/>
        </w:rPr>
        <w:t>Implementation of International Commitments</w:t>
      </w:r>
    </w:p>
    <w:p>
      <w:pPr>
        <w:pStyle w:val="ListBullet"/>
        <w:ind w:left="357"/>
        <w:jc w:val="both"/>
      </w:pPr>
      <w:r>
        <w:rPr>
          <w:rFonts w:ascii="Cambria" w:hAnsi="Cambria"/>
          <w:sz w:val="22"/>
        </w:rPr>
        <w:t>Align national reproductive health policies with international frameworks like the ICPD Program of Action and the Beijing Platform for Action.</w:t>
      </w:r>
    </w:p>
    <w:p>
      <w:pPr>
        <w:pStyle w:val="ListBullet"/>
        <w:ind w:left="357"/>
        <w:jc w:val="both"/>
      </w:pPr>
      <w:r>
        <w:rPr>
          <w:rFonts w:ascii="Cambria" w:hAnsi="Cambria"/>
          <w:sz w:val="22"/>
        </w:rPr>
        <w:t>Enshrine reproductive rights as human rights, ensuring bodily autonomy, informed consent, and non-discrimination.</w:t>
      </w:r>
    </w:p>
    <w:p>
      <w:pPr>
        <w:pStyle w:val="ListBullet"/>
        <w:ind w:left="357"/>
        <w:jc w:val="both"/>
      </w:pPr>
      <w:r>
        <w:rPr>
          <w:rFonts w:ascii="Cambria" w:hAnsi="Cambria"/>
          <w:sz w:val="22"/>
        </w:rPr>
        <w:t>Review and update existing laws to expand access to safe abortion, contraception, and fertility treatments.</w:t>
      </w:r>
    </w:p>
    <w:p>
      <w:pPr>
        <w:spacing w:after="120"/>
        <w:jc w:val="both"/>
      </w:pPr>
      <w:r>
        <w:rPr>
          <w:rFonts w:ascii="Cambria" w:hAnsi="Cambria"/>
          <w:b/>
          <w:i w:val="0"/>
          <w:sz w:val="22"/>
        </w:rPr>
        <w:t>Rights-Based Service Delivery</w:t>
      </w:r>
    </w:p>
    <w:p>
      <w:pPr>
        <w:pStyle w:val="ListBullet"/>
        <w:ind w:left="357"/>
        <w:jc w:val="both"/>
      </w:pPr>
      <w:r>
        <w:rPr>
          <w:rFonts w:ascii="Cambria" w:hAnsi="Cambria"/>
          <w:sz w:val="22"/>
        </w:rPr>
        <w:t>Ensure free and confidential access to reproductive health services at all public health institutions.</w:t>
      </w:r>
    </w:p>
    <w:p>
      <w:pPr>
        <w:pStyle w:val="ListBullet"/>
        <w:ind w:left="357"/>
        <w:jc w:val="both"/>
      </w:pPr>
      <w:r>
        <w:rPr>
          <w:rFonts w:ascii="Cambria" w:hAnsi="Cambria"/>
          <w:sz w:val="22"/>
        </w:rPr>
        <w:t>Promote gender-neutral reproductive health programs, addressing both male and female reproductive responsibilities.</w:t>
      </w:r>
    </w:p>
    <w:p>
      <w:pPr>
        <w:spacing w:before="200" w:after="80"/>
        <w:jc w:val="left"/>
      </w:pPr>
      <w:r>
        <w:rPr>
          <w:rFonts w:ascii="Cambria" w:hAnsi="Cambria"/>
          <w:b/>
          <w:color w:val="1F3A5F"/>
          <w:sz w:val="25"/>
        </w:rPr>
        <w:t>7. Monitoring and Accountability</w:t>
      </w:r>
    </w:p>
    <w:p>
      <w:pPr>
        <w:spacing w:after="120"/>
        <w:jc w:val="both"/>
      </w:pPr>
      <w:r>
        <w:rPr>
          <w:rFonts w:ascii="Cambria" w:hAnsi="Cambria"/>
          <w:b/>
          <w:i w:val="0"/>
          <w:sz w:val="22"/>
        </w:rPr>
        <w:t>Institutional Mechanisms for Evaluation</w:t>
      </w:r>
    </w:p>
    <w:p>
      <w:pPr>
        <w:pStyle w:val="ListBullet"/>
        <w:ind w:left="357"/>
        <w:jc w:val="both"/>
      </w:pPr>
      <w:r>
        <w:rPr>
          <w:rFonts w:ascii="Cambria" w:hAnsi="Cambria"/>
          <w:sz w:val="22"/>
        </w:rPr>
        <w:t>Establish a National Reproductive Health Monitoring Committee to track progress on access, quality, and inclusivity.</w:t>
      </w:r>
    </w:p>
    <w:p>
      <w:pPr>
        <w:pStyle w:val="ListBullet"/>
        <w:ind w:left="357"/>
        <w:jc w:val="both"/>
      </w:pPr>
      <w:r>
        <w:rPr>
          <w:rFonts w:ascii="Cambria" w:hAnsi="Cambria"/>
          <w:sz w:val="22"/>
        </w:rPr>
        <w:t>Collect sex-disaggregated data on reproductive health services and outcomes for evidence-based policy refinement.</w:t>
      </w:r>
    </w:p>
    <w:p>
      <w:pPr>
        <w:pStyle w:val="ListBullet"/>
        <w:ind w:left="357"/>
        <w:jc w:val="both"/>
      </w:pPr>
      <w:r>
        <w:rPr>
          <w:rFonts w:ascii="Cambria" w:hAnsi="Cambria"/>
          <w:sz w:val="22"/>
        </w:rPr>
        <w:t>Encourage academic research on sexual health, reproductive rights, and gender-based health disparities.</w:t>
      </w:r>
    </w:p>
    <w:p>
      <w:pPr>
        <w:spacing w:after="120"/>
        <w:jc w:val="both"/>
      </w:pPr>
      <w:r>
        <w:rPr>
          <w:rFonts w:ascii="Cambria" w:hAnsi="Cambria"/>
          <w:b/>
          <w:i w:val="0"/>
          <w:sz w:val="22"/>
        </w:rPr>
        <w:t>Public Transparency and Reporting</w:t>
      </w:r>
    </w:p>
    <w:p>
      <w:pPr>
        <w:pStyle w:val="ListBullet"/>
        <w:ind w:left="357"/>
        <w:jc w:val="both"/>
      </w:pPr>
      <w:r>
        <w:rPr>
          <w:rFonts w:ascii="Cambria" w:hAnsi="Cambria"/>
          <w:sz w:val="22"/>
        </w:rPr>
        <w:t>Publish annual “State of Reproductive Health Reports” highlighting improvements, challenges, and policy interventions.</w:t>
      </w:r>
    </w:p>
    <w:p>
      <w:pPr>
        <w:pStyle w:val="ListBullet"/>
        <w:ind w:left="357"/>
        <w:jc w:val="both"/>
      </w:pPr>
      <w:r>
        <w:rPr>
          <w:rFonts w:ascii="Cambria" w:hAnsi="Cambria"/>
          <w:sz w:val="22"/>
        </w:rPr>
        <w:t>Link SDG-5.6 progress indicators with health and education sector performance evaluations.</w:t>
      </w:r>
    </w:p>
    <w:p>
      <w:pPr>
        <w:spacing w:before="200" w:after="80"/>
        <w:jc w:val="left"/>
      </w:pPr>
      <w:r>
        <w:rPr>
          <w:rFonts w:ascii="Cambria" w:hAnsi="Cambria"/>
          <w:b/>
          <w:color w:val="1F3A5F"/>
          <w:sz w:val="25"/>
        </w:rPr>
        <w:t>8. Expected Outcomes</w:t>
      </w:r>
    </w:p>
    <w:p>
      <w:pPr>
        <w:pStyle w:val="ListBullet"/>
        <w:ind w:left="357"/>
        <w:jc w:val="both"/>
      </w:pPr>
      <w:r>
        <w:rPr>
          <w:rFonts w:ascii="Cambria" w:hAnsi="Cambria"/>
          <w:sz w:val="22"/>
        </w:rPr>
        <w:t>Universal access to reproductive and sexual health services, including education, counselling, and medical support.</w:t>
      </w:r>
    </w:p>
    <w:p>
      <w:pPr>
        <w:pStyle w:val="ListBullet"/>
        <w:ind w:left="357"/>
        <w:jc w:val="both"/>
      </w:pPr>
      <w:r>
        <w:rPr>
          <w:rFonts w:ascii="Cambria" w:hAnsi="Cambria"/>
          <w:sz w:val="22"/>
        </w:rPr>
        <w:t>Reduction in maternal mortality, malnutrition, and adolescent health issues.</w:t>
      </w:r>
    </w:p>
    <w:p>
      <w:pPr>
        <w:pStyle w:val="ListBullet"/>
        <w:ind w:left="357"/>
        <w:jc w:val="both"/>
      </w:pPr>
      <w:r>
        <w:rPr>
          <w:rFonts w:ascii="Cambria" w:hAnsi="Cambria"/>
          <w:sz w:val="22"/>
        </w:rPr>
        <w:t>Enhanced awareness, autonomy, and gender equality in reproductive decision-making.</w:t>
      </w:r>
    </w:p>
    <w:p>
      <w:pPr>
        <w:pStyle w:val="ListBullet"/>
        <w:ind w:left="357"/>
        <w:jc w:val="both"/>
      </w:pPr>
      <w:r>
        <w:rPr>
          <w:rFonts w:ascii="Cambria" w:hAnsi="Cambria"/>
          <w:sz w:val="22"/>
        </w:rPr>
        <w:t>Elimination of female feticide and sex-selective practices, fostering respect for all genders.</w:t>
      </w:r>
    </w:p>
    <w:p>
      <w:pPr>
        <w:pStyle w:val="ListBullet"/>
        <w:ind w:left="357"/>
        <w:jc w:val="both"/>
      </w:pPr>
      <w:r>
        <w:rPr>
          <w:rFonts w:ascii="Cambria" w:hAnsi="Cambria"/>
          <w:sz w:val="22"/>
        </w:rPr>
        <w:t>Strengthened policy coherence between health, education, and social welfare systems.</w:t>
      </w:r>
    </w:p>
    <w:p>
      <w:pPr>
        <w:spacing w:before="200" w:after="80"/>
        <w:jc w:val="left"/>
      </w:pPr>
      <w:r>
        <w:rPr>
          <w:rFonts w:ascii="Cambria" w:hAnsi="Cambria"/>
          <w:b/>
          <w:color w:val="1F3A5F"/>
          <w:sz w:val="25"/>
        </w:rPr>
        <w:t>9. Conclusion</w:t>
      </w:r>
    </w:p>
    <w:p>
      <w:pPr>
        <w:pStyle w:val="ListBullet"/>
        <w:ind w:left="357"/>
        <w:jc w:val="both"/>
      </w:pPr>
      <w:r>
        <w:rPr>
          <w:rFonts w:ascii="Cambria" w:hAnsi="Cambria"/>
          <w:sz w:val="22"/>
        </w:rPr>
        <w:t>Achieving SDG Target 5.6 requires integrating education, healthcare, and community engagement into a unified reproductive rights framework.</w:t>
      </w:r>
    </w:p>
    <w:p>
      <w:pPr>
        <w:pStyle w:val="ListBullet"/>
        <w:ind w:left="357"/>
        <w:jc w:val="both"/>
      </w:pPr>
      <w:r>
        <w:rPr>
          <w:rFonts w:ascii="Cambria" w:hAnsi="Cambria"/>
          <w:sz w:val="22"/>
        </w:rPr>
        <w:t>Through awareness programs, counselling infrastructure, and schemes like ICDS, JSY, and PMUY, India can ensure universal access to reproductive and sexual health while promoting equality and dignity for all genders.</w:t>
      </w:r>
    </w:p>
    <w:p>
      <w:pPr>
        <w:pStyle w:val="ListBullet"/>
        <w:ind w:left="357"/>
        <w:jc w:val="both"/>
      </w:pPr>
      <w:r>
        <w:rPr>
          <w:rFonts w:ascii="Cambria" w:hAnsi="Cambria"/>
          <w:sz w:val="22"/>
        </w:rPr>
        <w:t>A holistic, rights-based approach will not only protect women's health but also strengthen national progress toward sustainable development and social justice.</w:t>
      </w:r>
    </w:p>
    <w:p>
      <w:pPr>
        <w:spacing w:before="240" w:after="120"/>
        <w:jc w:val="left"/>
      </w:pPr>
      <w:r>
        <w:rPr>
          <w:rFonts w:ascii="Cambria" w:hAnsi="Cambria"/>
          <w:b/>
          <w:color w:val="1F3A5F"/>
          <w:sz w:val="28"/>
        </w:rPr>
        <w:t>SDG Target 5.a — Undertake Reforms to Give Women Equal Rights to Economic Resources, Ownership, and Control Over Land, Property, and Financial Services as per National Laws</w:t>
      </w:r>
    </w:p>
    <w:p>
      <w:pPr>
        <w:spacing w:before="200" w:after="80"/>
        <w:jc w:val="left"/>
      </w:pPr>
      <w:r>
        <w:rPr>
          <w:rFonts w:ascii="Cambria" w:hAnsi="Cambria"/>
          <w:b/>
          <w:color w:val="1F3A5F"/>
          <w:sz w:val="25"/>
        </w:rPr>
        <w:t>1. Strengthening Women's Economic and Property Rights</w:t>
      </w:r>
    </w:p>
    <w:p>
      <w:pPr>
        <w:spacing w:after="120"/>
        <w:jc w:val="both"/>
      </w:pPr>
      <w:r>
        <w:rPr>
          <w:rFonts w:ascii="Cambria" w:hAnsi="Cambria"/>
          <w:b/>
          <w:i w:val="0"/>
          <w:sz w:val="22"/>
        </w:rPr>
        <w:t>Legal Reforms for Ownership and Inheritance</w:t>
      </w:r>
    </w:p>
    <w:p>
      <w:pPr>
        <w:pStyle w:val="ListBullet"/>
        <w:ind w:left="357"/>
        <w:jc w:val="both"/>
      </w:pPr>
      <w:r>
        <w:rPr>
          <w:rFonts w:ascii="Cambria" w:hAnsi="Cambria"/>
          <w:sz w:val="22"/>
        </w:rPr>
        <w:t>Amend and enforce property and inheritance laws to ensure women's equal ownership and control over land, housing, and natural resources, in line with Article 14 and 15 of the Indian Constitution.</w:t>
      </w:r>
    </w:p>
    <w:p>
      <w:pPr>
        <w:pStyle w:val="ListBullet"/>
        <w:ind w:left="357"/>
        <w:jc w:val="both"/>
      </w:pPr>
      <w:r>
        <w:rPr>
          <w:rFonts w:ascii="Cambria" w:hAnsi="Cambria"/>
          <w:sz w:val="22"/>
        </w:rPr>
        <w:t>Simplify procedures for land title registration and property transfer in women's names through digital land record systems.</w:t>
      </w:r>
    </w:p>
    <w:p>
      <w:pPr>
        <w:pStyle w:val="ListBullet"/>
        <w:ind w:left="357"/>
        <w:jc w:val="both"/>
      </w:pPr>
      <w:r>
        <w:rPr>
          <w:rFonts w:ascii="Cambria" w:hAnsi="Cambria"/>
          <w:sz w:val="22"/>
        </w:rPr>
        <w:t>Ensure joint land ownership between spouses in rural development and agricultural schemes.</w:t>
      </w:r>
    </w:p>
    <w:p>
      <w:pPr>
        <w:pStyle w:val="ListBullet"/>
        <w:ind w:left="357"/>
        <w:jc w:val="both"/>
      </w:pPr>
      <w:r>
        <w:rPr>
          <w:rFonts w:ascii="Cambria" w:hAnsi="Cambria"/>
          <w:sz w:val="22"/>
        </w:rPr>
        <w:t>Launch awareness campaigns to educate women about their legal rights to inheritance, property, and ownership.</w:t>
      </w:r>
    </w:p>
    <w:p>
      <w:pPr>
        <w:pStyle w:val="ListBullet"/>
        <w:ind w:left="357"/>
        <w:jc w:val="both"/>
      </w:pPr>
      <w:r>
        <w:rPr>
          <w:rFonts w:ascii="Cambria" w:hAnsi="Cambria"/>
          <w:sz w:val="22"/>
        </w:rPr>
        <w:t>Mandate legal aid cells at district and block levels to assist women in accessing property and inheritance justice.</w:t>
      </w:r>
    </w:p>
    <w:p>
      <w:pPr>
        <w:spacing w:after="120"/>
        <w:jc w:val="both"/>
      </w:pPr>
      <w:r>
        <w:rPr>
          <w:rFonts w:ascii="Cambria" w:hAnsi="Cambria"/>
          <w:b/>
          <w:i w:val="0"/>
          <w:sz w:val="22"/>
        </w:rPr>
        <w:t>Economic Equality Beyond Comparison</w:t>
      </w:r>
    </w:p>
    <w:p>
      <w:pPr>
        <w:pStyle w:val="ListBullet"/>
        <w:ind w:left="357"/>
        <w:jc w:val="both"/>
      </w:pPr>
      <w:r>
        <w:rPr>
          <w:rFonts w:ascii="Cambria" w:hAnsi="Cambria"/>
          <w:sz w:val="22"/>
        </w:rPr>
        <w:t>Develop a National Gender Equality Plan emphasizing women's economic empowerment based on equality, not competition with men.</w:t>
      </w:r>
    </w:p>
    <w:p>
      <w:pPr>
        <w:pStyle w:val="ListBullet"/>
        <w:ind w:left="357"/>
        <w:jc w:val="both"/>
      </w:pPr>
      <w:r>
        <w:rPr>
          <w:rFonts w:ascii="Cambria" w:hAnsi="Cambria"/>
          <w:sz w:val="22"/>
        </w:rPr>
        <w:t>Focus on fostering mutual respect and shared participation between men and women in economic and family decision-making.</w:t>
      </w:r>
    </w:p>
    <w:p>
      <w:pPr>
        <w:spacing w:before="200" w:after="80"/>
        <w:jc w:val="left"/>
      </w:pPr>
      <w:r>
        <w:rPr>
          <w:rFonts w:ascii="Cambria" w:hAnsi="Cambria"/>
          <w:b/>
          <w:color w:val="1F3A5F"/>
          <w:sz w:val="25"/>
        </w:rPr>
        <w:t>2. Equal Decision-Making in Family and Society</w:t>
      </w:r>
    </w:p>
    <w:p>
      <w:pPr>
        <w:spacing w:after="120"/>
        <w:jc w:val="both"/>
      </w:pPr>
      <w:r>
        <w:rPr>
          <w:rFonts w:ascii="Cambria" w:hAnsi="Cambria"/>
          <w:b/>
          <w:i w:val="0"/>
          <w:sz w:val="22"/>
        </w:rPr>
        <w:t>Empowering Women's Autonomy in Life Choices</w:t>
      </w:r>
    </w:p>
    <w:p>
      <w:pPr>
        <w:pStyle w:val="ListBullet"/>
        <w:ind w:left="357"/>
        <w:jc w:val="both"/>
      </w:pPr>
      <w:r>
        <w:rPr>
          <w:rFonts w:ascii="Cambria" w:hAnsi="Cambria"/>
          <w:sz w:val="22"/>
        </w:rPr>
        <w:t>Institutionalize women's equal rights to decision-making in partner selection, marriage, parenting, education, job choice, travel, and social participation under government welfare frameworks.</w:t>
      </w:r>
    </w:p>
    <w:p>
      <w:pPr>
        <w:pStyle w:val="ListBullet"/>
        <w:ind w:left="357"/>
        <w:jc w:val="both"/>
      </w:pPr>
      <w:r>
        <w:rPr>
          <w:rFonts w:ascii="Cambria" w:hAnsi="Cambria"/>
          <w:sz w:val="22"/>
        </w:rPr>
        <w:t>Integrate gender-sensitivity training within all public administration, social welfare, and rural development schemes to uphold women's decision-making rights.</w:t>
      </w:r>
    </w:p>
    <w:p>
      <w:pPr>
        <w:pStyle w:val="ListBullet"/>
        <w:ind w:left="357"/>
        <w:jc w:val="both"/>
      </w:pPr>
      <w:r>
        <w:rPr>
          <w:rFonts w:ascii="Cambria" w:hAnsi="Cambria"/>
          <w:sz w:val="22"/>
        </w:rPr>
        <w:t>Include gender parity indicators in government performance monitoring systems to measure women's autonomy and representation in social and economic spheres.</w:t>
      </w:r>
    </w:p>
    <w:p>
      <w:pPr>
        <w:spacing w:after="120"/>
        <w:jc w:val="both"/>
      </w:pPr>
      <w:r>
        <w:rPr>
          <w:rFonts w:ascii="Cambria" w:hAnsi="Cambria"/>
          <w:b/>
          <w:i w:val="0"/>
          <w:sz w:val="22"/>
        </w:rPr>
        <w:t>Legal and Policy Backing</w:t>
      </w:r>
    </w:p>
    <w:p>
      <w:pPr>
        <w:pStyle w:val="ListBullet"/>
        <w:ind w:left="357"/>
        <w:jc w:val="both"/>
      </w:pPr>
      <w:r>
        <w:rPr>
          <w:rFonts w:ascii="Cambria" w:hAnsi="Cambria"/>
          <w:sz w:val="22"/>
        </w:rPr>
        <w:t>Enforce laws preventing forced marriage, workplace discrimination, and mobility restrictions that limit women's independence.</w:t>
      </w:r>
    </w:p>
    <w:p>
      <w:pPr>
        <w:spacing w:after="120"/>
        <w:ind w:left="720"/>
      </w:pPr>
      <w:r>
        <w:rPr>
          <w:rFonts w:ascii="Cambria" w:hAnsi="Cambria"/>
          <w:sz w:val="22"/>
        </w:rPr>
        <w:t xml:space="preserve">• Expand awareness campaigns under </w:t>
      </w:r>
      <w:r>
        <w:rPr>
          <w:rFonts w:ascii="Cambria" w:hAnsi="Cambria"/>
          <w:i/>
          <w:sz w:val="22"/>
        </w:rPr>
        <w:t>Beti Bachao, Beti Padhao</w:t>
      </w:r>
      <w:r>
        <w:rPr>
          <w:rFonts w:ascii="Cambria" w:hAnsi="Cambria"/>
          <w:sz w:val="22"/>
        </w:rPr>
        <w:t xml:space="preserve"> and </w:t>
      </w:r>
      <w:r>
        <w:rPr>
          <w:rFonts w:ascii="Cambria" w:hAnsi="Cambria"/>
          <w:i/>
          <w:sz w:val="22"/>
        </w:rPr>
        <w:t>Nari Shakti Abhiyan</w:t>
      </w:r>
      <w:r>
        <w:rPr>
          <w:rFonts w:ascii="Cambria" w:hAnsi="Cambria"/>
          <w:sz w:val="22"/>
        </w:rPr>
        <w:t xml:space="preserve"> to promote equal participation of women in family, education, and professional domains.</w:t>
      </w:r>
    </w:p>
    <w:p>
      <w:pPr>
        <w:spacing w:before="200" w:after="80"/>
        <w:jc w:val="left"/>
      </w:pPr>
      <w:r>
        <w:rPr>
          <w:rFonts w:ascii="Cambria" w:hAnsi="Cambria"/>
          <w:b/>
          <w:color w:val="1F3A5F"/>
          <w:sz w:val="25"/>
        </w:rPr>
        <w:t>3. Expanding Access to Economic Resources and Financial Inclusion</w:t>
      </w:r>
    </w:p>
    <w:p>
      <w:pPr>
        <w:spacing w:after="120"/>
        <w:jc w:val="both"/>
      </w:pPr>
      <w:r>
        <w:rPr>
          <w:rFonts w:ascii="Cambria" w:hAnsi="Cambria"/>
          <w:b/>
          <w:i w:val="0"/>
          <w:sz w:val="22"/>
        </w:rPr>
        <w:t>Strengthening Financial Independence through Schemes</w:t>
      </w:r>
    </w:p>
    <w:p>
      <w:pPr>
        <w:pStyle w:val="ListBullet"/>
        <w:ind w:left="357"/>
        <w:jc w:val="both"/>
      </w:pPr>
      <w:r>
        <w:rPr>
          <w:rFonts w:ascii="Cambria" w:hAnsi="Cambria"/>
          <w:sz w:val="22"/>
        </w:rPr>
        <w:t>Pradhan Mantri Jan-Dhan Yojana (PMJDY) – Enhance women's access to bank accounts, financial literacy, and direct benefit transfers (DBTs).</w:t>
      </w:r>
    </w:p>
    <w:p>
      <w:pPr>
        <w:pStyle w:val="ListBullet"/>
        <w:ind w:left="357"/>
        <w:jc w:val="both"/>
      </w:pPr>
      <w:r>
        <w:rPr>
          <w:rFonts w:ascii="Cambria" w:hAnsi="Cambria"/>
          <w:sz w:val="22"/>
        </w:rPr>
        <w:t>Mahatma Gandhi National Rural Employment Guarantee Act (MGNREGA) – Ensure equal wage payments and secure work environments for women in rural employment programs.</w:t>
      </w:r>
    </w:p>
    <w:p>
      <w:pPr>
        <w:pStyle w:val="ListBullet"/>
        <w:ind w:left="357"/>
        <w:jc w:val="both"/>
      </w:pPr>
      <w:r>
        <w:rPr>
          <w:rFonts w:ascii="Cambria" w:hAnsi="Cambria"/>
          <w:sz w:val="22"/>
        </w:rPr>
        <w:t>Deendayal Antyodaya Yojana – National Rural Livelihoods Mission (DAY-NRLM) – Promote self-help groups (SHGs) led by women for community entrepreneurship and financial sustainability.</w:t>
      </w:r>
    </w:p>
    <w:p>
      <w:pPr>
        <w:pStyle w:val="ListBullet"/>
        <w:ind w:left="357"/>
        <w:jc w:val="both"/>
      </w:pPr>
      <w:r>
        <w:rPr>
          <w:rFonts w:ascii="Cambria" w:hAnsi="Cambria"/>
          <w:sz w:val="22"/>
        </w:rPr>
        <w:t>Maternity Benefit Programme (MBP) – Protect women from wage loss during the first six months post-childbirth, supporting health, nutrition, and income continuity.</w:t>
      </w:r>
    </w:p>
    <w:p>
      <w:pPr>
        <w:pStyle w:val="ListBullet"/>
        <w:ind w:left="357"/>
        <w:jc w:val="both"/>
      </w:pPr>
      <w:r>
        <w:rPr>
          <w:rFonts w:ascii="Cambria" w:hAnsi="Cambria"/>
          <w:sz w:val="22"/>
        </w:rPr>
        <w:t>Introduce portable maternity benefits for informal workers and gig economy participants.</w:t>
      </w:r>
    </w:p>
    <w:p>
      <w:pPr>
        <w:spacing w:after="120"/>
        <w:jc w:val="both"/>
      </w:pPr>
      <w:r>
        <w:rPr>
          <w:rFonts w:ascii="Cambria" w:hAnsi="Cambria"/>
          <w:b/>
          <w:i w:val="0"/>
          <w:sz w:val="22"/>
        </w:rPr>
        <w:t>Access to Credit, Insurance, and Entrepreneurship Support</w:t>
      </w:r>
    </w:p>
    <w:p>
      <w:pPr>
        <w:pStyle w:val="ListBullet"/>
        <w:ind w:left="357"/>
        <w:jc w:val="both"/>
      </w:pPr>
      <w:r>
        <w:rPr>
          <w:rFonts w:ascii="Cambria" w:hAnsi="Cambria"/>
          <w:sz w:val="22"/>
        </w:rPr>
        <w:t>Simplify access to microfinance, collateral-free loans, and credit guarantee schemes for women entrepreneurs.</w:t>
      </w:r>
    </w:p>
    <w:p>
      <w:pPr>
        <w:pStyle w:val="ListBullet"/>
        <w:ind w:left="357"/>
        <w:jc w:val="both"/>
      </w:pPr>
      <w:r>
        <w:rPr>
          <w:rFonts w:ascii="Cambria" w:hAnsi="Cambria"/>
          <w:sz w:val="22"/>
        </w:rPr>
        <w:t>Encourage digital financial inclusion through mobile banking, e-wallets, and fintech platforms targeting women in rural and semi-urban areas.</w:t>
      </w:r>
    </w:p>
    <w:p>
      <w:pPr>
        <w:pStyle w:val="ListBullet"/>
        <w:ind w:left="357"/>
        <w:jc w:val="both"/>
      </w:pPr>
      <w:r>
        <w:rPr>
          <w:rFonts w:ascii="Cambria" w:hAnsi="Cambria"/>
          <w:sz w:val="22"/>
        </w:rPr>
        <w:t>Develop insurance and pension programs specifically addressing women's lifecycle needs — widows, single mothers, or elderly women.</w:t>
      </w:r>
    </w:p>
    <w:p>
      <w:pPr>
        <w:spacing w:before="200" w:after="80"/>
        <w:jc w:val="left"/>
      </w:pPr>
      <w:r>
        <w:rPr>
          <w:rFonts w:ascii="Cambria" w:hAnsi="Cambria"/>
          <w:b/>
          <w:color w:val="1F3A5F"/>
          <w:sz w:val="25"/>
        </w:rPr>
        <w:t>4. Promoting Women's Entrepreneurship and Workforce Participation</w:t>
      </w:r>
    </w:p>
    <w:p>
      <w:pPr>
        <w:spacing w:after="120"/>
        <w:jc w:val="both"/>
      </w:pPr>
      <w:r>
        <w:rPr>
          <w:rFonts w:ascii="Cambria" w:hAnsi="Cambria"/>
          <w:b/>
          <w:i w:val="0"/>
          <w:sz w:val="22"/>
        </w:rPr>
        <w:t>National Programs for Female Entrepreneurs</w:t>
      </w:r>
    </w:p>
    <w:p>
      <w:pPr>
        <w:pStyle w:val="ListBullet"/>
        <w:ind w:left="357"/>
        <w:jc w:val="both"/>
      </w:pPr>
      <w:r>
        <w:rPr>
          <w:rFonts w:ascii="Cambria" w:hAnsi="Cambria"/>
          <w:sz w:val="22"/>
        </w:rPr>
        <w:t>Mahila E-Haat – Promote online platforms for women entrepreneurs to market their products and services directly to consumers.</w:t>
      </w:r>
    </w:p>
    <w:p>
      <w:pPr>
        <w:pStyle w:val="ListBullet"/>
        <w:ind w:left="357"/>
        <w:jc w:val="both"/>
      </w:pPr>
      <w:r>
        <w:rPr>
          <w:rFonts w:ascii="Cambria" w:hAnsi="Cambria"/>
          <w:sz w:val="22"/>
        </w:rPr>
        <w:t>Stand Up India – Facilitate bank loans between ₹10 lakh and ₹1 crore to at least one woman per bank branch for starting new enterprises.</w:t>
      </w:r>
    </w:p>
    <w:p>
      <w:pPr>
        <w:pStyle w:val="ListBullet"/>
        <w:ind w:left="357"/>
        <w:jc w:val="both"/>
      </w:pPr>
      <w:r>
        <w:rPr>
          <w:rFonts w:ascii="Cambria" w:hAnsi="Cambria"/>
          <w:sz w:val="22"/>
        </w:rPr>
        <w:t>Mahila Shakti Kendra (MSK) – Strengthen community participation by providing one-stop convergent support services for skill development, employment, and digital literacy.</w:t>
      </w:r>
    </w:p>
    <w:p>
      <w:pPr>
        <w:pStyle w:val="ListBullet"/>
        <w:ind w:left="357"/>
        <w:jc w:val="both"/>
      </w:pPr>
      <w:r>
        <w:rPr>
          <w:rFonts w:ascii="Cambria" w:hAnsi="Cambria"/>
          <w:sz w:val="22"/>
        </w:rPr>
        <w:t>Women Transforming India (WTI) – Recognize and celebrate women leaders contributing to innovation, governance, and social entrepreneurship.</w:t>
      </w:r>
    </w:p>
    <w:p>
      <w:pPr>
        <w:spacing w:after="120"/>
        <w:jc w:val="both"/>
      </w:pPr>
      <w:r>
        <w:rPr>
          <w:rFonts w:ascii="Cambria" w:hAnsi="Cambria"/>
          <w:b/>
          <w:i w:val="0"/>
          <w:sz w:val="22"/>
        </w:rPr>
        <w:t>Labour Market Reforms</w:t>
      </w:r>
    </w:p>
    <w:p>
      <w:pPr>
        <w:pStyle w:val="ListBullet"/>
        <w:ind w:left="357"/>
        <w:jc w:val="both"/>
      </w:pPr>
      <w:r>
        <w:rPr>
          <w:rFonts w:ascii="Cambria" w:hAnsi="Cambria"/>
          <w:sz w:val="22"/>
        </w:rPr>
        <w:t>Enforce equal pay for equal work across both public and private sectors.</w:t>
      </w:r>
    </w:p>
    <w:p>
      <w:pPr>
        <w:pStyle w:val="ListBullet"/>
        <w:ind w:left="357"/>
        <w:jc w:val="both"/>
      </w:pPr>
      <w:r>
        <w:rPr>
          <w:rFonts w:ascii="Cambria" w:hAnsi="Cambria"/>
          <w:sz w:val="22"/>
        </w:rPr>
        <w:t>Mandate safe working conditions, flexible timings, and childcare facilities to enhance women's workforce retention.</w:t>
      </w:r>
    </w:p>
    <w:p>
      <w:pPr>
        <w:pStyle w:val="ListBullet"/>
        <w:ind w:left="357"/>
        <w:jc w:val="both"/>
      </w:pPr>
      <w:r>
        <w:rPr>
          <w:rFonts w:ascii="Cambria" w:hAnsi="Cambria"/>
          <w:sz w:val="22"/>
        </w:rPr>
        <w:t>Encourage corporate gender diversity policies that promote women into senior management and decision-making positions.</w:t>
      </w:r>
    </w:p>
    <w:p>
      <w:pPr>
        <w:spacing w:before="200" w:after="80"/>
        <w:jc w:val="left"/>
      </w:pPr>
      <w:r>
        <w:rPr>
          <w:rFonts w:ascii="Cambria" w:hAnsi="Cambria"/>
          <w:b/>
          <w:color w:val="1F3A5F"/>
          <w:sz w:val="25"/>
        </w:rPr>
        <w:t>5. Enhancing Access to Land, Natural, and Agricultural Resources</w:t>
      </w:r>
    </w:p>
    <w:p>
      <w:pPr>
        <w:spacing w:after="120"/>
        <w:jc w:val="both"/>
      </w:pPr>
      <w:r>
        <w:rPr>
          <w:rFonts w:ascii="Cambria" w:hAnsi="Cambria"/>
          <w:b/>
          <w:i w:val="0"/>
          <w:sz w:val="22"/>
        </w:rPr>
        <w:t>Land Rights and Resource Management</w:t>
      </w:r>
    </w:p>
    <w:p>
      <w:pPr>
        <w:spacing w:after="120"/>
        <w:ind w:left="720"/>
      </w:pPr>
      <w:r>
        <w:rPr>
          <w:rFonts w:ascii="Cambria" w:hAnsi="Cambria"/>
          <w:sz w:val="22"/>
        </w:rPr>
        <w:t xml:space="preserve">• Integrate women's names in land records under rural housing and agriculture schemes such as </w:t>
      </w:r>
      <w:r>
        <w:rPr>
          <w:rFonts w:ascii="Cambria" w:hAnsi="Cambria"/>
          <w:i/>
          <w:sz w:val="22"/>
        </w:rPr>
        <w:t>Pradhan Mantri Awas Yojana (PMAY)</w:t>
      </w:r>
      <w:r>
        <w:rPr>
          <w:rFonts w:ascii="Cambria" w:hAnsi="Cambria"/>
          <w:sz w:val="22"/>
        </w:rPr>
        <w:t xml:space="preserve"> and </w:t>
      </w:r>
      <w:r>
        <w:rPr>
          <w:rFonts w:ascii="Cambria" w:hAnsi="Cambria"/>
          <w:i/>
          <w:sz w:val="22"/>
        </w:rPr>
        <w:t>PM-KISAN</w:t>
      </w:r>
      <w:r>
        <w:rPr>
          <w:rFonts w:ascii="Cambria" w:hAnsi="Cambria"/>
          <w:sz w:val="22"/>
        </w:rPr>
        <w:t>.</w:t>
      </w:r>
    </w:p>
    <w:p>
      <w:pPr>
        <w:pStyle w:val="ListBullet"/>
        <w:ind w:left="357"/>
        <w:jc w:val="both"/>
      </w:pPr>
      <w:r>
        <w:rPr>
          <w:rFonts w:ascii="Cambria" w:hAnsi="Cambria"/>
          <w:sz w:val="22"/>
        </w:rPr>
        <w:t>Train women farmers under Krishi Vigyan Kendras (KVKs) for sustainable farming, agribusiness, and organic cultivation.</w:t>
      </w:r>
    </w:p>
    <w:p>
      <w:pPr>
        <w:pStyle w:val="ListBullet"/>
        <w:ind w:left="357"/>
        <w:jc w:val="both"/>
      </w:pPr>
      <w:r>
        <w:rPr>
          <w:rFonts w:ascii="Cambria" w:hAnsi="Cambria"/>
          <w:sz w:val="22"/>
        </w:rPr>
        <w:t>Provide micro-irrigation, seed, and equipment subsidies directly to women cultivators.</w:t>
      </w:r>
    </w:p>
    <w:p>
      <w:pPr>
        <w:pStyle w:val="ListBullet"/>
        <w:ind w:left="357"/>
        <w:jc w:val="both"/>
      </w:pPr>
      <w:r>
        <w:rPr>
          <w:rFonts w:ascii="Cambria" w:hAnsi="Cambria"/>
          <w:sz w:val="22"/>
        </w:rPr>
        <w:t>Promote women-led cooperatives in resource management sectors like dairy, fisheries, and forestry.</w:t>
      </w:r>
    </w:p>
    <w:p>
      <w:pPr>
        <w:spacing w:after="120"/>
        <w:jc w:val="both"/>
      </w:pPr>
      <w:r>
        <w:rPr>
          <w:rFonts w:ascii="Cambria" w:hAnsi="Cambria"/>
          <w:b/>
          <w:i w:val="0"/>
          <w:sz w:val="22"/>
        </w:rPr>
        <w:t>Environmental and Natural Resource Access</w:t>
      </w:r>
    </w:p>
    <w:p>
      <w:pPr>
        <w:pStyle w:val="ListBullet"/>
        <w:ind w:left="357"/>
        <w:jc w:val="both"/>
      </w:pPr>
      <w:r>
        <w:rPr>
          <w:rFonts w:ascii="Cambria" w:hAnsi="Cambria"/>
          <w:sz w:val="22"/>
        </w:rPr>
        <w:t>Ensure equal participation of women in natural resource management committees and environmental policymaking.</w:t>
      </w:r>
    </w:p>
    <w:p>
      <w:pPr>
        <w:pStyle w:val="ListBullet"/>
        <w:ind w:left="357"/>
        <w:jc w:val="both"/>
      </w:pPr>
      <w:r>
        <w:rPr>
          <w:rFonts w:ascii="Cambria" w:hAnsi="Cambria"/>
          <w:sz w:val="22"/>
        </w:rPr>
        <w:t>Recognize women's traditional ecological knowledge in forest conservation and biodiversity protection initiatives.</w:t>
      </w:r>
    </w:p>
    <w:p>
      <w:pPr>
        <w:spacing w:before="200" w:after="80"/>
        <w:jc w:val="left"/>
      </w:pPr>
      <w:r>
        <w:rPr>
          <w:rFonts w:ascii="Cambria" w:hAnsi="Cambria"/>
          <w:b/>
          <w:color w:val="1F3A5F"/>
          <w:sz w:val="25"/>
        </w:rPr>
        <w:t>6. Institutional and Governance Reforms</w:t>
      </w:r>
    </w:p>
    <w:p>
      <w:pPr>
        <w:spacing w:after="120"/>
        <w:jc w:val="both"/>
      </w:pPr>
      <w:r>
        <w:rPr>
          <w:rFonts w:ascii="Cambria" w:hAnsi="Cambria"/>
          <w:b/>
          <w:i w:val="0"/>
          <w:sz w:val="22"/>
        </w:rPr>
        <w:t>Gender-Responsive Policy Implementation</w:t>
      </w:r>
    </w:p>
    <w:p>
      <w:pPr>
        <w:pStyle w:val="ListBullet"/>
        <w:ind w:left="357"/>
        <w:jc w:val="both"/>
      </w:pPr>
      <w:r>
        <w:rPr>
          <w:rFonts w:ascii="Cambria" w:hAnsi="Cambria"/>
          <w:sz w:val="22"/>
        </w:rPr>
        <w:t>Mandate gender budgeting across ministries and departments to track investments benefiting women's ownership and economic empowerment.</w:t>
      </w:r>
    </w:p>
    <w:p>
      <w:pPr>
        <w:pStyle w:val="ListBullet"/>
        <w:ind w:left="357"/>
        <w:jc w:val="both"/>
      </w:pPr>
      <w:r>
        <w:rPr>
          <w:rFonts w:ascii="Cambria" w:hAnsi="Cambria"/>
          <w:sz w:val="22"/>
        </w:rPr>
        <w:t>Create Gender Equity Cells in government institutions and local bodies to monitor inclusion progress.</w:t>
      </w:r>
    </w:p>
    <w:p>
      <w:pPr>
        <w:pStyle w:val="ListBullet"/>
        <w:ind w:left="357"/>
        <w:jc w:val="both"/>
      </w:pPr>
      <w:r>
        <w:rPr>
          <w:rFonts w:ascii="Cambria" w:hAnsi="Cambria"/>
          <w:sz w:val="22"/>
        </w:rPr>
        <w:t>Encourage state governments to adopt Women's Economic Empowerment Action Plans (WEEAP) aligned with national and SDG frameworks.</w:t>
      </w:r>
    </w:p>
    <w:p>
      <w:pPr>
        <w:spacing w:after="120"/>
        <w:jc w:val="both"/>
      </w:pPr>
      <w:r>
        <w:rPr>
          <w:rFonts w:ascii="Cambria" w:hAnsi="Cambria"/>
          <w:b/>
          <w:i w:val="0"/>
          <w:sz w:val="22"/>
        </w:rPr>
        <w:t>Monitoring and Evaluation</w:t>
      </w:r>
    </w:p>
    <w:p>
      <w:pPr>
        <w:pStyle w:val="ListBullet"/>
        <w:ind w:left="357"/>
        <w:jc w:val="both"/>
      </w:pPr>
      <w:r>
        <w:rPr>
          <w:rFonts w:ascii="Cambria" w:hAnsi="Cambria"/>
          <w:sz w:val="22"/>
        </w:rPr>
        <w:t>Develop data-driven dashboards to track women's ownership of land, property, and business licenses.</w:t>
      </w:r>
    </w:p>
    <w:p>
      <w:pPr>
        <w:pStyle w:val="ListBullet"/>
        <w:ind w:left="357"/>
        <w:jc w:val="both"/>
      </w:pPr>
      <w:r>
        <w:rPr>
          <w:rFonts w:ascii="Cambria" w:hAnsi="Cambria"/>
          <w:sz w:val="22"/>
        </w:rPr>
        <w:t>Conduct periodic audits of financial inclusion and workforce participation metrics disaggregated by gender, region, and socio-economic status.</w:t>
      </w:r>
    </w:p>
    <w:p>
      <w:pPr>
        <w:spacing w:before="200" w:after="80"/>
        <w:jc w:val="left"/>
      </w:pPr>
      <w:r>
        <w:rPr>
          <w:rFonts w:ascii="Cambria" w:hAnsi="Cambria"/>
          <w:b/>
          <w:color w:val="1F3A5F"/>
          <w:sz w:val="25"/>
        </w:rPr>
        <w:t>7. Expected Outcomes</w:t>
      </w:r>
    </w:p>
    <w:p>
      <w:pPr>
        <w:pStyle w:val="ListBullet"/>
        <w:ind w:left="357"/>
        <w:jc w:val="both"/>
      </w:pPr>
      <w:r>
        <w:rPr>
          <w:rFonts w:ascii="Cambria" w:hAnsi="Cambria"/>
          <w:sz w:val="22"/>
        </w:rPr>
        <w:t>Increased women's ownership of land, property, and productive assets.</w:t>
      </w:r>
    </w:p>
    <w:p>
      <w:pPr>
        <w:pStyle w:val="ListBullet"/>
        <w:ind w:left="357"/>
        <w:jc w:val="both"/>
      </w:pPr>
      <w:r>
        <w:rPr>
          <w:rFonts w:ascii="Cambria" w:hAnsi="Cambria"/>
          <w:sz w:val="22"/>
        </w:rPr>
        <w:t>Greater female financial inclusion and economic participation across all sectors.</w:t>
      </w:r>
    </w:p>
    <w:p>
      <w:pPr>
        <w:pStyle w:val="ListBullet"/>
        <w:ind w:left="357"/>
        <w:jc w:val="both"/>
      </w:pPr>
      <w:r>
        <w:rPr>
          <w:rFonts w:ascii="Cambria" w:hAnsi="Cambria"/>
          <w:sz w:val="22"/>
        </w:rPr>
        <w:t>Enhanced autonomy and decision-making power for women in families and communities.</w:t>
      </w:r>
    </w:p>
    <w:p>
      <w:pPr>
        <w:pStyle w:val="ListBullet"/>
        <w:ind w:left="357"/>
        <w:jc w:val="both"/>
      </w:pPr>
      <w:r>
        <w:rPr>
          <w:rFonts w:ascii="Cambria" w:hAnsi="Cambria"/>
          <w:sz w:val="22"/>
        </w:rPr>
        <w:t>Improved labour force participation and entrepreneurship rates among women.</w:t>
      </w:r>
    </w:p>
    <w:p>
      <w:pPr>
        <w:pStyle w:val="ListBullet"/>
        <w:ind w:left="357"/>
        <w:jc w:val="both"/>
      </w:pPr>
      <w:r>
        <w:rPr>
          <w:rFonts w:ascii="Cambria" w:hAnsi="Cambria"/>
          <w:sz w:val="22"/>
        </w:rPr>
        <w:t>Creation of a gender-equitable economic ecosystem supporting sustainable development.</w:t>
      </w:r>
    </w:p>
    <w:p>
      <w:pPr>
        <w:spacing w:before="200" w:after="80"/>
        <w:jc w:val="left"/>
      </w:pPr>
      <w:r>
        <w:rPr>
          <w:rFonts w:ascii="Cambria" w:hAnsi="Cambria"/>
          <w:b/>
          <w:color w:val="1F3A5F"/>
          <w:sz w:val="25"/>
        </w:rPr>
        <w:t>8. Conclusion</w:t>
      </w:r>
    </w:p>
    <w:p>
      <w:pPr>
        <w:pStyle w:val="ListBullet"/>
        <w:ind w:left="357"/>
        <w:jc w:val="both"/>
      </w:pPr>
      <w:r>
        <w:rPr>
          <w:rFonts w:ascii="Cambria" w:hAnsi="Cambria"/>
          <w:sz w:val="22"/>
        </w:rPr>
        <w:t>Achieving SDG Target 5.a requires structural and policy reforms that guarantee women equal access to property, finance, and decision-making opportunities.</w:t>
      </w:r>
    </w:p>
    <w:p>
      <w:pPr>
        <w:pStyle w:val="ListBullet"/>
        <w:ind w:left="357"/>
        <w:jc w:val="both"/>
      </w:pPr>
      <w:r>
        <w:rPr>
          <w:rFonts w:ascii="Cambria" w:hAnsi="Cambria"/>
          <w:sz w:val="22"/>
        </w:rPr>
        <w:t>Through inclusive laws, programs like MGNREGA, PMJDY, Mahila E-Haat, and Stand Up India, and the protection of women's reproductive and economic rights, India can build an equitable society where women are co-owners of the nation's prosperity.</w:t>
      </w:r>
    </w:p>
    <w:p>
      <w:pPr>
        <w:pStyle w:val="ListBullet"/>
        <w:ind w:left="357"/>
        <w:jc w:val="both"/>
      </w:pPr>
      <w:r>
        <w:rPr>
          <w:rFonts w:ascii="Cambria" w:hAnsi="Cambria"/>
          <w:sz w:val="22"/>
        </w:rPr>
        <w:t>Empowering women economically not only enhances gender equality (SDG-5) but also accelerates progress toward inclusive growth, poverty reduction, and sustainable development.</w:t>
      </w:r>
    </w:p>
    <w:p>
      <w:pPr>
        <w:spacing w:before="240" w:after="120"/>
        <w:jc w:val="left"/>
      </w:pPr>
      <w:r>
        <w:rPr>
          <w:rFonts w:ascii="Cambria" w:hAnsi="Cambria"/>
          <w:b/>
          <w:color w:val="1F3A5F"/>
          <w:sz w:val="28"/>
        </w:rPr>
        <w:t>SDG Target 5.b — Enhance the Use of Enabling Technology, Particularly Information and Communication Technology (ICT), to Promote Women's Empowerment</w:t>
      </w:r>
    </w:p>
    <w:p>
      <w:pPr>
        <w:spacing w:before="200" w:after="80"/>
        <w:jc w:val="left"/>
      </w:pPr>
      <w:r>
        <w:rPr>
          <w:rFonts w:ascii="Cambria" w:hAnsi="Cambria"/>
          <w:b/>
          <w:color w:val="1F3A5F"/>
          <w:sz w:val="25"/>
        </w:rPr>
        <w:t>1. Strengthening Women's Access to Digital Technology</w:t>
      </w:r>
    </w:p>
    <w:p>
      <w:pPr>
        <w:spacing w:after="120"/>
        <w:jc w:val="both"/>
      </w:pPr>
      <w:r>
        <w:rPr>
          <w:rFonts w:ascii="Cambria" w:hAnsi="Cambria"/>
          <w:b/>
          <w:i w:val="0"/>
          <w:sz w:val="22"/>
        </w:rPr>
        <w:t>Bridging the Digital Gender Divide</w:t>
      </w:r>
    </w:p>
    <w:p>
      <w:pPr>
        <w:pStyle w:val="ListBullet"/>
        <w:ind w:left="357"/>
        <w:jc w:val="both"/>
      </w:pPr>
      <w:r>
        <w:rPr>
          <w:rFonts w:ascii="Cambria" w:hAnsi="Cambria"/>
          <w:sz w:val="22"/>
        </w:rPr>
        <w:t>Ensure universal access to digital infrastructure — internet connectivity, mobile devices, and computers — especially in rural and underserved regions.</w:t>
      </w:r>
    </w:p>
    <w:p>
      <w:pPr>
        <w:pStyle w:val="ListBullet"/>
        <w:ind w:left="357"/>
        <w:jc w:val="both"/>
      </w:pPr>
      <w:r>
        <w:rPr>
          <w:rFonts w:ascii="Cambria" w:hAnsi="Cambria"/>
          <w:sz w:val="22"/>
        </w:rPr>
        <w:t>Implement digital literacy programs specifically targeting women and girls to equip them with essential ICT skills.</w:t>
      </w:r>
    </w:p>
    <w:p>
      <w:pPr>
        <w:pStyle w:val="ListBullet"/>
        <w:ind w:left="357"/>
        <w:jc w:val="both"/>
      </w:pPr>
      <w:r>
        <w:rPr>
          <w:rFonts w:ascii="Cambria" w:hAnsi="Cambria"/>
          <w:sz w:val="22"/>
        </w:rPr>
        <w:t>Provide subsidized or free digital devices and internet packages for female students, entrepreneurs, and self-help group members.</w:t>
      </w:r>
    </w:p>
    <w:p>
      <w:pPr>
        <w:pStyle w:val="ListBullet"/>
        <w:ind w:left="357"/>
        <w:jc w:val="both"/>
      </w:pPr>
      <w:r>
        <w:rPr>
          <w:rFonts w:ascii="Cambria" w:hAnsi="Cambria"/>
          <w:sz w:val="22"/>
        </w:rPr>
        <w:t>Encourage public–private partnerships (PPPs) to build inclusive digital ecosystems connecting women to education, employment, and financial services.</w:t>
      </w:r>
    </w:p>
    <w:p>
      <w:pPr>
        <w:spacing w:after="120"/>
        <w:jc w:val="both"/>
      </w:pPr>
      <w:r>
        <w:rPr>
          <w:rFonts w:ascii="Cambria" w:hAnsi="Cambria"/>
          <w:b/>
          <w:i w:val="0"/>
          <w:sz w:val="22"/>
        </w:rPr>
        <w:t>National Digital Empowerment Initiatives</w:t>
      </w:r>
    </w:p>
    <w:p>
      <w:pPr>
        <w:pStyle w:val="ListBullet"/>
        <w:ind w:left="357"/>
        <w:jc w:val="both"/>
      </w:pPr>
      <w:r>
        <w:rPr>
          <w:rFonts w:ascii="Cambria" w:hAnsi="Cambria"/>
          <w:sz w:val="22"/>
        </w:rPr>
        <w:t>Expand the reach of Digital India, BharatNet, and PMGDISHA (Pradhan Mantri Gramin Digital Saksharta Abhiyan) to cover every female household.</w:t>
      </w:r>
    </w:p>
    <w:p>
      <w:pPr>
        <w:pStyle w:val="ListBullet"/>
        <w:ind w:left="357"/>
        <w:jc w:val="both"/>
      </w:pPr>
      <w:r>
        <w:rPr>
          <w:rFonts w:ascii="Cambria" w:hAnsi="Cambria"/>
          <w:sz w:val="22"/>
        </w:rPr>
        <w:t>Integrate gender-focused modules into national digital literacy programs to ensure women's meaningful participation in the knowledge economy.</w:t>
      </w:r>
    </w:p>
    <w:p>
      <w:pPr>
        <w:spacing w:before="200" w:after="80"/>
        <w:jc w:val="left"/>
      </w:pPr>
      <w:r>
        <w:rPr>
          <w:rFonts w:ascii="Cambria" w:hAnsi="Cambria"/>
          <w:b/>
          <w:color w:val="1F3A5F"/>
          <w:sz w:val="25"/>
        </w:rPr>
        <w:t>2. Promoting Women in Technology and Innovation Fields</w:t>
      </w:r>
    </w:p>
    <w:p>
      <w:pPr>
        <w:spacing w:after="120"/>
        <w:jc w:val="both"/>
      </w:pPr>
      <w:r>
        <w:rPr>
          <w:rFonts w:ascii="Cambria" w:hAnsi="Cambria"/>
          <w:b/>
          <w:i w:val="0"/>
          <w:sz w:val="22"/>
        </w:rPr>
        <w:t>Integration of Modern Technology in Women's Education</w:t>
      </w:r>
    </w:p>
    <w:p>
      <w:pPr>
        <w:pStyle w:val="ListBullet"/>
        <w:ind w:left="357"/>
        <w:jc w:val="both"/>
      </w:pPr>
      <w:r>
        <w:rPr>
          <w:rFonts w:ascii="Cambria" w:hAnsi="Cambria"/>
          <w:sz w:val="22"/>
        </w:rPr>
        <w:t>Introduce and promote STEM (Science, Technology, Engineering, and Mathematics) education for girls at all levels of schooling.</w:t>
      </w:r>
    </w:p>
    <w:p>
      <w:pPr>
        <w:pStyle w:val="ListBullet"/>
        <w:ind w:left="357"/>
        <w:jc w:val="both"/>
      </w:pPr>
      <w:r>
        <w:rPr>
          <w:rFonts w:ascii="Cambria" w:hAnsi="Cambria"/>
          <w:sz w:val="22"/>
        </w:rPr>
        <w:t>Include AI, Cloud Computing, Data Science, and Robotics modules in technical curricula for women students in universities and vocational institutes.</w:t>
      </w:r>
    </w:p>
    <w:p>
      <w:pPr>
        <w:pStyle w:val="ListBullet"/>
        <w:ind w:left="357"/>
        <w:jc w:val="both"/>
      </w:pPr>
      <w:r>
        <w:rPr>
          <w:rFonts w:ascii="Cambria" w:hAnsi="Cambria"/>
          <w:sz w:val="22"/>
        </w:rPr>
        <w:t>Launch national fellowships and scholarships for women pursuing advanced studies and research in IT and computer science disciplines.</w:t>
      </w:r>
    </w:p>
    <w:p>
      <w:pPr>
        <w:spacing w:after="120"/>
        <w:jc w:val="both"/>
      </w:pPr>
      <w:r>
        <w:rPr>
          <w:rFonts w:ascii="Cambria" w:hAnsi="Cambria"/>
          <w:b/>
          <w:i w:val="0"/>
          <w:sz w:val="22"/>
        </w:rPr>
        <w:t>Women in Emerging Technologies</w:t>
      </w:r>
    </w:p>
    <w:p>
      <w:pPr>
        <w:pStyle w:val="ListBullet"/>
        <w:ind w:left="357"/>
        <w:jc w:val="both"/>
      </w:pPr>
      <w:r>
        <w:rPr>
          <w:rFonts w:ascii="Cambria" w:hAnsi="Cambria"/>
          <w:sz w:val="22"/>
        </w:rPr>
        <w:t>Encourage women's participation in AI, Machine Learning, Blockchain, and Cybersecurity sectors through mentorship programs and startup incubators.</w:t>
      </w:r>
    </w:p>
    <w:p>
      <w:pPr>
        <w:pStyle w:val="ListBullet"/>
        <w:ind w:left="357"/>
        <w:jc w:val="both"/>
      </w:pPr>
      <w:r>
        <w:rPr>
          <w:rFonts w:ascii="Cambria" w:hAnsi="Cambria"/>
          <w:sz w:val="22"/>
        </w:rPr>
        <w:t>Establish Women Tech Innovation Hubs across higher education institutions to promote research and entrepreneurship in emerging digital domains.</w:t>
      </w:r>
    </w:p>
    <w:p>
      <w:pPr>
        <w:pStyle w:val="ListBullet"/>
        <w:ind w:left="357"/>
        <w:jc w:val="both"/>
      </w:pPr>
      <w:r>
        <w:rPr>
          <w:rFonts w:ascii="Cambria" w:hAnsi="Cambria"/>
          <w:sz w:val="22"/>
        </w:rPr>
        <w:t>Support women-led startups and innovators through access to venture funding, mentorship, and government innovation challenges.</w:t>
      </w:r>
    </w:p>
    <w:p>
      <w:pPr>
        <w:spacing w:before="200" w:after="80"/>
        <w:jc w:val="left"/>
      </w:pPr>
      <w:r>
        <w:rPr>
          <w:rFonts w:ascii="Cambria" w:hAnsi="Cambria"/>
          <w:b/>
          <w:color w:val="1F3A5F"/>
          <w:sz w:val="25"/>
        </w:rPr>
        <w:t>3. Empowering Women through ICT-Driven Economic Opportunities</w:t>
      </w:r>
    </w:p>
    <w:p>
      <w:pPr>
        <w:spacing w:after="120"/>
        <w:jc w:val="both"/>
      </w:pPr>
      <w:r>
        <w:rPr>
          <w:rFonts w:ascii="Cambria" w:hAnsi="Cambria"/>
          <w:b/>
          <w:i w:val="0"/>
          <w:sz w:val="22"/>
        </w:rPr>
        <w:t>Digital Platforms for Employment and Entrepreneurship</w:t>
      </w:r>
    </w:p>
    <w:p>
      <w:pPr>
        <w:pStyle w:val="ListBullet"/>
        <w:ind w:left="357"/>
        <w:jc w:val="both"/>
      </w:pPr>
      <w:r>
        <w:rPr>
          <w:rFonts w:ascii="Cambria" w:hAnsi="Cambria"/>
          <w:sz w:val="22"/>
        </w:rPr>
        <w:t>Create online employment and freelancing platforms connecting women to remote work and digital gig opportunities.</w:t>
      </w:r>
    </w:p>
    <w:p>
      <w:pPr>
        <w:pStyle w:val="ListBullet"/>
        <w:ind w:left="357"/>
        <w:jc w:val="both"/>
      </w:pPr>
      <w:r>
        <w:rPr>
          <w:rFonts w:ascii="Cambria" w:hAnsi="Cambria"/>
          <w:sz w:val="22"/>
        </w:rPr>
        <w:t>Expand Mahila E-Haat and GeM (Government e-Marketplace) to include more women entrepreneurs, artisans, and micro-enterprises.</w:t>
      </w:r>
    </w:p>
    <w:p>
      <w:pPr>
        <w:pStyle w:val="ListBullet"/>
        <w:ind w:left="357"/>
        <w:jc w:val="both"/>
      </w:pPr>
      <w:r>
        <w:rPr>
          <w:rFonts w:ascii="Cambria" w:hAnsi="Cambria"/>
          <w:sz w:val="22"/>
        </w:rPr>
        <w:t>Provide training in e-commerce, digital marketing, and financial technology for women-led businesses to increase visibility and profitability.</w:t>
      </w:r>
    </w:p>
    <w:p>
      <w:pPr>
        <w:pStyle w:val="ListBullet"/>
        <w:ind w:left="357"/>
        <w:jc w:val="both"/>
      </w:pPr>
      <w:r>
        <w:rPr>
          <w:rFonts w:ascii="Cambria" w:hAnsi="Cambria"/>
          <w:sz w:val="22"/>
        </w:rPr>
        <w:t>Integrate women's SHGs into digital supply chains and online marketplaces through simplified onboarding processes.</w:t>
      </w:r>
    </w:p>
    <w:p>
      <w:pPr>
        <w:spacing w:after="120"/>
        <w:jc w:val="both"/>
      </w:pPr>
      <w:r>
        <w:rPr>
          <w:rFonts w:ascii="Cambria" w:hAnsi="Cambria"/>
          <w:b/>
          <w:i w:val="0"/>
          <w:sz w:val="22"/>
        </w:rPr>
        <w:t>ICT for Financial Inclusion</w:t>
      </w:r>
    </w:p>
    <w:p>
      <w:pPr>
        <w:pStyle w:val="ListBullet"/>
        <w:ind w:left="357"/>
        <w:jc w:val="both"/>
      </w:pPr>
      <w:r>
        <w:rPr>
          <w:rFonts w:ascii="Cambria" w:hAnsi="Cambria"/>
          <w:sz w:val="22"/>
        </w:rPr>
        <w:t>Use digital banking, mobile payment apps, and fintech solutions to improve women's access to financial services.</w:t>
      </w:r>
    </w:p>
    <w:p>
      <w:pPr>
        <w:spacing w:after="120"/>
        <w:ind w:left="720"/>
      </w:pPr>
      <w:r>
        <w:rPr>
          <w:rFonts w:ascii="Cambria" w:hAnsi="Cambria"/>
          <w:sz w:val="22"/>
        </w:rPr>
        <w:t xml:space="preserve">• Strengthen digital payment ecosystems under </w:t>
      </w:r>
      <w:r>
        <w:rPr>
          <w:rFonts w:ascii="Cambria" w:hAnsi="Cambria"/>
          <w:i/>
          <w:sz w:val="22"/>
        </w:rPr>
        <w:t>Pradhan Mantri Jan-Dhan Yojana</w:t>
      </w:r>
      <w:r>
        <w:rPr>
          <w:rFonts w:ascii="Cambria" w:hAnsi="Cambria"/>
          <w:sz w:val="22"/>
        </w:rPr>
        <w:t xml:space="preserve"> and </w:t>
      </w:r>
      <w:r>
        <w:rPr>
          <w:rFonts w:ascii="Cambria" w:hAnsi="Cambria"/>
          <w:i/>
          <w:sz w:val="22"/>
        </w:rPr>
        <w:t>UPI</w:t>
      </w:r>
      <w:r>
        <w:rPr>
          <w:rFonts w:ascii="Cambria" w:hAnsi="Cambria"/>
          <w:sz w:val="22"/>
        </w:rPr>
        <w:t xml:space="preserve"> to empower women in informal economies.</w:t>
      </w:r>
    </w:p>
    <w:p>
      <w:pPr>
        <w:spacing w:before="200" w:after="80"/>
        <w:jc w:val="left"/>
      </w:pPr>
      <w:r>
        <w:rPr>
          <w:rFonts w:ascii="Cambria" w:hAnsi="Cambria"/>
          <w:b/>
          <w:color w:val="1F3A5F"/>
          <w:sz w:val="25"/>
        </w:rPr>
        <w:t>4. Institutional and Policy-Level Support for Technology Inclusion</w:t>
      </w:r>
    </w:p>
    <w:p>
      <w:pPr>
        <w:spacing w:after="120"/>
        <w:jc w:val="both"/>
      </w:pPr>
      <w:r>
        <w:rPr>
          <w:rFonts w:ascii="Cambria" w:hAnsi="Cambria"/>
          <w:b/>
          <w:i w:val="0"/>
          <w:sz w:val="22"/>
        </w:rPr>
        <w:t>Government Policy Reforms</w:t>
      </w:r>
    </w:p>
    <w:p>
      <w:pPr>
        <w:pStyle w:val="ListBullet"/>
        <w:ind w:left="357"/>
        <w:jc w:val="both"/>
      </w:pPr>
      <w:r>
        <w:rPr>
          <w:rFonts w:ascii="Cambria" w:hAnsi="Cambria"/>
          <w:sz w:val="22"/>
        </w:rPr>
        <w:t>Each regulatory agency and ministry should incorporate technology empowerment objectives in their gender policies and strategic plans.</w:t>
      </w:r>
    </w:p>
    <w:p>
      <w:pPr>
        <w:pStyle w:val="ListBullet"/>
        <w:ind w:left="357"/>
        <w:jc w:val="both"/>
      </w:pPr>
      <w:r>
        <w:rPr>
          <w:rFonts w:ascii="Cambria" w:hAnsi="Cambria"/>
          <w:sz w:val="22"/>
        </w:rPr>
        <w:t>Mandate gender-disaggregated data collection in ICT programs to assess women's digital inclusion.</w:t>
      </w:r>
    </w:p>
    <w:p>
      <w:pPr>
        <w:pStyle w:val="ListBullet"/>
        <w:ind w:left="357"/>
        <w:jc w:val="both"/>
      </w:pPr>
      <w:r>
        <w:rPr>
          <w:rFonts w:ascii="Cambria" w:hAnsi="Cambria"/>
          <w:sz w:val="22"/>
        </w:rPr>
        <w:t>Encourage State and Central Governments to launch “Digital Gender Equality Missions” focusing on ICT access, training, and leadership development.</w:t>
      </w:r>
    </w:p>
    <w:p>
      <w:pPr>
        <w:spacing w:after="120"/>
        <w:jc w:val="both"/>
      </w:pPr>
      <w:r>
        <w:rPr>
          <w:rFonts w:ascii="Cambria" w:hAnsi="Cambria"/>
          <w:b/>
          <w:i w:val="0"/>
          <w:sz w:val="22"/>
        </w:rPr>
        <w:t>Corporate Sector Involvement</w:t>
      </w:r>
    </w:p>
    <w:p>
      <w:pPr>
        <w:pStyle w:val="ListBullet"/>
        <w:ind w:left="357"/>
        <w:jc w:val="both"/>
      </w:pPr>
      <w:r>
        <w:rPr>
          <w:rFonts w:ascii="Cambria" w:hAnsi="Cambria"/>
          <w:sz w:val="22"/>
        </w:rPr>
        <w:t>Encourage private companies to design women-centric CSR projects for digital literacy, tech training, and startup incubation.</w:t>
      </w:r>
    </w:p>
    <w:p>
      <w:pPr>
        <w:pStyle w:val="ListBullet"/>
        <w:ind w:left="357"/>
        <w:jc w:val="both"/>
      </w:pPr>
      <w:r>
        <w:rPr>
          <w:rFonts w:ascii="Cambria" w:hAnsi="Cambria"/>
          <w:sz w:val="22"/>
        </w:rPr>
        <w:t>Promote gender-inclusive recruitment policies in technology-driven industries, ensuring equitable career advancement.</w:t>
      </w:r>
    </w:p>
    <w:p>
      <w:pPr>
        <w:pStyle w:val="ListBullet"/>
        <w:ind w:left="357"/>
        <w:jc w:val="both"/>
      </w:pPr>
      <w:r>
        <w:rPr>
          <w:rFonts w:ascii="Cambria" w:hAnsi="Cambria"/>
          <w:sz w:val="22"/>
        </w:rPr>
        <w:t>Introduce tax incentives for corporates employing and upskilling women in technical and digital roles.</w:t>
      </w:r>
    </w:p>
    <w:p>
      <w:pPr>
        <w:spacing w:before="200" w:after="80"/>
        <w:jc w:val="left"/>
      </w:pPr>
      <w:r>
        <w:rPr>
          <w:rFonts w:ascii="Cambria" w:hAnsi="Cambria"/>
          <w:b/>
          <w:color w:val="1F3A5F"/>
          <w:sz w:val="25"/>
        </w:rPr>
        <w:t>5. Leveraging ICT for Social Empowerment</w:t>
      </w:r>
    </w:p>
    <w:p>
      <w:pPr>
        <w:spacing w:after="120"/>
        <w:jc w:val="both"/>
      </w:pPr>
      <w:r>
        <w:rPr>
          <w:rFonts w:ascii="Cambria" w:hAnsi="Cambria"/>
          <w:b/>
          <w:i w:val="0"/>
          <w:sz w:val="22"/>
        </w:rPr>
        <w:t>ICT for Governance and Awareness</w:t>
      </w:r>
    </w:p>
    <w:p>
      <w:pPr>
        <w:pStyle w:val="ListBullet"/>
        <w:ind w:left="357"/>
        <w:jc w:val="both"/>
      </w:pPr>
      <w:r>
        <w:rPr>
          <w:rFonts w:ascii="Cambria" w:hAnsi="Cambria"/>
          <w:sz w:val="22"/>
        </w:rPr>
        <w:t>Utilize social media, mobile apps, and e-governance platforms to spread awareness on gender rights, health, and financial literacy.</w:t>
      </w:r>
    </w:p>
    <w:p>
      <w:pPr>
        <w:pStyle w:val="ListBullet"/>
        <w:ind w:left="357"/>
        <w:jc w:val="both"/>
      </w:pPr>
      <w:r>
        <w:rPr>
          <w:rFonts w:ascii="Cambria" w:hAnsi="Cambria"/>
          <w:sz w:val="22"/>
        </w:rPr>
        <w:t>Develop interactive online portals to address issues like harassment reporting, healthcare access, and women's safety.</w:t>
      </w:r>
    </w:p>
    <w:p>
      <w:pPr>
        <w:pStyle w:val="ListBullet"/>
        <w:ind w:left="357"/>
        <w:jc w:val="both"/>
      </w:pPr>
      <w:r>
        <w:rPr>
          <w:rFonts w:ascii="Cambria" w:hAnsi="Cambria"/>
          <w:sz w:val="22"/>
        </w:rPr>
        <w:t>Encourage women to use ICT tools for civic participation, including digital voting awareness, grievance redressal, and public consultation forums.</w:t>
      </w:r>
    </w:p>
    <w:p>
      <w:pPr>
        <w:spacing w:after="120"/>
        <w:jc w:val="both"/>
      </w:pPr>
      <w:r>
        <w:rPr>
          <w:rFonts w:ascii="Cambria" w:hAnsi="Cambria"/>
          <w:b/>
          <w:i w:val="0"/>
          <w:sz w:val="22"/>
        </w:rPr>
        <w:t>Technology for Education and Capacity Building</w:t>
      </w:r>
    </w:p>
    <w:p>
      <w:pPr>
        <w:pStyle w:val="ListBullet"/>
        <w:ind w:left="357"/>
        <w:jc w:val="both"/>
      </w:pPr>
      <w:r>
        <w:rPr>
          <w:rFonts w:ascii="Cambria" w:hAnsi="Cambria"/>
          <w:sz w:val="22"/>
        </w:rPr>
        <w:t>Deploy massive open online courses (MOOCs) and digital learning tools for continuous education and skill development among women.</w:t>
      </w:r>
    </w:p>
    <w:p>
      <w:pPr>
        <w:pStyle w:val="ListBullet"/>
        <w:ind w:left="357"/>
        <w:jc w:val="both"/>
      </w:pPr>
      <w:r>
        <w:rPr>
          <w:rFonts w:ascii="Cambria" w:hAnsi="Cambria"/>
          <w:sz w:val="22"/>
        </w:rPr>
        <w:t>Collaborate with global platforms (Coursera, edX, SWAYAM) to design specialized gender and technology integration courses.</w:t>
      </w:r>
    </w:p>
    <w:p>
      <w:pPr>
        <w:pStyle w:val="ListBullet"/>
        <w:ind w:left="357"/>
        <w:jc w:val="both"/>
      </w:pPr>
      <w:r>
        <w:rPr>
          <w:rFonts w:ascii="Cambria" w:hAnsi="Cambria"/>
          <w:sz w:val="22"/>
        </w:rPr>
        <w:t>Build digital mentorship networks linking women students with industry professionals and researchers worldwide.</w:t>
      </w:r>
    </w:p>
    <w:p>
      <w:pPr>
        <w:spacing w:before="200" w:after="80"/>
        <w:jc w:val="left"/>
      </w:pPr>
      <w:r>
        <w:rPr>
          <w:rFonts w:ascii="Cambria" w:hAnsi="Cambria"/>
          <w:b/>
          <w:color w:val="1F3A5F"/>
          <w:sz w:val="25"/>
        </w:rPr>
        <w:t>6. Safety, Security, and Digital Rights</w:t>
      </w:r>
    </w:p>
    <w:p>
      <w:pPr>
        <w:spacing w:after="120"/>
        <w:jc w:val="both"/>
      </w:pPr>
      <w:r>
        <w:rPr>
          <w:rFonts w:ascii="Cambria" w:hAnsi="Cambria"/>
          <w:b/>
          <w:i w:val="0"/>
          <w:sz w:val="22"/>
        </w:rPr>
        <w:t>Cyber Safety and Digital Protection</w:t>
      </w:r>
    </w:p>
    <w:p>
      <w:pPr>
        <w:pStyle w:val="ListBullet"/>
        <w:ind w:left="357"/>
        <w:jc w:val="both"/>
      </w:pPr>
      <w:r>
        <w:rPr>
          <w:rFonts w:ascii="Cambria" w:hAnsi="Cambria"/>
          <w:sz w:val="22"/>
        </w:rPr>
        <w:t>Launch national campaigns on cybersecurity awareness and online safety for women and girls.</w:t>
      </w:r>
    </w:p>
    <w:p>
      <w:pPr>
        <w:pStyle w:val="ListBullet"/>
        <w:ind w:left="357"/>
        <w:jc w:val="both"/>
      </w:pPr>
      <w:r>
        <w:rPr>
          <w:rFonts w:ascii="Cambria" w:hAnsi="Cambria"/>
          <w:sz w:val="22"/>
        </w:rPr>
        <w:t>Introduce legal mechanisms to combat cyberbullying, online harassment, and identity theft, ensuring a safe digital environment.</w:t>
      </w:r>
    </w:p>
    <w:p>
      <w:pPr>
        <w:pStyle w:val="ListBullet"/>
        <w:ind w:left="357"/>
        <w:jc w:val="both"/>
      </w:pPr>
      <w:r>
        <w:rPr>
          <w:rFonts w:ascii="Cambria" w:hAnsi="Cambria"/>
          <w:sz w:val="22"/>
        </w:rPr>
        <w:t>Train women in data privacy, secure communication, and digital rights awareness through government-supported workshops.</w:t>
      </w:r>
    </w:p>
    <w:p>
      <w:pPr>
        <w:spacing w:after="120"/>
        <w:jc w:val="both"/>
      </w:pPr>
      <w:r>
        <w:rPr>
          <w:rFonts w:ascii="Cambria" w:hAnsi="Cambria"/>
          <w:b/>
          <w:i w:val="0"/>
          <w:sz w:val="22"/>
        </w:rPr>
        <w:t>Monitoring Digital Gender Gaps</w:t>
      </w:r>
    </w:p>
    <w:p>
      <w:pPr>
        <w:pStyle w:val="ListBullet"/>
        <w:ind w:left="357"/>
        <w:jc w:val="both"/>
      </w:pPr>
      <w:r>
        <w:rPr>
          <w:rFonts w:ascii="Cambria" w:hAnsi="Cambria"/>
          <w:sz w:val="22"/>
        </w:rPr>
        <w:t>Establish a National Digital Gender Index (NDGI) to monitor women's participation, skills, and access to ICT resources.</w:t>
      </w:r>
    </w:p>
    <w:p>
      <w:pPr>
        <w:pStyle w:val="ListBullet"/>
        <w:ind w:left="357"/>
        <w:jc w:val="both"/>
      </w:pPr>
      <w:r>
        <w:rPr>
          <w:rFonts w:ascii="Cambria" w:hAnsi="Cambria"/>
          <w:sz w:val="22"/>
        </w:rPr>
        <w:t>Conduct periodic digital inclusion audits in educational and workplace institutions to assess equality benchmarks.</w:t>
      </w:r>
    </w:p>
    <w:p>
      <w:pPr>
        <w:spacing w:before="200" w:after="80"/>
        <w:jc w:val="left"/>
      </w:pPr>
      <w:r>
        <w:rPr>
          <w:rFonts w:ascii="Cambria" w:hAnsi="Cambria"/>
          <w:b/>
          <w:color w:val="1F3A5F"/>
          <w:sz w:val="25"/>
        </w:rPr>
        <w:t>7. Expected Outcomes</w:t>
      </w:r>
    </w:p>
    <w:p>
      <w:pPr>
        <w:pStyle w:val="ListBullet"/>
        <w:ind w:left="357"/>
        <w:jc w:val="both"/>
      </w:pPr>
      <w:r>
        <w:rPr>
          <w:rFonts w:ascii="Cambria" w:hAnsi="Cambria"/>
          <w:sz w:val="22"/>
        </w:rPr>
        <w:t>Increased female participation in digital and tech-driven sectors.</w:t>
      </w:r>
    </w:p>
    <w:p>
      <w:pPr>
        <w:pStyle w:val="ListBullet"/>
        <w:ind w:left="357"/>
        <w:jc w:val="both"/>
      </w:pPr>
      <w:r>
        <w:rPr>
          <w:rFonts w:ascii="Cambria" w:hAnsi="Cambria"/>
          <w:sz w:val="22"/>
        </w:rPr>
        <w:t>Reduction of the digital gender divide, ensuring equitable access to ICT infrastructure and education.</w:t>
      </w:r>
    </w:p>
    <w:p>
      <w:pPr>
        <w:pStyle w:val="ListBullet"/>
        <w:ind w:left="357"/>
        <w:jc w:val="both"/>
      </w:pPr>
      <w:r>
        <w:rPr>
          <w:rFonts w:ascii="Cambria" w:hAnsi="Cambria"/>
          <w:sz w:val="22"/>
        </w:rPr>
        <w:t>Enhanced economic empowerment through online entrepreneurship and remote work.</w:t>
      </w:r>
    </w:p>
    <w:p>
      <w:pPr>
        <w:pStyle w:val="ListBullet"/>
        <w:ind w:left="357"/>
        <w:jc w:val="both"/>
      </w:pPr>
      <w:r>
        <w:rPr>
          <w:rFonts w:ascii="Cambria" w:hAnsi="Cambria"/>
          <w:sz w:val="22"/>
        </w:rPr>
        <w:t>Stronger social inclusion and civic engagement among women via digital platforms.</w:t>
      </w:r>
    </w:p>
    <w:p>
      <w:pPr>
        <w:pStyle w:val="ListBullet"/>
        <w:ind w:left="357"/>
        <w:jc w:val="both"/>
      </w:pPr>
      <w:r>
        <w:rPr>
          <w:rFonts w:ascii="Cambria" w:hAnsi="Cambria"/>
          <w:sz w:val="22"/>
        </w:rPr>
        <w:t>Improved representation of women in leadership roles within the technology ecosystem.</w:t>
      </w:r>
    </w:p>
    <w:p>
      <w:pPr>
        <w:spacing w:before="200" w:after="80"/>
        <w:jc w:val="left"/>
      </w:pPr>
      <w:r>
        <w:rPr>
          <w:rFonts w:ascii="Cambria" w:hAnsi="Cambria"/>
          <w:b/>
          <w:color w:val="1F3A5F"/>
          <w:sz w:val="25"/>
        </w:rPr>
        <w:t>8. Conclusion</w:t>
      </w:r>
    </w:p>
    <w:p>
      <w:pPr>
        <w:pStyle w:val="ListBullet"/>
        <w:ind w:left="357"/>
        <w:jc w:val="both"/>
      </w:pPr>
      <w:r>
        <w:rPr>
          <w:rFonts w:ascii="Cambria" w:hAnsi="Cambria"/>
          <w:sz w:val="22"/>
        </w:rPr>
        <w:t>Achieving SDG Target 5.b requires embedding technology as a tool for inclusion, education, and empowerment of women.</w:t>
      </w:r>
    </w:p>
    <w:p>
      <w:pPr>
        <w:pStyle w:val="ListBullet"/>
        <w:ind w:left="357"/>
        <w:jc w:val="both"/>
      </w:pPr>
      <w:r>
        <w:rPr>
          <w:rFonts w:ascii="Cambria" w:hAnsi="Cambria"/>
          <w:sz w:val="22"/>
        </w:rPr>
        <w:t>Through the use of AI, ICT, Cloud computing, and online platforms, women can transcend socio-economic barriers and actively contribute to the nation's growth.</w:t>
      </w:r>
    </w:p>
    <w:p>
      <w:pPr>
        <w:pStyle w:val="ListBullet"/>
        <w:ind w:left="357"/>
        <w:jc w:val="both"/>
      </w:pPr>
      <w:r>
        <w:rPr>
          <w:rFonts w:ascii="Cambria" w:hAnsi="Cambria"/>
          <w:sz w:val="22"/>
        </w:rPr>
        <w:t>Regulatory bodies, educational institutions, and industries must jointly champion the digital empowerment of women, ensuring their rightful place in the knowledge-driven economy and innovation ecosystem.</w:t>
      </w:r>
    </w:p>
    <w:p>
      <w:pPr>
        <w:pStyle w:val="ListBullet"/>
        <w:ind w:left="357"/>
        <w:jc w:val="both"/>
      </w:pPr>
      <w:r>
        <w:rPr>
          <w:rFonts w:ascii="Cambria" w:hAnsi="Cambria"/>
          <w:sz w:val="22"/>
        </w:rPr>
        <w:t>Enabling technology is not just a means for employment — it is a pathway to equality, autonomy, and leadership for women in the 21st century.</w:t>
      </w:r>
    </w:p>
    <w:p>
      <w:pPr>
        <w:spacing w:before="240" w:after="120"/>
        <w:jc w:val="left"/>
      </w:pPr>
      <w:r>
        <w:rPr>
          <w:rFonts w:ascii="Cambria" w:hAnsi="Cambria"/>
          <w:b/>
          <w:color w:val="1F3A5F"/>
          <w:sz w:val="28"/>
        </w:rPr>
        <w:t>SDG Target 5.c — Strengthen and Adopt Policies and Enforceable Legislation to Promote Gender Equality and Empower All Women and Girls at All Levels</w:t>
      </w:r>
    </w:p>
    <w:p>
      <w:pPr>
        <w:spacing w:before="200" w:after="80"/>
        <w:jc w:val="left"/>
      </w:pPr>
      <w:r>
        <w:rPr>
          <w:rFonts w:ascii="Cambria" w:hAnsi="Cambria"/>
          <w:b/>
          <w:color w:val="1F3A5F"/>
          <w:sz w:val="25"/>
        </w:rPr>
        <w:t>1. Institutionalizing Gender Equality through Policy Frameworks</w:t>
      </w:r>
    </w:p>
    <w:p>
      <w:pPr>
        <w:spacing w:after="120"/>
        <w:jc w:val="both"/>
      </w:pPr>
      <w:r>
        <w:rPr>
          <w:rFonts w:ascii="Cambria" w:hAnsi="Cambria"/>
          <w:b/>
          <w:i w:val="0"/>
          <w:sz w:val="22"/>
        </w:rPr>
        <w:t>Comprehensive Policy Development</w:t>
      </w:r>
    </w:p>
    <w:p>
      <w:pPr>
        <w:pStyle w:val="ListBullet"/>
        <w:ind w:left="357"/>
        <w:jc w:val="both"/>
      </w:pPr>
      <w:r>
        <w:rPr>
          <w:rFonts w:ascii="Cambria" w:hAnsi="Cambria"/>
          <w:sz w:val="22"/>
        </w:rPr>
        <w:t>Each government department, public sector institution, and regulatory agency must design and implement a gender equality framework covering planning, management, conduct, monitoring, and evaluation processes.</w:t>
      </w:r>
    </w:p>
    <w:p>
      <w:pPr>
        <w:pStyle w:val="ListBullet"/>
        <w:ind w:left="357"/>
        <w:jc w:val="both"/>
      </w:pPr>
      <w:r>
        <w:rPr>
          <w:rFonts w:ascii="Cambria" w:hAnsi="Cambria"/>
          <w:sz w:val="22"/>
        </w:rPr>
        <w:t>Policies should ensure equal representation, non-discrimination, and gender sensitivity in recruitment, promotions, decision-making, and service delivery.</w:t>
      </w:r>
    </w:p>
    <w:p>
      <w:pPr>
        <w:pStyle w:val="ListBullet"/>
        <w:ind w:left="357"/>
        <w:jc w:val="both"/>
      </w:pPr>
      <w:r>
        <w:rPr>
          <w:rFonts w:ascii="Cambria" w:hAnsi="Cambria"/>
          <w:sz w:val="22"/>
        </w:rPr>
        <w:t>Introduce sector-specific gender policies for education, health, agriculture, labour, technology, and finance, ensuring inclusion at every administrative level.</w:t>
      </w:r>
    </w:p>
    <w:p>
      <w:pPr>
        <w:spacing w:after="120"/>
        <w:ind w:left="720"/>
      </w:pPr>
      <w:r>
        <w:rPr>
          <w:rFonts w:ascii="Cambria" w:hAnsi="Cambria"/>
          <w:sz w:val="22"/>
        </w:rPr>
        <w:t xml:space="preserve">• Establish a National Gender Equality Policy Framework (NGE-PF) aligned with </w:t>
      </w:r>
      <w:r>
        <w:rPr>
          <w:rFonts w:ascii="Cambria" w:hAnsi="Cambria"/>
          <w:i/>
          <w:sz w:val="22"/>
        </w:rPr>
        <w:t>SDG-5</w:t>
      </w:r>
      <w:r>
        <w:rPr>
          <w:rFonts w:ascii="Cambria" w:hAnsi="Cambria"/>
          <w:sz w:val="22"/>
        </w:rPr>
        <w:t xml:space="preserve">, </w:t>
      </w:r>
      <w:r>
        <w:rPr>
          <w:rFonts w:ascii="Cambria" w:hAnsi="Cambria"/>
          <w:i/>
          <w:sz w:val="22"/>
        </w:rPr>
        <w:t>CEDAW</w:t>
      </w:r>
      <w:r>
        <w:rPr>
          <w:rFonts w:ascii="Cambria" w:hAnsi="Cambria"/>
          <w:sz w:val="22"/>
        </w:rPr>
        <w:t xml:space="preserve"> (Convention on the Elimination of All Forms of Discrimination Against Women), and </w:t>
      </w:r>
      <w:r>
        <w:rPr>
          <w:rFonts w:ascii="Cambria" w:hAnsi="Cambria"/>
          <w:i/>
          <w:sz w:val="22"/>
        </w:rPr>
        <w:t>India's National Policy for Women (2016)</w:t>
      </w:r>
      <w:r>
        <w:rPr>
          <w:rFonts w:ascii="Cambria" w:hAnsi="Cambria"/>
          <w:sz w:val="22"/>
        </w:rPr>
        <w:t>.</w:t>
      </w:r>
    </w:p>
    <w:p>
      <w:pPr>
        <w:spacing w:after="120"/>
        <w:jc w:val="both"/>
      </w:pPr>
      <w:r>
        <w:rPr>
          <w:rFonts w:ascii="Cambria" w:hAnsi="Cambria"/>
          <w:b/>
          <w:i w:val="0"/>
          <w:sz w:val="22"/>
        </w:rPr>
        <w:t>Gender Mainstreaming Across Governance</w:t>
      </w:r>
    </w:p>
    <w:p>
      <w:pPr>
        <w:pStyle w:val="ListBullet"/>
        <w:ind w:left="357"/>
        <w:jc w:val="both"/>
      </w:pPr>
      <w:r>
        <w:rPr>
          <w:rFonts w:ascii="Cambria" w:hAnsi="Cambria"/>
          <w:sz w:val="22"/>
        </w:rPr>
        <w:t>Mandate gender mainstreaming in all government schemes, ensuring every new policy includes a gender impact assessment before approval.</w:t>
      </w:r>
    </w:p>
    <w:p>
      <w:pPr>
        <w:pStyle w:val="ListBullet"/>
        <w:ind w:left="357"/>
        <w:jc w:val="both"/>
      </w:pPr>
      <w:r>
        <w:rPr>
          <w:rFonts w:ascii="Cambria" w:hAnsi="Cambria"/>
          <w:sz w:val="22"/>
        </w:rPr>
        <w:t>Integrate Gender Responsive Budgeting (GRB) in national and state budgets to allocate resources for women's empowerment programs.</w:t>
      </w:r>
    </w:p>
    <w:p>
      <w:pPr>
        <w:pStyle w:val="ListBullet"/>
        <w:ind w:left="357"/>
        <w:jc w:val="both"/>
      </w:pPr>
      <w:r>
        <w:rPr>
          <w:rFonts w:ascii="Cambria" w:hAnsi="Cambria"/>
          <w:sz w:val="22"/>
        </w:rPr>
        <w:t>Require annual Gender Equity Reports from ministries and public institutions to evaluate progress and highlight achievements.</w:t>
      </w:r>
    </w:p>
    <w:p>
      <w:pPr>
        <w:spacing w:before="200" w:after="80"/>
        <w:jc w:val="left"/>
      </w:pPr>
      <w:r>
        <w:rPr>
          <w:rFonts w:ascii="Cambria" w:hAnsi="Cambria"/>
          <w:b/>
          <w:color w:val="1F3A5F"/>
          <w:sz w:val="25"/>
        </w:rPr>
        <w:t>2. Designing an Enforceable Governance Framework</w:t>
      </w:r>
    </w:p>
    <w:p>
      <w:pPr>
        <w:spacing w:after="120"/>
        <w:jc w:val="both"/>
      </w:pPr>
      <w:r>
        <w:rPr>
          <w:rFonts w:ascii="Cambria" w:hAnsi="Cambria"/>
          <w:b/>
          <w:i w:val="0"/>
          <w:sz w:val="22"/>
        </w:rPr>
        <w:t>Structured Implementation Mechanism</w:t>
      </w:r>
    </w:p>
    <w:p>
      <w:pPr>
        <w:pStyle w:val="ListBullet"/>
        <w:ind w:left="357"/>
        <w:jc w:val="both"/>
      </w:pPr>
      <w:r>
        <w:rPr>
          <w:rFonts w:ascii="Cambria" w:hAnsi="Cambria"/>
          <w:sz w:val="22"/>
        </w:rPr>
        <w:t>Create a multi-level governance model ensuring that policy design, execution, monitoring, and review are decentralized yet standardized across all sectors.</w:t>
      </w:r>
    </w:p>
    <w:p>
      <w:pPr>
        <w:pStyle w:val="ListBullet"/>
        <w:ind w:left="357"/>
        <w:jc w:val="both"/>
      </w:pPr>
      <w:r>
        <w:rPr>
          <w:rFonts w:ascii="Cambria" w:hAnsi="Cambria"/>
          <w:sz w:val="22"/>
        </w:rPr>
        <w:t>Define clear roles and responsibilities for implementing agencies, ensuring accountability for achieving gender equality outcomes.</w:t>
      </w:r>
    </w:p>
    <w:p>
      <w:pPr>
        <w:pStyle w:val="ListBullet"/>
        <w:ind w:left="357"/>
        <w:jc w:val="both"/>
      </w:pPr>
      <w:r>
        <w:rPr>
          <w:rFonts w:ascii="Cambria" w:hAnsi="Cambria"/>
          <w:sz w:val="22"/>
        </w:rPr>
        <w:t>Implement a Performance Monitoring and Evaluation System (PMES) for periodic assessment of institutional compliance.</w:t>
      </w:r>
    </w:p>
    <w:p>
      <w:pPr>
        <w:pStyle w:val="ListBullet"/>
        <w:ind w:left="357"/>
        <w:jc w:val="both"/>
      </w:pPr>
      <w:r>
        <w:rPr>
          <w:rFonts w:ascii="Cambria" w:hAnsi="Cambria"/>
          <w:sz w:val="22"/>
        </w:rPr>
        <w:t>Encourage cross-sectoral convergence between ministries — Women &amp; Child Development, Education, Health, Labour, and Rural Development — for unified policy enforcement.</w:t>
      </w:r>
    </w:p>
    <w:p>
      <w:pPr>
        <w:spacing w:after="120"/>
        <w:jc w:val="both"/>
      </w:pPr>
      <w:r>
        <w:rPr>
          <w:rFonts w:ascii="Cambria" w:hAnsi="Cambria"/>
          <w:b/>
          <w:i w:val="0"/>
          <w:sz w:val="22"/>
        </w:rPr>
        <w:t>Accountability and Legal Backing</w:t>
      </w:r>
    </w:p>
    <w:p>
      <w:pPr>
        <w:pStyle w:val="ListBullet"/>
        <w:ind w:left="357"/>
        <w:jc w:val="both"/>
      </w:pPr>
      <w:r>
        <w:rPr>
          <w:rFonts w:ascii="Cambria" w:hAnsi="Cambria"/>
          <w:sz w:val="22"/>
        </w:rPr>
        <w:t>Strengthen legal frameworks to make gender equality policies enforceable, not advisory.</w:t>
      </w:r>
    </w:p>
    <w:p>
      <w:pPr>
        <w:pStyle w:val="ListBullet"/>
        <w:ind w:left="357"/>
        <w:jc w:val="both"/>
      </w:pPr>
      <w:r>
        <w:rPr>
          <w:rFonts w:ascii="Cambria" w:hAnsi="Cambria"/>
          <w:sz w:val="22"/>
        </w:rPr>
        <w:t>Ensure that every public and private organization designates an Internal Gender Compliance Officer to monitor adherence to equality standards.</w:t>
      </w:r>
    </w:p>
    <w:p>
      <w:pPr>
        <w:pStyle w:val="ListBullet"/>
        <w:ind w:left="357"/>
        <w:jc w:val="both"/>
      </w:pPr>
      <w:r>
        <w:rPr>
          <w:rFonts w:ascii="Cambria" w:hAnsi="Cambria"/>
          <w:sz w:val="22"/>
        </w:rPr>
        <w:t>Introduce penalties and corrective mechanisms for institutions violating gender equality mandates or failing to ensure workplace equity.</w:t>
      </w:r>
    </w:p>
    <w:p>
      <w:pPr>
        <w:spacing w:before="200" w:after="80"/>
        <w:jc w:val="left"/>
      </w:pPr>
      <w:r>
        <w:rPr>
          <w:rFonts w:ascii="Cambria" w:hAnsi="Cambria"/>
          <w:b/>
          <w:color w:val="1F3A5F"/>
          <w:sz w:val="25"/>
        </w:rPr>
        <w:t>3. Key National Initiatives for Gender Equality</w:t>
      </w:r>
    </w:p>
    <w:p>
      <w:pPr>
        <w:spacing w:after="120"/>
        <w:jc w:val="both"/>
      </w:pPr>
      <w:r>
        <w:rPr>
          <w:rFonts w:ascii="Cambria" w:hAnsi="Cambria"/>
          <w:b/>
          <w:i w:val="0"/>
          <w:sz w:val="22"/>
        </w:rPr>
        <w:t>Beti Bachao Beti Padhao (BBBP)</w:t>
      </w:r>
    </w:p>
    <w:p>
      <w:pPr>
        <w:pStyle w:val="ListBullet"/>
        <w:ind w:left="357"/>
        <w:jc w:val="both"/>
      </w:pPr>
      <w:r>
        <w:rPr>
          <w:rFonts w:ascii="Cambria" w:hAnsi="Cambria"/>
          <w:sz w:val="22"/>
        </w:rPr>
        <w:t>A flagship initiative of the Government of India focusing on protecting the girl child and promoting her education.</w:t>
      </w:r>
    </w:p>
    <w:p>
      <w:pPr>
        <w:pStyle w:val="ListBullet"/>
        <w:ind w:left="357"/>
        <w:jc w:val="both"/>
      </w:pPr>
      <w:r>
        <w:rPr>
          <w:rFonts w:ascii="Cambria" w:hAnsi="Cambria"/>
          <w:sz w:val="22"/>
        </w:rPr>
        <w:t>Aims to correct the declining child sex ratio, enhance awareness about the value of the girl child, and ensure equal access to education and healthcare.</w:t>
      </w:r>
    </w:p>
    <w:p>
      <w:pPr>
        <w:pStyle w:val="ListBullet"/>
        <w:ind w:left="357"/>
        <w:jc w:val="both"/>
      </w:pPr>
      <w:r>
        <w:rPr>
          <w:rFonts w:ascii="Cambria" w:hAnsi="Cambria"/>
          <w:sz w:val="22"/>
        </w:rPr>
        <w:t>Encourages community participation, local governance involvement, and media outreach to eliminate gender bias at the grassroots level.</w:t>
      </w:r>
    </w:p>
    <w:p>
      <w:pPr>
        <w:spacing w:after="120"/>
        <w:jc w:val="both"/>
      </w:pPr>
      <w:r>
        <w:rPr>
          <w:rFonts w:ascii="Cambria" w:hAnsi="Cambria"/>
          <w:b/>
          <w:i w:val="0"/>
          <w:sz w:val="22"/>
        </w:rPr>
        <w:t>Sukanya Samriddhi Yojana (SSY)</w:t>
      </w:r>
    </w:p>
    <w:p>
      <w:pPr>
        <w:spacing w:after="120"/>
        <w:ind w:left="720"/>
      </w:pPr>
      <w:r>
        <w:rPr>
          <w:rFonts w:ascii="Cambria" w:hAnsi="Cambria"/>
          <w:sz w:val="22"/>
        </w:rPr>
        <w:t xml:space="preserve">• A financial inclusion and savings scheme under the </w:t>
      </w:r>
      <w:r>
        <w:rPr>
          <w:rFonts w:ascii="Cambria" w:hAnsi="Cambria"/>
          <w:i/>
          <w:sz w:val="22"/>
        </w:rPr>
        <w:t>Beti Bachao Beti Padhao</w:t>
      </w:r>
      <w:r>
        <w:rPr>
          <w:rFonts w:ascii="Cambria" w:hAnsi="Cambria"/>
          <w:sz w:val="22"/>
        </w:rPr>
        <w:t xml:space="preserve"> initiative, promoting economic security and future prosperity for girl children.</w:t>
      </w:r>
    </w:p>
    <w:p>
      <w:pPr>
        <w:pStyle w:val="ListBullet"/>
        <w:ind w:left="357"/>
        <w:jc w:val="both"/>
      </w:pPr>
      <w:r>
        <w:rPr>
          <w:rFonts w:ascii="Cambria" w:hAnsi="Cambria"/>
          <w:sz w:val="22"/>
        </w:rPr>
        <w:t>Enables parents to open long-term savings accounts for girls aged below 10, with high interest rates and tax benefits.</w:t>
      </w:r>
    </w:p>
    <w:p>
      <w:pPr>
        <w:pStyle w:val="ListBullet"/>
        <w:ind w:left="357"/>
        <w:jc w:val="both"/>
      </w:pPr>
      <w:r>
        <w:rPr>
          <w:rFonts w:ascii="Cambria" w:hAnsi="Cambria"/>
          <w:sz w:val="22"/>
        </w:rPr>
        <w:t>Supports the goal of reducing economic dependency and ensuring financial preparedness for girls' education and development.</w:t>
      </w:r>
    </w:p>
    <w:p>
      <w:pPr>
        <w:spacing w:after="120"/>
        <w:jc w:val="both"/>
      </w:pPr>
      <w:r>
        <w:rPr>
          <w:rFonts w:ascii="Cambria" w:hAnsi="Cambria"/>
          <w:b/>
          <w:i w:val="0"/>
          <w:sz w:val="22"/>
        </w:rPr>
        <w:t>Complementary Government Schemes</w:t>
      </w:r>
    </w:p>
    <w:p>
      <w:pPr>
        <w:pStyle w:val="ListBullet"/>
        <w:ind w:left="357"/>
        <w:jc w:val="both"/>
      </w:pPr>
      <w:r>
        <w:rPr>
          <w:rFonts w:ascii="Cambria" w:hAnsi="Cambria"/>
          <w:b/>
          <w:sz w:val="22"/>
        </w:rPr>
        <w:t xml:space="preserve">Mahila Shakti Kendra (MSK): </w:t>
      </w:r>
      <w:r>
        <w:rPr>
          <w:rFonts w:ascii="Cambria" w:hAnsi="Cambria"/>
          <w:sz w:val="22"/>
        </w:rPr>
        <w:t>Empowers rural women through skill development, digital literacy, and social awareness.</w:t>
      </w:r>
    </w:p>
    <w:p>
      <w:pPr>
        <w:pStyle w:val="ListBullet"/>
        <w:ind w:left="357"/>
        <w:jc w:val="both"/>
      </w:pPr>
      <w:r>
        <w:rPr>
          <w:rFonts w:ascii="Cambria" w:hAnsi="Cambria"/>
          <w:b/>
          <w:sz w:val="22"/>
        </w:rPr>
        <w:t xml:space="preserve">Nirbhaya Fund: </w:t>
      </w:r>
      <w:r>
        <w:rPr>
          <w:rFonts w:ascii="Cambria" w:hAnsi="Cambria"/>
          <w:sz w:val="22"/>
        </w:rPr>
        <w:t>Supports initiatives for women's safety and justice.</w:t>
      </w:r>
    </w:p>
    <w:p>
      <w:pPr>
        <w:pStyle w:val="ListBullet"/>
        <w:ind w:left="357"/>
        <w:jc w:val="both"/>
      </w:pPr>
      <w:r>
        <w:rPr>
          <w:rFonts w:ascii="Cambria" w:hAnsi="Cambria"/>
          <w:b/>
          <w:sz w:val="22"/>
        </w:rPr>
        <w:t xml:space="preserve">One Stop Centres (OSC): </w:t>
      </w:r>
      <w:r>
        <w:rPr>
          <w:rFonts w:ascii="Cambria" w:hAnsi="Cambria"/>
          <w:sz w:val="22"/>
        </w:rPr>
        <w:t>Provide integrated services such as legal aid, medical care, and counselling to victims of violence.</w:t>
      </w:r>
    </w:p>
    <w:p>
      <w:pPr>
        <w:pStyle w:val="ListBullet"/>
        <w:ind w:left="357"/>
        <w:jc w:val="both"/>
      </w:pPr>
      <w:r>
        <w:rPr>
          <w:rFonts w:ascii="Cambria" w:hAnsi="Cambria"/>
          <w:b/>
          <w:sz w:val="22"/>
        </w:rPr>
        <w:t xml:space="preserve">National Mission for Empowerment of Women (NMEW): </w:t>
      </w:r>
      <w:r>
        <w:rPr>
          <w:rFonts w:ascii="Cambria" w:hAnsi="Cambria"/>
          <w:sz w:val="22"/>
        </w:rPr>
        <w:t>Coordinates and monitors gender equality initiatives across ministries.</w:t>
      </w:r>
    </w:p>
    <w:p>
      <w:pPr>
        <w:spacing w:before="200" w:after="80"/>
        <w:jc w:val="left"/>
      </w:pPr>
      <w:r>
        <w:rPr>
          <w:rFonts w:ascii="Cambria" w:hAnsi="Cambria"/>
          <w:b/>
          <w:color w:val="1F3A5F"/>
          <w:sz w:val="25"/>
        </w:rPr>
        <w:t>4. Policy Reforms for Legislative Strengthening</w:t>
      </w:r>
    </w:p>
    <w:p>
      <w:pPr>
        <w:spacing w:after="120"/>
        <w:jc w:val="both"/>
      </w:pPr>
      <w:r>
        <w:rPr>
          <w:rFonts w:ascii="Cambria" w:hAnsi="Cambria"/>
          <w:b/>
          <w:i w:val="0"/>
          <w:sz w:val="22"/>
        </w:rPr>
        <w:t>Strengthening Legal Provisions</w:t>
      </w:r>
    </w:p>
    <w:p>
      <w:pPr>
        <w:pStyle w:val="ListBullet"/>
        <w:ind w:left="357"/>
        <w:jc w:val="both"/>
      </w:pPr>
      <w:r>
        <w:rPr>
          <w:rFonts w:ascii="Cambria" w:hAnsi="Cambria"/>
          <w:b/>
          <w:sz w:val="22"/>
        </w:rPr>
        <w:t xml:space="preserve">Enforce and strengthen gender equality laws such as: </w:t>
      </w:r>
      <w:r>
        <w:rPr>
          <w:rFonts w:ascii="Cambria" w:hAnsi="Cambria"/>
          <w:sz w:val="22"/>
        </w:rPr>
      </w:r>
    </w:p>
    <w:p>
      <w:pPr>
        <w:spacing w:after="80"/>
        <w:ind w:left="1077"/>
      </w:pPr>
      <w:r>
        <w:rPr>
          <w:rFonts w:ascii="Cambria" w:hAnsi="Cambria"/>
          <w:sz w:val="22"/>
        </w:rPr>
        <w:t xml:space="preserve">o  </w:t>
      </w:r>
      <w:r>
        <w:rPr>
          <w:rFonts w:ascii="Cambria" w:hAnsi="Cambria"/>
          <w:i/>
          <w:sz w:val="22"/>
        </w:rPr>
        <w:t>Equal Remuneration Act, 1976</w:t>
      </w:r>
    </w:p>
    <w:p>
      <w:pPr>
        <w:spacing w:after="80"/>
        <w:ind w:left="1077"/>
      </w:pPr>
      <w:r>
        <w:rPr>
          <w:rFonts w:ascii="Cambria" w:hAnsi="Cambria"/>
          <w:sz w:val="22"/>
        </w:rPr>
        <w:t xml:space="preserve">o  </w:t>
      </w:r>
      <w:r>
        <w:rPr>
          <w:rFonts w:ascii="Cambria" w:hAnsi="Cambria"/>
          <w:i/>
          <w:sz w:val="22"/>
        </w:rPr>
        <w:t>Maternity Benefit Act, 1961 (Amended 2017)</w:t>
      </w:r>
    </w:p>
    <w:p>
      <w:pPr>
        <w:spacing w:after="80"/>
        <w:ind w:left="1077"/>
      </w:pPr>
      <w:r>
        <w:rPr>
          <w:rFonts w:ascii="Cambria" w:hAnsi="Cambria"/>
          <w:sz w:val="22"/>
        </w:rPr>
        <w:t xml:space="preserve">o  </w:t>
      </w:r>
      <w:r>
        <w:rPr>
          <w:rFonts w:ascii="Cambria" w:hAnsi="Cambria"/>
          <w:i/>
          <w:sz w:val="22"/>
        </w:rPr>
        <w:t>Sexual Harassment of Women at Workplace Act, 2013</w:t>
      </w:r>
    </w:p>
    <w:p>
      <w:pPr>
        <w:spacing w:after="80"/>
        <w:ind w:left="1077"/>
      </w:pPr>
      <w:r>
        <w:rPr>
          <w:rFonts w:ascii="Cambria" w:hAnsi="Cambria"/>
          <w:sz w:val="22"/>
        </w:rPr>
        <w:t xml:space="preserve">o  </w:t>
      </w:r>
      <w:r>
        <w:rPr>
          <w:rFonts w:ascii="Cambria" w:hAnsi="Cambria"/>
          <w:i/>
          <w:sz w:val="22"/>
        </w:rPr>
        <w:t>Prohibition of Child Marriage Act, 2006</w:t>
      </w:r>
    </w:p>
    <w:p>
      <w:pPr>
        <w:spacing w:after="80"/>
        <w:ind w:left="1077"/>
      </w:pPr>
      <w:r>
        <w:rPr>
          <w:rFonts w:ascii="Cambria" w:hAnsi="Cambria"/>
          <w:sz w:val="22"/>
        </w:rPr>
        <w:t xml:space="preserve">o  </w:t>
      </w:r>
      <w:r>
        <w:rPr>
          <w:rFonts w:ascii="Cambria" w:hAnsi="Cambria"/>
          <w:i/>
          <w:sz w:val="22"/>
        </w:rPr>
        <w:t>Protection of Women from Domestic Violence Act, 2005</w:t>
      </w:r>
    </w:p>
    <w:p>
      <w:pPr>
        <w:pStyle w:val="ListBullet2"/>
        <w:ind w:left="720"/>
        <w:jc w:val="both"/>
      </w:pPr>
      <w:r>
        <w:rPr>
          <w:rFonts w:ascii="Cambria" w:hAnsi="Cambria"/>
          <w:sz w:val="22"/>
        </w:rPr>
        <w:t>Introduce comprehensive anti-discrimination legislation protecting women in both formal and informal sectors.</w:t>
      </w:r>
    </w:p>
    <w:p>
      <w:pPr>
        <w:pStyle w:val="ListBullet2"/>
        <w:ind w:left="720"/>
        <w:jc w:val="both"/>
      </w:pPr>
      <w:r>
        <w:rPr>
          <w:rFonts w:ascii="Cambria" w:hAnsi="Cambria"/>
          <w:sz w:val="22"/>
        </w:rPr>
        <w:t>Harmonize state-level gender laws with national policies to avoid regional disparities in implementation.</w:t>
      </w:r>
    </w:p>
    <w:p>
      <w:pPr>
        <w:spacing w:after="120"/>
        <w:jc w:val="both"/>
      </w:pPr>
      <w:r>
        <w:rPr>
          <w:rFonts w:ascii="Cambria" w:hAnsi="Cambria"/>
          <w:b/>
          <w:i w:val="0"/>
          <w:sz w:val="22"/>
        </w:rPr>
        <w:t>Gender-Responsive Budgeting (GRB)</w:t>
      </w:r>
    </w:p>
    <w:p>
      <w:pPr>
        <w:pStyle w:val="ListBullet"/>
        <w:ind w:left="357"/>
        <w:jc w:val="both"/>
      </w:pPr>
      <w:r>
        <w:rPr>
          <w:rFonts w:ascii="Cambria" w:hAnsi="Cambria"/>
          <w:sz w:val="22"/>
        </w:rPr>
        <w:t>Institutionalize GRB cells in all ministries and state departments to track and optimize gender-related spending.</w:t>
      </w:r>
    </w:p>
    <w:p>
      <w:pPr>
        <w:pStyle w:val="ListBullet"/>
        <w:ind w:left="357"/>
        <w:jc w:val="both"/>
      </w:pPr>
      <w:r>
        <w:rPr>
          <w:rFonts w:ascii="Cambria" w:hAnsi="Cambria"/>
          <w:sz w:val="22"/>
        </w:rPr>
        <w:t>Conduct annual audits of gender budgets, linking funding allocations directly to gender equality outcomes.</w:t>
      </w:r>
    </w:p>
    <w:p>
      <w:pPr>
        <w:pStyle w:val="ListBullet"/>
        <w:ind w:left="357"/>
        <w:jc w:val="both"/>
      </w:pPr>
      <w:r>
        <w:rPr>
          <w:rFonts w:ascii="Cambria" w:hAnsi="Cambria"/>
          <w:sz w:val="22"/>
        </w:rPr>
        <w:t>Encourage transparency and public disclosure of GRB reports to promote accountability and awareness.</w:t>
      </w:r>
    </w:p>
    <w:p>
      <w:pPr>
        <w:spacing w:before="200" w:after="80"/>
        <w:jc w:val="left"/>
      </w:pPr>
      <w:r>
        <w:rPr>
          <w:rFonts w:ascii="Cambria" w:hAnsi="Cambria"/>
          <w:b/>
          <w:color w:val="1F3A5F"/>
          <w:sz w:val="25"/>
        </w:rPr>
        <w:t>5. Institutional Support and Capacity Building</w:t>
      </w:r>
    </w:p>
    <w:p>
      <w:pPr>
        <w:spacing w:after="120"/>
        <w:jc w:val="both"/>
      </w:pPr>
      <w:r>
        <w:rPr>
          <w:rFonts w:ascii="Cambria" w:hAnsi="Cambria"/>
          <w:b/>
          <w:i w:val="0"/>
          <w:sz w:val="22"/>
        </w:rPr>
        <w:t>Training and Awareness</w:t>
      </w:r>
    </w:p>
    <w:p>
      <w:pPr>
        <w:pStyle w:val="ListBullet"/>
        <w:ind w:left="357"/>
        <w:jc w:val="both"/>
      </w:pPr>
      <w:r>
        <w:rPr>
          <w:rFonts w:ascii="Cambria" w:hAnsi="Cambria"/>
          <w:sz w:val="22"/>
        </w:rPr>
        <w:t>Conduct gender sensitization workshops for government officials, educators, healthcare providers, and law enforcement officers.</w:t>
      </w:r>
    </w:p>
    <w:p>
      <w:pPr>
        <w:pStyle w:val="ListBullet"/>
        <w:ind w:left="357"/>
        <w:jc w:val="both"/>
      </w:pPr>
      <w:r>
        <w:rPr>
          <w:rFonts w:ascii="Cambria" w:hAnsi="Cambria"/>
          <w:sz w:val="22"/>
        </w:rPr>
        <w:t>Introduce certification programs in gender studies, equality law, and social policy for civil servants and policymakers.</w:t>
      </w:r>
    </w:p>
    <w:p>
      <w:pPr>
        <w:pStyle w:val="ListBullet"/>
        <w:ind w:left="357"/>
        <w:jc w:val="both"/>
      </w:pPr>
      <w:r>
        <w:rPr>
          <w:rFonts w:ascii="Cambria" w:hAnsi="Cambria"/>
          <w:sz w:val="22"/>
        </w:rPr>
        <w:t>Include gender equality and human rights modules in public administration training curricula.</w:t>
      </w:r>
    </w:p>
    <w:p>
      <w:pPr>
        <w:spacing w:after="120"/>
        <w:jc w:val="both"/>
      </w:pPr>
      <w:r>
        <w:rPr>
          <w:rFonts w:ascii="Cambria" w:hAnsi="Cambria"/>
          <w:b/>
          <w:i w:val="0"/>
          <w:sz w:val="22"/>
        </w:rPr>
        <w:t>Monitoring and Evaluation Mechanisms</w:t>
      </w:r>
    </w:p>
    <w:p>
      <w:pPr>
        <w:pStyle w:val="ListBullet"/>
        <w:ind w:left="357"/>
        <w:jc w:val="both"/>
      </w:pPr>
      <w:r>
        <w:rPr>
          <w:rFonts w:ascii="Cambria" w:hAnsi="Cambria"/>
          <w:sz w:val="22"/>
        </w:rPr>
        <w:t>Establish a National Gender Equality Observatory (NGEO) to track performance, collect data, and publish annual progress reports.</w:t>
      </w:r>
    </w:p>
    <w:p>
      <w:pPr>
        <w:pStyle w:val="ListBullet"/>
        <w:ind w:left="357"/>
        <w:jc w:val="both"/>
      </w:pPr>
      <w:r>
        <w:rPr>
          <w:rFonts w:ascii="Cambria" w:hAnsi="Cambria"/>
          <w:sz w:val="22"/>
        </w:rPr>
        <w:t>Develop Key Performance Indicators (KPIs) measuring women's participation, safety, education, and workforce inclusion across sectors.</w:t>
      </w:r>
    </w:p>
    <w:p>
      <w:pPr>
        <w:pStyle w:val="ListBullet"/>
        <w:ind w:left="357"/>
        <w:jc w:val="both"/>
      </w:pPr>
      <w:r>
        <w:rPr>
          <w:rFonts w:ascii="Cambria" w:hAnsi="Cambria"/>
          <w:sz w:val="22"/>
        </w:rPr>
        <w:t>Collaborate with NITI Aayog and NCW (National Commission for Women) for real-time policy feedback and outcome mapping.</w:t>
      </w:r>
    </w:p>
    <w:p>
      <w:pPr>
        <w:spacing w:before="200" w:after="80"/>
        <w:jc w:val="left"/>
      </w:pPr>
      <w:r>
        <w:rPr>
          <w:rFonts w:ascii="Cambria" w:hAnsi="Cambria"/>
          <w:b/>
          <w:color w:val="1F3A5F"/>
          <w:sz w:val="25"/>
        </w:rPr>
        <w:t>6. Role of Educational and Social Institutions</w:t>
      </w:r>
    </w:p>
    <w:p>
      <w:pPr>
        <w:spacing w:after="120"/>
        <w:jc w:val="both"/>
      </w:pPr>
      <w:r>
        <w:rPr>
          <w:rFonts w:ascii="Cambria" w:hAnsi="Cambria"/>
          <w:b/>
          <w:i w:val="0"/>
          <w:sz w:val="22"/>
        </w:rPr>
        <w:t>Gender Equity in Higher Education Institutions (HEIs)</w:t>
      </w:r>
    </w:p>
    <w:p>
      <w:pPr>
        <w:pStyle w:val="ListBullet"/>
        <w:ind w:left="357"/>
        <w:jc w:val="both"/>
      </w:pPr>
      <w:r>
        <w:rPr>
          <w:rFonts w:ascii="Cambria" w:hAnsi="Cambria"/>
          <w:sz w:val="22"/>
        </w:rPr>
        <w:t>Mandate gender equity audits within NAAC and NIRF frameworks for accreditation.</w:t>
      </w:r>
    </w:p>
    <w:p>
      <w:pPr>
        <w:pStyle w:val="ListBullet"/>
        <w:ind w:left="357"/>
        <w:jc w:val="both"/>
      </w:pPr>
      <w:r>
        <w:rPr>
          <w:rFonts w:ascii="Cambria" w:hAnsi="Cambria"/>
          <w:sz w:val="22"/>
        </w:rPr>
        <w:t>Establish Gender Sensitization Cells and Internal Complaints Committees (ICCs) in all HEIs under the UGC mandate.</w:t>
      </w:r>
    </w:p>
    <w:p>
      <w:pPr>
        <w:pStyle w:val="ListBullet"/>
        <w:ind w:left="357"/>
        <w:jc w:val="both"/>
      </w:pPr>
      <w:r>
        <w:rPr>
          <w:rFonts w:ascii="Cambria" w:hAnsi="Cambria"/>
          <w:sz w:val="22"/>
        </w:rPr>
        <w:t>Promote research and curriculum integration on gender studies, equality policies, and women's leadership.</w:t>
      </w:r>
    </w:p>
    <w:p>
      <w:pPr>
        <w:spacing w:after="120"/>
        <w:jc w:val="both"/>
      </w:pPr>
      <w:r>
        <w:rPr>
          <w:rFonts w:ascii="Cambria" w:hAnsi="Cambria"/>
          <w:b/>
          <w:i w:val="0"/>
          <w:sz w:val="22"/>
        </w:rPr>
        <w:t>Public Awareness and Community Mobilization</w:t>
      </w:r>
    </w:p>
    <w:p>
      <w:pPr>
        <w:pStyle w:val="ListBullet"/>
        <w:ind w:left="357"/>
        <w:jc w:val="both"/>
      </w:pPr>
      <w:r>
        <w:rPr>
          <w:rFonts w:ascii="Cambria" w:hAnsi="Cambria"/>
          <w:sz w:val="22"/>
        </w:rPr>
        <w:t>Use mass media, social networks, and community outreach programs to promote gender equality narratives.</w:t>
      </w:r>
    </w:p>
    <w:p>
      <w:pPr>
        <w:pStyle w:val="ListBullet"/>
        <w:ind w:left="357"/>
        <w:jc w:val="both"/>
      </w:pPr>
      <w:r>
        <w:rPr>
          <w:rFonts w:ascii="Cambria" w:hAnsi="Cambria"/>
          <w:sz w:val="22"/>
        </w:rPr>
        <w:t>Engage youth clubs, NGOs, and local governance bodies in awareness drives emphasizing respect, equality, and empowerment.</w:t>
      </w:r>
    </w:p>
    <w:p>
      <w:pPr>
        <w:spacing w:before="200" w:after="80"/>
        <w:jc w:val="left"/>
      </w:pPr>
      <w:r>
        <w:rPr>
          <w:rFonts w:ascii="Cambria" w:hAnsi="Cambria"/>
          <w:b/>
          <w:color w:val="1F3A5F"/>
          <w:sz w:val="25"/>
        </w:rPr>
        <w:t>7. Expected Outcomes</w:t>
      </w:r>
    </w:p>
    <w:p>
      <w:pPr>
        <w:pStyle w:val="ListBullet"/>
        <w:ind w:left="357"/>
        <w:jc w:val="both"/>
      </w:pPr>
      <w:r>
        <w:rPr>
          <w:rFonts w:ascii="Cambria" w:hAnsi="Cambria"/>
          <w:sz w:val="22"/>
        </w:rPr>
        <w:t>Strengthened legal and institutional frameworks ensuring gender equality at all governance levels.</w:t>
      </w:r>
    </w:p>
    <w:p>
      <w:pPr>
        <w:pStyle w:val="ListBullet"/>
        <w:ind w:left="357"/>
        <w:jc w:val="both"/>
      </w:pPr>
      <w:r>
        <w:rPr>
          <w:rFonts w:ascii="Cambria" w:hAnsi="Cambria"/>
          <w:sz w:val="22"/>
        </w:rPr>
        <w:t>Increased representation of women in decision-making and leadership roles across public and private sectors.</w:t>
      </w:r>
    </w:p>
    <w:p>
      <w:pPr>
        <w:pStyle w:val="ListBullet"/>
        <w:ind w:left="357"/>
        <w:jc w:val="both"/>
      </w:pPr>
      <w:r>
        <w:rPr>
          <w:rFonts w:ascii="Cambria" w:hAnsi="Cambria"/>
          <w:sz w:val="22"/>
        </w:rPr>
        <w:t>Enhanced public accountability and gender-responsive governance.</w:t>
      </w:r>
    </w:p>
    <w:p>
      <w:pPr>
        <w:pStyle w:val="ListBullet"/>
        <w:ind w:left="357"/>
        <w:jc w:val="both"/>
      </w:pPr>
      <w:r>
        <w:rPr>
          <w:rFonts w:ascii="Cambria" w:hAnsi="Cambria"/>
          <w:sz w:val="22"/>
        </w:rPr>
        <w:t>Widespread adoption of inclusive and equitable workplace policies.</w:t>
      </w:r>
    </w:p>
    <w:p>
      <w:pPr>
        <w:pStyle w:val="ListBullet"/>
        <w:ind w:left="357"/>
        <w:jc w:val="both"/>
      </w:pPr>
      <w:r>
        <w:rPr>
          <w:rFonts w:ascii="Cambria" w:hAnsi="Cambria"/>
          <w:sz w:val="22"/>
        </w:rPr>
        <w:t>Social transformation through education, awareness, and sustained policy implementation.</w:t>
      </w:r>
    </w:p>
    <w:p>
      <w:pPr>
        <w:spacing w:before="200" w:after="80"/>
        <w:jc w:val="left"/>
      </w:pPr>
      <w:r>
        <w:rPr>
          <w:rFonts w:ascii="Cambria" w:hAnsi="Cambria"/>
          <w:b/>
          <w:color w:val="1F3A5F"/>
          <w:sz w:val="25"/>
        </w:rPr>
        <w:t>8. Conclusion</w:t>
      </w:r>
    </w:p>
    <w:p>
      <w:pPr>
        <w:pStyle w:val="ListBullet"/>
        <w:ind w:left="357"/>
        <w:jc w:val="both"/>
      </w:pPr>
      <w:r>
        <w:rPr>
          <w:rFonts w:ascii="Cambria" w:hAnsi="Cambria"/>
          <w:sz w:val="22"/>
        </w:rPr>
        <w:t>Achieving SDG Target 5.c requires integrating gender equality into the core of governance, legislation, and institutional processes.</w:t>
      </w:r>
    </w:p>
    <w:p>
      <w:pPr>
        <w:pStyle w:val="ListBullet"/>
        <w:ind w:left="357"/>
        <w:jc w:val="both"/>
      </w:pPr>
      <w:r>
        <w:rPr>
          <w:rFonts w:ascii="Cambria" w:hAnsi="Cambria"/>
          <w:sz w:val="22"/>
        </w:rPr>
        <w:t>By combining enforceable laws, inclusive schemes like Beti Bachao Beti Padhao and Sukanya Samriddhi Yojana, and transparent gender budgeting, India can ensure a rights-based, accountable, and gender-equitable governance system.</w:t>
      </w:r>
    </w:p>
    <w:p>
      <w:pPr>
        <w:pStyle w:val="ListBullet"/>
        <w:ind w:left="357"/>
        <w:jc w:val="both"/>
      </w:pPr>
      <w:r>
        <w:rPr>
          <w:rFonts w:ascii="Cambria" w:hAnsi="Cambria"/>
          <w:sz w:val="22"/>
        </w:rPr>
        <w:t>Sustainable development is attainable only when women and girls are empowered legally, socially, and economically, making gender equality both a goal and a foundation of national progress.</w:t>
      </w:r>
    </w:p>
    <w:p>
      <w:pPr>
        <w:spacing w:before="280" w:after="160"/>
        <w:jc w:val="left"/>
      </w:pPr>
      <w:r>
        <w:rPr>
          <w:rFonts w:ascii="Cambria" w:hAnsi="Cambria"/>
          <w:b/>
          <w:color w:val="1F3A5F"/>
          <w:sz w:val="32"/>
        </w:rPr>
        <w:t>38. Recommendations for Regulatory Agencies for Implementing SDG-5: Gender Equality in Higher Education Institutions (HEIs)</w:t>
      </w:r>
    </w:p>
    <w:p>
      <w:pPr>
        <w:spacing w:before="240" w:after="120"/>
        <w:jc w:val="left"/>
      </w:pPr>
      <w:r>
        <w:rPr>
          <w:rFonts w:ascii="Cambria" w:hAnsi="Cambria"/>
          <w:b/>
          <w:color w:val="1F3A5F"/>
          <w:sz w:val="28"/>
        </w:rPr>
        <w:t>1. Integration of SDG-5 in Higher Education Curriculum</w:t>
      </w:r>
    </w:p>
    <w:p>
      <w:pPr>
        <w:spacing w:after="120"/>
        <w:jc w:val="both"/>
      </w:pPr>
      <w:r>
        <w:rPr>
          <w:rFonts w:ascii="Cambria" w:hAnsi="Cambria"/>
          <w:b/>
          <w:i w:val="0"/>
          <w:sz w:val="22"/>
        </w:rPr>
        <w:t>Incorporate SDG-5-Focused Courses and Modules</w:t>
      </w:r>
    </w:p>
    <w:p>
      <w:pPr>
        <w:pStyle w:val="ListBullet"/>
        <w:ind w:left="357"/>
        <w:jc w:val="both"/>
      </w:pPr>
      <w:r>
        <w:rPr>
          <w:rFonts w:ascii="Cambria" w:hAnsi="Cambria"/>
          <w:sz w:val="22"/>
        </w:rPr>
        <w:t>Regulatory bodies such as UGC, AICTE, NCTE, and ICAR should mandate the inclusion of gender equality and women empowerment courses at both undergraduate and postgraduate levels.</w:t>
      </w:r>
    </w:p>
    <w:p>
      <w:pPr>
        <w:pStyle w:val="ListBullet"/>
        <w:ind w:left="357"/>
        <w:jc w:val="both"/>
      </w:pPr>
      <w:r>
        <w:rPr>
          <w:rFonts w:ascii="Cambria" w:hAnsi="Cambria"/>
          <w:sz w:val="22"/>
        </w:rPr>
        <w:t>These courses should cover topics such as gender studies, human rights, inclusive policymaking, gender-based research methodologies, and leadership development.</w:t>
      </w:r>
    </w:p>
    <w:p>
      <w:pPr>
        <w:pStyle w:val="ListBullet"/>
        <w:ind w:left="357"/>
        <w:jc w:val="both"/>
      </w:pPr>
      <w:r>
        <w:rPr>
          <w:rFonts w:ascii="Cambria" w:hAnsi="Cambria"/>
          <w:sz w:val="22"/>
        </w:rPr>
        <w:t>Introduce interdisciplinary electives linking SDG-5 with other SDGs (e.g., SDG-4: Quality Education, SDG-8: Decent Work, SDG-10: Reduced Inequalities).</w:t>
      </w:r>
    </w:p>
    <w:p>
      <w:pPr>
        <w:pStyle w:val="ListBullet"/>
        <w:ind w:left="357"/>
        <w:jc w:val="both"/>
      </w:pPr>
      <w:r>
        <w:rPr>
          <w:rFonts w:ascii="Cambria" w:hAnsi="Cambria"/>
          <w:sz w:val="22"/>
        </w:rPr>
        <w:t>Ensure that teacher training institutions integrate gender sensitivity modules into their curriculum to prepare educators for inclusive classroom environments.</w:t>
      </w:r>
    </w:p>
    <w:p>
      <w:pPr>
        <w:spacing w:before="240" w:after="120"/>
        <w:jc w:val="left"/>
      </w:pPr>
      <w:r>
        <w:rPr>
          <w:rFonts w:ascii="Cambria" w:hAnsi="Cambria"/>
          <w:b/>
          <w:color w:val="1F3A5F"/>
          <w:sz w:val="28"/>
        </w:rPr>
        <w:t>2. Standardization of National-Level Entrance and Assessment Mechanisms</w:t>
      </w:r>
    </w:p>
    <w:p>
      <w:pPr>
        <w:spacing w:after="120"/>
        <w:jc w:val="both"/>
      </w:pPr>
      <w:r>
        <w:rPr>
          <w:rFonts w:ascii="Cambria" w:hAnsi="Cambria"/>
          <w:b/>
          <w:i w:val="0"/>
          <w:sz w:val="22"/>
        </w:rPr>
        <w:t>Specialized Entrance Tests for Sustainability-Oriented Programs</w:t>
      </w:r>
    </w:p>
    <w:p>
      <w:pPr>
        <w:pStyle w:val="ListBullet"/>
        <w:ind w:left="357"/>
        <w:jc w:val="both"/>
      </w:pPr>
      <w:r>
        <w:rPr>
          <w:rFonts w:ascii="Cambria" w:hAnsi="Cambria"/>
          <w:sz w:val="22"/>
        </w:rPr>
        <w:t>Design and approve All India–level standardized tests for entry into HEIs offering sustainability and SDG-aligned academic programs, including gender-focused disciplines.</w:t>
      </w:r>
    </w:p>
    <w:p>
      <w:pPr>
        <w:pStyle w:val="ListBullet"/>
        <w:ind w:left="357"/>
        <w:jc w:val="both"/>
      </w:pPr>
      <w:r>
        <w:rPr>
          <w:rFonts w:ascii="Cambria" w:hAnsi="Cambria"/>
          <w:sz w:val="22"/>
        </w:rPr>
        <w:t>Develop evaluation frameworks that assess students' awareness, ethical understanding, and commitment to gender equality and sustainability values.</w:t>
      </w:r>
    </w:p>
    <w:p>
      <w:pPr>
        <w:pStyle w:val="ListBullet"/>
        <w:ind w:left="357"/>
        <w:jc w:val="both"/>
      </w:pPr>
      <w:r>
        <w:rPr>
          <w:rFonts w:ascii="Cambria" w:hAnsi="Cambria"/>
          <w:sz w:val="22"/>
        </w:rPr>
        <w:t>Include gender perspective components in national-level examinations such as NET, GATE, and NTA tests, ensuring that gender inclusivity becomes a key evaluative criterion.</w:t>
      </w:r>
    </w:p>
    <w:p>
      <w:pPr>
        <w:pStyle w:val="ListBullet"/>
        <w:ind w:left="357"/>
        <w:jc w:val="both"/>
      </w:pPr>
      <w:r>
        <w:rPr>
          <w:rFonts w:ascii="Cambria" w:hAnsi="Cambria"/>
          <w:sz w:val="22"/>
        </w:rPr>
        <w:t>Create specialized certification and fellowship programs in collaboration with HEIs to strengthen academic excellence and research in gender and SDG studies.</w:t>
      </w:r>
    </w:p>
    <w:p>
      <w:pPr>
        <w:spacing w:before="240" w:after="120"/>
        <w:jc w:val="left"/>
      </w:pPr>
      <w:r>
        <w:rPr>
          <w:rFonts w:ascii="Cambria" w:hAnsi="Cambria"/>
          <w:b/>
          <w:color w:val="1F3A5F"/>
          <w:sz w:val="28"/>
        </w:rPr>
        <w:t>3. Quality Assurance and Periodic Audits</w:t>
      </w:r>
    </w:p>
    <w:p>
      <w:pPr>
        <w:spacing w:after="120"/>
        <w:jc w:val="both"/>
      </w:pPr>
      <w:r>
        <w:rPr>
          <w:rFonts w:ascii="Cambria" w:hAnsi="Cambria"/>
          <w:b/>
          <w:i w:val="0"/>
          <w:sz w:val="22"/>
        </w:rPr>
        <w:t>Monitoring and Evaluation of SDG-Oriented Education and Research</w:t>
      </w:r>
    </w:p>
    <w:p>
      <w:pPr>
        <w:pStyle w:val="ListBullet"/>
        <w:ind w:left="357"/>
        <w:jc w:val="both"/>
      </w:pPr>
      <w:r>
        <w:rPr>
          <w:rFonts w:ascii="Cambria" w:hAnsi="Cambria"/>
          <w:sz w:val="22"/>
        </w:rPr>
        <w:t>Conduct annual or biannual audits in HEIs to evaluate the quality, impact, and inclusiveness of education and research on SDG-5 and related themes.</w:t>
      </w:r>
    </w:p>
    <w:p>
      <w:pPr>
        <w:pStyle w:val="ListBullet"/>
        <w:ind w:left="357"/>
        <w:jc w:val="both"/>
      </w:pPr>
      <w:r>
        <w:rPr>
          <w:rFonts w:ascii="Cambria" w:hAnsi="Cambria"/>
          <w:sz w:val="22"/>
        </w:rPr>
        <w:t>Develop Gender and Sustainability Audit Frameworks within NAAC, NBA, and NIRF accreditation systems, with measurable indicators such as:</w:t>
      </w:r>
    </w:p>
    <w:p>
      <w:pPr>
        <w:pStyle w:val="ListBullet2"/>
        <w:ind w:left="720"/>
        <w:jc w:val="both"/>
      </w:pPr>
      <w:r>
        <w:rPr>
          <w:rFonts w:ascii="Cambria" w:hAnsi="Cambria"/>
          <w:sz w:val="22"/>
        </w:rPr>
        <w:t>Ratio of women in leadership and faculty roles.</w:t>
      </w:r>
    </w:p>
    <w:p>
      <w:pPr>
        <w:pStyle w:val="ListBullet2"/>
        <w:ind w:left="720"/>
        <w:jc w:val="both"/>
      </w:pPr>
      <w:r>
        <w:rPr>
          <w:rFonts w:ascii="Cambria" w:hAnsi="Cambria"/>
          <w:sz w:val="22"/>
        </w:rPr>
        <w:t>Number of gender-equity programs and initiatives.</w:t>
      </w:r>
    </w:p>
    <w:p>
      <w:pPr>
        <w:pStyle w:val="ListBullet2"/>
        <w:ind w:left="720"/>
        <w:jc w:val="both"/>
      </w:pPr>
      <w:r>
        <w:rPr>
          <w:rFonts w:ascii="Cambria" w:hAnsi="Cambria"/>
          <w:sz w:val="22"/>
        </w:rPr>
        <w:t>Inclusion of gender-based research projects and publications.</w:t>
      </w:r>
    </w:p>
    <w:p>
      <w:pPr>
        <w:pStyle w:val="ListBullet"/>
        <w:ind w:left="357"/>
        <w:jc w:val="both"/>
      </w:pPr>
      <w:r>
        <w:rPr>
          <w:rFonts w:ascii="Cambria" w:hAnsi="Cambria"/>
          <w:sz w:val="22"/>
        </w:rPr>
        <w:t>Mandate submission of gender equity progress reports by all HEIs as part of their annual self-assessment.</w:t>
      </w:r>
    </w:p>
    <w:p>
      <w:pPr>
        <w:pStyle w:val="ListBullet"/>
        <w:ind w:left="357"/>
        <w:jc w:val="both"/>
      </w:pPr>
      <w:r>
        <w:rPr>
          <w:rFonts w:ascii="Cambria" w:hAnsi="Cambria"/>
          <w:sz w:val="22"/>
        </w:rPr>
        <w:t>Encourage HEIs to host third-party external audits and publish their SDG-5 performance data for transparency and accountability.</w:t>
      </w:r>
    </w:p>
    <w:p>
      <w:pPr>
        <w:spacing w:before="240" w:after="120"/>
        <w:jc w:val="left"/>
      </w:pPr>
      <w:r>
        <w:rPr>
          <w:rFonts w:ascii="Cambria" w:hAnsi="Cambria"/>
          <w:b/>
          <w:color w:val="1F3A5F"/>
          <w:sz w:val="28"/>
        </w:rPr>
        <w:t>4. Establishment of Dedicated Regulatory Committees and Bodies</w:t>
      </w:r>
    </w:p>
    <w:p>
      <w:pPr>
        <w:spacing w:after="120"/>
        <w:jc w:val="both"/>
      </w:pPr>
      <w:r>
        <w:rPr>
          <w:rFonts w:ascii="Cambria" w:hAnsi="Cambria"/>
          <w:b/>
          <w:i w:val="0"/>
          <w:sz w:val="22"/>
        </w:rPr>
        <w:t>Creation of National and Regional SDG Oversight Bodies</w:t>
      </w:r>
    </w:p>
    <w:p>
      <w:pPr>
        <w:pStyle w:val="ListBullet"/>
        <w:ind w:left="357"/>
        <w:jc w:val="both"/>
      </w:pPr>
      <w:r>
        <w:rPr>
          <w:rFonts w:ascii="Cambria" w:hAnsi="Cambria"/>
          <w:sz w:val="22"/>
        </w:rPr>
        <w:t>Constitute specialized committees or directorates within UGC, AICTE, and NAAC for focused oversight of SDG integration in higher education.</w:t>
      </w:r>
    </w:p>
    <w:p>
      <w:pPr>
        <w:pStyle w:val="ListBullet"/>
        <w:ind w:left="357"/>
        <w:jc w:val="both"/>
      </w:pPr>
      <w:r>
        <w:rPr>
          <w:rFonts w:ascii="Cambria" w:hAnsi="Cambria"/>
          <w:sz w:val="22"/>
        </w:rPr>
        <w:t>Form National Council for SDG Education (NC-SDGE) with subcommittees for each SDG, including one dedicated to Gender Equality (SDG-5).</w:t>
      </w:r>
    </w:p>
    <w:p>
      <w:pPr>
        <w:pStyle w:val="ListBullet"/>
        <w:ind w:left="357"/>
        <w:jc w:val="both"/>
      </w:pPr>
      <w:r>
        <w:rPr>
          <w:rFonts w:ascii="Cambria" w:hAnsi="Cambria"/>
          <w:sz w:val="22"/>
        </w:rPr>
        <w:t>Ensure representation of academicians, researchers, gender experts, and policymakers in these bodies for effective decision-making.</w:t>
      </w:r>
    </w:p>
    <w:p>
      <w:pPr>
        <w:spacing w:after="120"/>
        <w:jc w:val="both"/>
      </w:pPr>
      <w:r>
        <w:rPr>
          <w:rFonts w:ascii="Cambria" w:hAnsi="Cambria"/>
          <w:b w:val="0"/>
          <w:i w:val="0"/>
          <w:sz w:val="22"/>
        </w:rPr>
        <w:t>Promote inter-agency collaboration among MoE, NITI Aayog, UNDP, and UNESCO to align higher education reforms with global gender equality benchmarks.</w:t>
      </w:r>
    </w:p>
    <w:p>
      <w:pPr>
        <w:spacing w:before="240" w:after="120"/>
        <w:jc w:val="left"/>
      </w:pPr>
      <w:r>
        <w:rPr>
          <w:rFonts w:ascii="Cambria" w:hAnsi="Cambria"/>
          <w:b/>
          <w:color w:val="1F3A5F"/>
          <w:sz w:val="28"/>
        </w:rPr>
        <w:t>5. Promotion of Gender-Responsive Research and Innovation</w:t>
      </w:r>
    </w:p>
    <w:p>
      <w:pPr>
        <w:spacing w:after="120"/>
        <w:jc w:val="both"/>
      </w:pPr>
      <w:r>
        <w:rPr>
          <w:rFonts w:ascii="Cambria" w:hAnsi="Cambria"/>
          <w:b/>
          <w:i w:val="0"/>
          <w:sz w:val="22"/>
        </w:rPr>
        <w:t>Encouraging SDG-Linked Research Grants</w:t>
      </w:r>
    </w:p>
    <w:p>
      <w:pPr>
        <w:pStyle w:val="ListBullet"/>
        <w:ind w:left="357"/>
        <w:jc w:val="both"/>
      </w:pPr>
      <w:r>
        <w:rPr>
          <w:rFonts w:ascii="Cambria" w:hAnsi="Cambria"/>
          <w:sz w:val="22"/>
        </w:rPr>
        <w:t>Establish gender research funds and fellowships at national and institutional levels for projects addressing social inclusion, empowerment, and policy innovation.</w:t>
      </w:r>
    </w:p>
    <w:p>
      <w:pPr>
        <w:pStyle w:val="ListBullet"/>
        <w:ind w:left="357"/>
        <w:jc w:val="both"/>
      </w:pPr>
      <w:r>
        <w:rPr>
          <w:rFonts w:ascii="Cambria" w:hAnsi="Cambria"/>
          <w:sz w:val="22"/>
        </w:rPr>
        <w:t>Support centres of excellence on gender equality and sustainability within universities to promote multidisciplinary research and community impact projects.</w:t>
      </w:r>
    </w:p>
    <w:p>
      <w:pPr>
        <w:pStyle w:val="ListBullet"/>
        <w:ind w:left="357"/>
        <w:jc w:val="both"/>
      </w:pPr>
      <w:r>
        <w:rPr>
          <w:rFonts w:ascii="Cambria" w:hAnsi="Cambria"/>
          <w:sz w:val="22"/>
        </w:rPr>
        <w:t>Encourage data-driven studies that identify gender disparities in education, employment, and leadership, helping policymakers create evidence-based reforms.</w:t>
      </w:r>
    </w:p>
    <w:p>
      <w:pPr>
        <w:spacing w:before="240" w:after="120"/>
        <w:jc w:val="left"/>
      </w:pPr>
      <w:r>
        <w:rPr>
          <w:rFonts w:ascii="Cambria" w:hAnsi="Cambria"/>
          <w:b/>
          <w:color w:val="1F3A5F"/>
          <w:sz w:val="28"/>
        </w:rPr>
        <w:t>6. Policy and Accreditation Linkages</w:t>
      </w:r>
    </w:p>
    <w:p>
      <w:pPr>
        <w:spacing w:after="120"/>
        <w:jc w:val="both"/>
      </w:pPr>
      <w:r>
        <w:rPr>
          <w:rFonts w:ascii="Cambria" w:hAnsi="Cambria"/>
          <w:b/>
          <w:i w:val="0"/>
          <w:sz w:val="22"/>
        </w:rPr>
        <w:t>Aligning Accreditation Standards with Gender Equity Metrics</w:t>
      </w:r>
    </w:p>
    <w:p>
      <w:pPr>
        <w:pStyle w:val="ListBullet"/>
        <w:ind w:left="357"/>
        <w:jc w:val="both"/>
      </w:pPr>
      <w:r>
        <w:rPr>
          <w:rFonts w:ascii="Cambria" w:hAnsi="Cambria"/>
          <w:sz w:val="22"/>
        </w:rPr>
        <w:t>Incorporate SDG-5–related parameters within NAAC's Institutional Values and Best Practices (Criterion VII) and NBA's Outcome-Based Accreditation frameworks.</w:t>
      </w:r>
    </w:p>
    <w:p>
      <w:pPr>
        <w:pStyle w:val="ListBullet"/>
        <w:ind w:left="357"/>
        <w:jc w:val="both"/>
      </w:pPr>
      <w:r>
        <w:rPr>
          <w:rFonts w:ascii="Cambria" w:hAnsi="Cambria"/>
          <w:sz w:val="22"/>
        </w:rPr>
        <w:t>Require HEIs to document gender equity initiatives, leadership representation, and campus safety mechanisms as part of their accreditation submissions.</w:t>
      </w:r>
    </w:p>
    <w:p>
      <w:pPr>
        <w:pStyle w:val="ListBullet"/>
        <w:ind w:left="357"/>
        <w:jc w:val="both"/>
      </w:pPr>
      <w:r>
        <w:rPr>
          <w:rFonts w:ascii="Cambria" w:hAnsi="Cambria"/>
          <w:sz w:val="22"/>
        </w:rPr>
        <w:t>Link SDG compliance with institutional rankings and funding eligibility, motivating HEIs to implement gender-balanced reforms effectively.</w:t>
      </w:r>
    </w:p>
    <w:p>
      <w:pPr>
        <w:spacing w:before="240" w:after="120"/>
        <w:jc w:val="left"/>
      </w:pPr>
      <w:r>
        <w:rPr>
          <w:rFonts w:ascii="Cambria" w:hAnsi="Cambria"/>
          <w:b/>
          <w:color w:val="1F3A5F"/>
          <w:sz w:val="28"/>
        </w:rPr>
        <w:t>7. Capacity Building and Faculty Development</w:t>
      </w:r>
    </w:p>
    <w:p>
      <w:pPr>
        <w:spacing w:after="120"/>
        <w:jc w:val="both"/>
      </w:pPr>
      <w:r>
        <w:rPr>
          <w:rFonts w:ascii="Cambria" w:hAnsi="Cambria"/>
          <w:b/>
          <w:i w:val="0"/>
          <w:sz w:val="22"/>
        </w:rPr>
        <w:t>Training Programs for Educators and Administrators</w:t>
      </w:r>
    </w:p>
    <w:p>
      <w:pPr>
        <w:pStyle w:val="ListBullet"/>
        <w:ind w:left="357"/>
        <w:jc w:val="both"/>
      </w:pPr>
      <w:r>
        <w:rPr>
          <w:rFonts w:ascii="Cambria" w:hAnsi="Cambria"/>
          <w:sz w:val="22"/>
        </w:rPr>
        <w:t>Conduct faculty development programs (FDPs) on gender-responsive pedagogy, inclusive policy formulation, and SDG-based teaching strategies.</w:t>
      </w:r>
    </w:p>
    <w:p>
      <w:pPr>
        <w:pStyle w:val="ListBullet"/>
        <w:ind w:left="357"/>
        <w:jc w:val="both"/>
      </w:pPr>
      <w:r>
        <w:rPr>
          <w:rFonts w:ascii="Cambria" w:hAnsi="Cambria"/>
          <w:sz w:val="22"/>
        </w:rPr>
        <w:t>Train IQAC coordinators and university administrators in conducting gender audits, preparing equity reports, and integrating gender data in annual institutional reviews.</w:t>
      </w:r>
    </w:p>
    <w:p>
      <w:pPr>
        <w:pStyle w:val="ListBullet"/>
        <w:ind w:left="357"/>
        <w:jc w:val="both"/>
      </w:pPr>
      <w:r>
        <w:rPr>
          <w:rFonts w:ascii="Cambria" w:hAnsi="Cambria"/>
          <w:sz w:val="22"/>
        </w:rPr>
        <w:t>Collaborate with UNESCO and UN Women to deliver certified professional courses on gender equality education and women's leadership.</w:t>
      </w:r>
    </w:p>
    <w:p>
      <w:pPr>
        <w:spacing w:before="240" w:after="120"/>
        <w:jc w:val="left"/>
      </w:pPr>
      <w:r>
        <w:rPr>
          <w:rFonts w:ascii="Cambria" w:hAnsi="Cambria"/>
          <w:b/>
          <w:color w:val="1F3A5F"/>
          <w:sz w:val="28"/>
        </w:rPr>
        <w:t>8. Expected Outcomes</w:t>
      </w:r>
    </w:p>
    <w:p>
      <w:pPr>
        <w:pStyle w:val="ListBullet"/>
        <w:ind w:left="357"/>
        <w:jc w:val="both"/>
      </w:pPr>
      <w:r>
        <w:rPr>
          <w:rFonts w:ascii="Cambria" w:hAnsi="Cambria"/>
          <w:sz w:val="22"/>
        </w:rPr>
        <w:t>Standardized and institutionally embedded SDG-5 curriculum across higher education levels.</w:t>
      </w:r>
    </w:p>
    <w:p>
      <w:pPr>
        <w:pStyle w:val="ListBullet"/>
        <w:ind w:left="357"/>
        <w:jc w:val="both"/>
      </w:pPr>
      <w:r>
        <w:rPr>
          <w:rFonts w:ascii="Cambria" w:hAnsi="Cambria"/>
          <w:sz w:val="22"/>
        </w:rPr>
        <w:t>Establishment of a robust audit and quality assurance mechanism promoting gender equity and sustainability education.</w:t>
      </w:r>
    </w:p>
    <w:p>
      <w:pPr>
        <w:pStyle w:val="ListBullet"/>
        <w:ind w:left="357"/>
        <w:jc w:val="both"/>
      </w:pPr>
      <w:r>
        <w:rPr>
          <w:rFonts w:ascii="Cambria" w:hAnsi="Cambria"/>
          <w:sz w:val="22"/>
        </w:rPr>
        <w:t>Enhanced research output, policy innovation, and data transparency on gender equality.</w:t>
      </w:r>
    </w:p>
    <w:p>
      <w:pPr>
        <w:pStyle w:val="ListBullet"/>
        <w:ind w:left="357"/>
        <w:jc w:val="both"/>
      </w:pPr>
      <w:r>
        <w:rPr>
          <w:rFonts w:ascii="Cambria" w:hAnsi="Cambria"/>
          <w:sz w:val="22"/>
        </w:rPr>
        <w:t>Stronger institutional governance and accountability frameworks for implementing SDG-based reforms.</w:t>
      </w:r>
    </w:p>
    <w:p>
      <w:pPr>
        <w:pStyle w:val="ListBullet"/>
        <w:ind w:left="357"/>
        <w:jc w:val="both"/>
      </w:pPr>
      <w:r>
        <w:rPr>
          <w:rFonts w:ascii="Cambria" w:hAnsi="Cambria"/>
          <w:sz w:val="22"/>
        </w:rPr>
        <w:t>Creation of an inclusive, gender-balanced higher education ecosystem fostering equity, participation, and empowerment.</w:t>
      </w:r>
    </w:p>
    <w:p>
      <w:pPr>
        <w:spacing w:before="240" w:after="120"/>
        <w:jc w:val="left"/>
      </w:pPr>
      <w:r>
        <w:rPr>
          <w:rFonts w:ascii="Cambria" w:hAnsi="Cambria"/>
          <w:b/>
          <w:color w:val="1F3A5F"/>
          <w:sz w:val="28"/>
        </w:rPr>
        <w:t>9. Conclusion</w:t>
      </w:r>
    </w:p>
    <w:p>
      <w:pPr>
        <w:pStyle w:val="ListBullet"/>
        <w:ind w:left="357"/>
        <w:jc w:val="both"/>
      </w:pPr>
      <w:r>
        <w:rPr>
          <w:rFonts w:ascii="Cambria" w:hAnsi="Cambria"/>
          <w:sz w:val="22"/>
        </w:rPr>
        <w:t>To effectively implement SDG-5 in higher education, regulatory agencies must institutionalize gender equality within policies, curriculum design, research priorities, and quality frameworks.</w:t>
      </w:r>
    </w:p>
    <w:p>
      <w:pPr>
        <w:pStyle w:val="ListBullet"/>
        <w:ind w:left="357"/>
        <w:jc w:val="both"/>
      </w:pPr>
      <w:r>
        <w:rPr>
          <w:rFonts w:ascii="Cambria" w:hAnsi="Cambria"/>
          <w:sz w:val="22"/>
        </w:rPr>
        <w:t>Through specialized committees, standardized assessments, and mandatory audits, regulatory bodies like UGC, AICTE, NAAC, and NIRF can ensure a measurable transformation toward gender-responsive and sustainable education systems.</w:t>
      </w:r>
    </w:p>
    <w:p>
      <w:pPr>
        <w:pStyle w:val="ListBullet"/>
        <w:ind w:left="357"/>
        <w:jc w:val="both"/>
      </w:pPr>
      <w:r>
        <w:rPr>
          <w:rFonts w:ascii="Cambria" w:hAnsi="Cambria"/>
          <w:sz w:val="22"/>
        </w:rPr>
        <w:t>These measures will empower women as equal stakeholders in academia, governance, and innovation, aligning India's higher education system with the UN's 2030 Agenda for Sustainable Development.</w:t>
      </w:r>
    </w:p>
    <w:p>
      <w:pPr>
        <w:spacing w:before="280" w:after="160"/>
        <w:jc w:val="left"/>
      </w:pPr>
      <w:r>
        <w:rPr>
          <w:rFonts w:ascii="Cambria" w:hAnsi="Cambria"/>
          <w:b/>
          <w:color w:val="1F3A5F"/>
          <w:sz w:val="32"/>
        </w:rPr>
        <w:t>39. References</w:t>
      </w:r>
    </w:p>
    <w:p>
      <w:pPr>
        <w:spacing w:before="160" w:after="80"/>
      </w:pPr>
      <w:r>
        <w:rPr>
          <w:rFonts w:ascii="Cambria" w:hAnsi="Cambria"/>
          <w:b/>
          <w:sz w:val="22"/>
          <w:u w:val="single"/>
        </w:rPr>
        <w:t>NBA</w:t>
      </w:r>
    </w:p>
    <w:p>
      <w:pPr>
        <w:spacing w:after="40"/>
        <w:ind w:left="720" w:hanging="340"/>
      </w:pPr>
      <w:r>
        <w:rPr>
          <w:rFonts w:ascii="Cambria" w:hAnsi="Cambria"/>
          <w:b/>
          <w:sz w:val="22"/>
        </w:rPr>
        <w:t xml:space="preserve">1.  </w:t>
      </w:r>
      <w:r>
        <w:rPr>
          <w:rFonts w:ascii="Cambria" w:hAnsi="Cambria"/>
          <w:b/>
          <w:sz w:val="22"/>
        </w:rPr>
        <w:t>NBA Accreditation Process for Tier-1 Institutions – Criterion 1: Outcome-Based Curriculum: Vision, Mission, PEOs, Curriculum Structure, CO–PO–PSO Mapping, and Articulation Framework, Kindle Edition, ASIN: B0FPDCG13D</w:t>
      </w:r>
    </w:p>
    <w:p>
      <w:pPr>
        <w:spacing w:after="160"/>
        <w:ind w:left="720"/>
      </w:pPr>
      <w:hyperlink r:id="rId10">
        <w:r>
          <w:rPr>
            <w:color w:val="0563C1"/>
            <w:u w:val="single"/>
            <w:rFonts w:ascii="Cambria"/>
            <w:sz w:val="22"/>
          </w:rPr>
          <w:t>https://amzn.in/d/4fcc0jE</w:t>
        </w:r>
      </w:hyperlink>
    </w:p>
    <w:p>
      <w:pPr>
        <w:spacing w:after="40"/>
        <w:ind w:left="720" w:hanging="340"/>
      </w:pPr>
      <w:r>
        <w:rPr>
          <w:rFonts w:ascii="Cambria" w:hAnsi="Cambria"/>
          <w:b/>
          <w:sz w:val="22"/>
        </w:rPr>
        <w:t xml:space="preserve">2.  </w:t>
      </w:r>
      <w:r>
        <w:rPr>
          <w:rFonts w:ascii="Cambria" w:hAnsi="Cambria"/>
          <w:b/>
          <w:sz w:val="22"/>
        </w:rPr>
        <w:t>NBA Accreditation Process for Tier-1 Institutions – Criterion 2: Outcome-Based Teaching–Learning (OBTL): A Framework of Systematic Processes, Evidence-Based Practices, and CQI in OBE, Kindle Edition, ASIN: B0FPG4KFB1</w:t>
      </w:r>
    </w:p>
    <w:p>
      <w:pPr>
        <w:spacing w:after="160"/>
        <w:ind w:left="720"/>
      </w:pPr>
      <w:hyperlink r:id="rId11">
        <w:r>
          <w:rPr>
            <w:color w:val="0563C1"/>
            <w:u w:val="single"/>
            <w:rFonts w:ascii="Cambria"/>
            <w:sz w:val="22"/>
          </w:rPr>
          <w:t>https://amzn.in/d/g1bchNl</w:t>
        </w:r>
      </w:hyperlink>
    </w:p>
    <w:p>
      <w:pPr>
        <w:spacing w:after="40"/>
        <w:ind w:left="720" w:hanging="340"/>
      </w:pPr>
      <w:r>
        <w:rPr>
          <w:rFonts w:ascii="Cambria" w:hAnsi="Cambria"/>
          <w:b/>
          <w:sz w:val="22"/>
        </w:rPr>
        <w:t xml:space="preserve">3.  </w:t>
      </w:r>
      <w:r>
        <w:rPr>
          <w:rFonts w:ascii="Cambria" w:hAnsi="Cambria"/>
          <w:b/>
          <w:sz w:val="22"/>
        </w:rPr>
        <w:t>NBA Accreditation Process for Tier-1 Institutions – Criterion 3: Outcome-Based Assessment: Framework for Evaluating COs, POs, and PSOs in Compliance with NBA Accreditation Standards, Kindle Edition, ASIN: B0FQBQ21S1</w:t>
      </w:r>
    </w:p>
    <w:p>
      <w:pPr>
        <w:spacing w:after="160"/>
        <w:ind w:left="720"/>
      </w:pPr>
      <w:hyperlink r:id="rId12">
        <w:r>
          <w:rPr>
            <w:color w:val="0563C1"/>
            <w:u w:val="single"/>
            <w:rFonts w:ascii="Cambria"/>
            <w:sz w:val="22"/>
          </w:rPr>
          <w:t>https://amzn.in/d/a2nGhnx</w:t>
        </w:r>
      </w:hyperlink>
    </w:p>
    <w:p>
      <w:pPr>
        <w:spacing w:after="40"/>
        <w:ind w:left="720" w:hanging="340"/>
      </w:pPr>
      <w:r>
        <w:rPr>
          <w:rFonts w:ascii="Cambria" w:hAnsi="Cambria"/>
          <w:b/>
          <w:sz w:val="22"/>
        </w:rPr>
        <w:t xml:space="preserve">4.  </w:t>
      </w:r>
      <w:r>
        <w:rPr>
          <w:rFonts w:ascii="Cambria" w:hAnsi="Cambria"/>
          <w:b/>
          <w:sz w:val="22"/>
        </w:rPr>
        <w:t>NBA Accreditation Process for Tier-1 Institutions – Criterion 4: Students' Performance: Evaluating Enrolment, Academic Success, and Career Outcomes in Higher Education, Kindle Edition, ASIN: B0FR3JHMXS</w:t>
      </w:r>
    </w:p>
    <w:p>
      <w:pPr>
        <w:spacing w:after="160"/>
        <w:ind w:left="720"/>
      </w:pPr>
      <w:hyperlink r:id="rId13">
        <w:r>
          <w:rPr>
            <w:color w:val="0563C1"/>
            <w:u w:val="single"/>
            <w:rFonts w:ascii="Cambria"/>
            <w:sz w:val="22"/>
          </w:rPr>
          <w:t>https://amzn.in/d/dry9IRW</w:t>
        </w:r>
      </w:hyperlink>
    </w:p>
    <w:p>
      <w:pPr>
        <w:spacing w:after="40"/>
        <w:ind w:left="720" w:hanging="340"/>
      </w:pPr>
      <w:r>
        <w:rPr>
          <w:rFonts w:ascii="Cambria" w:hAnsi="Cambria"/>
          <w:b/>
          <w:sz w:val="22"/>
        </w:rPr>
        <w:t xml:space="preserve">5.  </w:t>
      </w:r>
      <w:r>
        <w:rPr>
          <w:rFonts w:ascii="Cambria" w:hAnsi="Cambria"/>
          <w:b/>
          <w:sz w:val="22"/>
        </w:rPr>
        <w:t>NBA Accreditation Process for Tier-1 Institutions – Criterion 5: Faculty Information: Evaluating Faculty Strength, Qualifications, and Development in Higher Education Institutions, Kindle Edition, ASIN: B0FR3DBZ3B</w:t>
      </w:r>
    </w:p>
    <w:p>
      <w:pPr>
        <w:spacing w:after="160"/>
        <w:ind w:left="720"/>
      </w:pPr>
      <w:hyperlink r:id="rId14">
        <w:r>
          <w:rPr>
            <w:color w:val="0563C1"/>
            <w:u w:val="single"/>
            <w:rFonts w:ascii="Cambria"/>
            <w:sz w:val="22"/>
          </w:rPr>
          <w:t>https://amzn.in/d/a1344lj</w:t>
        </w:r>
      </w:hyperlink>
    </w:p>
    <w:p>
      <w:pPr>
        <w:spacing w:after="40"/>
        <w:ind w:left="720" w:hanging="340"/>
      </w:pPr>
      <w:r>
        <w:rPr>
          <w:rFonts w:ascii="Cambria" w:hAnsi="Cambria"/>
          <w:b/>
          <w:sz w:val="22"/>
        </w:rPr>
        <w:t xml:space="preserve">6.  </w:t>
      </w:r>
      <w:r>
        <w:rPr>
          <w:rFonts w:ascii="Cambria" w:hAnsi="Cambria"/>
          <w:b/>
          <w:sz w:val="22"/>
        </w:rPr>
        <w:t>NBA Accreditation Process for Tier-1 Institutions – Criterion 6: Faculty Contribution: Recognizing Professional Development, Research, and Institutional Growth, Kindle Edition, ASIN: B0FR1JLR73</w:t>
      </w:r>
    </w:p>
    <w:p>
      <w:pPr>
        <w:spacing w:after="160"/>
        <w:ind w:left="720"/>
      </w:pPr>
      <w:hyperlink r:id="rId15">
        <w:r>
          <w:rPr>
            <w:color w:val="0563C1"/>
            <w:u w:val="single"/>
            <w:rFonts w:ascii="Cambria"/>
            <w:sz w:val="22"/>
          </w:rPr>
          <w:t>https://amzn.in/d/98KXO4k</w:t>
        </w:r>
      </w:hyperlink>
    </w:p>
    <w:p>
      <w:pPr>
        <w:spacing w:after="40"/>
        <w:ind w:left="720" w:hanging="340"/>
      </w:pPr>
      <w:r>
        <w:rPr>
          <w:rFonts w:ascii="Cambria" w:hAnsi="Cambria"/>
          <w:b/>
          <w:sz w:val="22"/>
        </w:rPr>
        <w:t xml:space="preserve">7.  </w:t>
      </w:r>
      <w:r>
        <w:rPr>
          <w:rFonts w:ascii="Cambria" w:hAnsi="Cambria"/>
          <w:b/>
          <w:sz w:val="22"/>
        </w:rPr>
        <w:t>NBA Accreditation Process for Tier-1 Institutions – Criterion 7: Facilities and Technical Support: A Comprehensive Guide to Facilities, Laboratories, and Technical Support in Accreditation, Kindle Edition, ASIN: B0FQPHYBRC</w:t>
      </w:r>
    </w:p>
    <w:p>
      <w:pPr>
        <w:spacing w:after="160"/>
        <w:ind w:left="720"/>
      </w:pPr>
      <w:hyperlink r:id="rId16">
        <w:r>
          <w:rPr>
            <w:color w:val="0563C1"/>
            <w:u w:val="single"/>
            <w:rFonts w:ascii="Cambria"/>
            <w:sz w:val="22"/>
          </w:rPr>
          <w:t>https://amzn.in/d/9kAkdLZ</w:t>
        </w:r>
      </w:hyperlink>
    </w:p>
    <w:p>
      <w:pPr>
        <w:spacing w:after="40"/>
        <w:ind w:left="720" w:hanging="340"/>
      </w:pPr>
      <w:r>
        <w:rPr>
          <w:rFonts w:ascii="Cambria" w:hAnsi="Cambria"/>
          <w:b/>
          <w:sz w:val="22"/>
        </w:rPr>
        <w:t xml:space="preserve">8.  </w:t>
      </w:r>
      <w:r>
        <w:rPr>
          <w:rFonts w:ascii="Cambria" w:hAnsi="Cambria"/>
          <w:b/>
          <w:sz w:val="22"/>
        </w:rPr>
        <w:t>NBA Accreditation Process for Tier-1 Institutions – Criterion 8: Continuous Improvement: Closing the Loop in Outcome-Based Education for Quality Enhancement, Kindle Edition, ASIN: B0FQJ75CNV</w:t>
      </w:r>
    </w:p>
    <w:p>
      <w:pPr>
        <w:spacing w:after="160"/>
        <w:ind w:left="720"/>
      </w:pPr>
      <w:hyperlink r:id="rId17">
        <w:r>
          <w:rPr>
            <w:color w:val="0563C1"/>
            <w:u w:val="single"/>
            <w:rFonts w:ascii="Cambria"/>
            <w:sz w:val="22"/>
          </w:rPr>
          <w:t>https://amzn.in/d/1Vco5Ye</w:t>
        </w:r>
      </w:hyperlink>
    </w:p>
    <w:p>
      <w:pPr>
        <w:spacing w:after="40"/>
        <w:ind w:left="720" w:hanging="340"/>
      </w:pPr>
      <w:r>
        <w:rPr>
          <w:rFonts w:ascii="Cambria" w:hAnsi="Cambria"/>
          <w:b/>
          <w:sz w:val="22"/>
        </w:rPr>
        <w:t xml:space="preserve">9.  </w:t>
      </w:r>
      <w:r>
        <w:rPr>
          <w:rFonts w:ascii="Cambria" w:hAnsi="Cambria"/>
          <w:b/>
          <w:sz w:val="22"/>
        </w:rPr>
        <w:t>NBA Accreditation Process for Tier-1 Institutions – Criterion 9: Student Support System and Governance: A Framework for Student Support, Governance, and Institutional Accountability in HEIs, Kindle Edition, ASIN: B0FQJ2KHPC</w:t>
      </w:r>
    </w:p>
    <w:p>
      <w:pPr>
        <w:spacing w:after="160"/>
        <w:ind w:left="720"/>
      </w:pPr>
      <w:hyperlink r:id="rId18">
        <w:r>
          <w:rPr>
            <w:color w:val="0563C1"/>
            <w:u w:val="single"/>
            <w:rFonts w:ascii="Cambria"/>
            <w:sz w:val="22"/>
          </w:rPr>
          <w:t>https://amzn.in/d/dYBQik0</w:t>
        </w:r>
      </w:hyperlink>
    </w:p>
    <w:p>
      <w:pPr>
        <w:spacing w:before="160" w:after="80"/>
      </w:pPr>
      <w:r>
        <w:rPr>
          <w:rFonts w:ascii="Cambria" w:hAnsi="Cambria"/>
          <w:b/>
          <w:sz w:val="22"/>
          <w:u w:val="single"/>
        </w:rPr>
        <w:t>NAAC</w:t>
      </w:r>
    </w:p>
    <w:p>
      <w:pPr>
        <w:spacing w:after="40"/>
        <w:ind w:left="720" w:hanging="340"/>
      </w:pPr>
      <w:r>
        <w:rPr>
          <w:rFonts w:ascii="Cambria" w:hAnsi="Cambria"/>
          <w:b/>
          <w:sz w:val="22"/>
        </w:rPr>
        <w:t xml:space="preserve">10.  </w:t>
      </w:r>
      <w:r>
        <w:rPr>
          <w:rFonts w:ascii="Cambria" w:hAnsi="Cambria"/>
          <w:b/>
          <w:sz w:val="22"/>
        </w:rPr>
        <w:t>Curricular Aspects under NAAC Accreditation – Criterion 1 for Higher Education Institutions: Ensuring Academic Flexibility, Curriculum Enrichment, and Alignment with NEP 2020, Kindle Edition, ASIN: B0FPR342MM</w:t>
      </w:r>
    </w:p>
    <w:p>
      <w:pPr>
        <w:spacing w:after="160"/>
        <w:ind w:left="720"/>
      </w:pPr>
      <w:hyperlink r:id="rId19">
        <w:r>
          <w:rPr>
            <w:color w:val="0563C1"/>
            <w:u w:val="single"/>
            <w:rFonts w:ascii="Cambria"/>
            <w:sz w:val="22"/>
          </w:rPr>
          <w:t>https://amzn.in/d/0S10khp</w:t>
        </w:r>
      </w:hyperlink>
    </w:p>
    <w:p>
      <w:pPr>
        <w:spacing w:after="40"/>
        <w:ind w:left="720" w:hanging="340"/>
      </w:pPr>
      <w:r>
        <w:rPr>
          <w:rFonts w:ascii="Cambria" w:hAnsi="Cambria"/>
          <w:b/>
          <w:sz w:val="22"/>
        </w:rPr>
        <w:t xml:space="preserve">11.  </w:t>
      </w:r>
      <w:r>
        <w:rPr>
          <w:rFonts w:ascii="Cambria" w:hAnsi="Cambria"/>
          <w:b/>
          <w:sz w:val="22"/>
        </w:rPr>
        <w:t>Comprehensive Guide for Teaching-Learning and Evaluation under NAAC Accreditation – Criterion 2 for Higher Education Institutions Kindle Edition, ASIN: B0FPRBZ2JH</w:t>
      </w:r>
    </w:p>
    <w:p>
      <w:pPr>
        <w:spacing w:after="160"/>
        <w:ind w:left="720"/>
      </w:pPr>
      <w:hyperlink r:id="rId20">
        <w:r>
          <w:rPr>
            <w:color w:val="0563C1"/>
            <w:u w:val="single"/>
            <w:rFonts w:ascii="Cambria"/>
            <w:sz w:val="22"/>
          </w:rPr>
          <w:t>https://amzn.in/d/37LtI4z</w:t>
        </w:r>
      </w:hyperlink>
    </w:p>
    <w:p>
      <w:pPr>
        <w:spacing w:after="40"/>
        <w:ind w:left="720" w:hanging="340"/>
      </w:pPr>
      <w:r>
        <w:rPr>
          <w:rFonts w:ascii="Cambria" w:hAnsi="Cambria"/>
          <w:b/>
          <w:sz w:val="22"/>
        </w:rPr>
        <w:t xml:space="preserve">12.  </w:t>
      </w:r>
      <w:r>
        <w:rPr>
          <w:rFonts w:ascii="Cambria" w:hAnsi="Cambria"/>
          <w:b/>
          <w:sz w:val="22"/>
        </w:rPr>
        <w:t>Comprehensive Guide for Research, Innovations, and Extension under NAAC Accreditation – Criterion 3 for Higher Education Institutions: Quality Assurance in Research, Innovation, and Extension, Kindle Edition, ASIN: B0FR9GFTST</w:t>
      </w:r>
    </w:p>
    <w:p>
      <w:pPr>
        <w:spacing w:after="160"/>
        <w:ind w:left="720"/>
      </w:pPr>
      <w:hyperlink r:id="rId21">
        <w:r>
          <w:rPr>
            <w:color w:val="0563C1"/>
            <w:u w:val="single"/>
            <w:rFonts w:ascii="Cambria"/>
            <w:sz w:val="22"/>
          </w:rPr>
          <w:t>https://amzn.in/d/06MFYRq</w:t>
        </w:r>
      </w:hyperlink>
    </w:p>
    <w:p>
      <w:pPr>
        <w:spacing w:after="40"/>
        <w:ind w:left="720" w:hanging="340"/>
      </w:pPr>
      <w:r>
        <w:rPr>
          <w:rFonts w:ascii="Cambria" w:hAnsi="Cambria"/>
          <w:b/>
          <w:sz w:val="22"/>
        </w:rPr>
        <w:t xml:space="preserve">13.  </w:t>
      </w:r>
      <w:r>
        <w:rPr>
          <w:rFonts w:ascii="Cambria" w:hAnsi="Cambria"/>
          <w:b/>
          <w:sz w:val="22"/>
        </w:rPr>
        <w:t>Comprehensive Guide for Infrastructure and Learning Resources under NAAC Accreditation – Criterion 4 for Higher Education Institutions: Sustainable, Inclusive, and Future-Ready Learning Ecosystems, Kindle Edition, ASIN: B0FRFFRDPB</w:t>
      </w:r>
    </w:p>
    <w:p>
      <w:pPr>
        <w:spacing w:after="160"/>
        <w:ind w:left="720"/>
      </w:pPr>
      <w:hyperlink r:id="rId22">
        <w:r>
          <w:rPr>
            <w:color w:val="0563C1"/>
            <w:u w:val="single"/>
            <w:rFonts w:ascii="Cambria"/>
            <w:sz w:val="22"/>
          </w:rPr>
          <w:t>https://amzn.in/d/5xlUunj</w:t>
        </w:r>
      </w:hyperlink>
    </w:p>
    <w:p>
      <w:pPr>
        <w:spacing w:after="40"/>
        <w:ind w:left="720" w:hanging="340"/>
      </w:pPr>
      <w:r>
        <w:rPr>
          <w:rFonts w:ascii="Cambria" w:hAnsi="Cambria"/>
          <w:b/>
          <w:sz w:val="22"/>
        </w:rPr>
        <w:t xml:space="preserve">14.  </w:t>
      </w:r>
      <w:r>
        <w:rPr>
          <w:rFonts w:ascii="Cambria" w:hAnsi="Cambria"/>
          <w:b/>
          <w:sz w:val="22"/>
        </w:rPr>
        <w:t>Comprehensive Guide for Student Support and Progression under NAAC Accreditation – Criterion 5 for Higher Education Institutions, Kindle Edition, ASIN: B0FRDZKYNG</w:t>
      </w:r>
    </w:p>
    <w:p>
      <w:pPr>
        <w:spacing w:after="160"/>
        <w:ind w:left="720"/>
      </w:pPr>
      <w:hyperlink r:id="rId23">
        <w:r>
          <w:rPr>
            <w:color w:val="0563C1"/>
            <w:u w:val="single"/>
            <w:rFonts w:ascii="Cambria"/>
            <w:sz w:val="22"/>
          </w:rPr>
          <w:t>https://amzn.in/d/3zP8hvF</w:t>
        </w:r>
      </w:hyperlink>
    </w:p>
    <w:p>
      <w:pPr>
        <w:spacing w:after="40"/>
        <w:ind w:left="720" w:hanging="340"/>
      </w:pPr>
      <w:r>
        <w:rPr>
          <w:rFonts w:ascii="Cambria" w:hAnsi="Cambria"/>
          <w:b/>
          <w:sz w:val="22"/>
        </w:rPr>
        <w:t xml:space="preserve">15.  </w:t>
      </w:r>
      <w:r>
        <w:rPr>
          <w:rFonts w:ascii="Cambria" w:hAnsi="Cambria"/>
          <w:b/>
          <w:sz w:val="22"/>
        </w:rPr>
        <w:t>Comprehensive Guide for Governance, Leadership and Management under NAAC Accreditation – Criterion 6 for Higher Education Institutions, Kindle Edition, ASIN: B0FR8KKXS4</w:t>
      </w:r>
    </w:p>
    <w:p>
      <w:pPr>
        <w:spacing w:after="160"/>
        <w:ind w:left="720"/>
      </w:pPr>
      <w:hyperlink r:id="rId24">
        <w:r>
          <w:rPr>
            <w:color w:val="0563C1"/>
            <w:u w:val="single"/>
            <w:rFonts w:ascii="Cambria"/>
            <w:sz w:val="22"/>
          </w:rPr>
          <w:t>https://amzn.in/d/5dscvoN</w:t>
        </w:r>
      </w:hyperlink>
    </w:p>
    <w:p>
      <w:pPr>
        <w:spacing w:after="40"/>
        <w:ind w:left="720" w:hanging="340"/>
      </w:pPr>
      <w:r>
        <w:rPr>
          <w:rFonts w:ascii="Cambria" w:hAnsi="Cambria"/>
          <w:b/>
          <w:sz w:val="22"/>
        </w:rPr>
        <w:t xml:space="preserve">16.  </w:t>
      </w:r>
      <w:r>
        <w:rPr>
          <w:rFonts w:ascii="Cambria" w:hAnsi="Cambria"/>
          <w:b/>
          <w:sz w:val="22"/>
        </w:rPr>
        <w:t>Comprehensive Guide for Institutional Values and Best Practices under NAAC Accreditation – Criterion 7 for Higher Education Institutions: Frameworks, Case Studies, and Evidence for Quality Assurance, Kindle Edition, ASIN: B0FR7WJQJ2</w:t>
      </w:r>
    </w:p>
    <w:p>
      <w:pPr>
        <w:spacing w:after="160"/>
        <w:ind w:left="720"/>
      </w:pPr>
      <w:hyperlink r:id="rId25">
        <w:r>
          <w:rPr>
            <w:color w:val="0563C1"/>
            <w:u w:val="single"/>
            <w:rFonts w:ascii="Cambria"/>
            <w:sz w:val="22"/>
          </w:rPr>
          <w:t>https://amzn.in/d/6gMGSy4</w:t>
        </w:r>
      </w:hyperlink>
    </w:p>
    <w:p>
      <w:pPr>
        <w:spacing w:before="160" w:after="80"/>
      </w:pPr>
      <w:r>
        <w:rPr>
          <w:rFonts w:ascii="Cambria" w:hAnsi="Cambria"/>
          <w:b/>
          <w:sz w:val="22"/>
          <w:u w:val="single"/>
        </w:rPr>
        <w:t>QS I GAUGE</w:t>
      </w:r>
    </w:p>
    <w:p>
      <w:pPr>
        <w:spacing w:after="40"/>
        <w:ind w:left="720" w:hanging="340"/>
      </w:pPr>
      <w:r>
        <w:rPr>
          <w:rFonts w:ascii="Cambria" w:hAnsi="Cambria"/>
          <w:b/>
          <w:sz w:val="22"/>
        </w:rPr>
        <w:t xml:space="preserve">17.  </w:t>
      </w:r>
      <w:r>
        <w:rPr>
          <w:rFonts w:ascii="Cambria" w:hAnsi="Cambria"/>
          <w:b/>
          <w:sz w:val="22"/>
        </w:rPr>
        <w:t>QS I-GAUGE: An Independent Rating Framework for Indian Higher Education, Kindle Edition, ASIN: B0FN4WBGLT</w:t>
      </w:r>
    </w:p>
    <w:p>
      <w:pPr>
        <w:spacing w:after="160"/>
        <w:ind w:left="720"/>
      </w:pPr>
      <w:hyperlink r:id="rId26">
        <w:r>
          <w:rPr>
            <w:color w:val="0563C1"/>
            <w:u w:val="single"/>
            <w:rFonts w:ascii="Cambria"/>
            <w:sz w:val="22"/>
          </w:rPr>
          <w:t>https://amzn.in/d/2mIYjez</w:t>
        </w:r>
      </w:hyperlink>
    </w:p>
    <w:p>
      <w:pPr>
        <w:spacing w:before="160" w:after="80"/>
      </w:pPr>
      <w:r>
        <w:rPr>
          <w:rFonts w:ascii="Cambria" w:hAnsi="Cambria"/>
          <w:b/>
          <w:sz w:val="22"/>
          <w:u w:val="single"/>
        </w:rPr>
        <w:t>NIRF</w:t>
      </w:r>
    </w:p>
    <w:p>
      <w:pPr>
        <w:spacing w:after="40"/>
        <w:ind w:left="720" w:hanging="340"/>
      </w:pPr>
      <w:r>
        <w:rPr>
          <w:rFonts w:ascii="Cambria" w:hAnsi="Cambria"/>
          <w:b/>
          <w:sz w:val="22"/>
        </w:rPr>
        <w:t xml:space="preserve">18.  </w:t>
      </w:r>
      <w:r>
        <w:rPr>
          <w:rFonts w:ascii="Cambria" w:hAnsi="Cambria"/>
          <w:b/>
          <w:sz w:val="22"/>
        </w:rPr>
        <w:t>National Institutional Ranking Framework (NIRF): Transforming Indian Higher Education: A Comprehensive Analysis of Methodology, Parameters, and Impact, Kindle Edition, ASIN: B0FQ5MNVGR</w:t>
      </w:r>
    </w:p>
    <w:p>
      <w:pPr>
        <w:spacing w:after="160"/>
        <w:ind w:left="720"/>
      </w:pPr>
      <w:hyperlink r:id="rId27">
        <w:r>
          <w:rPr>
            <w:color w:val="0563C1"/>
            <w:u w:val="single"/>
            <w:rFonts w:ascii="Cambria"/>
            <w:sz w:val="22"/>
          </w:rPr>
          <w:t>https://amzn.in/d/hhrZvux</w:t>
        </w:r>
      </w:hyperlink>
    </w:p>
    <w:p>
      <w:pPr>
        <w:spacing w:before="160" w:after="80"/>
      </w:pPr>
      <w:r>
        <w:rPr>
          <w:rFonts w:ascii="Cambria" w:hAnsi="Cambria"/>
          <w:b/>
          <w:sz w:val="22"/>
          <w:u w:val="single"/>
        </w:rPr>
        <w:t>NEP2020</w:t>
      </w:r>
    </w:p>
    <w:p>
      <w:pPr>
        <w:spacing w:after="40"/>
        <w:ind w:left="720" w:hanging="340"/>
      </w:pPr>
      <w:r>
        <w:rPr>
          <w:rFonts w:ascii="Cambria" w:hAnsi="Cambria"/>
          <w:b/>
          <w:sz w:val="22"/>
        </w:rPr>
        <w:t xml:space="preserve">19.  </w:t>
      </w:r>
      <w:r>
        <w:rPr>
          <w:rFonts w:ascii="Cambria" w:hAnsi="Cambria"/>
          <w:b/>
          <w:sz w:val="22"/>
        </w:rPr>
        <w:t>National Education Policy 2020: A Transformative Roadmap for Holistic, Inclusive, and Future-Ready Learning in India, Kindle Edition, ASIN: B0F1L321B6</w:t>
      </w:r>
    </w:p>
    <w:p>
      <w:pPr>
        <w:spacing w:after="160"/>
        <w:ind w:left="720"/>
      </w:pPr>
      <w:hyperlink r:id="rId28">
        <w:r>
          <w:rPr>
            <w:color w:val="0563C1"/>
            <w:u w:val="single"/>
            <w:rFonts w:ascii="Cambria"/>
            <w:sz w:val="22"/>
          </w:rPr>
          <w:t>https://amzn.in/d/eugIo4y</w:t>
        </w:r>
      </w:hyperlink>
    </w:p>
    <w:p>
      <w:pPr>
        <w:spacing w:before="160" w:after="80"/>
      </w:pPr>
      <w:r>
        <w:rPr>
          <w:rFonts w:ascii="Cambria" w:hAnsi="Cambria"/>
          <w:b/>
          <w:sz w:val="22"/>
          <w:u w:val="single"/>
        </w:rPr>
        <w:t>IQAC</w:t>
      </w:r>
    </w:p>
    <w:p>
      <w:pPr>
        <w:spacing w:after="40"/>
        <w:ind w:left="720" w:hanging="340"/>
      </w:pPr>
      <w:r>
        <w:rPr>
          <w:rFonts w:ascii="Cambria" w:hAnsi="Cambria"/>
          <w:b/>
          <w:sz w:val="22"/>
        </w:rPr>
        <w:t xml:space="preserve">20.  </w:t>
      </w:r>
      <w:r>
        <w:rPr>
          <w:rFonts w:ascii="Cambria" w:hAnsi="Cambria"/>
          <w:b/>
          <w:sz w:val="22"/>
        </w:rPr>
        <w:t>Internal Quality Assurance Cell (IQAC): A Framework for Sustaining and Enhancing Quality in Higher Education Kindle Edition, ASIN: B0FPLRX4YF</w:t>
      </w:r>
    </w:p>
    <w:p>
      <w:pPr>
        <w:spacing w:after="160"/>
        <w:ind w:left="720"/>
      </w:pPr>
      <w:hyperlink r:id="rId29">
        <w:r>
          <w:rPr>
            <w:color w:val="0563C1"/>
            <w:u w:val="single"/>
            <w:rFonts w:ascii="Cambria"/>
            <w:sz w:val="22"/>
          </w:rPr>
          <w:t>https://amzn.in/d/8n5aQRb</w:t>
        </w:r>
      </w:hyperlink>
    </w:p>
    <w:p>
      <w:pPr>
        <w:spacing w:after="40"/>
        <w:ind w:left="720" w:hanging="340"/>
      </w:pPr>
      <w:r>
        <w:rPr>
          <w:rFonts w:ascii="Cambria" w:hAnsi="Cambria"/>
          <w:b/>
          <w:sz w:val="22"/>
        </w:rPr>
        <w:t xml:space="preserve">21.  </w:t>
      </w:r>
      <w:r>
        <w:rPr>
          <w:rFonts w:ascii="Cambria" w:hAnsi="Cambria"/>
          <w:b/>
          <w:sz w:val="22"/>
        </w:rPr>
        <w:t>Systematic and Transparent Feedback Mechanism in Higher Education Institutions: Ensuring Continuous Quality Improvement (CQI) and Strengthening NAAC/NBA Accreditation, Kindle Edition, ASIN: B0FPGJ77RC</w:t>
      </w:r>
    </w:p>
    <w:p>
      <w:pPr>
        <w:spacing w:after="160"/>
        <w:ind w:left="720"/>
      </w:pPr>
      <w:hyperlink r:id="rId30">
        <w:r>
          <w:rPr>
            <w:color w:val="0563C1"/>
            <w:u w:val="single"/>
            <w:rFonts w:ascii="Cambria"/>
            <w:sz w:val="22"/>
          </w:rPr>
          <w:t>https://amzn.in/d/emeRiJ3</w:t>
        </w:r>
      </w:hyperlink>
    </w:p>
    <w:p>
      <w:pPr>
        <w:spacing w:after="40"/>
        <w:ind w:left="720" w:hanging="340"/>
      </w:pPr>
      <w:r>
        <w:rPr>
          <w:rFonts w:ascii="Cambria" w:hAnsi="Cambria"/>
          <w:b/>
          <w:sz w:val="22"/>
        </w:rPr>
        <w:t xml:space="preserve">22.  </w:t>
      </w:r>
      <w:r>
        <w:rPr>
          <w:rFonts w:ascii="Cambria" w:hAnsi="Cambria"/>
          <w:b/>
          <w:sz w:val="22"/>
        </w:rPr>
        <w:t>Qualitative Metrics (QlM) and Quantitative Metrics (QnM) in Higher Educational Institutions (HEIs): As Applied in NAAC, NBA, and NIRF Frameworks, Kindle Edition, ASIN: B0F6CR212X</w:t>
      </w:r>
    </w:p>
    <w:p>
      <w:pPr>
        <w:spacing w:after="160"/>
        <w:ind w:left="720"/>
      </w:pPr>
      <w:hyperlink r:id="rId31">
        <w:r>
          <w:rPr>
            <w:color w:val="0563C1"/>
            <w:u w:val="single"/>
            <w:rFonts w:ascii="Cambria"/>
            <w:sz w:val="22"/>
          </w:rPr>
          <w:t>https://amzn.in/d/gUWl02e</w:t>
        </w:r>
      </w:hyperlink>
    </w:p>
    <w:p>
      <w:pPr>
        <w:spacing w:after="40"/>
        <w:ind w:left="720" w:hanging="340"/>
      </w:pPr>
      <w:r>
        <w:rPr>
          <w:rFonts w:ascii="Cambria" w:hAnsi="Cambria"/>
          <w:b/>
          <w:sz w:val="22"/>
        </w:rPr>
        <w:t xml:space="preserve">23.  </w:t>
      </w:r>
      <w:r>
        <w:rPr>
          <w:rFonts w:ascii="Cambria" w:hAnsi="Cambria"/>
          <w:b/>
          <w:sz w:val="22"/>
        </w:rPr>
        <w:t>Statutory and Non-Statutory Committees in Higher Educational Institutions (HEIs): Mandatory by regulatory bodies like AICTE, UGC, NAAC, NBA, etc. Kindle Edition, ASIN: B0F7GHJ863</w:t>
      </w:r>
    </w:p>
    <w:p>
      <w:pPr>
        <w:spacing w:after="160"/>
        <w:ind w:left="720"/>
      </w:pPr>
      <w:hyperlink r:id="rId32">
        <w:r>
          <w:rPr>
            <w:color w:val="0563C1"/>
            <w:u w:val="single"/>
            <w:rFonts w:ascii="Cambria"/>
            <w:sz w:val="22"/>
          </w:rPr>
          <w:t>https://amzn.in/d/gf0LiBn</w:t>
        </w:r>
      </w:hyperlink>
    </w:p>
    <w:p>
      <w:pPr>
        <w:spacing w:after="40"/>
        <w:ind w:left="720" w:hanging="340"/>
      </w:pPr>
      <w:r>
        <w:rPr>
          <w:rFonts w:ascii="Cambria" w:hAnsi="Cambria"/>
          <w:b/>
          <w:sz w:val="22"/>
        </w:rPr>
        <w:t xml:space="preserve">24.  </w:t>
      </w:r>
      <w:r>
        <w:rPr>
          <w:rFonts w:ascii="Cambria" w:hAnsi="Cambria"/>
          <w:b/>
          <w:sz w:val="22"/>
        </w:rPr>
        <w:t>Empowering Academic Skilling and Mathematical Modelling through Technical Computing Languages in Higher Education Institutions, Kindle Edition, ASIN: B0FC7TNZNG</w:t>
      </w:r>
    </w:p>
    <w:p>
      <w:pPr>
        <w:spacing w:after="160"/>
        <w:ind w:left="720"/>
      </w:pPr>
      <w:hyperlink r:id="rId33">
        <w:r>
          <w:rPr>
            <w:color w:val="0563C1"/>
            <w:u w:val="single"/>
            <w:rFonts w:ascii="Cambria"/>
            <w:sz w:val="22"/>
          </w:rPr>
          <w:t>https://amzn.in/d/brIlQwZ</w:t>
        </w:r>
      </w:hyperlink>
    </w:p>
    <w:p>
      <w:pPr>
        <w:spacing w:after="40"/>
        <w:ind w:left="720" w:hanging="340"/>
      </w:pPr>
      <w:r>
        <w:rPr>
          <w:rFonts w:ascii="Cambria" w:hAnsi="Cambria"/>
          <w:b/>
          <w:sz w:val="22"/>
        </w:rPr>
        <w:t xml:space="preserve">25.  </w:t>
      </w:r>
      <w:r>
        <w:rPr>
          <w:rFonts w:ascii="Cambria" w:hAnsi="Cambria"/>
          <w:b/>
          <w:sz w:val="22"/>
        </w:rPr>
        <w:t>Research and Development Transformation in Higher Education Institutions, Kindle Edition, ASIN: B0FB9QFS88</w:t>
      </w:r>
    </w:p>
    <w:p>
      <w:pPr>
        <w:spacing w:after="160"/>
        <w:ind w:left="720"/>
      </w:pPr>
      <w:hyperlink r:id="rId34">
        <w:r>
          <w:rPr>
            <w:color w:val="0563C1"/>
            <w:u w:val="single"/>
            <w:rFonts w:ascii="Cambria"/>
            <w:sz w:val="22"/>
          </w:rPr>
          <w:t>https://amzn.in/d/1uOQZ0o</w:t>
        </w:r>
      </w:hyperlink>
    </w:p>
    <w:p>
      <w:pPr>
        <w:spacing w:after="40"/>
        <w:ind w:left="720" w:hanging="340"/>
      </w:pPr>
      <w:r>
        <w:rPr>
          <w:rFonts w:ascii="Cambria" w:hAnsi="Cambria"/>
          <w:b/>
          <w:sz w:val="22"/>
        </w:rPr>
        <w:t xml:space="preserve">26.  </w:t>
      </w:r>
      <w:r>
        <w:rPr>
          <w:rFonts w:ascii="Cambria" w:hAnsi="Cambria"/>
          <w:b/>
          <w:sz w:val="22"/>
        </w:rPr>
        <w:t>Institutional Development Plans in Higher Education: Empowering Institutions for the 21st Century Kindle Edition, ASIN: B0FDBV6D47</w:t>
      </w:r>
    </w:p>
    <w:p>
      <w:pPr>
        <w:spacing w:after="160"/>
        <w:ind w:left="720"/>
      </w:pPr>
      <w:hyperlink r:id="rId35">
        <w:r>
          <w:rPr>
            <w:color w:val="0563C1"/>
            <w:u w:val="single"/>
            <w:rFonts w:ascii="Cambria"/>
            <w:sz w:val="22"/>
          </w:rPr>
          <w:t>https://amzn.in/d/ckm98I2</w:t>
        </w:r>
      </w:hyperlink>
    </w:p>
    <w:p>
      <w:pPr>
        <w:spacing w:after="40"/>
        <w:ind w:left="720" w:hanging="340"/>
      </w:pPr>
      <w:r>
        <w:rPr>
          <w:rFonts w:ascii="Cambria" w:hAnsi="Cambria"/>
          <w:b/>
          <w:sz w:val="22"/>
        </w:rPr>
        <w:t xml:space="preserve">27.  </w:t>
      </w:r>
      <w:r>
        <w:rPr>
          <w:rFonts w:ascii="Cambria" w:hAnsi="Cambria"/>
          <w:b/>
          <w:sz w:val="22"/>
        </w:rPr>
        <w:t>Comprehensive Academic System in Higher Education Institutions, Kindle Edition, ASIN: B0FF2HDMSG</w:t>
      </w:r>
    </w:p>
    <w:p>
      <w:pPr>
        <w:spacing w:after="160"/>
        <w:ind w:left="720"/>
      </w:pPr>
      <w:hyperlink r:id="rId36">
        <w:r>
          <w:rPr>
            <w:color w:val="0563C1"/>
            <w:u w:val="single"/>
            <w:rFonts w:ascii="Cambria"/>
            <w:sz w:val="22"/>
          </w:rPr>
          <w:t>https://amzn.in/d/dbPMaVL</w:t>
        </w:r>
      </w:hyperlink>
    </w:p>
    <w:p>
      <w:pPr>
        <w:spacing w:after="40"/>
        <w:ind w:left="720" w:hanging="340"/>
      </w:pPr>
      <w:r>
        <w:rPr>
          <w:rFonts w:ascii="Cambria" w:hAnsi="Cambria"/>
          <w:b/>
          <w:sz w:val="22"/>
        </w:rPr>
        <w:t xml:space="preserve">28.  </w:t>
      </w:r>
      <w:r>
        <w:rPr>
          <w:rFonts w:ascii="Cambria" w:hAnsi="Cambria"/>
          <w:b/>
          <w:sz w:val="22"/>
        </w:rPr>
        <w:t>Structured Approaches to Teaching, Learning, and Student Engagement in HEIs, Kindle Edition, ASIN: B0DB8QK1B4</w:t>
      </w:r>
    </w:p>
    <w:p>
      <w:pPr>
        <w:spacing w:after="160"/>
        <w:ind w:left="720"/>
      </w:pPr>
      <w:hyperlink r:id="rId37">
        <w:r>
          <w:rPr>
            <w:color w:val="0563C1"/>
            <w:u w:val="single"/>
            <w:rFonts w:ascii="Cambria"/>
            <w:sz w:val="22"/>
          </w:rPr>
          <w:t>https://amzn.in/d/7jNZrQo</w:t>
        </w:r>
      </w:hyperlink>
    </w:p>
    <w:p>
      <w:pPr>
        <w:spacing w:after="40"/>
        <w:ind w:left="720" w:hanging="340"/>
      </w:pPr>
      <w:r>
        <w:rPr>
          <w:rFonts w:ascii="Cambria" w:hAnsi="Cambria"/>
          <w:b/>
          <w:sz w:val="22"/>
        </w:rPr>
        <w:t xml:space="preserve">29.  </w:t>
      </w:r>
      <w:r>
        <w:rPr>
          <w:rFonts w:ascii="Cambria" w:hAnsi="Cambria"/>
          <w:b/>
          <w:sz w:val="22"/>
        </w:rPr>
        <w:t>Admission Process in Indian Higher Education: A Comprehensive Institutional Guide Kindle Edition, ASIN: B0FFNCPP6P</w:t>
      </w:r>
    </w:p>
    <w:p>
      <w:pPr>
        <w:spacing w:after="160"/>
        <w:ind w:left="720"/>
      </w:pPr>
      <w:hyperlink r:id="rId38">
        <w:r>
          <w:rPr>
            <w:color w:val="0563C1"/>
            <w:u w:val="single"/>
            <w:rFonts w:ascii="Cambria"/>
            <w:sz w:val="22"/>
          </w:rPr>
          <w:t>https://amzn.in/d/0XO6APq</w:t>
        </w:r>
      </w:hyperlink>
    </w:p>
    <w:p>
      <w:pPr>
        <w:spacing w:after="40"/>
        <w:ind w:left="720" w:hanging="340"/>
      </w:pPr>
      <w:r>
        <w:rPr>
          <w:rFonts w:ascii="Cambria" w:hAnsi="Cambria"/>
          <w:b/>
          <w:sz w:val="22"/>
        </w:rPr>
        <w:t xml:space="preserve">30.  </w:t>
      </w:r>
      <w:r>
        <w:rPr>
          <w:rFonts w:ascii="Cambria" w:hAnsi="Cambria"/>
          <w:b/>
          <w:sz w:val="22"/>
        </w:rPr>
        <w:t>Strategic Implementation of Best Practices in HEIs: Enhancing Quality, Innovation, and Impact, Kindle Edition, ASIN: B0CZP85QK7</w:t>
      </w:r>
    </w:p>
    <w:p>
      <w:pPr>
        <w:spacing w:after="160"/>
        <w:ind w:left="720"/>
      </w:pPr>
      <w:hyperlink r:id="rId39">
        <w:r>
          <w:rPr>
            <w:color w:val="0563C1"/>
            <w:u w:val="single"/>
            <w:rFonts w:ascii="Cambria"/>
            <w:sz w:val="22"/>
          </w:rPr>
          <w:t>https://amzn.in/d/5uj5Lkb</w:t>
        </w:r>
      </w:hyperlink>
    </w:p>
    <w:p>
      <w:pPr>
        <w:spacing w:after="40"/>
        <w:ind w:left="720" w:hanging="340"/>
      </w:pPr>
      <w:r>
        <w:rPr>
          <w:rFonts w:ascii="Cambria" w:hAnsi="Cambria"/>
          <w:b/>
          <w:sz w:val="22"/>
        </w:rPr>
        <w:t xml:space="preserve">31.  </w:t>
      </w:r>
      <w:r>
        <w:rPr>
          <w:rFonts w:ascii="Cambria" w:hAnsi="Cambria"/>
          <w:b/>
          <w:sz w:val="22"/>
        </w:rPr>
        <w:t>Outcome-Based Education in Higher Learning: Philosophy, Design, and Impact, Kindle Edition, ASIN: B0FPCB5GHH</w:t>
      </w:r>
    </w:p>
    <w:p>
      <w:pPr>
        <w:spacing w:after="160"/>
        <w:ind w:left="720"/>
      </w:pPr>
      <w:hyperlink r:id="rId40">
        <w:r>
          <w:rPr>
            <w:color w:val="0563C1"/>
            <w:u w:val="single"/>
            <w:rFonts w:ascii="Cambria"/>
            <w:sz w:val="22"/>
          </w:rPr>
          <w:t>https://amzn.in/d/3oGmnue</w:t>
        </w:r>
      </w:hyperlink>
    </w:p>
    <w:p>
      <w:pPr>
        <w:spacing w:after="40"/>
        <w:ind w:left="720" w:hanging="340"/>
      </w:pPr>
      <w:r>
        <w:rPr>
          <w:rFonts w:ascii="Cambria" w:hAnsi="Cambria"/>
          <w:b/>
          <w:sz w:val="22"/>
        </w:rPr>
        <w:t xml:space="preserve">32.  </w:t>
      </w:r>
      <w:r>
        <w:rPr>
          <w:rFonts w:ascii="Cambria" w:hAnsi="Cambria"/>
          <w:b/>
          <w:sz w:val="22"/>
        </w:rPr>
        <w:t>Holistic Performance Appraisal and Development: Driving Continuous Quality in Higher Education Institutions, Kindle Edition, ASIN: B0FQN2S8WH</w:t>
      </w:r>
    </w:p>
    <w:p>
      <w:pPr>
        <w:spacing w:after="160"/>
        <w:ind w:left="720"/>
      </w:pPr>
      <w:hyperlink r:id="rId41">
        <w:r>
          <w:rPr>
            <w:color w:val="0563C1"/>
            <w:u w:val="single"/>
            <w:rFonts w:ascii="Cambria"/>
            <w:sz w:val="22"/>
          </w:rPr>
          <w:t>https://amzn.in/d/bipHsu8</w:t>
        </w:r>
      </w:hyperlink>
    </w:p>
    <w:p>
      <w:pPr>
        <w:spacing w:after="40"/>
        <w:ind w:left="720" w:hanging="340"/>
      </w:pPr>
      <w:r>
        <w:rPr>
          <w:rFonts w:ascii="Cambria" w:hAnsi="Cambria"/>
          <w:b/>
          <w:sz w:val="22"/>
        </w:rPr>
        <w:t xml:space="preserve">33.  </w:t>
      </w:r>
      <w:r>
        <w:rPr>
          <w:rFonts w:ascii="Cambria" w:hAnsi="Cambria"/>
          <w:b/>
          <w:sz w:val="22"/>
        </w:rPr>
        <w:t>Comprehensive Code of Ethics and Conduct for Students in Higher Education Institutions, Kindle Edition, ASIN: B0FQS7V248</w:t>
      </w:r>
    </w:p>
    <w:p>
      <w:pPr>
        <w:spacing w:after="160"/>
        <w:ind w:left="720"/>
      </w:pPr>
      <w:hyperlink r:id="rId42">
        <w:r>
          <w:rPr>
            <w:color w:val="0563C1"/>
            <w:u w:val="single"/>
            <w:rFonts w:ascii="Cambria"/>
            <w:sz w:val="22"/>
          </w:rPr>
          <w:t>https://amzn.in/d/6jfKQnI</w:t>
        </w:r>
      </w:hyperlink>
    </w:p>
    <w:p>
      <w:pPr>
        <w:spacing w:after="40"/>
        <w:ind w:left="720" w:hanging="340"/>
      </w:pPr>
      <w:r>
        <w:rPr>
          <w:rFonts w:ascii="Cambria" w:hAnsi="Cambria"/>
          <w:b/>
          <w:sz w:val="22"/>
        </w:rPr>
        <w:t xml:space="preserve">34.  </w:t>
      </w:r>
      <w:r>
        <w:rPr>
          <w:rFonts w:ascii="Cambria" w:hAnsi="Cambria"/>
          <w:b/>
          <w:sz w:val="22"/>
        </w:rPr>
        <w:t>Industry Internship Program: Structure, Guidelines, and Evaluation Framework: Enhancing Employability and Industry Linkages in HEIs, Kindle Edition, ASIN: B0FQLF8385</w:t>
      </w:r>
    </w:p>
    <w:p>
      <w:pPr>
        <w:spacing w:after="160"/>
        <w:ind w:left="720"/>
      </w:pPr>
      <w:hyperlink r:id="rId43">
        <w:r>
          <w:rPr>
            <w:color w:val="0563C1"/>
            <w:u w:val="single"/>
            <w:rFonts w:ascii="Cambria"/>
            <w:sz w:val="22"/>
          </w:rPr>
          <w:t>https://amzn.in/d/8scRAIj</w:t>
        </w:r>
      </w:hyperlink>
    </w:p>
    <w:p>
      <w:pPr>
        <w:spacing w:after="40"/>
        <w:ind w:left="720" w:hanging="340"/>
      </w:pPr>
      <w:r>
        <w:rPr>
          <w:rFonts w:ascii="Cambria" w:hAnsi="Cambria"/>
          <w:b/>
          <w:sz w:val="22"/>
        </w:rPr>
        <w:t xml:space="preserve">35.  </w:t>
      </w:r>
      <w:r>
        <w:rPr>
          <w:rFonts w:ascii="Cambria" w:hAnsi="Cambria"/>
          <w:b/>
          <w:sz w:val="22"/>
        </w:rPr>
        <w:t>Energy Management and Audit in Indian Educational Institutions: A Blueprint for Sustainable Growth: Mapping Institutional Energy Management to NAAC Criteria, SDG Goals, and QS I-GAUGE Standards, Kindle Edition, ASIN: B0FQZNSBJ5</w:t>
      </w:r>
    </w:p>
    <w:p>
      <w:pPr>
        <w:spacing w:after="160"/>
        <w:ind w:left="720"/>
      </w:pPr>
      <w:hyperlink r:id="rId44">
        <w:r>
          <w:rPr>
            <w:color w:val="0563C1"/>
            <w:u w:val="single"/>
            <w:rFonts w:ascii="Cambria"/>
            <w:sz w:val="22"/>
          </w:rPr>
          <w:t>https://amzn.in/d/eKx5NC9</w:t>
        </w:r>
      </w:hyperlink>
    </w:p>
    <w:p>
      <w:pPr>
        <w:spacing w:after="40"/>
        <w:ind w:left="720" w:hanging="340"/>
      </w:pPr>
      <w:r>
        <w:rPr>
          <w:rFonts w:ascii="Cambria" w:hAnsi="Cambria"/>
          <w:b/>
          <w:sz w:val="22"/>
        </w:rPr>
        <w:t xml:space="preserve">36.  </w:t>
      </w:r>
      <w:r>
        <w:rPr>
          <w:rFonts w:ascii="Cambria" w:hAnsi="Cambria"/>
          <w:b/>
          <w:sz w:val="22"/>
        </w:rPr>
        <w:t>Financial Operations and Management Policy in Higher Education Institutions: A Comprehensive Framework Linking Finance Policy to NAAC, NBA, NIRF, QS I-GAUGE, and SDGs, Kindle Edition, ASIN: B0FR1P216J</w:t>
      </w:r>
    </w:p>
    <w:p>
      <w:pPr>
        <w:spacing w:after="160"/>
        <w:ind w:left="720"/>
      </w:pPr>
      <w:hyperlink r:id="rId45">
        <w:r>
          <w:rPr>
            <w:color w:val="0563C1"/>
            <w:u w:val="single"/>
            <w:rFonts w:ascii="Cambria"/>
            <w:sz w:val="22"/>
          </w:rPr>
          <w:t>https://amzn.in/d/8st88zc</w:t>
        </w:r>
      </w:hyperlink>
    </w:p>
    <w:p>
      <w:pPr>
        <w:spacing w:after="40"/>
        <w:ind w:left="720" w:hanging="340"/>
      </w:pPr>
      <w:r>
        <w:rPr>
          <w:rFonts w:ascii="Cambria" w:hAnsi="Cambria"/>
          <w:b/>
          <w:sz w:val="22"/>
        </w:rPr>
        <w:t xml:space="preserve">37.  </w:t>
      </w:r>
      <w:r>
        <w:rPr>
          <w:rFonts w:ascii="Cambria" w:hAnsi="Cambria"/>
          <w:b/>
          <w:sz w:val="22"/>
        </w:rPr>
        <w:t>Comprehensive Policy Framework for Sustainable Water Management, Conservation, and Auditing in Higher Education Institutions, Kindle Edition, ASIN: B0FR31X1BC</w:t>
      </w:r>
    </w:p>
    <w:p>
      <w:pPr>
        <w:spacing w:after="160"/>
        <w:ind w:left="720"/>
      </w:pPr>
      <w:hyperlink r:id="rId46">
        <w:r>
          <w:rPr>
            <w:color w:val="0563C1"/>
            <w:u w:val="single"/>
            <w:rFonts w:ascii="Cambria"/>
            <w:sz w:val="22"/>
          </w:rPr>
          <w:t>https://amzn.in/d/3i4OLf1</w:t>
        </w:r>
      </w:hyperlink>
    </w:p>
    <w:p>
      <w:pPr>
        <w:spacing w:after="40"/>
        <w:ind w:left="720" w:hanging="340"/>
      </w:pPr>
      <w:r>
        <w:rPr>
          <w:rFonts w:ascii="Cambria" w:hAnsi="Cambria"/>
          <w:b/>
          <w:sz w:val="22"/>
        </w:rPr>
        <w:t xml:space="preserve">38.  </w:t>
      </w:r>
      <w:r>
        <w:rPr>
          <w:rFonts w:ascii="Cambria" w:hAnsi="Cambria"/>
          <w:b/>
          <w:sz w:val="22"/>
        </w:rPr>
        <w:t>Comprehensive Framework for Student Grievance, Counselling, Anti-Ragging, and Internal Complaints in HEIs: Mapping Student Support and Protection Mechanisms to NAAC, NBA, NIRF, QS I-GAUGE, and SDGs, Kindle Edition, ASIN: B0FR58L1G8</w:t>
      </w:r>
    </w:p>
    <w:p>
      <w:pPr>
        <w:spacing w:after="160"/>
        <w:ind w:left="720"/>
      </w:pPr>
      <w:hyperlink r:id="rId47">
        <w:r>
          <w:rPr>
            <w:color w:val="0563C1"/>
            <w:u w:val="single"/>
            <w:rFonts w:ascii="Cambria"/>
            <w:sz w:val="22"/>
          </w:rPr>
          <w:t>https://amzn.in/d/gXvdCpx</w:t>
        </w:r>
      </w:hyperlink>
    </w:p>
    <w:p>
      <w:pPr>
        <w:spacing w:after="40"/>
        <w:ind w:left="720" w:hanging="340"/>
      </w:pPr>
      <w:r>
        <w:rPr>
          <w:rFonts w:ascii="Cambria" w:hAnsi="Cambria"/>
          <w:b/>
          <w:sz w:val="22"/>
        </w:rPr>
        <w:t xml:space="preserve">39.  </w:t>
      </w:r>
      <w:r>
        <w:rPr>
          <w:rFonts w:ascii="Cambria" w:hAnsi="Cambria"/>
          <w:b/>
          <w:sz w:val="22"/>
        </w:rPr>
        <w:t>Student Affairs Policy for Higher Education Institutions (HEIs): Aligning Student Development with NAAC, NBA, NIRF, QS I-GAUGE, and SDG Standards, Kindle Edition, ASIN: B0FR4GW6RB</w:t>
      </w:r>
    </w:p>
    <w:p>
      <w:pPr>
        <w:spacing w:after="160"/>
        <w:ind w:left="720"/>
      </w:pPr>
      <w:hyperlink r:id="rId48">
        <w:r>
          <w:rPr>
            <w:color w:val="0563C1"/>
            <w:u w:val="single"/>
            <w:rFonts w:ascii="Cambria"/>
            <w:sz w:val="22"/>
          </w:rPr>
          <w:t>https://amzn.in/d/2zTHV0B</w:t>
        </w:r>
      </w:hyperlink>
    </w:p>
    <w:p>
      <w:pPr>
        <w:spacing w:after="40"/>
        <w:ind w:left="720" w:hanging="340"/>
      </w:pPr>
      <w:r>
        <w:rPr>
          <w:rFonts w:ascii="Cambria" w:hAnsi="Cambria"/>
          <w:b/>
          <w:sz w:val="22"/>
        </w:rPr>
        <w:t xml:space="preserve">40.  </w:t>
      </w:r>
      <w:r>
        <w:rPr>
          <w:rFonts w:ascii="Cambria" w:hAnsi="Cambria"/>
          <w:b/>
          <w:sz w:val="22"/>
        </w:rPr>
        <w:t>Extension and Outreach Services in Higher Education: Leadership, Governance, and Community Engagement Strategies, Kindle Edition, ASIN: B0FRLHXR1G</w:t>
      </w:r>
    </w:p>
    <w:p>
      <w:pPr>
        <w:spacing w:after="160"/>
        <w:ind w:left="720"/>
      </w:pPr>
      <w:hyperlink r:id="rId49">
        <w:r>
          <w:rPr>
            <w:color w:val="0563C1"/>
            <w:u w:val="single"/>
            <w:rFonts w:ascii="Cambria"/>
            <w:sz w:val="22"/>
          </w:rPr>
          <w:t>https://amzn.in/d/9NE2wGs</w:t>
        </w:r>
      </w:hyperlink>
    </w:p>
    <w:p>
      <w:pPr>
        <w:spacing w:after="40"/>
        <w:ind w:left="720" w:hanging="340"/>
      </w:pPr>
      <w:r>
        <w:rPr>
          <w:rFonts w:ascii="Cambria" w:hAnsi="Cambria"/>
          <w:b/>
          <w:sz w:val="22"/>
        </w:rPr>
        <w:t xml:space="preserve">41.  </w:t>
      </w:r>
      <w:r>
        <w:rPr>
          <w:rFonts w:ascii="Cambria" w:hAnsi="Cambria"/>
          <w:b/>
          <w:sz w:val="22"/>
        </w:rPr>
        <w:t>Central Library: Policies, Procedures, and Best Practices in Higher Education Institutions: Aligning with NAAC, NIRF, NBA, and QS-I Gauge Standards, Kindle Edition, ASIN: B0FRMKX2BX</w:t>
      </w:r>
    </w:p>
    <w:p>
      <w:pPr>
        <w:spacing w:after="160"/>
        <w:ind w:left="720"/>
      </w:pPr>
      <w:hyperlink r:id="rId50">
        <w:r>
          <w:rPr>
            <w:color w:val="0563C1"/>
            <w:u w:val="single"/>
            <w:rFonts w:ascii="Cambria"/>
            <w:sz w:val="22"/>
          </w:rPr>
          <w:t>https://amzn.in/d/9Qfr8S0</w:t>
        </w:r>
      </w:hyperlink>
    </w:p>
    <w:p>
      <w:pPr>
        <w:spacing w:after="40"/>
        <w:ind w:left="720" w:hanging="340"/>
      </w:pPr>
      <w:r>
        <w:rPr>
          <w:rFonts w:ascii="Cambria" w:hAnsi="Cambria"/>
          <w:b/>
          <w:sz w:val="22"/>
        </w:rPr>
        <w:t xml:space="preserve">42.  </w:t>
      </w:r>
      <w:r>
        <w:rPr>
          <w:rFonts w:ascii="Cambria" w:hAnsi="Cambria"/>
          <w:b/>
          <w:sz w:val="22"/>
        </w:rPr>
        <w:t>Institutional Policy on Publishing in Higher Education Institutions: Frameworks, Standards, and Best Practices for NAAC, NBA, NIRF, and QS I-GAUGE Compliance, Kindle Edition, ASIN: B0FRRBM6HD</w:t>
      </w:r>
    </w:p>
    <w:p>
      <w:pPr>
        <w:spacing w:after="160"/>
        <w:ind w:left="720"/>
      </w:pPr>
      <w:hyperlink r:id="rId51">
        <w:r>
          <w:rPr>
            <w:color w:val="0563C1"/>
            <w:u w:val="single"/>
            <w:rFonts w:ascii="Cambria"/>
            <w:sz w:val="22"/>
          </w:rPr>
          <w:t>https://amzn.in/d/0bYPpGu</w:t>
        </w:r>
      </w:hyperlink>
    </w:p>
    <w:p>
      <w:pPr>
        <w:spacing w:after="40"/>
        <w:ind w:left="720" w:hanging="340"/>
      </w:pPr>
      <w:r>
        <w:rPr>
          <w:rFonts w:ascii="Cambria" w:hAnsi="Cambria"/>
          <w:b/>
          <w:sz w:val="22"/>
        </w:rPr>
        <w:t xml:space="preserve">43.  </w:t>
      </w:r>
      <w:r>
        <w:rPr>
          <w:rFonts w:ascii="Cambria" w:hAnsi="Cambria"/>
          <w:b/>
          <w:sz w:val="22"/>
        </w:rPr>
        <w:t>IT Services in Higher Education Institutions (HEIs): Policies, Registers, and Best Practices: Aligning IT Services in HEIs with NAAC, NBA, NIRF, and QS I-GAUGE Accreditation Frameworks, Kindle Edition, ASIN: B0FRRD3W8C</w:t>
      </w:r>
    </w:p>
    <w:p>
      <w:pPr>
        <w:spacing w:after="160"/>
        <w:ind w:left="720"/>
      </w:pPr>
      <w:hyperlink r:id="rId52">
        <w:r>
          <w:rPr>
            <w:color w:val="0563C1"/>
            <w:u w:val="single"/>
            <w:rFonts w:ascii="Cambria"/>
            <w:sz w:val="22"/>
          </w:rPr>
          <w:t>https://amzn.in/d/5wXPUFs</w:t>
        </w:r>
      </w:hyperlink>
    </w:p>
    <w:p>
      <w:pPr>
        <w:spacing w:after="40"/>
        <w:ind w:left="720" w:hanging="340"/>
      </w:pPr>
      <w:r>
        <w:rPr>
          <w:rFonts w:ascii="Cambria" w:hAnsi="Cambria"/>
          <w:b/>
          <w:sz w:val="22"/>
        </w:rPr>
        <w:t xml:space="preserve">44.  </w:t>
      </w:r>
      <w:r>
        <w:rPr>
          <w:rFonts w:ascii="Cambria" w:hAnsi="Cambria"/>
          <w:b/>
          <w:sz w:val="22"/>
        </w:rPr>
        <w:t>Physical Facilities, Maintenance, and Construction in Higher Education Institutions (HEIs): Registers, Audit Frameworks, and Accreditation Evidence for NAAC, NIRF, QS I-GAUGE, and NBA, Kindle Edition, ASIN: B0FRYFGLHC</w:t>
      </w:r>
    </w:p>
    <w:p>
      <w:pPr>
        <w:spacing w:after="160"/>
        <w:ind w:left="720"/>
      </w:pPr>
      <w:hyperlink r:id="rId53">
        <w:r>
          <w:rPr>
            <w:color w:val="0563C1"/>
            <w:u w:val="single"/>
            <w:rFonts w:ascii="Cambria"/>
            <w:sz w:val="22"/>
          </w:rPr>
          <w:t>https://amzn.in/d/fdm0ipL</w:t>
        </w:r>
      </w:hyperlink>
    </w:p>
    <w:p>
      <w:pPr>
        <w:spacing w:after="40"/>
        <w:ind w:left="720" w:hanging="340"/>
      </w:pPr>
      <w:r>
        <w:rPr>
          <w:rFonts w:ascii="Cambria" w:hAnsi="Cambria"/>
          <w:b/>
          <w:sz w:val="22"/>
        </w:rPr>
        <w:t xml:space="preserve">45.  </w:t>
      </w:r>
      <w:r>
        <w:rPr>
          <w:rFonts w:ascii="Cambria" w:hAnsi="Cambria"/>
          <w:b/>
          <w:sz w:val="22"/>
        </w:rPr>
        <w:t>Strategic Development Plan for Higher Education Institutions: Aligning with NEP 2020, SDGs, NAAC, NBA, NIRF, and QS I-GAUGE, Kindle Edition, ASIN: B0FSCTT9ZP</w:t>
      </w:r>
    </w:p>
    <w:p>
      <w:pPr>
        <w:spacing w:after="160"/>
        <w:ind w:left="720"/>
      </w:pPr>
      <w:hyperlink r:id="rId54">
        <w:r>
          <w:rPr>
            <w:color w:val="0563C1"/>
            <w:u w:val="single"/>
            <w:rFonts w:ascii="Cambria"/>
            <w:sz w:val="22"/>
          </w:rPr>
          <w:t>https://amzn.in/d/hGqn55l</w:t>
        </w:r>
      </w:hyperlink>
    </w:p>
    <w:p>
      <w:pPr>
        <w:spacing w:after="40"/>
        <w:ind w:left="720" w:hanging="340"/>
      </w:pPr>
      <w:r>
        <w:rPr>
          <w:rFonts w:ascii="Cambria" w:hAnsi="Cambria"/>
          <w:b/>
          <w:sz w:val="22"/>
        </w:rPr>
        <w:t xml:space="preserve">46.  </w:t>
      </w:r>
      <w:r>
        <w:rPr>
          <w:rFonts w:ascii="Cambria" w:hAnsi="Cambria"/>
          <w:b/>
          <w:sz w:val="22"/>
        </w:rPr>
        <w:t>Dean of Planning &amp; Development (DoPD): Architect of Institutional Growth in Higher Education: Institutional Planning, Sustainability, and Accreditation Alignment with NAAC, NBA, NIRF, and QS I-GAUGE, Kindle Edition, ASIN: B0FRZZGMF8</w:t>
      </w:r>
    </w:p>
    <w:p>
      <w:pPr>
        <w:spacing w:after="160"/>
        <w:ind w:left="720"/>
      </w:pPr>
      <w:hyperlink r:id="rId55">
        <w:r>
          <w:rPr>
            <w:color w:val="0563C1"/>
            <w:u w:val="single"/>
            <w:rFonts w:ascii="Cambria"/>
            <w:sz w:val="22"/>
          </w:rPr>
          <w:t>https://amzn.in/d/cbSxKTJ</w:t>
        </w:r>
      </w:hyperlink>
    </w:p>
    <w:p>
      <w:pPr>
        <w:spacing w:after="40"/>
        <w:ind w:left="720" w:hanging="340"/>
      </w:pPr>
      <w:r>
        <w:rPr>
          <w:rFonts w:ascii="Cambria" w:hAnsi="Cambria"/>
          <w:b/>
          <w:sz w:val="22"/>
        </w:rPr>
        <w:t xml:space="preserve">47.  </w:t>
      </w:r>
      <w:r>
        <w:rPr>
          <w:rFonts w:ascii="Cambria" w:hAnsi="Cambria"/>
          <w:b/>
          <w:sz w:val="22"/>
        </w:rPr>
        <w:t>Dean – IQA and Ranking (DoIQAR): Leadership in Accreditation, Quality Assurance, and Global Benchmarking in Higher Education: Mapping of DoIQAR &amp; Associate Deans to NBA, NAAC, NIRF, and QS I-GAUGE, Kindle Edition, ASIN: B0FS5W7JYP</w:t>
      </w:r>
    </w:p>
    <w:p>
      <w:pPr>
        <w:spacing w:after="160"/>
        <w:ind w:left="720"/>
      </w:pPr>
      <w:hyperlink r:id="rId56">
        <w:r>
          <w:rPr>
            <w:color w:val="0563C1"/>
            <w:u w:val="single"/>
            <w:rFonts w:ascii="Cambria"/>
            <w:sz w:val="22"/>
          </w:rPr>
          <w:t>https://amzn.in/d/aqwjhkT</w:t>
        </w:r>
      </w:hyperlink>
    </w:p>
    <w:p>
      <w:pPr>
        <w:spacing w:after="40"/>
        <w:ind w:left="720" w:hanging="340"/>
      </w:pPr>
      <w:r>
        <w:rPr>
          <w:rFonts w:ascii="Cambria" w:hAnsi="Cambria"/>
          <w:b/>
          <w:sz w:val="22"/>
        </w:rPr>
        <w:t xml:space="preserve">48.  </w:t>
      </w:r>
      <w:r>
        <w:rPr>
          <w:rFonts w:ascii="Cambria" w:hAnsi="Cambria"/>
          <w:b/>
          <w:sz w:val="22"/>
        </w:rPr>
        <w:t>Dean – Research &amp; Development (R&amp;D): Leadership in Knowledge Creation and Innovation in Higher Education: Mapping of R&amp;D Leadership to NBA, NAAC, NIRF, and QS I-GAUGE, Kindle Edition, ASIN: B0FS5K7G27</w:t>
      </w:r>
    </w:p>
    <w:p>
      <w:pPr>
        <w:spacing w:after="160"/>
        <w:ind w:left="720"/>
      </w:pPr>
      <w:hyperlink r:id="rId57">
        <w:r>
          <w:rPr>
            <w:color w:val="0563C1"/>
            <w:u w:val="single"/>
            <w:rFonts w:ascii="Cambria"/>
            <w:sz w:val="22"/>
          </w:rPr>
          <w:t>https://amzn.in/d/9Ffj30s</w:t>
        </w:r>
      </w:hyperlink>
    </w:p>
    <w:p>
      <w:pPr>
        <w:spacing w:after="40"/>
        <w:ind w:left="720" w:hanging="340"/>
      </w:pPr>
      <w:r>
        <w:rPr>
          <w:rFonts w:ascii="Cambria" w:hAnsi="Cambria"/>
          <w:b/>
          <w:sz w:val="22"/>
        </w:rPr>
        <w:t xml:space="preserve">49.  </w:t>
      </w:r>
      <w:r>
        <w:rPr>
          <w:rFonts w:ascii="Cambria" w:hAnsi="Cambria"/>
          <w:b/>
          <w:sz w:val="22"/>
        </w:rPr>
        <w:t>Dean of Academic Affairs: Custodian of Academic Excellence: The Role of the Dean and Associate Deans in Governance, Quality, and Global Benchmarks, Kindle Edition, ASIN: B0FRY8N2SD</w:t>
      </w:r>
    </w:p>
    <w:p>
      <w:pPr>
        <w:spacing w:after="160"/>
        <w:ind w:left="720"/>
      </w:pPr>
      <w:hyperlink r:id="rId58">
        <w:r>
          <w:rPr>
            <w:color w:val="0563C1"/>
            <w:u w:val="single"/>
            <w:rFonts w:ascii="Cambria"/>
            <w:sz w:val="22"/>
          </w:rPr>
          <w:t>https://amzn.in/d/6Fh0u3l</w:t>
        </w:r>
      </w:hyperlink>
    </w:p>
    <w:p>
      <w:pPr>
        <w:spacing w:after="40"/>
        <w:ind w:left="720" w:hanging="340"/>
      </w:pPr>
      <w:r>
        <w:rPr>
          <w:rFonts w:ascii="Cambria" w:hAnsi="Cambria"/>
          <w:b/>
          <w:sz w:val="22"/>
        </w:rPr>
        <w:t xml:space="preserve">50.  </w:t>
      </w:r>
      <w:r>
        <w:rPr>
          <w:rFonts w:ascii="Cambria" w:hAnsi="Cambria"/>
          <w:b/>
          <w:sz w:val="22"/>
        </w:rPr>
        <w:t>Skilling Engineers in Civil and Architecture Disciplines: Advancing Academic Competence in Geometric Modeling for Higher Education Institutions, Kindle Edition, ASIN: B0FSJHSSGL</w:t>
      </w:r>
    </w:p>
    <w:p>
      <w:pPr>
        <w:spacing w:after="160"/>
        <w:ind w:left="720"/>
      </w:pPr>
      <w:hyperlink r:id="rId59">
        <w:r>
          <w:rPr>
            <w:color w:val="0563C1"/>
            <w:u w:val="single"/>
            <w:rFonts w:ascii="Cambria"/>
            <w:sz w:val="22"/>
          </w:rPr>
          <w:t>https://a.co/d/9t8kspY</w:t>
        </w:r>
      </w:hyperlink>
    </w:p>
    <w:p>
      <w:pPr>
        <w:spacing w:after="40"/>
        <w:ind w:left="720" w:hanging="340"/>
      </w:pPr>
      <w:r>
        <w:rPr>
          <w:rFonts w:ascii="Cambria" w:hAnsi="Cambria"/>
          <w:b/>
          <w:sz w:val="22"/>
        </w:rPr>
        <w:t xml:space="preserve">51.  </w:t>
      </w:r>
      <w:r>
        <w:rPr>
          <w:rFonts w:ascii="Cambria" w:hAnsi="Cambria"/>
          <w:b/>
          <w:sz w:val="22"/>
        </w:rPr>
        <w:t>Environmental and Green Audits in Higher Education Institutions: Aligning with NEP 2020, SDGs, NAAC, NBA, NIRF, and QS I-GAUGE, Kindle Edition, ASIN: B0FSX25SNW</w:t>
      </w:r>
    </w:p>
    <w:p>
      <w:pPr>
        <w:spacing w:after="160"/>
        <w:ind w:left="720"/>
      </w:pPr>
      <w:hyperlink r:id="rId60">
        <w:r>
          <w:rPr>
            <w:color w:val="0563C1"/>
            <w:u w:val="single"/>
            <w:rFonts w:ascii="Cambria"/>
            <w:sz w:val="22"/>
          </w:rPr>
          <w:t>https://amzn.in/d/5ZRbuMt</w:t>
        </w:r>
      </w:hyperlink>
    </w:p>
    <w:p>
      <w:pPr>
        <w:spacing w:after="40"/>
        <w:ind w:left="720" w:hanging="340"/>
      </w:pPr>
      <w:r>
        <w:rPr>
          <w:rFonts w:ascii="Cambria" w:hAnsi="Cambria"/>
          <w:b/>
          <w:sz w:val="22"/>
        </w:rPr>
        <w:t xml:space="preserve">52.  </w:t>
      </w:r>
      <w:r>
        <w:rPr>
          <w:rFonts w:ascii="Cambria" w:hAnsi="Cambria"/>
          <w:b/>
          <w:sz w:val="22"/>
        </w:rPr>
        <w:t>Head of the Department (HoD) in Higher Education Institutions: Roles and Responsibilities in Academic Activities: Mapping Academic Leadership to NBA, NAAC, NIRF, and QS I-GAUGE Frameworks, Kindle Edition, ASIN: B0FSZL68RT</w:t>
      </w:r>
    </w:p>
    <w:p>
      <w:pPr>
        <w:spacing w:after="160"/>
        <w:ind w:left="720"/>
      </w:pPr>
      <w:hyperlink r:id="rId61">
        <w:r>
          <w:rPr>
            <w:color w:val="0563C1"/>
            <w:u w:val="single"/>
            <w:rFonts w:ascii="Cambria"/>
            <w:sz w:val="22"/>
          </w:rPr>
          <w:t>https://amzn.in/d/hdb0Dsf</w:t>
        </w:r>
      </w:hyperlink>
    </w:p>
    <w:p>
      <w:pPr>
        <w:spacing w:after="40"/>
        <w:ind w:left="720" w:hanging="340"/>
      </w:pPr>
      <w:r>
        <w:rPr>
          <w:rFonts w:ascii="Cambria" w:hAnsi="Cambria"/>
          <w:b/>
          <w:sz w:val="22"/>
        </w:rPr>
        <w:t xml:space="preserve">53.  </w:t>
      </w:r>
      <w:r>
        <w:rPr>
          <w:rFonts w:ascii="Cambria" w:hAnsi="Cambria"/>
          <w:b/>
          <w:sz w:val="22"/>
        </w:rPr>
        <w:t>Head of the Department (HoD) in Higher Education Institutions: Roles and Responsibilities in R&amp;D Activities: Mapping R&amp;D Leadership to NBA, NAAC, NIRF, and QS I-GAUGE Frameworks, Kindle Edition, ASIN: B0FT3HSTPR</w:t>
      </w:r>
    </w:p>
    <w:p>
      <w:pPr>
        <w:spacing w:after="160"/>
        <w:ind w:left="720"/>
      </w:pPr>
      <w:hyperlink r:id="rId62">
        <w:r>
          <w:rPr>
            <w:color w:val="0563C1"/>
            <w:u w:val="single"/>
            <w:rFonts w:ascii="Cambria"/>
            <w:sz w:val="22"/>
          </w:rPr>
          <w:t>https://amzn.in/d/7R8kSFY</w:t>
        </w:r>
      </w:hyperlink>
    </w:p>
    <w:p>
      <w:pPr>
        <w:spacing w:after="40"/>
        <w:ind w:left="720" w:hanging="340"/>
      </w:pPr>
      <w:r>
        <w:rPr>
          <w:rFonts w:ascii="Cambria" w:hAnsi="Cambria"/>
          <w:b/>
          <w:sz w:val="22"/>
        </w:rPr>
        <w:t xml:space="preserve">54.  </w:t>
      </w:r>
      <w:r>
        <w:rPr>
          <w:rFonts w:ascii="Cambria" w:hAnsi="Cambria"/>
          <w:b/>
          <w:sz w:val="22"/>
        </w:rPr>
        <w:t>Head of the Department (HoD) in Higher Education Institutions: Roles and Responsibilities in Industry Relations, Placements (IRP), and Consultancy Activities, Kindle Edition, ASIN: B0FT5CG3F7</w:t>
      </w:r>
    </w:p>
    <w:p>
      <w:pPr>
        <w:spacing w:after="160"/>
        <w:ind w:left="720"/>
      </w:pPr>
      <w:hyperlink r:id="rId63">
        <w:r>
          <w:rPr>
            <w:color w:val="0563C1"/>
            <w:u w:val="single"/>
            <w:rFonts w:ascii="Cambria"/>
            <w:sz w:val="22"/>
          </w:rPr>
          <w:t>https://amzn.in/d/1NcElZa</w:t>
        </w:r>
      </w:hyperlink>
    </w:p>
    <w:p>
      <w:pPr>
        <w:spacing w:after="40"/>
        <w:ind w:left="720" w:hanging="340"/>
      </w:pPr>
      <w:r>
        <w:rPr>
          <w:rFonts w:ascii="Cambria" w:hAnsi="Cambria"/>
          <w:b/>
          <w:sz w:val="22"/>
        </w:rPr>
        <w:t xml:space="preserve">55.  </w:t>
      </w:r>
      <w:r>
        <w:rPr>
          <w:rFonts w:ascii="Cambria" w:hAnsi="Cambria"/>
          <w:b/>
          <w:sz w:val="22"/>
        </w:rPr>
        <w:t>Executive and Leadership Structure of Universities: Strategic Responsibilities in Higher Education Administration in India, Kindle Edition, ASIN: B0FT626567</w:t>
      </w:r>
    </w:p>
    <w:p>
      <w:pPr>
        <w:spacing w:after="160"/>
        <w:ind w:left="720"/>
      </w:pPr>
      <w:hyperlink r:id="rId64">
        <w:r>
          <w:rPr>
            <w:color w:val="0563C1"/>
            <w:u w:val="single"/>
            <w:rFonts w:ascii="Cambria"/>
            <w:sz w:val="22"/>
          </w:rPr>
          <w:t>https://amzn.in/d/6CmlGtm</w:t>
        </w:r>
      </w:hyperlink>
    </w:p>
    <w:p>
      <w:pPr>
        <w:spacing w:before="160" w:after="80"/>
      </w:pPr>
      <w:r>
        <w:rPr>
          <w:rFonts w:ascii="Cambria" w:hAnsi="Cambria"/>
          <w:b/>
          <w:sz w:val="22"/>
          <w:u w:val="single"/>
        </w:rPr>
        <w:t>SDGs</w:t>
      </w:r>
    </w:p>
    <w:p>
      <w:pPr>
        <w:spacing w:after="40"/>
        <w:ind w:left="720" w:hanging="340"/>
      </w:pPr>
      <w:r>
        <w:rPr>
          <w:rFonts w:ascii="Cambria" w:hAnsi="Cambria"/>
          <w:b/>
          <w:sz w:val="22"/>
        </w:rPr>
        <w:t xml:space="preserve">56.  </w:t>
      </w:r>
      <w:r>
        <w:rPr>
          <w:rFonts w:ascii="Cambria" w:hAnsi="Cambria"/>
          <w:b/>
          <w:sz w:val="22"/>
        </w:rPr>
        <w:t>SDG-1: No Poverty in Higher Education Institutions: Aligning with NAAC, NIRF, NBA, and QS I-GAUGE Frameworks, Kindle Edition, ASIN: B0FRYTT6B1</w:t>
      </w:r>
    </w:p>
    <w:p>
      <w:pPr>
        <w:spacing w:after="160"/>
        <w:ind w:left="720"/>
      </w:pPr>
      <w:hyperlink r:id="rId65">
        <w:r>
          <w:rPr>
            <w:color w:val="0563C1"/>
            <w:u w:val="single"/>
            <w:rFonts w:ascii="Cambria"/>
            <w:sz w:val="22"/>
          </w:rPr>
          <w:t>https://amzn.in/d/1oTu188</w:t>
        </w:r>
      </w:hyperlink>
    </w:p>
    <w:p>
      <w:pPr>
        <w:spacing w:after="40"/>
        <w:ind w:left="720" w:hanging="340"/>
      </w:pPr>
      <w:r>
        <w:rPr>
          <w:rFonts w:ascii="Cambria" w:hAnsi="Cambria"/>
          <w:b/>
          <w:sz w:val="22"/>
        </w:rPr>
        <w:t xml:space="preserve">57.  </w:t>
      </w:r>
      <w:r>
        <w:rPr>
          <w:rFonts w:ascii="Cambria" w:hAnsi="Cambria"/>
          <w:b/>
          <w:sz w:val="22"/>
        </w:rPr>
        <w:t>SDG-2: Zero Hunger in Higher Education Institutions: Aligning with NAAC, NIRF, NBA, and QS I-GAUGE Frameworks, Kindle Edition, ASIN: B0FRYWPQ1N</w:t>
      </w:r>
    </w:p>
    <w:p>
      <w:pPr>
        <w:spacing w:after="160"/>
        <w:ind w:left="720"/>
      </w:pPr>
      <w:hyperlink r:id="rId66">
        <w:r>
          <w:rPr>
            <w:color w:val="0563C1"/>
            <w:u w:val="single"/>
            <w:rFonts w:ascii="Cambria"/>
            <w:sz w:val="22"/>
          </w:rPr>
          <w:t>https://amzn.in/d/2RlKCrz</w:t>
        </w:r>
      </w:hyperlink>
    </w:p>
    <w:p>
      <w:pPr>
        <w:spacing w:after="40"/>
        <w:ind w:left="720" w:hanging="340"/>
      </w:pPr>
      <w:r>
        <w:rPr>
          <w:rFonts w:ascii="Cambria" w:hAnsi="Cambria"/>
          <w:b/>
          <w:sz w:val="22"/>
        </w:rPr>
        <w:t xml:space="preserve">58.  </w:t>
      </w:r>
      <w:r>
        <w:rPr>
          <w:rFonts w:ascii="Cambria" w:hAnsi="Cambria"/>
          <w:b/>
          <w:sz w:val="22"/>
        </w:rPr>
        <w:t>SDG-4: Quality Education in Higher Education Institutions: Aligning with NAAC, NIRF, NBA, and QS I-GAUGE Frameworks, Kindle Edition, ASIN: B0FVDRFW1R</w:t>
      </w:r>
    </w:p>
    <w:p>
      <w:pPr>
        <w:spacing w:after="160"/>
        <w:ind w:left="720"/>
      </w:pPr>
      <w:hyperlink r:id="rId67">
        <w:r>
          <w:rPr>
            <w:color w:val="0563C1"/>
            <w:u w:val="single"/>
            <w:rFonts w:ascii="Cambria"/>
            <w:sz w:val="22"/>
          </w:rPr>
          <w:t>https://amzn.in/d/aRKVWFv</w:t>
        </w:r>
      </w:hyperlink>
    </w:p>
    <w:p>
      <w:pPr>
        <w:spacing w:after="40"/>
        <w:ind w:left="720" w:hanging="340"/>
      </w:pPr>
      <w:r>
        <w:rPr>
          <w:rFonts w:ascii="Cambria" w:hAnsi="Cambria"/>
          <w:b/>
          <w:sz w:val="22"/>
        </w:rPr>
        <w:t xml:space="preserve">59.  </w:t>
      </w:r>
      <w:r>
        <w:rPr>
          <w:rFonts w:ascii="Cambria" w:hAnsi="Cambria"/>
          <w:b/>
          <w:sz w:val="22"/>
        </w:rPr>
        <w:t>SDG-6: Clean Water and Sanitation in Higher Education Institutions: Aligning with NAAC, NIRF, NBA, and QS I-GAUGE Frameworks, Kindle Edition, ASIN: B0FSCB6SDL</w:t>
      </w:r>
    </w:p>
    <w:p>
      <w:pPr>
        <w:spacing w:after="160"/>
        <w:ind w:left="720"/>
      </w:pPr>
      <w:hyperlink r:id="rId68">
        <w:r>
          <w:rPr>
            <w:color w:val="0563C1"/>
            <w:u w:val="single"/>
            <w:rFonts w:ascii="Cambria"/>
            <w:sz w:val="22"/>
          </w:rPr>
          <w:t>https://amzn.in/d/gX6SiHT</w:t>
        </w:r>
      </w:hyperlink>
    </w:p>
    <w:p>
      <w:pPr>
        <w:spacing w:after="40"/>
        <w:ind w:left="720" w:hanging="340"/>
      </w:pPr>
      <w:r>
        <w:rPr>
          <w:rFonts w:ascii="Cambria" w:hAnsi="Cambria"/>
          <w:b/>
          <w:sz w:val="22"/>
        </w:rPr>
        <w:t xml:space="preserve">60.  </w:t>
      </w:r>
      <w:r>
        <w:rPr>
          <w:rFonts w:ascii="Cambria" w:hAnsi="Cambria"/>
          <w:b/>
          <w:sz w:val="22"/>
        </w:rPr>
        <w:t>SDG-7: Affordable and Clean Energy in Higher Education Institutions: Aligning with NAAC, NIRF, NBA, and QS I-GAUGE Frameworks, Kindle Edition, ASIN: B0FS9SYXC7</w:t>
      </w:r>
    </w:p>
    <w:p>
      <w:pPr>
        <w:spacing w:after="160"/>
        <w:ind w:left="720"/>
      </w:pPr>
      <w:hyperlink r:id="rId69">
        <w:r>
          <w:rPr>
            <w:color w:val="0563C1"/>
            <w:u w:val="single"/>
            <w:rFonts w:ascii="Cambria"/>
            <w:sz w:val="22"/>
          </w:rPr>
          <w:t>https://amzn.in/d/bErE7x8</w:t>
        </w:r>
      </w:hyperlink>
    </w:p>
    <w:p>
      <w:pPr>
        <w:spacing w:after="40"/>
        <w:ind w:left="720" w:hanging="340"/>
      </w:pPr>
      <w:r>
        <w:rPr>
          <w:rFonts w:ascii="Cambria" w:hAnsi="Cambria"/>
          <w:b/>
          <w:sz w:val="22"/>
        </w:rPr>
        <w:t xml:space="preserve">61.  </w:t>
      </w:r>
      <w:r>
        <w:rPr>
          <w:rFonts w:ascii="Cambria" w:hAnsi="Cambria"/>
          <w:b/>
          <w:sz w:val="22"/>
        </w:rPr>
        <w:t>SDG-11: Sustainable Cities and Communities in Higher Education Institutions: Aligning with NAAC, NIRF, NBA, and QS I-GAUGE Frameworks, Kindle Edition, ASIN: B0FS181BL2</w:t>
      </w:r>
    </w:p>
    <w:p>
      <w:pPr>
        <w:spacing w:after="160"/>
        <w:ind w:left="720"/>
      </w:pPr>
      <w:hyperlink r:id="rId70">
        <w:r>
          <w:rPr>
            <w:color w:val="0563C1"/>
            <w:u w:val="single"/>
            <w:rFonts w:ascii="Cambria"/>
            <w:sz w:val="22"/>
          </w:rPr>
          <w:t>https://amzn.in/d/3sv8FFT</w:t>
        </w:r>
      </w:hyperlink>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mzn.in/d/4fcc0jE" TargetMode="External"/><Relationship Id="rId11" Type="http://schemas.openxmlformats.org/officeDocument/2006/relationships/hyperlink" Target="https://amzn.in/d/g1bchNl" TargetMode="External"/><Relationship Id="rId12" Type="http://schemas.openxmlformats.org/officeDocument/2006/relationships/hyperlink" Target="https://amzn.in/d/a2nGhnx" TargetMode="External"/><Relationship Id="rId13" Type="http://schemas.openxmlformats.org/officeDocument/2006/relationships/hyperlink" Target="https://amzn.in/d/dry9IRW" TargetMode="External"/><Relationship Id="rId14" Type="http://schemas.openxmlformats.org/officeDocument/2006/relationships/hyperlink" Target="https://amzn.in/d/a1344lj" TargetMode="External"/><Relationship Id="rId15" Type="http://schemas.openxmlformats.org/officeDocument/2006/relationships/hyperlink" Target="https://amzn.in/d/98KXO4k" TargetMode="External"/><Relationship Id="rId16" Type="http://schemas.openxmlformats.org/officeDocument/2006/relationships/hyperlink" Target="https://amzn.in/d/9kAkdLZ" TargetMode="External"/><Relationship Id="rId17" Type="http://schemas.openxmlformats.org/officeDocument/2006/relationships/hyperlink" Target="https://amzn.in/d/1Vco5Ye" TargetMode="External"/><Relationship Id="rId18" Type="http://schemas.openxmlformats.org/officeDocument/2006/relationships/hyperlink" Target="https://amzn.in/d/dYBQik0" TargetMode="External"/><Relationship Id="rId19" Type="http://schemas.openxmlformats.org/officeDocument/2006/relationships/hyperlink" Target="https://amzn.in/d/0S10khp" TargetMode="External"/><Relationship Id="rId20" Type="http://schemas.openxmlformats.org/officeDocument/2006/relationships/hyperlink" Target="https://amzn.in/d/37LtI4z" TargetMode="External"/><Relationship Id="rId21" Type="http://schemas.openxmlformats.org/officeDocument/2006/relationships/hyperlink" Target="https://amzn.in/d/06MFYRq" TargetMode="External"/><Relationship Id="rId22" Type="http://schemas.openxmlformats.org/officeDocument/2006/relationships/hyperlink" Target="https://amzn.in/d/5xlUunj" TargetMode="External"/><Relationship Id="rId23" Type="http://schemas.openxmlformats.org/officeDocument/2006/relationships/hyperlink" Target="https://amzn.in/d/3zP8hvF" TargetMode="External"/><Relationship Id="rId24" Type="http://schemas.openxmlformats.org/officeDocument/2006/relationships/hyperlink" Target="https://amzn.in/d/5dscvoN" TargetMode="External"/><Relationship Id="rId25" Type="http://schemas.openxmlformats.org/officeDocument/2006/relationships/hyperlink" Target="https://amzn.in/d/6gMGSy4" TargetMode="External"/><Relationship Id="rId26" Type="http://schemas.openxmlformats.org/officeDocument/2006/relationships/hyperlink" Target="https://amzn.in/d/2mIYjez" TargetMode="External"/><Relationship Id="rId27" Type="http://schemas.openxmlformats.org/officeDocument/2006/relationships/hyperlink" Target="https://amzn.in/d/hhrZvux" TargetMode="External"/><Relationship Id="rId28" Type="http://schemas.openxmlformats.org/officeDocument/2006/relationships/hyperlink" Target="https://amzn.in/d/eugIo4y" TargetMode="External"/><Relationship Id="rId29" Type="http://schemas.openxmlformats.org/officeDocument/2006/relationships/hyperlink" Target="https://amzn.in/d/8n5aQRb" TargetMode="External"/><Relationship Id="rId30" Type="http://schemas.openxmlformats.org/officeDocument/2006/relationships/hyperlink" Target="https://amzn.in/d/emeRiJ3" TargetMode="External"/><Relationship Id="rId31" Type="http://schemas.openxmlformats.org/officeDocument/2006/relationships/hyperlink" Target="https://amzn.in/d/gUWl02e" TargetMode="External"/><Relationship Id="rId32" Type="http://schemas.openxmlformats.org/officeDocument/2006/relationships/hyperlink" Target="https://amzn.in/d/gf0LiBn" TargetMode="External"/><Relationship Id="rId33" Type="http://schemas.openxmlformats.org/officeDocument/2006/relationships/hyperlink" Target="https://amzn.in/d/brIlQwZ" TargetMode="External"/><Relationship Id="rId34" Type="http://schemas.openxmlformats.org/officeDocument/2006/relationships/hyperlink" Target="https://amzn.in/d/1uOQZ0o" TargetMode="External"/><Relationship Id="rId35" Type="http://schemas.openxmlformats.org/officeDocument/2006/relationships/hyperlink" Target="https://amzn.in/d/ckm98I2" TargetMode="External"/><Relationship Id="rId36" Type="http://schemas.openxmlformats.org/officeDocument/2006/relationships/hyperlink" Target="https://amzn.in/d/dbPMaVL" TargetMode="External"/><Relationship Id="rId37" Type="http://schemas.openxmlformats.org/officeDocument/2006/relationships/hyperlink" Target="https://amzn.in/d/7jNZrQo" TargetMode="External"/><Relationship Id="rId38" Type="http://schemas.openxmlformats.org/officeDocument/2006/relationships/hyperlink" Target="https://amzn.in/d/0XO6APq" TargetMode="External"/><Relationship Id="rId39" Type="http://schemas.openxmlformats.org/officeDocument/2006/relationships/hyperlink" Target="https://amzn.in/d/5uj5Lkb" TargetMode="External"/><Relationship Id="rId40" Type="http://schemas.openxmlformats.org/officeDocument/2006/relationships/hyperlink" Target="https://amzn.in/d/3oGmnue" TargetMode="External"/><Relationship Id="rId41" Type="http://schemas.openxmlformats.org/officeDocument/2006/relationships/hyperlink" Target="https://amzn.in/d/bipHsu8" TargetMode="External"/><Relationship Id="rId42" Type="http://schemas.openxmlformats.org/officeDocument/2006/relationships/hyperlink" Target="https://amzn.in/d/6jfKQnI" TargetMode="External"/><Relationship Id="rId43" Type="http://schemas.openxmlformats.org/officeDocument/2006/relationships/hyperlink" Target="https://amzn.in/d/8scRAIj" TargetMode="External"/><Relationship Id="rId44" Type="http://schemas.openxmlformats.org/officeDocument/2006/relationships/hyperlink" Target="https://amzn.in/d/eKx5NC9" TargetMode="External"/><Relationship Id="rId45" Type="http://schemas.openxmlformats.org/officeDocument/2006/relationships/hyperlink" Target="https://amzn.in/d/8st88zc" TargetMode="External"/><Relationship Id="rId46" Type="http://schemas.openxmlformats.org/officeDocument/2006/relationships/hyperlink" Target="https://amzn.in/d/3i4OLf1" TargetMode="External"/><Relationship Id="rId47" Type="http://schemas.openxmlformats.org/officeDocument/2006/relationships/hyperlink" Target="https://amzn.in/d/gXvdCpx" TargetMode="External"/><Relationship Id="rId48" Type="http://schemas.openxmlformats.org/officeDocument/2006/relationships/hyperlink" Target="https://amzn.in/d/2zTHV0B" TargetMode="External"/><Relationship Id="rId49" Type="http://schemas.openxmlformats.org/officeDocument/2006/relationships/hyperlink" Target="https://amzn.in/d/9NE2wGs" TargetMode="External"/><Relationship Id="rId50" Type="http://schemas.openxmlformats.org/officeDocument/2006/relationships/hyperlink" Target="https://amzn.in/d/9Qfr8S0" TargetMode="External"/><Relationship Id="rId51" Type="http://schemas.openxmlformats.org/officeDocument/2006/relationships/hyperlink" Target="https://amzn.in/d/0bYPpGu" TargetMode="External"/><Relationship Id="rId52" Type="http://schemas.openxmlformats.org/officeDocument/2006/relationships/hyperlink" Target="https://amzn.in/d/5wXPUFs" TargetMode="External"/><Relationship Id="rId53" Type="http://schemas.openxmlformats.org/officeDocument/2006/relationships/hyperlink" Target="https://amzn.in/d/fdm0ipL" TargetMode="External"/><Relationship Id="rId54" Type="http://schemas.openxmlformats.org/officeDocument/2006/relationships/hyperlink" Target="https://amzn.in/d/hGqn55l" TargetMode="External"/><Relationship Id="rId55" Type="http://schemas.openxmlformats.org/officeDocument/2006/relationships/hyperlink" Target="https://amzn.in/d/cbSxKTJ" TargetMode="External"/><Relationship Id="rId56" Type="http://schemas.openxmlformats.org/officeDocument/2006/relationships/hyperlink" Target="https://amzn.in/d/aqwjhkT" TargetMode="External"/><Relationship Id="rId57" Type="http://schemas.openxmlformats.org/officeDocument/2006/relationships/hyperlink" Target="https://amzn.in/d/9Ffj30s" TargetMode="External"/><Relationship Id="rId58" Type="http://schemas.openxmlformats.org/officeDocument/2006/relationships/hyperlink" Target="https://amzn.in/d/6Fh0u3l" TargetMode="External"/><Relationship Id="rId59" Type="http://schemas.openxmlformats.org/officeDocument/2006/relationships/hyperlink" Target="https://a.co/d/9t8kspY" TargetMode="External"/><Relationship Id="rId60" Type="http://schemas.openxmlformats.org/officeDocument/2006/relationships/hyperlink" Target="https://amzn.in/d/5ZRbuMt" TargetMode="External"/><Relationship Id="rId61" Type="http://schemas.openxmlformats.org/officeDocument/2006/relationships/hyperlink" Target="https://amzn.in/d/hdb0Dsf" TargetMode="External"/><Relationship Id="rId62" Type="http://schemas.openxmlformats.org/officeDocument/2006/relationships/hyperlink" Target="https://amzn.in/d/7R8kSFY" TargetMode="External"/><Relationship Id="rId63" Type="http://schemas.openxmlformats.org/officeDocument/2006/relationships/hyperlink" Target="https://amzn.in/d/1NcElZa" TargetMode="External"/><Relationship Id="rId64" Type="http://schemas.openxmlformats.org/officeDocument/2006/relationships/hyperlink" Target="https://amzn.in/d/6CmlGtm" TargetMode="External"/><Relationship Id="rId65" Type="http://schemas.openxmlformats.org/officeDocument/2006/relationships/hyperlink" Target="https://amzn.in/d/1oTu188" TargetMode="External"/><Relationship Id="rId66" Type="http://schemas.openxmlformats.org/officeDocument/2006/relationships/hyperlink" Target="https://amzn.in/d/2RlKCrz" TargetMode="External"/><Relationship Id="rId67" Type="http://schemas.openxmlformats.org/officeDocument/2006/relationships/hyperlink" Target="https://amzn.in/d/aRKVWFv" TargetMode="External"/><Relationship Id="rId68" Type="http://schemas.openxmlformats.org/officeDocument/2006/relationships/hyperlink" Target="https://amzn.in/d/gX6SiHT" TargetMode="External"/><Relationship Id="rId69" Type="http://schemas.openxmlformats.org/officeDocument/2006/relationships/hyperlink" Target="https://amzn.in/d/bErE7x8" TargetMode="External"/><Relationship Id="rId70" Type="http://schemas.openxmlformats.org/officeDocument/2006/relationships/hyperlink" Target="https://amzn.in/d/3sv8F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