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A5F"/>
          <w:sz w:val="44"/>
        </w:rPr>
        <w:t>NBA Accreditation Process for Tier-1 Institutions –</w:t>
      </w:r>
    </w:p>
    <w:p>
      <w:pPr>
        <w:jc w:val="center"/>
      </w:pPr>
      <w:r>
        <w:rPr>
          <w:b/>
          <w:i w:val="0"/>
          <w:color w:val="1F3A5F"/>
          <w:sz w:val="44"/>
        </w:rPr>
        <w:t>Criterion 1: Outcome-Based Curriculum</w:t>
      </w:r>
    </w:p>
    <w:p/>
    <w:p>
      <w:pPr>
        <w:jc w:val="center"/>
      </w:pPr>
      <w:r>
        <w:rPr>
          <w:b w:val="0"/>
          <w:i/>
          <w:sz w:val="28"/>
        </w:rPr>
        <w:t>Vision, Mission, PEOs, Curriculum Structure, CO–PO–PSO Mapping, and Articulation Framework</w:t>
      </w:r>
    </w:p>
    <w:p/>
    <w:p/>
    <w:p/>
    <w:p/>
    <w:p/>
    <w:p>
      <w:pPr>
        <w:jc w:val="center"/>
      </w:pPr>
      <w:r>
        <w:rPr>
          <w:b/>
          <w:i w:val="0"/>
          <w:sz w:val="26"/>
        </w:rPr>
        <w:t>Dr Venkata Rama Krishna Tottempudi</w:t>
      </w:r>
    </w:p>
    <w:p>
      <w:pPr>
        <w:jc w:val="center"/>
      </w:pPr>
      <w:r>
        <w:rPr>
          <w:b/>
          <w:i w:val="0"/>
          <w:sz w:val="26"/>
        </w:rPr>
        <w:t>Sai Saran Tottempudi</w:t>
      </w:r>
    </w:p>
    <w:p>
      <w:r>
        <w:br w:type="page"/>
      </w:r>
    </w:p>
    <w:p>
      <w:pPr>
        <w:pStyle w:val="Heading1"/>
      </w:pPr>
      <w:r>
        <w:t>Acknowledgement</w:t>
      </w:r>
    </w:p>
    <w:p>
      <w:pPr>
        <w:jc w:val="both"/>
      </w:pPr>
      <w:r>
        <w:rPr>
          <w:b w:val="0"/>
          <w:i w:val="0"/>
        </w:rPr>
        <w:t>We gratefully acknowledge the guidance and framework provided by the National Board of Accreditation (NBA) in shaping the Accreditation Process for Tier-1 Institutions – Criterion 1: Outcome-Based Curriculum. The structured guidelines on Vision, Mission, Program Educational Objectives (PEOs), Curriculum Structure, Program Outcomes (POs), Program Specific Outcomes (PSOs), and Course Outcomes (COs) have been instrumental in designing, mapping, and assessing the curriculum in a systematic and outcome-oriented manner. We extend our sincere thanks to the institutional leadership, faculty members, students, alumni, industry experts, and statutory bodies such as the Department Advisory Committee, Board of Studies, and Academic Council for their valuable contributions and feedback in aligning our curriculum with national and international standards. Their collaborative efforts ensure continuous improvement, quality assurance, and global recognition of our programs under the NBA’s Outcome-Based Education framework.</w:t>
      </w:r>
    </w:p>
    <w:p>
      <w:pPr>
        <w:jc w:val="both"/>
      </w:pPr>
      <w:r>
        <w:rPr>
          <w:b w:val="0"/>
          <w:i w:val="0"/>
        </w:rPr>
        <w:t xml:space="preserve">In addition, I gratefully acknowledge the support of </w:t>
      </w:r>
      <w:r>
        <w:rPr>
          <w:b/>
          <w:i w:val="0"/>
        </w:rPr>
        <w:t>Dr. P. Phanidhar Varma</w:t>
      </w:r>
      <w:r>
        <w:rPr>
          <w:b w:val="0"/>
          <w:i w:val="0"/>
        </w:rPr>
        <w:t xml:space="preserve"> and </w:t>
      </w:r>
      <w:r>
        <w:rPr>
          <w:b/>
          <w:i w:val="0"/>
        </w:rPr>
        <w:t>Dr. Mahesh Babu Kota</w:t>
      </w:r>
      <w:r>
        <w:rPr>
          <w:b w:val="0"/>
          <w:i w:val="0"/>
        </w:rPr>
        <w:t xml:space="preserve"> whose contributions have been invaluable.</w:t>
      </w:r>
    </w:p>
    <w:p>
      <w:pPr>
        <w:jc w:val="both"/>
      </w:pPr>
      <w:r>
        <w:rPr>
          <w:b w:val="0"/>
          <w:i w:val="0"/>
        </w:rPr>
        <w:t xml:space="preserve">Most importantly, I must thank my wife and best friend, </w:t>
      </w:r>
      <w:r>
        <w:rPr>
          <w:b/>
          <w:i w:val="0"/>
        </w:rPr>
        <w:t>Sailaja Tottempudi</w:t>
      </w:r>
      <w:r>
        <w:rPr>
          <w:b w:val="0"/>
          <w:i w:val="0"/>
        </w:rPr>
        <w:t>, for her unwavering support and strength through every phase of this journey.</w:t>
      </w:r>
    </w:p>
    <w:p>
      <w:pPr>
        <w:jc w:val="both"/>
      </w:pPr>
      <w:r>
        <w:rPr>
          <w:b w:val="0"/>
          <w:i w:val="0"/>
        </w:rPr>
        <w:t>Finally, I express my deep gratitude to my family and well-wishers for their continuous encouragement and moral support throughout this endeavor.</w:t>
      </w:r>
    </w:p>
    <w:p>
      <w:pPr>
        <w:jc w:val="both"/>
      </w:pPr>
      <w:r>
        <w:rPr>
          <w:b w:val="0"/>
          <w:i w:val="0"/>
        </w:rPr>
        <w:t>This book is a humble contribution toward building a more quality-conscious, outcome-oriented, and institutionally accountable higher education ecosystem in India.</w:t>
      </w:r>
    </w:p>
    <w:p>
      <w:pPr>
        <w:jc w:val="right"/>
      </w:pPr>
      <w:r>
        <w:rPr>
          <w:b/>
          <w:i w:val="0"/>
        </w:rPr>
        <w:t>Dr. V. Rama Krishna Tottempudi</w:t>
      </w:r>
    </w:p>
    <w:p>
      <w:pPr>
        <w:pStyle w:val="Heading1"/>
      </w:pPr>
      <w:r>
        <w:t>Abstract</w:t>
      </w:r>
    </w:p>
    <w:p>
      <w:pPr>
        <w:jc w:val="both"/>
      </w:pPr>
      <w:r>
        <w:rPr>
          <w:b w:val="0"/>
          <w:i w:val="0"/>
        </w:rPr>
        <w:t>The National Board of Accreditation (NBA) framework for Tier-1 institutions outlines a comprehensive approach to developing and assessing an Outcome-Based Curriculum (OBC) carrying 120 marks across five criteria. The first criterion, Vision, Mission, and Program Educational Objectives (PEOs) (35 marks), focuses on institutional aspirations and commitments, with 3–5 broad PEOs defined through stakeholder consultations and validated by statutory bodies, disseminated widely, and supported with correlation matrices and justification notes. The second criterion, Curriculum Structure and Features (30 marks), emphasizes systematic curriculum design and revision aligned with NBA Program Outcomes (POs), Washington Accord Knowledge Profiles, AICTE/UGC model curricula, and NEP 2020 reforms. It includes semester-wise credit allocation under the National Credit Framework, grouping of courses across domains, and innovations such as Academic Bank of Credits (ABC), APAAR, MOOCs, industry-driven courses, and multidisciplinary electives. The third criterion, POs, PSOs, and Mapping with Courses (20 marks), mandates articulation of the 12 graduate attributes and up to three department-specific outcomes, documented through course-to-PO/PSO mapping matrices with correlation levels and justification notes. The fourth criterion, Course Outcomes (COs) and Course Articulation Matrix (30 marks), requires defining 4–6 measurable COs per course using Bloom’s Taxonomy verbs, mapping them to POs and PSOs with correlation levels (–, 1, 2, 3), and providing justification for strong links while ensuring alignment of assessment tools with COs. The fifth criterion, Program Articulation Matrix (5 marks), consolidates all course-level contributions to demonstrate comprehensive coverage of POs and PSOs at the program level. Together, these criteria emphasize systematic documentation, stakeholder involvement, global alignment with Washington Accord standards, and continuous improvement cycles, ensuring that Tier-1 institutions maintain curriculum relevance, graduate employability, quality assurance, and international recognition.</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850"/>
        <w:gridCol w:w="7540"/>
        <w:gridCol w:w="1020"/>
      </w:tblGrid>
      <w:tr>
        <w:tc>
          <w:tcPr>
            <w:tcW w:type="dxa" w:w="850"/>
            <w:shd w:val="clear" w:color="auto" w:fill="1F3A5F"/>
          </w:tcPr>
          <w:p>
            <w:pPr>
              <w:spacing w:after="0"/>
              <w:jc w:val="center"/>
            </w:pPr>
            <w:r>
              <w:rPr>
                <w:sz w:val="20"/>
              </w:rPr>
            </w:r>
            <w:r>
              <w:rPr>
                <w:b/>
                <w:color w:val="FFFFFF"/>
                <w:sz w:val="20"/>
              </w:rPr>
              <w:t>S. No</w:t>
            </w:r>
          </w:p>
        </w:tc>
        <w:tc>
          <w:tcPr>
            <w:tcW w:type="dxa" w:w="7540"/>
            <w:shd w:val="clear" w:color="auto" w:fill="1F3A5F"/>
          </w:tcPr>
          <w:p>
            <w:pPr>
              <w:spacing w:after="0"/>
              <w:jc w:val="center"/>
            </w:pPr>
            <w:r>
              <w:rPr>
                <w:sz w:val="20"/>
              </w:rPr>
            </w:r>
            <w:r>
              <w:rPr>
                <w:b/>
                <w:color w:val="FFFFFF"/>
                <w:sz w:val="20"/>
              </w:rPr>
              <w:t>Content</w:t>
            </w:r>
          </w:p>
        </w:tc>
        <w:tc>
          <w:tcPr>
            <w:tcW w:type="dxa" w:w="1020"/>
            <w:shd w:val="clear" w:color="auto" w:fill="1F3A5F"/>
          </w:tcPr>
          <w:p>
            <w:pPr>
              <w:spacing w:after="0"/>
              <w:jc w:val="center"/>
            </w:pPr>
            <w:r>
              <w:rPr>
                <w:sz w:val="20"/>
              </w:rPr>
            </w:r>
            <w:r>
              <w:rPr>
                <w:b/>
                <w:color w:val="FFFFFF"/>
                <w:sz w:val="20"/>
              </w:rPr>
              <w:t>Pg. No</w:t>
            </w:r>
          </w:p>
        </w:tc>
      </w:tr>
      <w:tr>
        <w:tc>
          <w:tcPr>
            <w:tcW w:type="dxa" w:w="850"/>
          </w:tcPr>
          <w:p>
            <w:pPr>
              <w:spacing w:after="0"/>
              <w:jc w:val="center"/>
            </w:pPr>
            <w:r>
              <w:rPr>
                <w:sz w:val="20"/>
              </w:rPr>
              <w:t>1</w:t>
            </w:r>
          </w:p>
        </w:tc>
        <w:tc>
          <w:tcPr>
            <w:tcW w:type="dxa" w:w="7540"/>
          </w:tcPr>
          <w:p>
            <w:pPr>
              <w:spacing w:after="0"/>
            </w:pPr>
            <w:r>
              <w:rPr>
                <w:sz w:val="20"/>
              </w:rPr>
              <w:t>Introduction</w:t>
            </w:r>
          </w:p>
        </w:tc>
        <w:tc>
          <w:tcPr>
            <w:tcW w:type="dxa" w:w="1020"/>
          </w:tcPr>
          <w:p>
            <w:pPr>
              <w:spacing w:after="0"/>
              <w:jc w:val="center"/>
            </w:pPr>
            <w:r>
              <w:rPr>
                <w:sz w:val="20"/>
              </w:rPr>
              <w:t>001</w:t>
            </w:r>
          </w:p>
        </w:tc>
      </w:tr>
      <w:tr>
        <w:tc>
          <w:tcPr>
            <w:tcW w:type="dxa" w:w="850"/>
            <w:shd w:val="clear" w:color="auto" w:fill="EEF2F7"/>
          </w:tcPr>
          <w:p>
            <w:pPr>
              <w:spacing w:after="0"/>
              <w:jc w:val="center"/>
            </w:pPr>
            <w:r>
              <w:rPr>
                <w:sz w:val="20"/>
              </w:rPr>
              <w:t>2</w:t>
            </w:r>
          </w:p>
        </w:tc>
        <w:tc>
          <w:tcPr>
            <w:tcW w:type="dxa" w:w="7540"/>
            <w:shd w:val="clear" w:color="auto" w:fill="EEF2F7"/>
          </w:tcPr>
          <w:p>
            <w:pPr>
              <w:spacing w:after="0"/>
            </w:pPr>
            <w:r>
              <w:rPr>
                <w:sz w:val="20"/>
              </w:rPr>
              <w:t>Outcome-Based Curriculum</w:t>
            </w:r>
          </w:p>
        </w:tc>
        <w:tc>
          <w:tcPr>
            <w:tcW w:type="dxa" w:w="1020"/>
            <w:shd w:val="clear" w:color="auto" w:fill="EEF2F7"/>
          </w:tcPr>
          <w:p>
            <w:pPr>
              <w:spacing w:after="0"/>
              <w:jc w:val="center"/>
            </w:pPr>
            <w:r>
              <w:rPr>
                <w:sz w:val="20"/>
              </w:rPr>
              <w:t>002</w:t>
            </w:r>
          </w:p>
        </w:tc>
      </w:tr>
      <w:tr>
        <w:tc>
          <w:tcPr>
            <w:tcW w:type="dxa" w:w="850"/>
          </w:tcPr>
          <w:p>
            <w:pPr>
              <w:spacing w:after="0"/>
              <w:jc w:val="center"/>
            </w:pPr>
            <w:r>
              <w:rPr>
                <w:sz w:val="20"/>
              </w:rPr>
              <w:t>3</w:t>
            </w:r>
          </w:p>
        </w:tc>
        <w:tc>
          <w:tcPr>
            <w:tcW w:type="dxa" w:w="7540"/>
          </w:tcPr>
          <w:p>
            <w:pPr>
              <w:spacing w:after="0"/>
            </w:pPr>
            <w:r>
              <w:rPr>
                <w:sz w:val="20"/>
              </w:rPr>
              <w:t>Vision, Mission and Program Educational Objectives (PEOs)</w:t>
            </w:r>
          </w:p>
        </w:tc>
        <w:tc>
          <w:tcPr>
            <w:tcW w:type="dxa" w:w="1020"/>
          </w:tcPr>
          <w:p>
            <w:pPr>
              <w:spacing w:after="0"/>
              <w:jc w:val="center"/>
            </w:pPr>
            <w:r>
              <w:rPr>
                <w:sz w:val="20"/>
              </w:rPr>
              <w:t>005</w:t>
            </w:r>
          </w:p>
        </w:tc>
      </w:tr>
      <w:tr>
        <w:tc>
          <w:tcPr>
            <w:tcW w:type="dxa" w:w="850"/>
            <w:shd w:val="clear" w:color="auto" w:fill="EEF2F7"/>
          </w:tcPr>
          <w:p>
            <w:pPr>
              <w:spacing w:after="0"/>
              <w:jc w:val="center"/>
            </w:pPr>
            <w:r>
              <w:rPr>
                <w:sz w:val="20"/>
              </w:rPr>
              <w:t>4</w:t>
            </w:r>
          </w:p>
        </w:tc>
        <w:tc>
          <w:tcPr>
            <w:tcW w:type="dxa" w:w="7540"/>
            <w:shd w:val="clear" w:color="auto" w:fill="EEF2F7"/>
          </w:tcPr>
          <w:p>
            <w:pPr>
              <w:spacing w:after="0"/>
            </w:pPr>
            <w:r>
              <w:rPr>
                <w:sz w:val="20"/>
              </w:rPr>
              <w:t>Vision and Mission of the Institute and Department</w:t>
            </w:r>
          </w:p>
        </w:tc>
        <w:tc>
          <w:tcPr>
            <w:tcW w:type="dxa" w:w="1020"/>
            <w:shd w:val="clear" w:color="auto" w:fill="EEF2F7"/>
          </w:tcPr>
          <w:p>
            <w:pPr>
              <w:spacing w:after="0"/>
              <w:jc w:val="center"/>
            </w:pPr>
            <w:r>
              <w:rPr>
                <w:sz w:val="20"/>
              </w:rPr>
              <w:t>008</w:t>
            </w:r>
          </w:p>
        </w:tc>
      </w:tr>
      <w:tr>
        <w:tc>
          <w:tcPr>
            <w:tcW w:type="dxa" w:w="850"/>
          </w:tcPr>
          <w:p>
            <w:pPr>
              <w:spacing w:after="0"/>
              <w:jc w:val="center"/>
            </w:pPr>
            <w:r>
              <w:rPr>
                <w:sz w:val="20"/>
              </w:rPr>
              <w:t>5</w:t>
            </w:r>
          </w:p>
        </w:tc>
        <w:tc>
          <w:tcPr>
            <w:tcW w:type="dxa" w:w="7540"/>
          </w:tcPr>
          <w:p>
            <w:pPr>
              <w:spacing w:after="0"/>
            </w:pPr>
            <w:r>
              <w:rPr>
                <w:sz w:val="20"/>
              </w:rPr>
              <w:t>Program Educational Objectives (PEOs)</w:t>
            </w:r>
          </w:p>
        </w:tc>
        <w:tc>
          <w:tcPr>
            <w:tcW w:type="dxa" w:w="1020"/>
          </w:tcPr>
          <w:p>
            <w:pPr>
              <w:spacing w:after="0"/>
              <w:jc w:val="center"/>
            </w:pPr>
            <w:r>
              <w:rPr>
                <w:sz w:val="20"/>
              </w:rPr>
              <w:t>010</w:t>
            </w:r>
          </w:p>
        </w:tc>
      </w:tr>
      <w:tr>
        <w:tc>
          <w:tcPr>
            <w:tcW w:type="dxa" w:w="850"/>
            <w:shd w:val="clear" w:color="auto" w:fill="EEF2F7"/>
          </w:tcPr>
          <w:p>
            <w:pPr>
              <w:spacing w:after="0"/>
              <w:jc w:val="center"/>
            </w:pPr>
            <w:r>
              <w:rPr>
                <w:sz w:val="20"/>
              </w:rPr>
              <w:t>6</w:t>
            </w:r>
          </w:p>
        </w:tc>
        <w:tc>
          <w:tcPr>
            <w:tcW w:type="dxa" w:w="7540"/>
            <w:shd w:val="clear" w:color="auto" w:fill="EEF2F7"/>
          </w:tcPr>
          <w:p>
            <w:pPr>
              <w:spacing w:after="0"/>
            </w:pPr>
            <w:r>
              <w:rPr>
                <w:sz w:val="20"/>
              </w:rPr>
              <w:t>Process of Defining Vision, Mission and PEOs</w:t>
            </w:r>
          </w:p>
        </w:tc>
        <w:tc>
          <w:tcPr>
            <w:tcW w:type="dxa" w:w="1020"/>
            <w:shd w:val="clear" w:color="auto" w:fill="EEF2F7"/>
          </w:tcPr>
          <w:p>
            <w:pPr>
              <w:spacing w:after="0"/>
              <w:jc w:val="center"/>
            </w:pPr>
            <w:r>
              <w:rPr>
                <w:sz w:val="20"/>
              </w:rPr>
              <w:t>012</w:t>
            </w:r>
          </w:p>
        </w:tc>
      </w:tr>
      <w:tr>
        <w:tc>
          <w:tcPr>
            <w:tcW w:type="dxa" w:w="850"/>
          </w:tcPr>
          <w:p>
            <w:pPr>
              <w:spacing w:after="0"/>
              <w:jc w:val="center"/>
            </w:pPr>
            <w:r>
              <w:rPr>
                <w:sz w:val="20"/>
              </w:rPr>
              <w:t>7</w:t>
            </w:r>
          </w:p>
        </w:tc>
        <w:tc>
          <w:tcPr>
            <w:tcW w:type="dxa" w:w="7540"/>
          </w:tcPr>
          <w:p>
            <w:pPr>
              <w:spacing w:after="0"/>
            </w:pPr>
            <w:r>
              <w:rPr>
                <w:sz w:val="20"/>
              </w:rPr>
              <w:t>Dissemination of Vision, Mission and PEOs</w:t>
            </w:r>
          </w:p>
        </w:tc>
        <w:tc>
          <w:tcPr>
            <w:tcW w:type="dxa" w:w="1020"/>
          </w:tcPr>
          <w:p>
            <w:pPr>
              <w:spacing w:after="0"/>
              <w:jc w:val="center"/>
            </w:pPr>
            <w:r>
              <w:rPr>
                <w:sz w:val="20"/>
              </w:rPr>
              <w:t>014</w:t>
            </w:r>
          </w:p>
        </w:tc>
      </w:tr>
      <w:tr>
        <w:tc>
          <w:tcPr>
            <w:tcW w:type="dxa" w:w="850"/>
            <w:shd w:val="clear" w:color="auto" w:fill="EEF2F7"/>
          </w:tcPr>
          <w:p>
            <w:pPr>
              <w:spacing w:after="0"/>
              <w:jc w:val="center"/>
            </w:pPr>
            <w:r>
              <w:rPr>
                <w:sz w:val="20"/>
              </w:rPr>
              <w:t>8</w:t>
            </w:r>
          </w:p>
        </w:tc>
        <w:tc>
          <w:tcPr>
            <w:tcW w:type="dxa" w:w="7540"/>
            <w:shd w:val="clear" w:color="auto" w:fill="EEF2F7"/>
          </w:tcPr>
          <w:p>
            <w:pPr>
              <w:spacing w:after="0"/>
            </w:pPr>
            <w:r>
              <w:rPr>
                <w:sz w:val="20"/>
              </w:rPr>
              <w:t>Mapping of PEOs with Mission</w:t>
            </w:r>
          </w:p>
        </w:tc>
        <w:tc>
          <w:tcPr>
            <w:tcW w:type="dxa" w:w="1020"/>
            <w:shd w:val="clear" w:color="auto" w:fill="EEF2F7"/>
          </w:tcPr>
          <w:p>
            <w:pPr>
              <w:spacing w:after="0"/>
              <w:jc w:val="center"/>
            </w:pPr>
            <w:r>
              <w:rPr>
                <w:sz w:val="20"/>
              </w:rPr>
              <w:t>016</w:t>
            </w:r>
          </w:p>
        </w:tc>
      </w:tr>
      <w:tr>
        <w:tc>
          <w:tcPr>
            <w:tcW w:type="dxa" w:w="850"/>
          </w:tcPr>
          <w:p>
            <w:pPr>
              <w:spacing w:after="0"/>
              <w:jc w:val="center"/>
            </w:pPr>
            <w:r>
              <w:rPr>
                <w:sz w:val="20"/>
              </w:rPr>
              <w:t>9</w:t>
            </w:r>
          </w:p>
        </w:tc>
        <w:tc>
          <w:tcPr>
            <w:tcW w:type="dxa" w:w="7540"/>
          </w:tcPr>
          <w:p>
            <w:pPr>
              <w:spacing w:after="0"/>
            </w:pPr>
            <w:r>
              <w:rPr>
                <w:sz w:val="20"/>
              </w:rPr>
              <w:t>Vision, Mission, and PEOs Statements (approved by BoS/Academic Council)</w:t>
            </w:r>
          </w:p>
        </w:tc>
        <w:tc>
          <w:tcPr>
            <w:tcW w:type="dxa" w:w="1020"/>
          </w:tcPr>
          <w:p>
            <w:pPr>
              <w:spacing w:after="0"/>
              <w:jc w:val="center"/>
            </w:pPr>
            <w:r>
              <w:rPr>
                <w:sz w:val="20"/>
              </w:rPr>
              <w:t>018</w:t>
            </w:r>
          </w:p>
        </w:tc>
      </w:tr>
      <w:tr>
        <w:tc>
          <w:tcPr>
            <w:tcW w:type="dxa" w:w="850"/>
            <w:shd w:val="clear" w:color="auto" w:fill="EEF2F7"/>
          </w:tcPr>
          <w:p>
            <w:pPr>
              <w:spacing w:after="0"/>
              <w:jc w:val="center"/>
            </w:pPr>
            <w:r>
              <w:rPr>
                <w:sz w:val="20"/>
              </w:rPr>
              <w:t>10</w:t>
            </w:r>
          </w:p>
        </w:tc>
        <w:tc>
          <w:tcPr>
            <w:tcW w:type="dxa" w:w="7540"/>
            <w:shd w:val="clear" w:color="auto" w:fill="EEF2F7"/>
          </w:tcPr>
          <w:p>
            <w:pPr>
              <w:spacing w:after="0"/>
            </w:pPr>
            <w:r>
              <w:rPr>
                <w:sz w:val="20"/>
              </w:rPr>
              <w:t>Meeting Minutes &amp; Feedback Forms (faculty, alumni, industry, students)</w:t>
            </w:r>
          </w:p>
        </w:tc>
        <w:tc>
          <w:tcPr>
            <w:tcW w:type="dxa" w:w="1020"/>
            <w:shd w:val="clear" w:color="auto" w:fill="EEF2F7"/>
          </w:tcPr>
          <w:p>
            <w:pPr>
              <w:spacing w:after="0"/>
              <w:jc w:val="center"/>
            </w:pPr>
            <w:r>
              <w:rPr>
                <w:sz w:val="20"/>
              </w:rPr>
              <w:t>019</w:t>
            </w:r>
          </w:p>
        </w:tc>
      </w:tr>
      <w:tr>
        <w:tc>
          <w:tcPr>
            <w:tcW w:type="dxa" w:w="850"/>
          </w:tcPr>
          <w:p>
            <w:pPr>
              <w:spacing w:after="0"/>
              <w:jc w:val="center"/>
            </w:pPr>
            <w:r>
              <w:rPr>
                <w:sz w:val="20"/>
              </w:rPr>
              <w:t>11</w:t>
            </w:r>
          </w:p>
        </w:tc>
        <w:tc>
          <w:tcPr>
            <w:tcW w:type="dxa" w:w="7540"/>
          </w:tcPr>
          <w:p>
            <w:pPr>
              <w:spacing w:after="0"/>
            </w:pPr>
            <w:r>
              <w:rPr>
                <w:sz w:val="20"/>
              </w:rPr>
              <w:t>Mapping Matrix with Justification</w:t>
            </w:r>
          </w:p>
        </w:tc>
        <w:tc>
          <w:tcPr>
            <w:tcW w:type="dxa" w:w="1020"/>
          </w:tcPr>
          <w:p>
            <w:pPr>
              <w:spacing w:after="0"/>
              <w:jc w:val="center"/>
            </w:pPr>
            <w:r>
              <w:rPr>
                <w:sz w:val="20"/>
              </w:rPr>
              <w:t>020</w:t>
            </w:r>
          </w:p>
        </w:tc>
      </w:tr>
      <w:tr>
        <w:tc>
          <w:tcPr>
            <w:tcW w:type="dxa" w:w="850"/>
            <w:shd w:val="clear" w:color="auto" w:fill="EEF2F7"/>
          </w:tcPr>
          <w:p>
            <w:pPr>
              <w:spacing w:after="0"/>
              <w:jc w:val="center"/>
            </w:pPr>
            <w:r>
              <w:rPr>
                <w:sz w:val="20"/>
              </w:rPr>
              <w:t>12</w:t>
            </w:r>
          </w:p>
        </w:tc>
        <w:tc>
          <w:tcPr>
            <w:tcW w:type="dxa" w:w="7540"/>
            <w:shd w:val="clear" w:color="auto" w:fill="EEF2F7"/>
          </w:tcPr>
          <w:p>
            <w:pPr>
              <w:spacing w:after="0"/>
            </w:pPr>
            <w:r>
              <w:rPr>
                <w:sz w:val="20"/>
              </w:rPr>
              <w:t>Survey &amp; Assessment Reports (alumni/employer awareness, PEO attainment)</w:t>
            </w:r>
          </w:p>
        </w:tc>
        <w:tc>
          <w:tcPr>
            <w:tcW w:type="dxa" w:w="1020"/>
            <w:shd w:val="clear" w:color="auto" w:fill="EEF2F7"/>
          </w:tcPr>
          <w:p>
            <w:pPr>
              <w:spacing w:after="0"/>
              <w:jc w:val="center"/>
            </w:pPr>
            <w:r>
              <w:rPr>
                <w:sz w:val="20"/>
              </w:rPr>
              <w:t>021</w:t>
            </w:r>
          </w:p>
        </w:tc>
      </w:tr>
      <w:tr>
        <w:tc>
          <w:tcPr>
            <w:tcW w:type="dxa" w:w="850"/>
          </w:tcPr>
          <w:p>
            <w:pPr>
              <w:spacing w:after="0"/>
              <w:jc w:val="center"/>
            </w:pPr>
            <w:r>
              <w:rPr>
                <w:sz w:val="20"/>
              </w:rPr>
              <w:t>13</w:t>
            </w:r>
          </w:p>
        </w:tc>
        <w:tc>
          <w:tcPr>
            <w:tcW w:type="dxa" w:w="7540"/>
          </w:tcPr>
          <w:p>
            <w:pPr>
              <w:spacing w:after="0"/>
            </w:pPr>
            <w:r>
              <w:rPr>
                <w:sz w:val="20"/>
              </w:rPr>
              <w:t>Mapping Document showing alignment of Vision/Mission with PEOs, POs, and PSOs</w:t>
            </w:r>
          </w:p>
        </w:tc>
        <w:tc>
          <w:tcPr>
            <w:tcW w:type="dxa" w:w="1020"/>
          </w:tcPr>
          <w:p>
            <w:pPr>
              <w:spacing w:after="0"/>
              <w:jc w:val="center"/>
            </w:pPr>
            <w:r>
              <w:rPr>
                <w:sz w:val="20"/>
              </w:rPr>
              <w:t>023</w:t>
            </w:r>
          </w:p>
        </w:tc>
      </w:tr>
      <w:tr>
        <w:tc>
          <w:tcPr>
            <w:tcW w:type="dxa" w:w="850"/>
            <w:shd w:val="clear" w:color="auto" w:fill="EEF2F7"/>
          </w:tcPr>
          <w:p>
            <w:pPr>
              <w:spacing w:after="0"/>
              <w:jc w:val="center"/>
            </w:pPr>
            <w:r>
              <w:rPr>
                <w:sz w:val="20"/>
              </w:rPr>
              <w:t>14</w:t>
            </w:r>
          </w:p>
        </w:tc>
        <w:tc>
          <w:tcPr>
            <w:tcW w:type="dxa" w:w="7540"/>
            <w:shd w:val="clear" w:color="auto" w:fill="EEF2F7"/>
          </w:tcPr>
          <w:p>
            <w:pPr>
              <w:spacing w:after="0"/>
            </w:pPr>
            <w:r>
              <w:rPr>
                <w:sz w:val="20"/>
              </w:rPr>
              <w:t>Process Document of How PEOs Were Framed (with committee meeting minutes &amp; stakeholders)</w:t>
            </w:r>
          </w:p>
        </w:tc>
        <w:tc>
          <w:tcPr>
            <w:tcW w:type="dxa" w:w="1020"/>
            <w:shd w:val="clear" w:color="auto" w:fill="EEF2F7"/>
          </w:tcPr>
          <w:p>
            <w:pPr>
              <w:spacing w:after="0"/>
              <w:jc w:val="center"/>
            </w:pPr>
            <w:r>
              <w:rPr>
                <w:sz w:val="20"/>
              </w:rPr>
              <w:t>025</w:t>
            </w:r>
          </w:p>
        </w:tc>
      </w:tr>
      <w:tr>
        <w:tc>
          <w:tcPr>
            <w:tcW w:type="dxa" w:w="850"/>
          </w:tcPr>
          <w:p>
            <w:pPr>
              <w:spacing w:after="0"/>
              <w:jc w:val="center"/>
            </w:pPr>
            <w:r>
              <w:rPr>
                <w:sz w:val="20"/>
              </w:rPr>
              <w:t>15</w:t>
            </w:r>
          </w:p>
        </w:tc>
        <w:tc>
          <w:tcPr>
            <w:tcW w:type="dxa" w:w="7540"/>
          </w:tcPr>
          <w:p>
            <w:pPr>
              <w:spacing w:after="0"/>
            </w:pPr>
            <w:r>
              <w:rPr>
                <w:sz w:val="20"/>
              </w:rPr>
              <w:t>PEO Statements (approved by Academic Council/BoS)</w:t>
            </w:r>
          </w:p>
        </w:tc>
        <w:tc>
          <w:tcPr>
            <w:tcW w:type="dxa" w:w="1020"/>
          </w:tcPr>
          <w:p>
            <w:pPr>
              <w:spacing w:after="0"/>
              <w:jc w:val="center"/>
            </w:pPr>
            <w:r>
              <w:rPr>
                <w:sz w:val="20"/>
              </w:rPr>
              <w:t>027</w:t>
            </w:r>
          </w:p>
        </w:tc>
      </w:tr>
      <w:tr>
        <w:tc>
          <w:tcPr>
            <w:tcW w:type="dxa" w:w="850"/>
            <w:shd w:val="clear" w:color="auto" w:fill="EEF2F7"/>
          </w:tcPr>
          <w:p>
            <w:pPr>
              <w:spacing w:after="0"/>
              <w:jc w:val="center"/>
            </w:pPr>
            <w:r>
              <w:rPr>
                <w:sz w:val="20"/>
              </w:rPr>
              <w:t>16</w:t>
            </w:r>
          </w:p>
        </w:tc>
        <w:tc>
          <w:tcPr>
            <w:tcW w:type="dxa" w:w="7540"/>
            <w:shd w:val="clear" w:color="auto" w:fill="EEF2F7"/>
          </w:tcPr>
          <w:p>
            <w:pPr>
              <w:spacing w:after="0"/>
            </w:pPr>
            <w:r>
              <w:rPr>
                <w:sz w:val="20"/>
              </w:rPr>
              <w:t>Mapping Table showing linkage between Department Mission ↔ PEOs ↔ Program Outcomes (POs)</w:t>
            </w:r>
          </w:p>
        </w:tc>
        <w:tc>
          <w:tcPr>
            <w:tcW w:type="dxa" w:w="1020"/>
            <w:shd w:val="clear" w:color="auto" w:fill="EEF2F7"/>
          </w:tcPr>
          <w:p>
            <w:pPr>
              <w:spacing w:after="0"/>
              <w:jc w:val="center"/>
            </w:pPr>
            <w:r>
              <w:rPr>
                <w:sz w:val="20"/>
              </w:rPr>
              <w:t>029</w:t>
            </w:r>
          </w:p>
        </w:tc>
      </w:tr>
      <w:tr>
        <w:tc>
          <w:tcPr>
            <w:tcW w:type="dxa" w:w="850"/>
          </w:tcPr>
          <w:p>
            <w:pPr>
              <w:spacing w:after="0"/>
              <w:jc w:val="center"/>
            </w:pPr>
            <w:r>
              <w:rPr>
                <w:sz w:val="20"/>
              </w:rPr>
              <w:t>17</w:t>
            </w:r>
          </w:p>
        </w:tc>
        <w:tc>
          <w:tcPr>
            <w:tcW w:type="dxa" w:w="7540"/>
          </w:tcPr>
          <w:p>
            <w:pPr>
              <w:spacing w:after="0"/>
            </w:pPr>
            <w:r>
              <w:rPr>
                <w:sz w:val="20"/>
              </w:rPr>
              <w:t>Assessment Reports of PEO Attainment (alumni surveys, employer feedback)</w:t>
            </w:r>
          </w:p>
        </w:tc>
        <w:tc>
          <w:tcPr>
            <w:tcW w:type="dxa" w:w="1020"/>
          </w:tcPr>
          <w:p>
            <w:pPr>
              <w:spacing w:after="0"/>
              <w:jc w:val="center"/>
            </w:pPr>
            <w:r>
              <w:rPr>
                <w:sz w:val="20"/>
              </w:rPr>
              <w:t>030</w:t>
            </w:r>
          </w:p>
        </w:tc>
      </w:tr>
      <w:tr>
        <w:tc>
          <w:tcPr>
            <w:tcW w:type="dxa" w:w="850"/>
            <w:shd w:val="clear" w:color="auto" w:fill="EEF2F7"/>
          </w:tcPr>
          <w:p>
            <w:pPr>
              <w:spacing w:after="0"/>
              <w:jc w:val="center"/>
            </w:pPr>
            <w:r>
              <w:rPr>
                <w:sz w:val="20"/>
              </w:rPr>
              <w:t>18</w:t>
            </w:r>
          </w:p>
        </w:tc>
        <w:tc>
          <w:tcPr>
            <w:tcW w:type="dxa" w:w="7540"/>
            <w:shd w:val="clear" w:color="auto" w:fill="EEF2F7"/>
          </w:tcPr>
          <w:p>
            <w:pPr>
              <w:spacing w:after="0"/>
            </w:pPr>
            <w:r>
              <w:rPr>
                <w:sz w:val="20"/>
              </w:rPr>
              <w:t>Dissemination Evidence of Vision, Mission, and PEOs</w:t>
            </w:r>
          </w:p>
        </w:tc>
        <w:tc>
          <w:tcPr>
            <w:tcW w:type="dxa" w:w="1020"/>
            <w:shd w:val="clear" w:color="auto" w:fill="EEF2F7"/>
          </w:tcPr>
          <w:p>
            <w:pPr>
              <w:spacing w:after="0"/>
              <w:jc w:val="center"/>
            </w:pPr>
            <w:r>
              <w:rPr>
                <w:sz w:val="20"/>
              </w:rPr>
              <w:t>032</w:t>
            </w:r>
          </w:p>
        </w:tc>
      </w:tr>
      <w:tr>
        <w:tc>
          <w:tcPr>
            <w:tcW w:type="dxa" w:w="850"/>
          </w:tcPr>
          <w:p>
            <w:pPr>
              <w:spacing w:after="0"/>
              <w:jc w:val="center"/>
            </w:pPr>
            <w:r>
              <w:rPr>
                <w:sz w:val="20"/>
              </w:rPr>
              <w:t>19</w:t>
            </w:r>
          </w:p>
        </w:tc>
        <w:tc>
          <w:tcPr>
            <w:tcW w:type="dxa" w:w="7540"/>
          </w:tcPr>
          <w:p>
            <w:pPr>
              <w:spacing w:after="0"/>
            </w:pPr>
            <w:r>
              <w:rPr>
                <w:sz w:val="20"/>
              </w:rPr>
              <w:t>Clearly defined Mission Elements (M1…Mn)</w:t>
            </w:r>
          </w:p>
        </w:tc>
        <w:tc>
          <w:tcPr>
            <w:tcW w:type="dxa" w:w="1020"/>
          </w:tcPr>
          <w:p>
            <w:pPr>
              <w:spacing w:after="0"/>
              <w:jc w:val="center"/>
            </w:pPr>
            <w:r>
              <w:rPr>
                <w:sz w:val="20"/>
              </w:rPr>
              <w:t>034</w:t>
            </w:r>
          </w:p>
        </w:tc>
      </w:tr>
      <w:tr>
        <w:tc>
          <w:tcPr>
            <w:tcW w:type="dxa" w:w="850"/>
            <w:shd w:val="clear" w:color="auto" w:fill="EEF2F7"/>
          </w:tcPr>
          <w:p>
            <w:pPr>
              <w:spacing w:after="0"/>
              <w:jc w:val="center"/>
            </w:pPr>
            <w:r>
              <w:rPr>
                <w:sz w:val="20"/>
              </w:rPr>
              <w:t>20</w:t>
            </w:r>
          </w:p>
        </w:tc>
        <w:tc>
          <w:tcPr>
            <w:tcW w:type="dxa" w:w="7540"/>
            <w:shd w:val="clear" w:color="auto" w:fill="EEF2F7"/>
          </w:tcPr>
          <w:p>
            <w:pPr>
              <w:spacing w:after="0"/>
            </w:pPr>
            <w:r>
              <w:rPr>
                <w:sz w:val="20"/>
              </w:rPr>
              <w:t>Well-written PEOs linked logically to Mission</w:t>
            </w:r>
          </w:p>
        </w:tc>
        <w:tc>
          <w:tcPr>
            <w:tcW w:type="dxa" w:w="1020"/>
            <w:shd w:val="clear" w:color="auto" w:fill="EEF2F7"/>
          </w:tcPr>
          <w:p>
            <w:pPr>
              <w:spacing w:after="0"/>
              <w:jc w:val="center"/>
            </w:pPr>
            <w:r>
              <w:rPr>
                <w:sz w:val="20"/>
              </w:rPr>
              <w:t>035</w:t>
            </w:r>
          </w:p>
        </w:tc>
      </w:tr>
      <w:tr>
        <w:tc>
          <w:tcPr>
            <w:tcW w:type="dxa" w:w="850"/>
          </w:tcPr>
          <w:p>
            <w:pPr>
              <w:spacing w:after="0"/>
              <w:jc w:val="center"/>
            </w:pPr>
            <w:r>
              <w:rPr>
                <w:sz w:val="20"/>
              </w:rPr>
              <w:t>21</w:t>
            </w:r>
          </w:p>
        </w:tc>
        <w:tc>
          <w:tcPr>
            <w:tcW w:type="dxa" w:w="7540"/>
          </w:tcPr>
          <w:p>
            <w:pPr>
              <w:spacing w:after="0"/>
            </w:pPr>
            <w:r>
              <w:rPr>
                <w:sz w:val="20"/>
              </w:rPr>
              <w:t>Matrix Table with Low/Medium/High correlation (not arbitrary, but justified)</w:t>
            </w:r>
          </w:p>
        </w:tc>
        <w:tc>
          <w:tcPr>
            <w:tcW w:type="dxa" w:w="1020"/>
          </w:tcPr>
          <w:p>
            <w:pPr>
              <w:spacing w:after="0"/>
              <w:jc w:val="center"/>
            </w:pPr>
            <w:r>
              <w:rPr>
                <w:sz w:val="20"/>
              </w:rPr>
              <w:t>037</w:t>
            </w:r>
          </w:p>
        </w:tc>
      </w:tr>
      <w:tr>
        <w:tc>
          <w:tcPr>
            <w:tcW w:type="dxa" w:w="850"/>
            <w:shd w:val="clear" w:color="auto" w:fill="EEF2F7"/>
          </w:tcPr>
          <w:p>
            <w:pPr>
              <w:spacing w:after="0"/>
              <w:jc w:val="center"/>
            </w:pPr>
            <w:r>
              <w:rPr>
                <w:sz w:val="20"/>
              </w:rPr>
              <w:t>22</w:t>
            </w:r>
          </w:p>
        </w:tc>
        <w:tc>
          <w:tcPr>
            <w:tcW w:type="dxa" w:w="7540"/>
            <w:shd w:val="clear" w:color="auto" w:fill="EEF2F7"/>
          </w:tcPr>
          <w:p>
            <w:pPr>
              <w:spacing w:after="0"/>
            </w:pPr>
            <w:r>
              <w:rPr>
                <w:sz w:val="20"/>
              </w:rPr>
              <w:t>Narrative Justification for each mapping row (beyond just filling numbers in the matrix)</w:t>
            </w:r>
          </w:p>
        </w:tc>
        <w:tc>
          <w:tcPr>
            <w:tcW w:type="dxa" w:w="1020"/>
            <w:shd w:val="clear" w:color="auto" w:fill="EEF2F7"/>
          </w:tcPr>
          <w:p>
            <w:pPr>
              <w:spacing w:after="0"/>
              <w:jc w:val="center"/>
            </w:pPr>
            <w:r>
              <w:rPr>
                <w:sz w:val="20"/>
              </w:rPr>
              <w:t>039</w:t>
            </w:r>
          </w:p>
        </w:tc>
      </w:tr>
      <w:tr>
        <w:tc>
          <w:tcPr>
            <w:tcW w:type="dxa" w:w="850"/>
          </w:tcPr>
          <w:p>
            <w:pPr>
              <w:spacing w:after="0"/>
              <w:jc w:val="center"/>
            </w:pPr>
            <w:r>
              <w:rPr>
                <w:sz w:val="20"/>
              </w:rPr>
              <w:t>23</w:t>
            </w:r>
          </w:p>
        </w:tc>
        <w:tc>
          <w:tcPr>
            <w:tcW w:type="dxa" w:w="7540"/>
          </w:tcPr>
          <w:p>
            <w:pPr>
              <w:spacing w:after="0"/>
            </w:pPr>
            <w:r>
              <w:rPr>
                <w:sz w:val="20"/>
              </w:rPr>
              <w:t>Evidence of Stakeholder Involvement in Preparing Mapping (BoS/IQAC minutes)</w:t>
            </w:r>
          </w:p>
        </w:tc>
        <w:tc>
          <w:tcPr>
            <w:tcW w:type="dxa" w:w="1020"/>
          </w:tcPr>
          <w:p>
            <w:pPr>
              <w:spacing w:after="0"/>
              <w:jc w:val="center"/>
            </w:pPr>
            <w:r>
              <w:rPr>
                <w:sz w:val="20"/>
              </w:rPr>
              <w:t>041</w:t>
            </w:r>
          </w:p>
        </w:tc>
      </w:tr>
      <w:tr>
        <w:tc>
          <w:tcPr>
            <w:tcW w:type="dxa" w:w="850"/>
            <w:shd w:val="clear" w:color="auto" w:fill="EEF2F7"/>
          </w:tcPr>
          <w:p>
            <w:pPr>
              <w:spacing w:after="0"/>
              <w:jc w:val="center"/>
            </w:pPr>
            <w:r>
              <w:rPr>
                <w:sz w:val="20"/>
              </w:rPr>
              <w:t>24</w:t>
            </w:r>
          </w:p>
        </w:tc>
        <w:tc>
          <w:tcPr>
            <w:tcW w:type="dxa" w:w="7540"/>
            <w:shd w:val="clear" w:color="auto" w:fill="EEF2F7"/>
          </w:tcPr>
          <w:p>
            <w:pPr>
              <w:spacing w:after="0"/>
            </w:pPr>
            <w:r>
              <w:rPr>
                <w:sz w:val="20"/>
              </w:rPr>
              <w:t>Minutes of Meetings (BoS, IQAC, Alumni Meet) where Vision/Mission/PEOs</w:t>
            </w:r>
          </w:p>
        </w:tc>
        <w:tc>
          <w:tcPr>
            <w:tcW w:type="dxa" w:w="1020"/>
            <w:shd w:val="clear" w:color="auto" w:fill="EEF2F7"/>
          </w:tcPr>
          <w:p>
            <w:pPr>
              <w:spacing w:after="0"/>
              <w:jc w:val="center"/>
            </w:pPr>
            <w:r>
              <w:rPr>
                <w:sz w:val="20"/>
              </w:rPr>
              <w:t>043</w:t>
            </w:r>
          </w:p>
        </w:tc>
      </w:tr>
      <w:tr>
        <w:tc>
          <w:tcPr>
            <w:tcW w:type="dxa" w:w="850"/>
          </w:tcPr>
          <w:p>
            <w:pPr>
              <w:spacing w:after="0"/>
              <w:jc w:val="center"/>
            </w:pPr>
            <w:r>
              <w:rPr>
                <w:sz w:val="20"/>
              </w:rPr>
              <w:t>25</w:t>
            </w:r>
          </w:p>
        </w:tc>
        <w:tc>
          <w:tcPr>
            <w:tcW w:type="dxa" w:w="7540"/>
          </w:tcPr>
          <w:p>
            <w:pPr>
              <w:spacing w:after="0"/>
            </w:pPr>
            <w:r>
              <w:rPr>
                <w:sz w:val="20"/>
              </w:rPr>
              <w:t>Induction Program Schedules showing sessions on Vision &amp; Mission</w:t>
            </w:r>
          </w:p>
        </w:tc>
        <w:tc>
          <w:tcPr>
            <w:tcW w:type="dxa" w:w="1020"/>
          </w:tcPr>
          <w:p>
            <w:pPr>
              <w:spacing w:after="0"/>
              <w:jc w:val="center"/>
            </w:pPr>
            <w:r>
              <w:rPr>
                <w:sz w:val="20"/>
              </w:rPr>
              <w:t>045</w:t>
            </w:r>
          </w:p>
        </w:tc>
      </w:tr>
      <w:tr>
        <w:tc>
          <w:tcPr>
            <w:tcW w:type="dxa" w:w="850"/>
            <w:shd w:val="clear" w:color="auto" w:fill="EEF2F7"/>
          </w:tcPr>
          <w:p>
            <w:pPr>
              <w:spacing w:after="0"/>
              <w:jc w:val="center"/>
            </w:pPr>
            <w:r>
              <w:rPr>
                <w:sz w:val="20"/>
              </w:rPr>
              <w:t>26</w:t>
            </w:r>
          </w:p>
        </w:tc>
        <w:tc>
          <w:tcPr>
            <w:tcW w:type="dxa" w:w="7540"/>
            <w:shd w:val="clear" w:color="auto" w:fill="EEF2F7"/>
          </w:tcPr>
          <w:p>
            <w:pPr>
              <w:spacing w:after="0"/>
            </w:pPr>
            <w:r>
              <w:rPr>
                <w:sz w:val="20"/>
              </w:rPr>
              <w:t>Extracts from Curriculum Documents, Student/Employee Handbooks</w:t>
            </w:r>
          </w:p>
        </w:tc>
        <w:tc>
          <w:tcPr>
            <w:tcW w:type="dxa" w:w="1020"/>
            <w:shd w:val="clear" w:color="auto" w:fill="EEF2F7"/>
          </w:tcPr>
          <w:p>
            <w:pPr>
              <w:spacing w:after="0"/>
              <w:jc w:val="center"/>
            </w:pPr>
            <w:r>
              <w:rPr>
                <w:sz w:val="20"/>
              </w:rPr>
              <w:t>046</w:t>
            </w:r>
          </w:p>
        </w:tc>
      </w:tr>
      <w:tr>
        <w:tc>
          <w:tcPr>
            <w:tcW w:type="dxa" w:w="850"/>
          </w:tcPr>
          <w:p>
            <w:pPr>
              <w:spacing w:after="0"/>
              <w:jc w:val="center"/>
            </w:pPr>
            <w:r>
              <w:rPr>
                <w:sz w:val="20"/>
              </w:rPr>
              <w:t>27</w:t>
            </w:r>
          </w:p>
        </w:tc>
        <w:tc>
          <w:tcPr>
            <w:tcW w:type="dxa" w:w="7540"/>
          </w:tcPr>
          <w:p>
            <w:pPr>
              <w:spacing w:after="0"/>
            </w:pPr>
            <w:r>
              <w:rPr>
                <w:sz w:val="20"/>
              </w:rPr>
              <w:t>Survey Reports (student/alumni/employer feedback) validating stakeholder awareness</w:t>
            </w:r>
          </w:p>
        </w:tc>
        <w:tc>
          <w:tcPr>
            <w:tcW w:type="dxa" w:w="1020"/>
          </w:tcPr>
          <w:p>
            <w:pPr>
              <w:spacing w:after="0"/>
              <w:jc w:val="center"/>
            </w:pPr>
            <w:r>
              <w:rPr>
                <w:sz w:val="20"/>
              </w:rPr>
              <w:t>048</w:t>
            </w:r>
          </w:p>
        </w:tc>
      </w:tr>
      <w:tr>
        <w:tc>
          <w:tcPr>
            <w:tcW w:type="dxa" w:w="850"/>
            <w:shd w:val="clear" w:color="auto" w:fill="EEF2F7"/>
          </w:tcPr>
          <w:p>
            <w:pPr>
              <w:spacing w:after="0"/>
              <w:jc w:val="center"/>
            </w:pPr>
            <w:r>
              <w:rPr>
                <w:sz w:val="20"/>
              </w:rPr>
              <w:t>28</w:t>
            </w:r>
          </w:p>
        </w:tc>
        <w:tc>
          <w:tcPr>
            <w:tcW w:type="dxa" w:w="7540"/>
            <w:shd w:val="clear" w:color="auto" w:fill="EEF2F7"/>
          </w:tcPr>
          <w:p>
            <w:pPr>
              <w:spacing w:after="0"/>
            </w:pPr>
            <w:r>
              <w:rPr>
                <w:sz w:val="20"/>
              </w:rPr>
              <w:t>Minutes of Meetings – Department Advisory Committee (DAC), Board of Studies (BoS), and Academic Council (AC)</w:t>
            </w:r>
          </w:p>
        </w:tc>
        <w:tc>
          <w:tcPr>
            <w:tcW w:type="dxa" w:w="1020"/>
            <w:shd w:val="clear" w:color="auto" w:fill="EEF2F7"/>
          </w:tcPr>
          <w:p>
            <w:pPr>
              <w:spacing w:after="0"/>
              <w:jc w:val="center"/>
            </w:pPr>
            <w:r>
              <w:rPr>
                <w:sz w:val="20"/>
              </w:rPr>
              <w:t>050</w:t>
            </w:r>
          </w:p>
        </w:tc>
      </w:tr>
      <w:tr>
        <w:tc>
          <w:tcPr>
            <w:tcW w:type="dxa" w:w="850"/>
          </w:tcPr>
          <w:p>
            <w:pPr>
              <w:spacing w:after="0"/>
              <w:jc w:val="center"/>
            </w:pPr>
            <w:r>
              <w:rPr>
                <w:sz w:val="20"/>
              </w:rPr>
              <w:t>29</w:t>
            </w:r>
          </w:p>
        </w:tc>
        <w:tc>
          <w:tcPr>
            <w:tcW w:type="dxa" w:w="7540"/>
          </w:tcPr>
          <w:p>
            <w:pPr>
              <w:spacing w:after="0"/>
            </w:pPr>
            <w:r>
              <w:rPr>
                <w:sz w:val="20"/>
              </w:rPr>
              <w:t>Curriculum Structure and Features</w:t>
            </w:r>
          </w:p>
        </w:tc>
        <w:tc>
          <w:tcPr>
            <w:tcW w:type="dxa" w:w="1020"/>
          </w:tcPr>
          <w:p>
            <w:pPr>
              <w:spacing w:after="0"/>
              <w:jc w:val="center"/>
            </w:pPr>
            <w:r>
              <w:rPr>
                <w:sz w:val="20"/>
              </w:rPr>
              <w:t>052</w:t>
            </w:r>
          </w:p>
        </w:tc>
      </w:tr>
      <w:tr>
        <w:tc>
          <w:tcPr>
            <w:tcW w:type="dxa" w:w="850"/>
            <w:shd w:val="clear" w:color="auto" w:fill="EEF2F7"/>
          </w:tcPr>
          <w:p>
            <w:pPr>
              <w:spacing w:after="0"/>
              <w:jc w:val="center"/>
            </w:pPr>
            <w:r>
              <w:rPr>
                <w:sz w:val="20"/>
              </w:rPr>
              <w:t>30</w:t>
            </w:r>
          </w:p>
        </w:tc>
        <w:tc>
          <w:tcPr>
            <w:tcW w:type="dxa" w:w="7540"/>
            <w:shd w:val="clear" w:color="auto" w:fill="EEF2F7"/>
          </w:tcPr>
          <w:p>
            <w:pPr>
              <w:spacing w:after="0"/>
            </w:pPr>
            <w:r>
              <w:rPr>
                <w:sz w:val="20"/>
              </w:rPr>
              <w:t>Process for Developing/Revising the Program Curriculum</w:t>
            </w:r>
          </w:p>
        </w:tc>
        <w:tc>
          <w:tcPr>
            <w:tcW w:type="dxa" w:w="1020"/>
            <w:shd w:val="clear" w:color="auto" w:fill="EEF2F7"/>
          </w:tcPr>
          <w:p>
            <w:pPr>
              <w:spacing w:after="0"/>
              <w:jc w:val="center"/>
            </w:pPr>
            <w:r>
              <w:rPr>
                <w:sz w:val="20"/>
              </w:rPr>
              <w:t>055</w:t>
            </w:r>
          </w:p>
        </w:tc>
      </w:tr>
      <w:tr>
        <w:tc>
          <w:tcPr>
            <w:tcW w:type="dxa" w:w="850"/>
          </w:tcPr>
          <w:p>
            <w:pPr>
              <w:spacing w:after="0"/>
              <w:jc w:val="center"/>
            </w:pPr>
            <w:r>
              <w:rPr>
                <w:sz w:val="20"/>
              </w:rPr>
              <w:t>31</w:t>
            </w:r>
          </w:p>
        </w:tc>
        <w:tc>
          <w:tcPr>
            <w:tcW w:type="dxa" w:w="7540"/>
          </w:tcPr>
          <w:p>
            <w:pPr>
              <w:spacing w:after="0"/>
            </w:pPr>
            <w:r>
              <w:rPr>
                <w:sz w:val="20"/>
              </w:rPr>
              <w:t>Curriculum Structure</w:t>
            </w:r>
          </w:p>
        </w:tc>
        <w:tc>
          <w:tcPr>
            <w:tcW w:type="dxa" w:w="1020"/>
          </w:tcPr>
          <w:p>
            <w:pPr>
              <w:spacing w:after="0"/>
              <w:jc w:val="center"/>
            </w:pPr>
            <w:r>
              <w:rPr>
                <w:sz w:val="20"/>
              </w:rPr>
              <w:t>057</w:t>
            </w:r>
          </w:p>
        </w:tc>
      </w:tr>
      <w:tr>
        <w:tc>
          <w:tcPr>
            <w:tcW w:type="dxa" w:w="850"/>
            <w:shd w:val="clear" w:color="auto" w:fill="EEF2F7"/>
          </w:tcPr>
          <w:p>
            <w:pPr>
              <w:spacing w:after="0"/>
              <w:jc w:val="center"/>
            </w:pPr>
            <w:r>
              <w:rPr>
                <w:sz w:val="20"/>
              </w:rPr>
              <w:t>32</w:t>
            </w:r>
          </w:p>
        </w:tc>
        <w:tc>
          <w:tcPr>
            <w:tcW w:type="dxa" w:w="7540"/>
            <w:shd w:val="clear" w:color="auto" w:fill="EEF2F7"/>
          </w:tcPr>
          <w:p>
            <w:pPr>
              <w:spacing w:after="0"/>
            </w:pPr>
            <w:r>
              <w:rPr>
                <w:sz w:val="20"/>
              </w:rPr>
              <w:t>Components of Curriculum</w:t>
            </w:r>
          </w:p>
        </w:tc>
        <w:tc>
          <w:tcPr>
            <w:tcW w:type="dxa" w:w="1020"/>
            <w:shd w:val="clear" w:color="auto" w:fill="EEF2F7"/>
          </w:tcPr>
          <w:p>
            <w:pPr>
              <w:spacing w:after="0"/>
              <w:jc w:val="center"/>
            </w:pPr>
            <w:r>
              <w:rPr>
                <w:sz w:val="20"/>
              </w:rPr>
              <w:t>060</w:t>
            </w:r>
          </w:p>
        </w:tc>
      </w:tr>
      <w:tr>
        <w:tc>
          <w:tcPr>
            <w:tcW w:type="dxa" w:w="850"/>
          </w:tcPr>
          <w:p>
            <w:pPr>
              <w:spacing w:after="0"/>
              <w:jc w:val="center"/>
            </w:pPr>
            <w:r>
              <w:rPr>
                <w:sz w:val="20"/>
              </w:rPr>
              <w:t>33</w:t>
            </w:r>
          </w:p>
        </w:tc>
        <w:tc>
          <w:tcPr>
            <w:tcW w:type="dxa" w:w="7540"/>
          </w:tcPr>
          <w:p>
            <w:pPr>
              <w:spacing w:after="0"/>
            </w:pPr>
            <w:r>
              <w:rPr>
                <w:sz w:val="20"/>
              </w:rPr>
              <w:t>Strategies for Education Reforms</w:t>
            </w:r>
          </w:p>
        </w:tc>
        <w:tc>
          <w:tcPr>
            <w:tcW w:type="dxa" w:w="1020"/>
          </w:tcPr>
          <w:p>
            <w:pPr>
              <w:spacing w:after="0"/>
              <w:jc w:val="center"/>
            </w:pPr>
            <w:r>
              <w:rPr>
                <w:sz w:val="20"/>
              </w:rPr>
              <w:t>062</w:t>
            </w:r>
          </w:p>
        </w:tc>
      </w:tr>
      <w:tr>
        <w:tc>
          <w:tcPr>
            <w:tcW w:type="dxa" w:w="850"/>
            <w:shd w:val="clear" w:color="auto" w:fill="EEF2F7"/>
          </w:tcPr>
          <w:p>
            <w:pPr>
              <w:spacing w:after="0"/>
              <w:jc w:val="center"/>
            </w:pPr>
            <w:r>
              <w:rPr>
                <w:sz w:val="20"/>
              </w:rPr>
              <w:t>34</w:t>
            </w:r>
          </w:p>
        </w:tc>
        <w:tc>
          <w:tcPr>
            <w:tcW w:type="dxa" w:w="7540"/>
            <w:shd w:val="clear" w:color="auto" w:fill="EEF2F7"/>
          </w:tcPr>
          <w:p>
            <w:pPr>
              <w:spacing w:after="0"/>
            </w:pPr>
            <w:r>
              <w:rPr>
                <w:sz w:val="20"/>
              </w:rPr>
              <w:t>Proof of Academic Bank of Credits (ABC) registration &amp; student credit transfers</w:t>
            </w:r>
          </w:p>
        </w:tc>
        <w:tc>
          <w:tcPr>
            <w:tcW w:type="dxa" w:w="1020"/>
            <w:shd w:val="clear" w:color="auto" w:fill="EEF2F7"/>
          </w:tcPr>
          <w:p>
            <w:pPr>
              <w:spacing w:after="0"/>
              <w:jc w:val="center"/>
            </w:pPr>
            <w:r>
              <w:rPr>
                <w:sz w:val="20"/>
              </w:rPr>
              <w:t>065</w:t>
            </w:r>
          </w:p>
        </w:tc>
      </w:tr>
      <w:tr>
        <w:tc>
          <w:tcPr>
            <w:tcW w:type="dxa" w:w="850"/>
          </w:tcPr>
          <w:p>
            <w:pPr>
              <w:spacing w:after="0"/>
              <w:jc w:val="center"/>
            </w:pPr>
            <w:r>
              <w:rPr>
                <w:sz w:val="20"/>
              </w:rPr>
              <w:t>35</w:t>
            </w:r>
          </w:p>
        </w:tc>
        <w:tc>
          <w:tcPr>
            <w:tcW w:type="dxa" w:w="7540"/>
          </w:tcPr>
          <w:p>
            <w:pPr>
              <w:spacing w:after="0"/>
            </w:pPr>
            <w:r>
              <w:rPr>
                <w:sz w:val="20"/>
              </w:rPr>
              <w:t>APAAR ID Registration Screenshots</w:t>
            </w:r>
          </w:p>
        </w:tc>
        <w:tc>
          <w:tcPr>
            <w:tcW w:type="dxa" w:w="1020"/>
          </w:tcPr>
          <w:p>
            <w:pPr>
              <w:spacing w:after="0"/>
              <w:jc w:val="center"/>
            </w:pPr>
            <w:r>
              <w:rPr>
                <w:sz w:val="20"/>
              </w:rPr>
              <w:t>067</w:t>
            </w:r>
          </w:p>
        </w:tc>
      </w:tr>
      <w:tr>
        <w:tc>
          <w:tcPr>
            <w:tcW w:type="dxa" w:w="850"/>
            <w:shd w:val="clear" w:color="auto" w:fill="EEF2F7"/>
          </w:tcPr>
          <w:p>
            <w:pPr>
              <w:spacing w:after="0"/>
              <w:jc w:val="center"/>
            </w:pPr>
            <w:r>
              <w:rPr>
                <w:sz w:val="20"/>
              </w:rPr>
              <w:t>36</w:t>
            </w:r>
          </w:p>
        </w:tc>
        <w:tc>
          <w:tcPr>
            <w:tcW w:type="dxa" w:w="7540"/>
            <w:shd w:val="clear" w:color="auto" w:fill="EEF2F7"/>
          </w:tcPr>
          <w:p>
            <w:pPr>
              <w:spacing w:after="0"/>
            </w:pPr>
            <w:r>
              <w:rPr>
                <w:sz w:val="20"/>
              </w:rPr>
              <w:t>Extracts from Curriculum Structure showing interdisciplinary / open elective courses</w:t>
            </w:r>
          </w:p>
        </w:tc>
        <w:tc>
          <w:tcPr>
            <w:tcW w:type="dxa" w:w="1020"/>
            <w:shd w:val="clear" w:color="auto" w:fill="EEF2F7"/>
          </w:tcPr>
          <w:p>
            <w:pPr>
              <w:spacing w:after="0"/>
              <w:jc w:val="center"/>
            </w:pPr>
            <w:r>
              <w:rPr>
                <w:sz w:val="20"/>
              </w:rPr>
              <w:t>068</w:t>
            </w:r>
          </w:p>
        </w:tc>
      </w:tr>
      <w:tr>
        <w:tc>
          <w:tcPr>
            <w:tcW w:type="dxa" w:w="850"/>
          </w:tcPr>
          <w:p>
            <w:pPr>
              <w:spacing w:after="0"/>
              <w:jc w:val="center"/>
            </w:pPr>
            <w:r>
              <w:rPr>
                <w:sz w:val="20"/>
              </w:rPr>
              <w:t>37</w:t>
            </w:r>
          </w:p>
        </w:tc>
        <w:tc>
          <w:tcPr>
            <w:tcW w:type="dxa" w:w="7540"/>
          </w:tcPr>
          <w:p>
            <w:pPr>
              <w:spacing w:after="0"/>
            </w:pPr>
            <w:r>
              <w:rPr>
                <w:sz w:val="20"/>
              </w:rPr>
              <w:t>MoUs with Industry/Other Departments for Interdisciplinary Programs</w:t>
            </w:r>
          </w:p>
        </w:tc>
        <w:tc>
          <w:tcPr>
            <w:tcW w:type="dxa" w:w="1020"/>
          </w:tcPr>
          <w:p>
            <w:pPr>
              <w:spacing w:after="0"/>
              <w:jc w:val="center"/>
            </w:pPr>
            <w:r>
              <w:rPr>
                <w:sz w:val="20"/>
              </w:rPr>
              <w:t>070</w:t>
            </w:r>
          </w:p>
        </w:tc>
      </w:tr>
      <w:tr>
        <w:tc>
          <w:tcPr>
            <w:tcW w:type="dxa" w:w="850"/>
            <w:shd w:val="clear" w:color="auto" w:fill="EEF2F7"/>
          </w:tcPr>
          <w:p>
            <w:pPr>
              <w:spacing w:after="0"/>
              <w:jc w:val="center"/>
            </w:pPr>
            <w:r>
              <w:rPr>
                <w:sz w:val="20"/>
              </w:rPr>
              <w:t>38</w:t>
            </w:r>
          </w:p>
        </w:tc>
        <w:tc>
          <w:tcPr>
            <w:tcW w:type="dxa" w:w="7540"/>
            <w:shd w:val="clear" w:color="auto" w:fill="EEF2F7"/>
          </w:tcPr>
          <w:p>
            <w:pPr>
              <w:spacing w:after="0"/>
            </w:pPr>
            <w:r>
              <w:rPr>
                <w:sz w:val="20"/>
              </w:rPr>
              <w:t>Policy Documents &amp; Minutes (IQAC, BoS, Academic Council) Approving Reforms</w:t>
            </w:r>
          </w:p>
        </w:tc>
        <w:tc>
          <w:tcPr>
            <w:tcW w:type="dxa" w:w="1020"/>
            <w:shd w:val="clear" w:color="auto" w:fill="EEF2F7"/>
          </w:tcPr>
          <w:p>
            <w:pPr>
              <w:spacing w:after="0"/>
              <w:jc w:val="center"/>
            </w:pPr>
            <w:r>
              <w:rPr>
                <w:sz w:val="20"/>
              </w:rPr>
              <w:t>073</w:t>
            </w:r>
          </w:p>
        </w:tc>
      </w:tr>
      <w:tr>
        <w:tc>
          <w:tcPr>
            <w:tcW w:type="dxa" w:w="850"/>
          </w:tcPr>
          <w:p>
            <w:pPr>
              <w:spacing w:after="0"/>
              <w:jc w:val="center"/>
            </w:pPr>
            <w:r>
              <w:rPr>
                <w:sz w:val="20"/>
              </w:rPr>
              <w:t>39</w:t>
            </w:r>
          </w:p>
        </w:tc>
        <w:tc>
          <w:tcPr>
            <w:tcW w:type="dxa" w:w="7540"/>
          </w:tcPr>
          <w:p>
            <w:pPr>
              <w:spacing w:after="0"/>
            </w:pPr>
            <w:r>
              <w:rPr>
                <w:sz w:val="20"/>
              </w:rPr>
              <w:t>Year/Semester-wise Curriculum Sheets with L–T–P–C structure</w:t>
            </w:r>
          </w:p>
        </w:tc>
        <w:tc>
          <w:tcPr>
            <w:tcW w:type="dxa" w:w="1020"/>
          </w:tcPr>
          <w:p>
            <w:pPr>
              <w:spacing w:after="0"/>
              <w:jc w:val="center"/>
            </w:pPr>
            <w:r>
              <w:rPr>
                <w:sz w:val="20"/>
              </w:rPr>
              <w:t>077</w:t>
            </w:r>
          </w:p>
        </w:tc>
      </w:tr>
      <w:tr>
        <w:tc>
          <w:tcPr>
            <w:tcW w:type="dxa" w:w="850"/>
            <w:shd w:val="clear" w:color="auto" w:fill="EEF2F7"/>
          </w:tcPr>
          <w:p>
            <w:pPr>
              <w:spacing w:after="0"/>
              <w:jc w:val="center"/>
            </w:pPr>
            <w:r>
              <w:rPr>
                <w:sz w:val="20"/>
              </w:rPr>
              <w:t>40</w:t>
            </w:r>
          </w:p>
        </w:tc>
        <w:tc>
          <w:tcPr>
            <w:tcW w:type="dxa" w:w="7540"/>
            <w:shd w:val="clear" w:color="auto" w:fill="EEF2F7"/>
          </w:tcPr>
          <w:p>
            <w:pPr>
              <w:spacing w:after="0"/>
            </w:pPr>
            <w:r>
              <w:rPr>
                <w:sz w:val="20"/>
              </w:rPr>
              <w:t>Cross-References with AICTE/NBA/NAAC/UGC model guidelines</w:t>
            </w:r>
          </w:p>
        </w:tc>
        <w:tc>
          <w:tcPr>
            <w:tcW w:type="dxa" w:w="1020"/>
            <w:shd w:val="clear" w:color="auto" w:fill="EEF2F7"/>
          </w:tcPr>
          <w:p>
            <w:pPr>
              <w:spacing w:after="0"/>
              <w:jc w:val="center"/>
            </w:pPr>
            <w:r>
              <w:rPr>
                <w:sz w:val="20"/>
              </w:rPr>
              <w:t>079</w:t>
            </w:r>
          </w:p>
        </w:tc>
      </w:tr>
      <w:tr>
        <w:tc>
          <w:tcPr>
            <w:tcW w:type="dxa" w:w="850"/>
          </w:tcPr>
          <w:p>
            <w:pPr>
              <w:spacing w:after="0"/>
              <w:jc w:val="center"/>
            </w:pPr>
            <w:r>
              <w:rPr>
                <w:sz w:val="20"/>
              </w:rPr>
              <w:t>41</w:t>
            </w:r>
          </w:p>
        </w:tc>
        <w:tc>
          <w:tcPr>
            <w:tcW w:type="dxa" w:w="7540"/>
          </w:tcPr>
          <w:p>
            <w:pPr>
              <w:spacing w:after="0"/>
            </w:pPr>
            <w:r>
              <w:rPr>
                <w:sz w:val="20"/>
              </w:rPr>
              <w:t>Semester-wise curriculum tables covering all courses in the program, with L–T–P–C structure and credit totals</w:t>
            </w:r>
          </w:p>
        </w:tc>
        <w:tc>
          <w:tcPr>
            <w:tcW w:type="dxa" w:w="1020"/>
          </w:tcPr>
          <w:p>
            <w:pPr>
              <w:spacing w:after="0"/>
              <w:jc w:val="center"/>
            </w:pPr>
            <w:r>
              <w:rPr>
                <w:sz w:val="20"/>
              </w:rPr>
              <w:t>081</w:t>
            </w:r>
          </w:p>
        </w:tc>
      </w:tr>
      <w:tr>
        <w:tc>
          <w:tcPr>
            <w:tcW w:type="dxa" w:w="850"/>
            <w:shd w:val="clear" w:color="auto" w:fill="EEF2F7"/>
          </w:tcPr>
          <w:p>
            <w:pPr>
              <w:spacing w:after="0"/>
              <w:jc w:val="center"/>
            </w:pPr>
            <w:r>
              <w:rPr>
                <w:sz w:val="20"/>
              </w:rPr>
              <w:t>42</w:t>
            </w:r>
          </w:p>
        </w:tc>
        <w:tc>
          <w:tcPr>
            <w:tcW w:type="dxa" w:w="7540"/>
            <w:shd w:val="clear" w:color="auto" w:fill="EEF2F7"/>
          </w:tcPr>
          <w:p>
            <w:pPr>
              <w:spacing w:after="0"/>
            </w:pPr>
            <w:r>
              <w:rPr>
                <w:sz w:val="20"/>
              </w:rPr>
              <w:t>Complete 8-semester curriculum for the UG program, clearly showing L–T–P–C structure, total hours, and credit calculations semester-wise</w:t>
            </w:r>
          </w:p>
        </w:tc>
        <w:tc>
          <w:tcPr>
            <w:tcW w:type="dxa" w:w="1020"/>
            <w:shd w:val="clear" w:color="auto" w:fill="EEF2F7"/>
          </w:tcPr>
          <w:p>
            <w:pPr>
              <w:spacing w:after="0"/>
              <w:jc w:val="center"/>
            </w:pPr>
            <w:r>
              <w:rPr>
                <w:sz w:val="20"/>
              </w:rPr>
              <w:t>083</w:t>
            </w:r>
          </w:p>
        </w:tc>
      </w:tr>
      <w:tr>
        <w:tc>
          <w:tcPr>
            <w:tcW w:type="dxa" w:w="850"/>
          </w:tcPr>
          <w:p>
            <w:pPr>
              <w:spacing w:after="0"/>
              <w:jc w:val="center"/>
            </w:pPr>
            <w:r>
              <w:rPr>
                <w:sz w:val="20"/>
              </w:rPr>
              <w:t>43</w:t>
            </w:r>
          </w:p>
        </w:tc>
        <w:tc>
          <w:tcPr>
            <w:tcW w:type="dxa" w:w="7540"/>
          </w:tcPr>
          <w:p>
            <w:pPr>
              <w:spacing w:after="0"/>
            </w:pPr>
            <w:r>
              <w:rPr>
                <w:sz w:val="20"/>
              </w:rPr>
              <w:t>Show course-wise credit calculation as per the National Credit Framework (NCF)</w:t>
            </w:r>
          </w:p>
        </w:tc>
        <w:tc>
          <w:tcPr>
            <w:tcW w:type="dxa" w:w="1020"/>
          </w:tcPr>
          <w:p>
            <w:pPr>
              <w:spacing w:after="0"/>
              <w:jc w:val="center"/>
            </w:pPr>
            <w:r>
              <w:rPr>
                <w:sz w:val="20"/>
              </w:rPr>
              <w:t>085</w:t>
            </w:r>
          </w:p>
        </w:tc>
      </w:tr>
      <w:tr>
        <w:tc>
          <w:tcPr>
            <w:tcW w:type="dxa" w:w="850"/>
            <w:shd w:val="clear" w:color="auto" w:fill="EEF2F7"/>
          </w:tcPr>
          <w:p>
            <w:pPr>
              <w:spacing w:after="0"/>
              <w:jc w:val="center"/>
            </w:pPr>
            <w:r>
              <w:rPr>
                <w:sz w:val="20"/>
              </w:rPr>
              <w:t>44</w:t>
            </w:r>
          </w:p>
        </w:tc>
        <w:tc>
          <w:tcPr>
            <w:tcW w:type="dxa" w:w="7540"/>
            <w:shd w:val="clear" w:color="auto" w:fill="EEF2F7"/>
          </w:tcPr>
          <w:p>
            <w:pPr>
              <w:spacing w:after="0"/>
            </w:pPr>
            <w:r>
              <w:rPr>
                <w:sz w:val="20"/>
              </w:rPr>
              <w:t>Curriculum Revision Reports (Old vs New Changes)</w:t>
            </w:r>
          </w:p>
        </w:tc>
        <w:tc>
          <w:tcPr>
            <w:tcW w:type="dxa" w:w="1020"/>
            <w:shd w:val="clear" w:color="auto" w:fill="EEF2F7"/>
          </w:tcPr>
          <w:p>
            <w:pPr>
              <w:spacing w:after="0"/>
              <w:jc w:val="center"/>
            </w:pPr>
            <w:r>
              <w:rPr>
                <w:sz w:val="20"/>
              </w:rPr>
              <w:t>086</w:t>
            </w:r>
          </w:p>
        </w:tc>
      </w:tr>
      <w:tr>
        <w:tc>
          <w:tcPr>
            <w:tcW w:type="dxa" w:w="850"/>
          </w:tcPr>
          <w:p>
            <w:pPr>
              <w:spacing w:after="0"/>
              <w:jc w:val="center"/>
            </w:pPr>
            <w:r>
              <w:rPr>
                <w:sz w:val="20"/>
              </w:rPr>
              <w:t>45</w:t>
            </w:r>
          </w:p>
        </w:tc>
        <w:tc>
          <w:tcPr>
            <w:tcW w:type="dxa" w:w="7540"/>
          </w:tcPr>
          <w:p>
            <w:pPr>
              <w:spacing w:after="0"/>
            </w:pPr>
            <w:r>
              <w:rPr>
                <w:sz w:val="20"/>
              </w:rPr>
              <w:t>CO–PO Mapping Documents</w:t>
            </w:r>
          </w:p>
        </w:tc>
        <w:tc>
          <w:tcPr>
            <w:tcW w:type="dxa" w:w="1020"/>
          </w:tcPr>
          <w:p>
            <w:pPr>
              <w:spacing w:after="0"/>
              <w:jc w:val="center"/>
            </w:pPr>
            <w:r>
              <w:rPr>
                <w:sz w:val="20"/>
              </w:rPr>
              <w:t>088</w:t>
            </w:r>
          </w:p>
        </w:tc>
      </w:tr>
      <w:tr>
        <w:tc>
          <w:tcPr>
            <w:tcW w:type="dxa" w:w="850"/>
            <w:shd w:val="clear" w:color="auto" w:fill="EEF2F7"/>
          </w:tcPr>
          <w:p>
            <w:pPr>
              <w:spacing w:after="0"/>
              <w:jc w:val="center"/>
            </w:pPr>
            <w:r>
              <w:rPr>
                <w:sz w:val="20"/>
              </w:rPr>
              <w:t>46</w:t>
            </w:r>
          </w:p>
        </w:tc>
        <w:tc>
          <w:tcPr>
            <w:tcW w:type="dxa" w:w="7540"/>
            <w:shd w:val="clear" w:color="auto" w:fill="EEF2F7"/>
          </w:tcPr>
          <w:p>
            <w:pPr>
              <w:spacing w:after="0"/>
            </w:pPr>
            <w:r>
              <w:rPr>
                <w:sz w:val="20"/>
              </w:rPr>
              <w:t>Stakeholder Feedback Forms (faculty, alumni, employer, student)</w:t>
            </w:r>
          </w:p>
        </w:tc>
        <w:tc>
          <w:tcPr>
            <w:tcW w:type="dxa" w:w="1020"/>
            <w:shd w:val="clear" w:color="auto" w:fill="EEF2F7"/>
          </w:tcPr>
          <w:p>
            <w:pPr>
              <w:spacing w:after="0"/>
              <w:jc w:val="center"/>
            </w:pPr>
            <w:r>
              <w:rPr>
                <w:sz w:val="20"/>
              </w:rPr>
              <w:t>090</w:t>
            </w:r>
          </w:p>
        </w:tc>
      </w:tr>
      <w:tr>
        <w:tc>
          <w:tcPr>
            <w:tcW w:type="dxa" w:w="850"/>
          </w:tcPr>
          <w:p>
            <w:pPr>
              <w:spacing w:after="0"/>
              <w:jc w:val="center"/>
            </w:pPr>
            <w:r>
              <w:rPr>
                <w:sz w:val="20"/>
              </w:rPr>
              <w:t>47</w:t>
            </w:r>
          </w:p>
        </w:tc>
        <w:tc>
          <w:tcPr>
            <w:tcW w:type="dxa" w:w="7540"/>
          </w:tcPr>
          <w:p>
            <w:pPr>
              <w:spacing w:after="0"/>
            </w:pPr>
            <w:r>
              <w:rPr>
                <w:sz w:val="20"/>
              </w:rPr>
              <w:t>Mapping POs ↔ WKs</w:t>
            </w:r>
          </w:p>
        </w:tc>
        <w:tc>
          <w:tcPr>
            <w:tcW w:type="dxa" w:w="1020"/>
          </w:tcPr>
          <w:p>
            <w:pPr>
              <w:spacing w:after="0"/>
              <w:jc w:val="center"/>
            </w:pPr>
            <w:r>
              <w:rPr>
                <w:sz w:val="20"/>
              </w:rPr>
              <w:t>092</w:t>
            </w:r>
          </w:p>
        </w:tc>
      </w:tr>
      <w:tr>
        <w:tc>
          <w:tcPr>
            <w:tcW w:type="dxa" w:w="850"/>
            <w:shd w:val="clear" w:color="auto" w:fill="EEF2F7"/>
          </w:tcPr>
          <w:p>
            <w:pPr>
              <w:spacing w:after="0"/>
              <w:jc w:val="center"/>
            </w:pPr>
            <w:r>
              <w:rPr>
                <w:sz w:val="20"/>
              </w:rPr>
              <w:t>48</w:t>
            </w:r>
          </w:p>
        </w:tc>
        <w:tc>
          <w:tcPr>
            <w:tcW w:type="dxa" w:w="7540"/>
            <w:shd w:val="clear" w:color="auto" w:fill="EEF2F7"/>
          </w:tcPr>
          <w:p>
            <w:pPr>
              <w:spacing w:after="0"/>
            </w:pPr>
            <w:r>
              <w:rPr>
                <w:sz w:val="20"/>
              </w:rPr>
              <w:t>Credit Summary Sheet (Category-Wise)</w:t>
            </w:r>
          </w:p>
        </w:tc>
        <w:tc>
          <w:tcPr>
            <w:tcW w:type="dxa" w:w="1020"/>
            <w:shd w:val="clear" w:color="auto" w:fill="EEF2F7"/>
          </w:tcPr>
          <w:p>
            <w:pPr>
              <w:spacing w:after="0"/>
              <w:jc w:val="center"/>
            </w:pPr>
            <w:r>
              <w:rPr>
                <w:sz w:val="20"/>
              </w:rPr>
              <w:t>094</w:t>
            </w:r>
          </w:p>
        </w:tc>
      </w:tr>
      <w:tr>
        <w:tc>
          <w:tcPr>
            <w:tcW w:type="dxa" w:w="850"/>
          </w:tcPr>
          <w:p>
            <w:pPr>
              <w:spacing w:after="0"/>
              <w:jc w:val="center"/>
            </w:pPr>
            <w:r>
              <w:rPr>
                <w:sz w:val="20"/>
              </w:rPr>
              <w:t>49</w:t>
            </w:r>
          </w:p>
        </w:tc>
        <w:tc>
          <w:tcPr>
            <w:tcW w:type="dxa" w:w="7540"/>
          </w:tcPr>
          <w:p>
            <w:pPr>
              <w:spacing w:after="0"/>
            </w:pPr>
            <w:r>
              <w:rPr>
                <w:sz w:val="20"/>
              </w:rPr>
              <w:t>Curriculum Structure Table (program-wise) that lists all courses semester-wise with L–T–P–C structure and total credits</w:t>
            </w:r>
          </w:p>
        </w:tc>
        <w:tc>
          <w:tcPr>
            <w:tcW w:type="dxa" w:w="1020"/>
          </w:tcPr>
          <w:p>
            <w:pPr>
              <w:spacing w:after="0"/>
              <w:jc w:val="center"/>
            </w:pPr>
            <w:r>
              <w:rPr>
                <w:sz w:val="20"/>
              </w:rPr>
              <w:t>095</w:t>
            </w:r>
          </w:p>
        </w:tc>
      </w:tr>
      <w:tr>
        <w:tc>
          <w:tcPr>
            <w:tcW w:type="dxa" w:w="850"/>
            <w:shd w:val="clear" w:color="auto" w:fill="EEF2F7"/>
          </w:tcPr>
          <w:p>
            <w:pPr>
              <w:spacing w:after="0"/>
              <w:jc w:val="center"/>
            </w:pPr>
            <w:r>
              <w:rPr>
                <w:sz w:val="20"/>
              </w:rPr>
              <w:t>50</w:t>
            </w:r>
          </w:p>
        </w:tc>
        <w:tc>
          <w:tcPr>
            <w:tcW w:type="dxa" w:w="7540"/>
            <w:shd w:val="clear" w:color="auto" w:fill="EEF2F7"/>
          </w:tcPr>
          <w:p>
            <w:pPr>
              <w:spacing w:after="0"/>
            </w:pPr>
            <w:r>
              <w:rPr>
                <w:sz w:val="20"/>
              </w:rPr>
              <w:t>Program Outcomes (POs), Program Specific Outcomes (PSOs), and their Mapping with Courses (20 Marks)</w:t>
            </w:r>
          </w:p>
        </w:tc>
        <w:tc>
          <w:tcPr>
            <w:tcW w:type="dxa" w:w="1020"/>
            <w:shd w:val="clear" w:color="auto" w:fill="EEF2F7"/>
          </w:tcPr>
          <w:p>
            <w:pPr>
              <w:spacing w:after="0"/>
              <w:jc w:val="center"/>
            </w:pPr>
            <w:r>
              <w:rPr>
                <w:sz w:val="20"/>
              </w:rPr>
              <w:t>097</w:t>
            </w:r>
          </w:p>
        </w:tc>
      </w:tr>
      <w:tr>
        <w:tc>
          <w:tcPr>
            <w:tcW w:type="dxa" w:w="850"/>
          </w:tcPr>
          <w:p>
            <w:pPr>
              <w:spacing w:after="0"/>
              <w:jc w:val="center"/>
            </w:pPr>
            <w:r>
              <w:rPr>
                <w:sz w:val="20"/>
              </w:rPr>
              <w:t>51</w:t>
            </w:r>
          </w:p>
        </w:tc>
        <w:tc>
          <w:tcPr>
            <w:tcW w:type="dxa" w:w="7540"/>
          </w:tcPr>
          <w:p>
            <w:pPr>
              <w:spacing w:after="0"/>
            </w:pPr>
            <w:r>
              <w:rPr>
                <w:sz w:val="20"/>
              </w:rPr>
              <w:t>Program Outcomes (POs) and Program Specific Outcomes (PSOs)</w:t>
            </w:r>
          </w:p>
        </w:tc>
        <w:tc>
          <w:tcPr>
            <w:tcW w:type="dxa" w:w="1020"/>
          </w:tcPr>
          <w:p>
            <w:pPr>
              <w:spacing w:after="0"/>
              <w:jc w:val="center"/>
            </w:pPr>
            <w:r>
              <w:rPr>
                <w:sz w:val="20"/>
              </w:rPr>
              <w:t>100</w:t>
            </w:r>
          </w:p>
        </w:tc>
      </w:tr>
      <w:tr>
        <w:tc>
          <w:tcPr>
            <w:tcW w:type="dxa" w:w="850"/>
            <w:shd w:val="clear" w:color="auto" w:fill="EEF2F7"/>
          </w:tcPr>
          <w:p>
            <w:pPr>
              <w:spacing w:after="0"/>
              <w:jc w:val="center"/>
            </w:pPr>
            <w:r>
              <w:rPr>
                <w:sz w:val="20"/>
              </w:rPr>
              <w:t>52</w:t>
            </w:r>
          </w:p>
        </w:tc>
        <w:tc>
          <w:tcPr>
            <w:tcW w:type="dxa" w:w="7540"/>
            <w:shd w:val="clear" w:color="auto" w:fill="EEF2F7"/>
          </w:tcPr>
          <w:p>
            <w:pPr>
              <w:spacing w:after="0"/>
            </w:pPr>
            <w:r>
              <w:rPr>
                <w:sz w:val="20"/>
              </w:rPr>
              <w:t>Program-Defined PSOs (max 3) with justification</w:t>
            </w:r>
          </w:p>
        </w:tc>
        <w:tc>
          <w:tcPr>
            <w:tcW w:type="dxa" w:w="1020"/>
            <w:shd w:val="clear" w:color="auto" w:fill="EEF2F7"/>
          </w:tcPr>
          <w:p>
            <w:pPr>
              <w:spacing w:after="0"/>
              <w:jc w:val="center"/>
            </w:pPr>
            <w:r>
              <w:rPr>
                <w:sz w:val="20"/>
              </w:rPr>
              <w:t>102</w:t>
            </w:r>
          </w:p>
        </w:tc>
      </w:tr>
      <w:tr>
        <w:tc>
          <w:tcPr>
            <w:tcW w:type="dxa" w:w="850"/>
          </w:tcPr>
          <w:p>
            <w:pPr>
              <w:spacing w:after="0"/>
              <w:jc w:val="center"/>
            </w:pPr>
            <w:r>
              <w:rPr>
                <w:sz w:val="20"/>
              </w:rPr>
              <w:t>53</w:t>
            </w:r>
          </w:p>
        </w:tc>
        <w:tc>
          <w:tcPr>
            <w:tcW w:type="dxa" w:w="7540"/>
          </w:tcPr>
          <w:p>
            <w:pPr>
              <w:spacing w:after="0"/>
            </w:pPr>
            <w:r>
              <w:rPr>
                <w:sz w:val="20"/>
              </w:rPr>
              <w:t>Stakeholder Involvement Proof for PSO Framing</w:t>
            </w:r>
          </w:p>
        </w:tc>
        <w:tc>
          <w:tcPr>
            <w:tcW w:type="dxa" w:w="1020"/>
          </w:tcPr>
          <w:p>
            <w:pPr>
              <w:spacing w:after="0"/>
              <w:jc w:val="center"/>
            </w:pPr>
            <w:r>
              <w:rPr>
                <w:sz w:val="20"/>
              </w:rPr>
              <w:t>104</w:t>
            </w:r>
          </w:p>
        </w:tc>
      </w:tr>
      <w:tr>
        <w:tc>
          <w:tcPr>
            <w:tcW w:type="dxa" w:w="850"/>
            <w:shd w:val="clear" w:color="auto" w:fill="EEF2F7"/>
          </w:tcPr>
          <w:p>
            <w:pPr>
              <w:spacing w:after="0"/>
              <w:jc w:val="center"/>
            </w:pPr>
            <w:r>
              <w:rPr>
                <w:sz w:val="20"/>
              </w:rPr>
              <w:t>54</w:t>
            </w:r>
          </w:p>
        </w:tc>
        <w:tc>
          <w:tcPr>
            <w:tcW w:type="dxa" w:w="7540"/>
            <w:shd w:val="clear" w:color="auto" w:fill="EEF2F7"/>
          </w:tcPr>
          <w:p>
            <w:pPr>
              <w:spacing w:after="0"/>
            </w:pPr>
            <w:r>
              <w:rPr>
                <w:sz w:val="20"/>
              </w:rPr>
              <w:t>Mapping between the Courses and POs/PSOs</w:t>
            </w:r>
          </w:p>
        </w:tc>
        <w:tc>
          <w:tcPr>
            <w:tcW w:type="dxa" w:w="1020"/>
            <w:shd w:val="clear" w:color="auto" w:fill="EEF2F7"/>
          </w:tcPr>
          <w:p>
            <w:pPr>
              <w:spacing w:after="0"/>
              <w:jc w:val="center"/>
            </w:pPr>
            <w:r>
              <w:rPr>
                <w:sz w:val="20"/>
              </w:rPr>
              <w:t>108</w:t>
            </w:r>
          </w:p>
        </w:tc>
      </w:tr>
      <w:tr>
        <w:tc>
          <w:tcPr>
            <w:tcW w:type="dxa" w:w="850"/>
          </w:tcPr>
          <w:p>
            <w:pPr>
              <w:spacing w:after="0"/>
              <w:jc w:val="center"/>
            </w:pPr>
            <w:r>
              <w:rPr>
                <w:sz w:val="20"/>
              </w:rPr>
              <w:t>55</w:t>
            </w:r>
          </w:p>
        </w:tc>
        <w:tc>
          <w:tcPr>
            <w:tcW w:type="dxa" w:w="7540"/>
          </w:tcPr>
          <w:p>
            <w:pPr>
              <w:spacing w:after="0"/>
            </w:pPr>
            <w:r>
              <w:rPr>
                <w:sz w:val="20"/>
              </w:rPr>
              <w:t>Course–PO Mapping Sheets</w:t>
            </w:r>
          </w:p>
        </w:tc>
        <w:tc>
          <w:tcPr>
            <w:tcW w:type="dxa" w:w="1020"/>
          </w:tcPr>
          <w:p>
            <w:pPr>
              <w:spacing w:after="0"/>
              <w:jc w:val="center"/>
            </w:pPr>
            <w:r>
              <w:rPr>
                <w:sz w:val="20"/>
              </w:rPr>
              <w:t>110</w:t>
            </w:r>
          </w:p>
        </w:tc>
      </w:tr>
      <w:tr>
        <w:tc>
          <w:tcPr>
            <w:tcW w:type="dxa" w:w="850"/>
            <w:shd w:val="clear" w:color="auto" w:fill="EEF2F7"/>
          </w:tcPr>
          <w:p>
            <w:pPr>
              <w:spacing w:after="0"/>
              <w:jc w:val="center"/>
            </w:pPr>
            <w:r>
              <w:rPr>
                <w:sz w:val="20"/>
              </w:rPr>
              <w:t>56</w:t>
            </w:r>
          </w:p>
        </w:tc>
        <w:tc>
          <w:tcPr>
            <w:tcW w:type="dxa" w:w="7540"/>
            <w:shd w:val="clear" w:color="auto" w:fill="EEF2F7"/>
          </w:tcPr>
          <w:p>
            <w:pPr>
              <w:spacing w:after="0"/>
            </w:pPr>
            <w:r>
              <w:rPr>
                <w:sz w:val="20"/>
              </w:rPr>
              <w:t>Justification Notes for Strong CO–PO Mappings</w:t>
            </w:r>
          </w:p>
        </w:tc>
        <w:tc>
          <w:tcPr>
            <w:tcW w:type="dxa" w:w="1020"/>
            <w:shd w:val="clear" w:color="auto" w:fill="EEF2F7"/>
          </w:tcPr>
          <w:p>
            <w:pPr>
              <w:spacing w:after="0"/>
              <w:jc w:val="center"/>
            </w:pPr>
            <w:r>
              <w:rPr>
                <w:sz w:val="20"/>
              </w:rPr>
              <w:t>112</w:t>
            </w:r>
          </w:p>
        </w:tc>
      </w:tr>
      <w:tr>
        <w:tc>
          <w:tcPr>
            <w:tcW w:type="dxa" w:w="850"/>
          </w:tcPr>
          <w:p>
            <w:pPr>
              <w:spacing w:after="0"/>
              <w:jc w:val="center"/>
            </w:pPr>
            <w:r>
              <w:rPr>
                <w:sz w:val="20"/>
              </w:rPr>
              <w:t>57</w:t>
            </w:r>
          </w:p>
        </w:tc>
        <w:tc>
          <w:tcPr>
            <w:tcW w:type="dxa" w:w="7540"/>
          </w:tcPr>
          <w:p>
            <w:pPr>
              <w:spacing w:after="0"/>
            </w:pPr>
            <w:r>
              <w:rPr>
                <w:sz w:val="20"/>
              </w:rPr>
              <w:t>Justification Notes for Strong CO–PSO Mappings</w:t>
            </w:r>
          </w:p>
        </w:tc>
        <w:tc>
          <w:tcPr>
            <w:tcW w:type="dxa" w:w="1020"/>
          </w:tcPr>
          <w:p>
            <w:pPr>
              <w:spacing w:after="0"/>
              <w:jc w:val="center"/>
            </w:pPr>
            <w:r>
              <w:rPr>
                <w:sz w:val="20"/>
              </w:rPr>
              <w:t>114</w:t>
            </w:r>
          </w:p>
        </w:tc>
      </w:tr>
      <w:tr>
        <w:tc>
          <w:tcPr>
            <w:tcW w:type="dxa" w:w="850"/>
            <w:shd w:val="clear" w:color="auto" w:fill="EEF2F7"/>
          </w:tcPr>
          <w:p>
            <w:pPr>
              <w:spacing w:after="0"/>
              <w:jc w:val="center"/>
            </w:pPr>
            <w:r>
              <w:rPr>
                <w:sz w:val="20"/>
              </w:rPr>
              <w:t>58</w:t>
            </w:r>
          </w:p>
        </w:tc>
        <w:tc>
          <w:tcPr>
            <w:tcW w:type="dxa" w:w="7540"/>
            <w:shd w:val="clear" w:color="auto" w:fill="EEF2F7"/>
          </w:tcPr>
          <w:p>
            <w:pPr>
              <w:spacing w:after="0"/>
            </w:pPr>
            <w:r>
              <w:rPr>
                <w:sz w:val="20"/>
              </w:rPr>
              <w:t>Step-by-step procedure for generating a CO–PO Matrix</w:t>
            </w:r>
          </w:p>
        </w:tc>
        <w:tc>
          <w:tcPr>
            <w:tcW w:type="dxa" w:w="1020"/>
            <w:shd w:val="clear" w:color="auto" w:fill="EEF2F7"/>
          </w:tcPr>
          <w:p>
            <w:pPr>
              <w:spacing w:after="0"/>
              <w:jc w:val="center"/>
            </w:pPr>
            <w:r>
              <w:rPr>
                <w:sz w:val="20"/>
              </w:rPr>
              <w:t>116</w:t>
            </w:r>
          </w:p>
        </w:tc>
      </w:tr>
      <w:tr>
        <w:tc>
          <w:tcPr>
            <w:tcW w:type="dxa" w:w="850"/>
          </w:tcPr>
          <w:p>
            <w:pPr>
              <w:spacing w:after="0"/>
              <w:jc w:val="center"/>
            </w:pPr>
            <w:r>
              <w:rPr>
                <w:sz w:val="20"/>
              </w:rPr>
              <w:t>59</w:t>
            </w:r>
          </w:p>
        </w:tc>
        <w:tc>
          <w:tcPr>
            <w:tcW w:type="dxa" w:w="7540"/>
          </w:tcPr>
          <w:p>
            <w:pPr>
              <w:spacing w:after="0"/>
            </w:pPr>
            <w:r>
              <w:rPr>
                <w:sz w:val="20"/>
              </w:rPr>
              <w:t>Course Outcomes and Course Articulation Matrix</w:t>
            </w:r>
          </w:p>
        </w:tc>
        <w:tc>
          <w:tcPr>
            <w:tcW w:type="dxa" w:w="1020"/>
          </w:tcPr>
          <w:p>
            <w:pPr>
              <w:spacing w:after="0"/>
              <w:jc w:val="center"/>
            </w:pPr>
            <w:r>
              <w:rPr>
                <w:sz w:val="20"/>
              </w:rPr>
              <w:t>118</w:t>
            </w:r>
          </w:p>
        </w:tc>
      </w:tr>
      <w:tr>
        <w:tc>
          <w:tcPr>
            <w:tcW w:type="dxa" w:w="850"/>
            <w:shd w:val="clear" w:color="auto" w:fill="EEF2F7"/>
          </w:tcPr>
          <w:p>
            <w:pPr>
              <w:spacing w:after="0"/>
              <w:jc w:val="center"/>
            </w:pPr>
            <w:r>
              <w:rPr>
                <w:sz w:val="20"/>
              </w:rPr>
              <w:t>60</w:t>
            </w:r>
          </w:p>
        </w:tc>
        <w:tc>
          <w:tcPr>
            <w:tcW w:type="dxa" w:w="7540"/>
            <w:shd w:val="clear" w:color="auto" w:fill="EEF2F7"/>
          </w:tcPr>
          <w:p>
            <w:pPr>
              <w:spacing w:after="0"/>
            </w:pPr>
            <w:r>
              <w:rPr>
                <w:sz w:val="20"/>
              </w:rPr>
              <w:t>Course Outcome (Semester Wise)</w:t>
            </w:r>
          </w:p>
        </w:tc>
        <w:tc>
          <w:tcPr>
            <w:tcW w:type="dxa" w:w="1020"/>
            <w:shd w:val="clear" w:color="auto" w:fill="EEF2F7"/>
          </w:tcPr>
          <w:p>
            <w:pPr>
              <w:spacing w:after="0"/>
              <w:jc w:val="center"/>
            </w:pPr>
            <w:r>
              <w:rPr>
                <w:sz w:val="20"/>
              </w:rPr>
              <w:t>121</w:t>
            </w:r>
          </w:p>
        </w:tc>
      </w:tr>
      <w:tr>
        <w:tc>
          <w:tcPr>
            <w:tcW w:type="dxa" w:w="850"/>
          </w:tcPr>
          <w:p>
            <w:pPr>
              <w:spacing w:after="0"/>
              <w:jc w:val="center"/>
            </w:pPr>
            <w:r>
              <w:rPr>
                <w:sz w:val="20"/>
              </w:rPr>
              <w:t>61</w:t>
            </w:r>
          </w:p>
        </w:tc>
        <w:tc>
          <w:tcPr>
            <w:tcW w:type="dxa" w:w="7540"/>
          </w:tcPr>
          <w:p>
            <w:pPr>
              <w:spacing w:after="0"/>
            </w:pPr>
            <w:r>
              <w:rPr>
                <w:sz w:val="20"/>
              </w:rPr>
              <w:t>Course Articulation Matrix</w:t>
            </w:r>
          </w:p>
        </w:tc>
        <w:tc>
          <w:tcPr>
            <w:tcW w:type="dxa" w:w="1020"/>
          </w:tcPr>
          <w:p>
            <w:pPr>
              <w:spacing w:after="0"/>
              <w:jc w:val="center"/>
            </w:pPr>
            <w:r>
              <w:rPr>
                <w:sz w:val="20"/>
              </w:rPr>
              <w:t>124</w:t>
            </w:r>
          </w:p>
        </w:tc>
      </w:tr>
      <w:tr>
        <w:tc>
          <w:tcPr>
            <w:tcW w:type="dxa" w:w="850"/>
            <w:shd w:val="clear" w:color="auto" w:fill="EEF2F7"/>
          </w:tcPr>
          <w:p>
            <w:pPr>
              <w:spacing w:after="0"/>
              <w:jc w:val="center"/>
            </w:pPr>
            <w:r>
              <w:rPr>
                <w:sz w:val="20"/>
              </w:rPr>
              <w:t>62</w:t>
            </w:r>
          </w:p>
        </w:tc>
        <w:tc>
          <w:tcPr>
            <w:tcW w:type="dxa" w:w="7540"/>
            <w:shd w:val="clear" w:color="auto" w:fill="EEF2F7"/>
          </w:tcPr>
          <w:p>
            <w:pPr>
              <w:spacing w:after="0"/>
            </w:pPr>
            <w:r>
              <w:rPr>
                <w:sz w:val="20"/>
              </w:rPr>
              <w:t>Program Articulation Matrix</w:t>
            </w:r>
          </w:p>
        </w:tc>
        <w:tc>
          <w:tcPr>
            <w:tcW w:type="dxa" w:w="1020"/>
            <w:shd w:val="clear" w:color="auto" w:fill="EEF2F7"/>
          </w:tcPr>
          <w:p>
            <w:pPr>
              <w:spacing w:after="0"/>
              <w:jc w:val="center"/>
            </w:pPr>
            <w:r>
              <w:rPr>
                <w:sz w:val="20"/>
              </w:rPr>
              <w:t>127</w:t>
            </w:r>
          </w:p>
        </w:tc>
      </w:tr>
      <w:tr>
        <w:tc>
          <w:tcPr>
            <w:tcW w:type="dxa" w:w="850"/>
          </w:tcPr>
          <w:p>
            <w:pPr>
              <w:spacing w:after="0"/>
              <w:jc w:val="center"/>
            </w:pPr>
            <w:r>
              <w:rPr>
                <w:sz w:val="20"/>
              </w:rPr>
              <w:t>63</w:t>
            </w:r>
          </w:p>
        </w:tc>
        <w:tc>
          <w:tcPr>
            <w:tcW w:type="dxa" w:w="7540"/>
          </w:tcPr>
          <w:p>
            <w:pPr>
              <w:spacing w:after="0"/>
            </w:pPr>
            <w:r>
              <w:rPr>
                <w:sz w:val="20"/>
              </w:rPr>
              <w:t>References</w:t>
            </w:r>
          </w:p>
        </w:tc>
        <w:tc>
          <w:tcPr>
            <w:tcW w:type="dxa" w:w="1020"/>
          </w:tcPr>
          <w:p>
            <w:pPr>
              <w:spacing w:after="0"/>
              <w:jc w:val="center"/>
            </w:pPr>
            <w:r>
              <w:rPr>
                <w:sz w:val="20"/>
              </w:rPr>
              <w:t>129</w:t>
            </w:r>
          </w:p>
        </w:tc>
      </w:tr>
    </w:tbl>
    <w:p>
      <w:r>
        <w:br w:type="page"/>
      </w:r>
    </w:p>
    <w:p>
      <w:pPr>
        <w:pStyle w:val="Heading1"/>
      </w:pPr>
      <w:r>
        <w:t>1. Introduction</w:t>
      </w:r>
    </w:p>
    <w:p>
      <w:pPr>
        <w:jc w:val="both"/>
      </w:pPr>
      <w:r>
        <w:rPr>
          <w:b w:val="0"/>
          <w:i w:val="0"/>
        </w:rPr>
        <w:t>The National Board of Accreditation (NBA) framework for Tier-1 institutions provides a comprehensive guide for the development, implementation, and assessment of an Outcome-Based Curriculum (OBC), which is central to ensuring the quality, relevance, and international recognition of engineering education. The framework is evaluated across five key criteria totaling 120 marks and aims to establish systematic processes, requirements, and evidence that reflect an institution’s commitment to outcome-based education. The first criterion, Vision, Mission, and Program Educational Objectives (PEOs) with 35 marks, requires institutions to define long-term aspirations, action-oriented commitments, and career goals for graduates. These PEOs are framed with stakeholder input, validated by statutory bodies such as DAC, BOS, and Academic Council, disseminated widely, and logically mapped to the institutional mission using correlation matrices and justification notes. The second criterion, Curriculum Structure and Features with 30 marks, emphasizes systematic curriculum design and revision aligned with NBA’s Program Outcomes (POs), Washington Accord Knowledge Profiles (WKs), AICTE/UGC guidelines, and NEP 2020 reforms. It mandates clear credit distribution under the L–T–P–S system with 30 learning hours equal to 1 credit as per the National Credit Framework, proper grouping of courses across categories, and adoption of innovations such as multidisciplinary electives, Academic Bank of Credits (ABC), APAAR, MOOCs, and industry collaborations. The third criterion, Program Outcomes (POs), Program Specific Outcomes (PSOs), and Mapping with Courses worth 20 marks, focuses on defining the 12 NBA graduate attributes and up to three PSOs, supported by a consolidated course-to-PO/PSO mapping matrix that assigns correlation levels and provides justification for strong links. The fourth criterion, Course Outcomes (COs) and Course Articulation Matrix with 30 marks, requires every course to define 4–6 measurable outcomes using Bloom’s Taxonomy action verbs and to map these COs to POs and PSOs through a matrix that records the strength of correlation (3 = High, 2 = Medium, 1 = Low, – = None) with justification notes and alignment to relevant assessment tools. The fifth criterion, Program Articulation Matrix with 5 marks, demands a program-level consolidated matrix that demonstrates how all courses, through their COs, collectively ensure comprehensive coverage of all 12 POs and the department’s PSOs.</w:t>
      </w:r>
    </w:p>
    <w:p>
      <w:pPr>
        <w:jc w:val="both"/>
      </w:pPr>
      <w:r>
        <w:rPr>
          <w:b w:val="0"/>
          <w:i w:val="0"/>
        </w:rPr>
        <w:t>Across all criteria, NBA stresses the importance of systematic documentation, stakeholder involvement, logical alignment of Vision–Mission–PEOs–POs–COs, and continuous quality improvement. Institutions are expected to maintain evidence such as lesson plans, BOS/DAC minutes, industry feedback, surveys, and attainment analyses to validate compliance with NBA’s Outcome-Based Education framework, thereby strengthening graduate employability, institutional credibility, and global recognition.</w:t>
      </w:r>
    </w:p>
    <w:p>
      <w:pPr>
        <w:pStyle w:val="Heading1"/>
      </w:pPr>
      <w:r>
        <w:t>2. Outcome-Based Curriculum (120 Marks)</w:t>
      </w:r>
    </w:p>
    <w:p>
      <w:pPr>
        <w:pStyle w:val="Heading2"/>
      </w:pPr>
      <w:r>
        <w:t>A. Vision, Mission and Program Educational Objectives (PEOs) – 35 Marks</w:t>
      </w:r>
    </w:p>
    <w:p>
      <w:pPr>
        <w:pStyle w:val="Heading3"/>
      </w:pPr>
      <w:r>
        <w:t>1. State the Vision and Mission of the Institute and the Department (05 Marks)</w:t>
      </w:r>
    </w:p>
    <w:p>
      <w:pPr>
        <w:pStyle w:val="ListBullet"/>
        <w:spacing w:after="40"/>
      </w:pPr>
      <w:r>
        <w:rPr>
          <w:b w:val="0"/>
          <w:i w:val="0"/>
        </w:rPr>
        <w:t>Vision and Mission must be formally defined, approved (BoS/AC), and published.</w:t>
      </w:r>
    </w:p>
    <w:p>
      <w:pPr>
        <w:pStyle w:val="ListBullet"/>
        <w:spacing w:after="40"/>
      </w:pPr>
      <w:r>
        <w:rPr>
          <w:b/>
          <w:i w:val="0"/>
        </w:rPr>
        <w:t>Vision:</w:t>
      </w:r>
      <w:r>
        <w:rPr>
          <w:b w:val="0"/>
          <w:i w:val="0"/>
        </w:rPr>
        <w:t xml:space="preserve"> Long-term aspiration (e.g., “To be a globally recognized center of excellence in engineering education, research, and innovation.”).</w:t>
      </w:r>
    </w:p>
    <w:p>
      <w:pPr>
        <w:pStyle w:val="ListBullet"/>
        <w:spacing w:after="40"/>
      </w:pPr>
      <w:r>
        <w:rPr>
          <w:b/>
          <w:i w:val="0"/>
        </w:rPr>
        <w:t>Mission:</w:t>
      </w:r>
      <w:r>
        <w:rPr>
          <w:b w:val="0"/>
          <w:i w:val="0"/>
        </w:rPr>
        <w:t xml:space="preserve"> Action-oriented statements reflecting teaching, research, industry, and societal contributions.</w:t>
      </w:r>
    </w:p>
    <w:p>
      <w:pPr>
        <w:pStyle w:val="Heading3"/>
      </w:pPr>
      <w:r>
        <w:t>2. State PEOs of the Program (05 Marks)</w:t>
      </w:r>
    </w:p>
    <w:p>
      <w:pPr>
        <w:pStyle w:val="ListBullet"/>
        <w:spacing w:after="40"/>
      </w:pPr>
      <w:r>
        <w:rPr>
          <w:b w:val="0"/>
          <w:i w:val="0"/>
        </w:rPr>
        <w:t>PEOs are broad program-level goals, achievable 4–5 years after graduation.</w:t>
      </w:r>
    </w:p>
    <w:p>
      <w:pPr>
        <w:pStyle w:val="ListBullet"/>
        <w:spacing w:after="40"/>
      </w:pPr>
      <w:r>
        <w:rPr>
          <w:b w:val="0"/>
          <w:i w:val="0"/>
        </w:rPr>
        <w:t>Typically 3–5 PEOs, aligned with Vision/Mission.</w:t>
      </w:r>
    </w:p>
    <w:p>
      <w:pPr>
        <w:pStyle w:val="ListBullet"/>
        <w:spacing w:after="40"/>
      </w:pPr>
      <w:r>
        <w:rPr>
          <w:b w:val="0"/>
          <w:i w:val="0"/>
        </w:rPr>
        <w:t>Example for Computer Science:</w:t>
      </w:r>
    </w:p>
    <w:p>
      <w:pPr>
        <w:pStyle w:val="ListBullet2"/>
        <w:spacing w:after="40"/>
      </w:pPr>
      <w:r>
        <w:rPr>
          <w:b/>
          <w:i w:val="0"/>
        </w:rPr>
        <w:t>PEO1:</w:t>
      </w:r>
      <w:r>
        <w:rPr>
          <w:b w:val="0"/>
          <w:i w:val="0"/>
        </w:rPr>
        <w:t xml:space="preserve"> Excel in professional career using computing fundamentals.</w:t>
      </w:r>
    </w:p>
    <w:p>
      <w:pPr>
        <w:pStyle w:val="ListBullet2"/>
        <w:spacing w:after="40"/>
      </w:pPr>
      <w:r>
        <w:rPr>
          <w:b/>
          <w:i w:val="0"/>
        </w:rPr>
        <w:t>PEO2:</w:t>
      </w:r>
      <w:r>
        <w:rPr>
          <w:b w:val="0"/>
          <w:i w:val="0"/>
        </w:rPr>
        <w:t xml:space="preserve"> Demonstrate research and innovation in emerging technologies.</w:t>
      </w:r>
    </w:p>
    <w:p>
      <w:pPr>
        <w:pStyle w:val="ListBullet2"/>
        <w:spacing w:after="40"/>
      </w:pPr>
      <w:r>
        <w:rPr>
          <w:b/>
          <w:i w:val="0"/>
        </w:rPr>
        <w:t>PEO3:</w:t>
      </w:r>
      <w:r>
        <w:rPr>
          <w:b w:val="0"/>
          <w:i w:val="0"/>
        </w:rPr>
        <w:t xml:space="preserve"> Exhibit ethics, leadership, and lifelong learning.</w:t>
      </w:r>
    </w:p>
    <w:p>
      <w:pPr>
        <w:pStyle w:val="Heading3"/>
      </w:pPr>
      <w:r>
        <w:t>3. Process of Defining Vision, Mission and PEOs (10 Marks)</w:t>
      </w:r>
    </w:p>
    <w:p>
      <w:pPr>
        <w:pStyle w:val="ListBullet"/>
        <w:spacing w:after="40"/>
      </w:pPr>
      <w:r>
        <w:rPr>
          <w:b/>
          <w:i w:val="0"/>
        </w:rPr>
        <w:t>Inputs:</w:t>
      </w:r>
      <w:r>
        <w:rPr>
          <w:b w:val="0"/>
          <w:i w:val="0"/>
        </w:rPr>
        <w:t xml:space="preserve"> Stakeholder feedback (faculty, alumni, industry, employers, students).</w:t>
      </w:r>
    </w:p>
    <w:p>
      <w:pPr>
        <w:pStyle w:val="ListBullet"/>
        <w:spacing w:after="40"/>
      </w:pPr>
      <w:r>
        <w:rPr>
          <w:b/>
          <w:i w:val="0"/>
        </w:rPr>
        <w:t>Validation:</w:t>
      </w:r>
      <w:r>
        <w:rPr>
          <w:b w:val="0"/>
          <w:i w:val="0"/>
        </w:rPr>
        <w:t xml:space="preserve"> Department Advisory Committee (DAC), Board of Studies (BoS), Academic Council (AC).</w:t>
      </w:r>
    </w:p>
    <w:p>
      <w:pPr>
        <w:pStyle w:val="ListBullet"/>
        <w:spacing w:after="40"/>
      </w:pPr>
      <w:r>
        <w:rPr>
          <w:b/>
          <w:i w:val="0"/>
        </w:rPr>
        <w:t>Outcome:</w:t>
      </w:r>
      <w:r>
        <w:rPr>
          <w:b w:val="0"/>
          <w:i w:val="0"/>
        </w:rPr>
        <w:t xml:space="preserve"> Documented process flow (Feedback → DAC → BoS → AC).</w:t>
      </w:r>
    </w:p>
    <w:p>
      <w:pPr>
        <w:pStyle w:val="Heading3"/>
      </w:pPr>
      <w:r>
        <w:t>4. Dissemination of Vision, Mission and PEOs (05 Marks)</w:t>
      </w:r>
    </w:p>
    <w:p>
      <w:pPr>
        <w:pStyle w:val="ListBullet"/>
        <w:spacing w:after="40"/>
      </w:pPr>
      <w:r>
        <w:rPr>
          <w:b w:val="0"/>
          <w:i w:val="0"/>
        </w:rPr>
        <w:t>Displayed on:</w:t>
      </w:r>
    </w:p>
    <w:p>
      <w:pPr>
        <w:pStyle w:val="ListBullet2"/>
        <w:spacing w:after="40"/>
      </w:pPr>
      <w:r>
        <w:rPr>
          <w:b w:val="0"/>
          <w:i w:val="0"/>
        </w:rPr>
        <w:t>Institute website, department website.</w:t>
      </w:r>
    </w:p>
    <w:p>
      <w:pPr>
        <w:pStyle w:val="ListBullet2"/>
        <w:spacing w:after="40"/>
      </w:pPr>
      <w:r>
        <w:rPr>
          <w:b w:val="0"/>
          <w:i w:val="0"/>
        </w:rPr>
        <w:t>Student/Faculty handbooks.</w:t>
      </w:r>
    </w:p>
    <w:p>
      <w:pPr>
        <w:pStyle w:val="ListBullet2"/>
        <w:spacing w:after="40"/>
      </w:pPr>
      <w:r>
        <w:rPr>
          <w:b w:val="0"/>
          <w:i w:val="0"/>
        </w:rPr>
        <w:t>Classrooms, laboratories, program brochures.</w:t>
      </w:r>
    </w:p>
    <w:p>
      <w:pPr>
        <w:pStyle w:val="ListBullet"/>
        <w:spacing w:after="40"/>
      </w:pPr>
      <w:r>
        <w:rPr>
          <w:b w:val="0"/>
          <w:i w:val="0"/>
        </w:rPr>
        <w:t>Awareness created through induction programs, meetings, workshops.</w:t>
      </w:r>
    </w:p>
    <w:p>
      <w:pPr>
        <w:pStyle w:val="Heading3"/>
      </w:pPr>
      <w:r>
        <w:t>5. Mapping of PEOs with Mission (10 Marks)</w:t>
      </w:r>
    </w:p>
    <w:p>
      <w:pPr>
        <w:pStyle w:val="ListBullet"/>
        <w:spacing w:after="40"/>
      </w:pPr>
      <w:r>
        <w:rPr>
          <w:b w:val="0"/>
          <w:i w:val="0"/>
        </w:rPr>
        <w:t>Use a Mission ↔ PEO mapping matrix (Low/Medium/High correlation).</w:t>
      </w:r>
    </w:p>
    <w:p>
      <w:pPr>
        <w:pStyle w:val="ListBullet"/>
        <w:spacing w:after="40"/>
      </w:pPr>
      <w:r>
        <w:rPr>
          <w:b w:val="0"/>
          <w:i w:val="0"/>
        </w:rPr>
        <w:t>Provide justification notes for each mapping.</w:t>
      </w:r>
    </w:p>
    <w:p>
      <w:pPr>
        <w:pStyle w:val="ListBullet"/>
        <w:spacing w:after="40"/>
      </w:pPr>
      <w:r>
        <w:rPr>
          <w:b w:val="0"/>
          <w:i w:val="0"/>
        </w:rPr>
        <w:t>Example: Mission element on “Research &amp; Innovation” strongly correlates with PEO2.</w:t>
      </w:r>
    </w:p>
    <w:p>
      <w:pPr>
        <w:pStyle w:val="Heading2"/>
      </w:pPr>
      <w:r>
        <w:t>B. Curriculum Structure and Features – 30 Marks</w:t>
      </w:r>
    </w:p>
    <w:p>
      <w:pPr>
        <w:pStyle w:val="Heading3"/>
      </w:pPr>
      <w:r>
        <w:t>1. State the Process for Developing/Revising the Program Curriculum (10 Marks)</w:t>
      </w:r>
    </w:p>
    <w:p>
      <w:pPr>
        <w:pStyle w:val="ListBullet"/>
        <w:spacing w:after="40"/>
      </w:pPr>
      <w:r>
        <w:rPr>
          <w:b/>
          <w:i w:val="0"/>
        </w:rPr>
        <w:t>Process flow:</w:t>
      </w:r>
      <w:r>
        <w:rPr>
          <w:b w:val="0"/>
          <w:i w:val="0"/>
        </w:rPr>
        <w:t xml:space="preserve"> Stakeholder Feedback → DAC Draft → BoS Review → AC Approval → Implementation.</w:t>
      </w:r>
    </w:p>
    <w:p>
      <w:pPr>
        <w:pStyle w:val="ListBullet"/>
        <w:spacing w:after="40"/>
      </w:pPr>
      <w:r>
        <w:rPr>
          <w:b w:val="0"/>
          <w:i w:val="0"/>
        </w:rPr>
        <w:t>Alignment with NBA POs/WKs, AICTE/UGC model curricula, NEP 2020 guidelines.</w:t>
      </w:r>
    </w:p>
    <w:p>
      <w:pPr>
        <w:pStyle w:val="ListBullet"/>
        <w:spacing w:after="40"/>
      </w:pPr>
      <w:r>
        <w:rPr>
          <w:b/>
          <w:i w:val="0"/>
        </w:rPr>
        <w:t>Evidence:</w:t>
      </w:r>
      <w:r>
        <w:rPr>
          <w:b w:val="0"/>
          <w:i w:val="0"/>
        </w:rPr>
        <w:t xml:space="preserve"> BoS minutes, IQAC reports, curriculum revision documents.</w:t>
      </w:r>
    </w:p>
    <w:p>
      <w:pPr>
        <w:pStyle w:val="Heading3"/>
      </w:pPr>
      <w:r>
        <w:t>2. Curriculum Structure (10 Marks)</w:t>
      </w:r>
    </w:p>
    <w:p>
      <w:pPr>
        <w:pStyle w:val="ListBullet"/>
        <w:spacing w:after="40"/>
      </w:pPr>
      <w:r>
        <w:rPr>
          <w:b w:val="0"/>
          <w:i w:val="0"/>
        </w:rPr>
        <w:t>Semester-wise listing of courses with L–T–P–SL → Credit conversion (30 hrs = 1 credit as per NCF).</w:t>
      </w:r>
    </w:p>
    <w:p>
      <w:pPr>
        <w:pStyle w:val="ListBullet"/>
        <w:spacing w:after="40"/>
      </w:pPr>
      <w:r>
        <w:rPr>
          <w:b w:val="0"/>
          <w:i w:val="0"/>
        </w:rPr>
        <w:t>Clear separation of Core, Electives, Labs, Projects, Internships.</w:t>
      </w:r>
    </w:p>
    <w:p>
      <w:pPr>
        <w:pStyle w:val="Heading3"/>
      </w:pPr>
      <w:r>
        <w:t>3. Components of Curriculum (05 Marks)</w:t>
      </w:r>
    </w:p>
    <w:p>
      <w:pPr>
        <w:pStyle w:val="ListBullet"/>
        <w:spacing w:after="40"/>
      </w:pPr>
      <w:r>
        <w:rPr>
          <w:b w:val="0"/>
          <w:i w:val="0"/>
        </w:rPr>
        <w:t>Grouping by categories:</w:t>
      </w:r>
    </w:p>
    <w:p>
      <w:pPr>
        <w:pStyle w:val="ListBullet2"/>
        <w:spacing w:after="40"/>
      </w:pPr>
      <w:r>
        <w:rPr>
          <w:b w:val="0"/>
          <w:i w:val="0"/>
        </w:rPr>
        <w:t>Basic Sciences, Engineering Sciences, Humanities/Social Sciences, Program Core, Electives, Projects, Internships.</w:t>
      </w:r>
    </w:p>
    <w:p>
      <w:pPr>
        <w:pStyle w:val="ListBullet"/>
        <w:spacing w:after="40"/>
      </w:pPr>
      <w:r>
        <w:rPr>
          <w:b w:val="0"/>
          <w:i w:val="0"/>
        </w:rPr>
        <w:t>Show credit distribution (%) across categories.</w:t>
      </w:r>
    </w:p>
    <w:p>
      <w:pPr>
        <w:pStyle w:val="Heading3"/>
      </w:pPr>
      <w:r>
        <w:t>4. Strategies for Education Reforms (05 Marks)</w:t>
      </w:r>
    </w:p>
    <w:p>
      <w:pPr>
        <w:pStyle w:val="ListBullet"/>
        <w:spacing w:after="40"/>
      </w:pPr>
      <w:r>
        <w:rPr>
          <w:b w:val="0"/>
          <w:i w:val="0"/>
        </w:rPr>
        <w:t>Multidisciplinary courses.</w:t>
      </w:r>
    </w:p>
    <w:p>
      <w:pPr>
        <w:pStyle w:val="ListBullet"/>
        <w:spacing w:after="40"/>
      </w:pPr>
      <w:r>
        <w:rPr>
          <w:b w:val="0"/>
          <w:i w:val="0"/>
        </w:rPr>
        <w:t>Open electives, minor/major degree pathways.</w:t>
      </w:r>
    </w:p>
    <w:p>
      <w:pPr>
        <w:pStyle w:val="ListBullet"/>
        <w:spacing w:after="40"/>
      </w:pPr>
      <w:r>
        <w:rPr>
          <w:b w:val="0"/>
          <w:i w:val="0"/>
        </w:rPr>
        <w:t>Academic Bank of Credits (ABC), APAAR integration.</w:t>
      </w:r>
    </w:p>
    <w:p>
      <w:pPr>
        <w:pStyle w:val="ListBullet"/>
        <w:spacing w:after="40"/>
      </w:pPr>
      <w:r>
        <w:rPr>
          <w:b w:val="0"/>
          <w:i w:val="0"/>
        </w:rPr>
        <w:t>MOOCs/NPTEL adoption.</w:t>
      </w:r>
    </w:p>
    <w:p>
      <w:pPr>
        <w:pStyle w:val="ListBullet"/>
        <w:spacing w:after="40"/>
      </w:pPr>
      <w:r>
        <w:rPr>
          <w:b w:val="0"/>
          <w:i w:val="0"/>
        </w:rPr>
        <w:t>Interdisciplinary projects, industry collaborations.</w:t>
      </w:r>
    </w:p>
    <w:p>
      <w:pPr>
        <w:pStyle w:val="Heading2"/>
      </w:pPr>
      <w:r>
        <w:t>C. POs, PSOs and their Mapping with Courses – 20 Marks</w:t>
      </w:r>
    </w:p>
    <w:p>
      <w:pPr>
        <w:pStyle w:val="Heading3"/>
      </w:pPr>
      <w:r>
        <w:t>1. POs and PSOs (05 Marks)</w:t>
      </w:r>
    </w:p>
    <w:p>
      <w:pPr>
        <w:pStyle w:val="ListBullet"/>
        <w:spacing w:after="40"/>
      </w:pPr>
      <w:r>
        <w:rPr>
          <w:b/>
          <w:i w:val="0"/>
        </w:rPr>
        <w:t>POs:</w:t>
      </w:r>
      <w:r>
        <w:rPr>
          <w:b w:val="0"/>
          <w:i w:val="0"/>
        </w:rPr>
        <w:t xml:space="preserve"> 12 graduate attributes defined by NBA (Engineering Knowledge, Problem Analysis, Design, Ethics, Communication, etc.).</w:t>
      </w:r>
    </w:p>
    <w:p>
      <w:pPr>
        <w:pStyle w:val="ListBullet"/>
        <w:spacing w:after="40"/>
      </w:pPr>
      <w:r>
        <w:rPr>
          <w:b/>
          <w:i w:val="0"/>
        </w:rPr>
        <w:t>PSOs:</w:t>
      </w:r>
      <w:r>
        <w:rPr>
          <w:b w:val="0"/>
          <w:i w:val="0"/>
        </w:rPr>
        <w:t xml:space="preserve"> Program-specific outcomes (max 3) framed by department.</w:t>
      </w:r>
    </w:p>
    <w:p>
      <w:pPr>
        <w:pStyle w:val="ListBullet"/>
        <w:spacing w:after="40"/>
      </w:pPr>
      <w:r>
        <w:rPr>
          <w:b w:val="0"/>
          <w:i w:val="0"/>
        </w:rPr>
        <w:t>Example (EEE):</w:t>
      </w:r>
    </w:p>
    <w:p>
      <w:pPr>
        <w:pStyle w:val="ListBullet2"/>
        <w:spacing w:after="40"/>
      </w:pPr>
      <w:r>
        <w:rPr>
          <w:b/>
          <w:i w:val="0"/>
        </w:rPr>
        <w:t>PSO1:</w:t>
      </w:r>
      <w:r>
        <w:rPr>
          <w:b w:val="0"/>
          <w:i w:val="0"/>
        </w:rPr>
        <w:t xml:space="preserve"> Design and analyze power systems.</w:t>
      </w:r>
    </w:p>
    <w:p>
      <w:pPr>
        <w:pStyle w:val="ListBullet2"/>
        <w:spacing w:after="40"/>
      </w:pPr>
      <w:r>
        <w:rPr>
          <w:b/>
          <w:i w:val="0"/>
        </w:rPr>
        <w:t>PSO2:</w:t>
      </w:r>
      <w:r>
        <w:rPr>
          <w:b w:val="0"/>
          <w:i w:val="0"/>
        </w:rPr>
        <w:t xml:space="preserve"> Apply renewable energy technologies.</w:t>
      </w:r>
    </w:p>
    <w:p>
      <w:pPr>
        <w:pStyle w:val="ListBullet2"/>
        <w:spacing w:after="40"/>
      </w:pPr>
      <w:r>
        <w:rPr>
          <w:b/>
          <w:i w:val="0"/>
        </w:rPr>
        <w:t>PSO3:</w:t>
      </w:r>
      <w:r>
        <w:rPr>
          <w:b w:val="0"/>
          <w:i w:val="0"/>
        </w:rPr>
        <w:t xml:space="preserve"> Demonstrate ethical and professional practice in industry.</w:t>
      </w:r>
    </w:p>
    <w:p>
      <w:pPr>
        <w:pStyle w:val="Heading3"/>
      </w:pPr>
      <w:r>
        <w:t>2. Mapping between Courses and POs/PSOs (15 Marks)</w:t>
      </w:r>
    </w:p>
    <w:p>
      <w:pPr>
        <w:pStyle w:val="ListBullet"/>
        <w:spacing w:after="40"/>
      </w:pPr>
      <w:r>
        <w:rPr>
          <w:b w:val="0"/>
          <w:i w:val="0"/>
        </w:rPr>
        <w:t>Consolidated Course ↔ POs/PSOs Matrix.</w:t>
      </w:r>
    </w:p>
    <w:p>
      <w:pPr>
        <w:pStyle w:val="ListBullet"/>
        <w:spacing w:after="40"/>
      </w:pPr>
      <w:r>
        <w:rPr>
          <w:b w:val="0"/>
          <w:i w:val="0"/>
        </w:rPr>
        <w:t>Example:</w:t>
      </w:r>
    </w:p>
    <w:p>
      <w:pPr>
        <w:pStyle w:val="ListBullet2"/>
        <w:spacing w:after="40"/>
      </w:pPr>
      <w:r>
        <w:rPr>
          <w:b w:val="0"/>
          <w:i w:val="0"/>
        </w:rPr>
        <w:t>Data Structures → PO1, PO2, PO3, PSO1.</w:t>
      </w:r>
    </w:p>
    <w:p>
      <w:pPr>
        <w:pStyle w:val="ListBullet2"/>
        <w:spacing w:after="40"/>
      </w:pPr>
      <w:r>
        <w:rPr>
          <w:b w:val="0"/>
          <w:i w:val="0"/>
        </w:rPr>
        <w:t>Ethics → PO6, PO7, PO8, PSO3.</w:t>
      </w:r>
    </w:p>
    <w:p>
      <w:pPr>
        <w:pStyle w:val="ListBullet2"/>
        <w:spacing w:after="40"/>
      </w:pPr>
      <w:r>
        <w:rPr>
          <w:b w:val="0"/>
          <w:i w:val="0"/>
        </w:rPr>
        <w:t>Capstone Project → All POs + all PSOs.</w:t>
      </w:r>
    </w:p>
    <w:p>
      <w:pPr>
        <w:pStyle w:val="ListBullet"/>
        <w:spacing w:after="40"/>
      </w:pPr>
      <w:r>
        <w:rPr>
          <w:b/>
          <w:i w:val="0"/>
        </w:rPr>
        <w:t>Evidence:</w:t>
      </w:r>
      <w:r>
        <w:rPr>
          <w:b w:val="0"/>
          <w:i w:val="0"/>
        </w:rPr>
        <w:t xml:space="preserve"> Course–PO/PSO mapping sheets, justification notes.</w:t>
      </w:r>
    </w:p>
    <w:p>
      <w:pPr>
        <w:pStyle w:val="Heading2"/>
      </w:pPr>
      <w:r>
        <w:t>D. Course Outcomes and Course Articulation Matrix – 30 Marks</w:t>
      </w:r>
    </w:p>
    <w:p>
      <w:pPr>
        <w:pStyle w:val="Heading3"/>
      </w:pPr>
      <w:r>
        <w:t>1. Course Outcomes (Semester Wise) (15 Marks)</w:t>
      </w:r>
    </w:p>
    <w:p>
      <w:pPr>
        <w:pStyle w:val="ListBullet"/>
        <w:spacing w:after="40"/>
      </w:pPr>
      <w:r>
        <w:rPr>
          <w:b w:val="0"/>
          <w:i w:val="0"/>
        </w:rPr>
        <w:t>Define 4–6 measurable COs per course.</w:t>
      </w:r>
    </w:p>
    <w:p>
      <w:pPr>
        <w:pStyle w:val="ListBullet"/>
        <w:spacing w:after="40"/>
      </w:pPr>
      <w:r>
        <w:rPr>
          <w:b w:val="0"/>
          <w:i w:val="0"/>
        </w:rPr>
        <w:t>Provide for two core courses per semester (I–VIII).</w:t>
      </w:r>
    </w:p>
    <w:p>
      <w:pPr>
        <w:pStyle w:val="ListBullet"/>
        <w:spacing w:after="40"/>
      </w:pPr>
      <w:r>
        <w:rPr>
          <w:b w:val="0"/>
          <w:i w:val="0"/>
        </w:rPr>
        <w:t>Example (Data Structures, Sem III):</w:t>
      </w:r>
    </w:p>
    <w:p>
      <w:pPr>
        <w:pStyle w:val="ListBullet2"/>
        <w:spacing w:after="40"/>
      </w:pPr>
      <w:r>
        <w:rPr>
          <w:b/>
          <w:i w:val="0"/>
        </w:rPr>
        <w:t>CO1:</w:t>
      </w:r>
      <w:r>
        <w:rPr>
          <w:b w:val="0"/>
          <w:i w:val="0"/>
        </w:rPr>
        <w:t xml:space="preserve"> Explain linear and nonlinear data structures.</w:t>
      </w:r>
    </w:p>
    <w:p>
      <w:pPr>
        <w:pStyle w:val="ListBullet2"/>
        <w:spacing w:after="40"/>
      </w:pPr>
      <w:r>
        <w:rPr>
          <w:b/>
          <w:i w:val="0"/>
        </w:rPr>
        <w:t>CO2:</w:t>
      </w:r>
      <w:r>
        <w:rPr>
          <w:b w:val="0"/>
          <w:i w:val="0"/>
        </w:rPr>
        <w:t xml:space="preserve"> Apply DS for problem solving.</w:t>
      </w:r>
    </w:p>
    <w:p>
      <w:pPr>
        <w:pStyle w:val="ListBullet2"/>
        <w:spacing w:after="40"/>
      </w:pPr>
      <w:r>
        <w:rPr>
          <w:b/>
          <w:i w:val="0"/>
        </w:rPr>
        <w:t>CO3:</w:t>
      </w:r>
      <w:r>
        <w:rPr>
          <w:b w:val="0"/>
          <w:i w:val="0"/>
        </w:rPr>
        <w:t xml:space="preserve"> Implement using modern tools.</w:t>
      </w:r>
    </w:p>
    <w:p>
      <w:pPr>
        <w:pStyle w:val="ListBullet2"/>
        <w:spacing w:after="40"/>
      </w:pPr>
      <w:r>
        <w:rPr>
          <w:b/>
          <w:i w:val="0"/>
        </w:rPr>
        <w:t>CO4:</w:t>
      </w:r>
      <w:r>
        <w:rPr>
          <w:b w:val="0"/>
          <w:i w:val="0"/>
        </w:rPr>
        <w:t xml:space="preserve"> Evaluate algorithm efficiency.</w:t>
      </w:r>
    </w:p>
    <w:p>
      <w:pPr>
        <w:pStyle w:val="Heading3"/>
      </w:pPr>
      <w:r>
        <w:t>2. Course Articulation Matrix (15 Marks)</w:t>
      </w:r>
    </w:p>
    <w:p>
      <w:pPr>
        <w:pStyle w:val="ListBullet"/>
        <w:spacing w:after="40"/>
      </w:pPr>
      <w:r>
        <w:rPr>
          <w:b w:val="0"/>
          <w:i w:val="0"/>
        </w:rPr>
        <w:t>Rows = COs, Columns = POs + PSOs.</w:t>
      </w:r>
    </w:p>
    <w:p>
      <w:pPr>
        <w:pStyle w:val="ListBullet"/>
        <w:spacing w:after="40"/>
      </w:pPr>
      <w:r>
        <w:rPr>
          <w:b w:val="0"/>
          <w:i w:val="0"/>
        </w:rPr>
        <w:t>Fill correlation (1–2–3/–).</w:t>
      </w:r>
    </w:p>
    <w:p>
      <w:pPr>
        <w:pStyle w:val="ListBullet"/>
        <w:spacing w:after="40"/>
      </w:pPr>
      <w:r>
        <w:rPr>
          <w:b w:val="0"/>
          <w:i w:val="0"/>
        </w:rPr>
        <w:t>Example (Data Structures):</w:t>
      </w:r>
    </w:p>
    <w:p>
      <w:pPr>
        <w:pStyle w:val="ListBullet2"/>
        <w:spacing w:after="40"/>
      </w:pPr>
      <w:r>
        <w:rPr>
          <w:b w:val="0"/>
          <w:i w:val="0"/>
        </w:rPr>
        <w:t>CO1 → PO1(3), PO2(3), PSO1(3).</w:t>
      </w:r>
    </w:p>
    <w:p>
      <w:pPr>
        <w:pStyle w:val="ListBullet2"/>
        <w:spacing w:after="40"/>
      </w:pPr>
      <w:r>
        <w:rPr>
          <w:b w:val="0"/>
          <w:i w:val="0"/>
        </w:rPr>
        <w:t>CO2 → PO2(3), PO3(3), PSO1(3).</w:t>
      </w:r>
    </w:p>
    <w:p>
      <w:pPr>
        <w:pStyle w:val="ListBullet2"/>
        <w:spacing w:after="40"/>
      </w:pPr>
      <w:r>
        <w:rPr>
          <w:b w:val="0"/>
          <w:i w:val="0"/>
        </w:rPr>
        <w:t>CO3 → PO3(3), PO5(3), PSO2(2).</w:t>
      </w:r>
    </w:p>
    <w:p>
      <w:pPr>
        <w:pStyle w:val="Heading2"/>
      </w:pPr>
      <w:r>
        <w:t>E. Program Articulation Matrix – 05 Marks</w:t>
      </w:r>
    </w:p>
    <w:p>
      <w:pPr>
        <w:pStyle w:val="ListBullet"/>
        <w:spacing w:after="40"/>
      </w:pPr>
      <w:r>
        <w:rPr>
          <w:b w:val="0"/>
          <w:i w:val="0"/>
        </w:rPr>
        <w:t>Consolidated Course ↔ POs/PSOs table (program-wide).</w:t>
      </w:r>
    </w:p>
    <w:p>
      <w:pPr>
        <w:pStyle w:val="ListBullet"/>
        <w:spacing w:after="40"/>
      </w:pPr>
      <w:r>
        <w:rPr>
          <w:b w:val="0"/>
          <w:i w:val="0"/>
        </w:rPr>
        <w:t>Demonstrates how all courses together cover all outcomes.</w:t>
      </w:r>
    </w:p>
    <w:p>
      <w:pPr>
        <w:pStyle w:val="ListBullet"/>
        <w:spacing w:after="40"/>
      </w:pPr>
      <w:r>
        <w:rPr>
          <w:b w:val="0"/>
          <w:i w:val="0"/>
        </w:rPr>
        <w:t>Example:</w:t>
      </w:r>
    </w:p>
    <w:p>
      <w:pPr>
        <w:pStyle w:val="ListBullet2"/>
        <w:spacing w:after="40"/>
      </w:pPr>
      <w:r>
        <w:rPr>
          <w:b w:val="0"/>
          <w:i w:val="0"/>
        </w:rPr>
        <w:t>Math → PO1, PO2.</w:t>
      </w:r>
    </w:p>
    <w:p>
      <w:pPr>
        <w:pStyle w:val="ListBullet2"/>
        <w:spacing w:after="40"/>
      </w:pPr>
      <w:r>
        <w:rPr>
          <w:b w:val="0"/>
          <w:i w:val="0"/>
        </w:rPr>
        <w:t>Ethics → PO6, PO7, PO8.</w:t>
      </w:r>
    </w:p>
    <w:p>
      <w:pPr>
        <w:pStyle w:val="ListBullet2"/>
        <w:spacing w:after="40"/>
      </w:pPr>
      <w:r>
        <w:rPr>
          <w:b w:val="0"/>
          <w:i w:val="0"/>
        </w:rPr>
        <w:t>Projects → PO3, PO4, PO5, PO9, PO10, PO11, PO12 + PSOs.</w:t>
      </w:r>
    </w:p>
    <w:p>
      <w:pPr>
        <w:pStyle w:val="Heading3"/>
      </w:pPr>
      <w:r>
        <w:t>Total = 120 Marks</w:t>
      </w:r>
    </w:p>
    <w:tbl>
      <w:tblPr>
        <w:tblStyle w:val="TableGrid"/>
        <w:tblW w:type="auto" w:w="0"/>
        <w:jc w:val="center"/>
        <w:tblLayout w:type="fixed"/>
        <w:tblLook w:firstColumn="1" w:firstRow="1" w:lastColumn="0" w:lastRow="0" w:noHBand="0" w:noVBand="1" w:val="04A0"/>
      </w:tblPr>
      <w:tblGrid>
        <w:gridCol w:w="5669"/>
        <w:gridCol w:w="1701"/>
      </w:tblGrid>
      <w:tr>
        <w:tc>
          <w:tcPr>
            <w:tcW w:type="dxa" w:w="5669"/>
            <w:shd w:val="clear" w:color="auto" w:fill="1F3A5F"/>
          </w:tcPr>
          <w:p>
            <w:pPr>
              <w:spacing w:after="20"/>
            </w:pPr>
            <w:r/>
            <w:r>
              <w:rPr>
                <w:b/>
                <w:color w:val="FFFFFF"/>
              </w:rPr>
              <w:t>Criterion</w:t>
            </w:r>
          </w:p>
        </w:tc>
        <w:tc>
          <w:tcPr>
            <w:tcW w:type="dxa" w:w="1701"/>
            <w:shd w:val="clear" w:color="auto" w:fill="1F3A5F"/>
          </w:tcPr>
          <w:p>
            <w:pPr>
              <w:spacing w:after="20"/>
            </w:pPr>
            <w:r/>
            <w:r>
              <w:rPr>
                <w:b/>
                <w:color w:val="FFFFFF"/>
              </w:rPr>
              <w:t>Marks</w:t>
            </w:r>
          </w:p>
        </w:tc>
      </w:tr>
      <w:tr>
        <w:tc>
          <w:tcPr>
            <w:tcW w:type="dxa" w:w="5669"/>
          </w:tcPr>
          <w:p>
            <w:pPr>
              <w:spacing w:after="20"/>
            </w:pPr>
            <w:r>
              <w:t>Vision, Mission, PEOs</w:t>
            </w:r>
          </w:p>
        </w:tc>
        <w:tc>
          <w:tcPr>
            <w:tcW w:type="dxa" w:w="1701"/>
          </w:tcPr>
          <w:p>
            <w:pPr>
              <w:spacing w:after="20"/>
            </w:pPr>
            <w:r>
              <w:t>35</w:t>
            </w:r>
          </w:p>
        </w:tc>
      </w:tr>
      <w:tr>
        <w:tc>
          <w:tcPr>
            <w:tcW w:type="dxa" w:w="5669"/>
            <w:shd w:val="clear" w:color="auto" w:fill="EEF2F7"/>
          </w:tcPr>
          <w:p>
            <w:pPr>
              <w:spacing w:after="20"/>
            </w:pPr>
            <w:r>
              <w:t>Curriculum Structure &amp; Features</w:t>
            </w:r>
          </w:p>
        </w:tc>
        <w:tc>
          <w:tcPr>
            <w:tcW w:type="dxa" w:w="1701"/>
            <w:shd w:val="clear" w:color="auto" w:fill="EEF2F7"/>
          </w:tcPr>
          <w:p>
            <w:pPr>
              <w:spacing w:after="20"/>
            </w:pPr>
            <w:r>
              <w:t>30</w:t>
            </w:r>
          </w:p>
        </w:tc>
      </w:tr>
      <w:tr>
        <w:tc>
          <w:tcPr>
            <w:tcW w:type="dxa" w:w="5669"/>
          </w:tcPr>
          <w:p>
            <w:pPr>
              <w:spacing w:after="20"/>
            </w:pPr>
            <w:r>
              <w:t>POs, PSOs &amp; Mapping</w:t>
            </w:r>
          </w:p>
        </w:tc>
        <w:tc>
          <w:tcPr>
            <w:tcW w:type="dxa" w:w="1701"/>
          </w:tcPr>
          <w:p>
            <w:pPr>
              <w:spacing w:after="20"/>
            </w:pPr>
            <w:r>
              <w:t>20</w:t>
            </w:r>
          </w:p>
        </w:tc>
      </w:tr>
      <w:tr>
        <w:tc>
          <w:tcPr>
            <w:tcW w:type="dxa" w:w="5669"/>
            <w:shd w:val="clear" w:color="auto" w:fill="EEF2F7"/>
          </w:tcPr>
          <w:p>
            <w:pPr>
              <w:spacing w:after="20"/>
            </w:pPr>
            <w:r>
              <w:t>COs &amp; Course Articulation</w:t>
            </w:r>
          </w:p>
        </w:tc>
        <w:tc>
          <w:tcPr>
            <w:tcW w:type="dxa" w:w="1701"/>
            <w:shd w:val="clear" w:color="auto" w:fill="EEF2F7"/>
          </w:tcPr>
          <w:p>
            <w:pPr>
              <w:spacing w:after="20"/>
            </w:pPr>
            <w:r>
              <w:t>30</w:t>
            </w:r>
          </w:p>
        </w:tc>
      </w:tr>
      <w:tr>
        <w:tc>
          <w:tcPr>
            <w:tcW w:type="dxa" w:w="5669"/>
          </w:tcPr>
          <w:p>
            <w:pPr>
              <w:spacing w:after="20"/>
            </w:pPr>
            <w:r>
              <w:t>Program Articulation</w:t>
            </w:r>
          </w:p>
        </w:tc>
        <w:tc>
          <w:tcPr>
            <w:tcW w:type="dxa" w:w="1701"/>
          </w:tcPr>
          <w:p>
            <w:pPr>
              <w:spacing w:after="20"/>
            </w:pPr>
            <w:r>
              <w:t>05</w:t>
            </w:r>
          </w:p>
        </w:tc>
      </w:tr>
      <w:tr>
        <w:tc>
          <w:tcPr>
            <w:tcW w:type="dxa" w:w="5669"/>
            <w:shd w:val="clear" w:color="auto" w:fill="D6DFEA"/>
          </w:tcPr>
          <w:p>
            <w:pPr>
              <w:spacing w:after="20"/>
            </w:pPr>
            <w:r/>
            <w:r>
              <w:rPr>
                <w:b/>
              </w:rPr>
              <w:t>Total</w:t>
            </w:r>
          </w:p>
        </w:tc>
        <w:tc>
          <w:tcPr>
            <w:tcW w:type="dxa" w:w="1701"/>
            <w:shd w:val="clear" w:color="auto" w:fill="D6DFEA"/>
          </w:tcPr>
          <w:p>
            <w:pPr>
              <w:spacing w:after="20"/>
            </w:pPr>
            <w:r/>
            <w:r>
              <w:rPr>
                <w:b/>
              </w:rPr>
              <w:t>120</w:t>
            </w:r>
          </w:p>
        </w:tc>
      </w:tr>
    </w:tbl>
    <w:p/>
    <w:p>
      <w:pPr>
        <w:pStyle w:val="Heading3"/>
      </w:pPr>
      <w:r>
        <w:t>SAR Write-up Example</w:t>
      </w:r>
    </w:p>
    <w:p>
      <w:pPr>
        <w:ind w:left="454" w:right="454"/>
        <w:jc w:val="both"/>
      </w:pPr>
      <w:r>
        <w:rPr>
          <w:b w:val="0"/>
          <w:i/>
        </w:rPr>
        <w:t>The institute has clearly defined Vision and Mission aligned with national priorities and approved by BoS/AC. The program has 4 PEOs framed through stakeholder consultation and disseminated via website, handbooks, and induction programs. A mapping of PEOs with Mission elements demonstrates strong alignment. The curriculum follows AICTE/NBA norms with a balanced structure across sciences, core, electives, projects, and reforms like MOOCs and ABC integration. Program Outcomes (12 NBA POs) and 3 PSOs have been mapped to all courses through CO–PO/PSO matrices, ensuring comprehensive coverage. Course Outcomes (COs) for two core courses per semester are defined with measurable action verbs and mapped to POs/PSOs via articulation matrices. A Program Articulation Matrix further consolidates this mapping at the program level. Evidence includes meeting minutes, feedback forms, curriculum documents, and justification notes.</w:t>
      </w:r>
    </w:p>
    <w:p>
      <w:pPr>
        <w:pStyle w:val="Heading1"/>
      </w:pPr>
      <w:r>
        <w:t>3. Vision, Mission and Program Educational Objectives (PEOs) (35 Marks)</w:t>
      </w:r>
    </w:p>
    <w:p>
      <w:pPr>
        <w:pStyle w:val="Heading2"/>
      </w:pPr>
      <w:r>
        <w:t>1. Total Marks Distribution (35)</w:t>
      </w:r>
    </w:p>
    <w:tbl>
      <w:tblPr>
        <w:tblStyle w:val="TableGrid"/>
        <w:tblW w:type="auto" w:w="0"/>
        <w:jc w:val="center"/>
        <w:tblLayout w:type="fixed"/>
        <w:tblLook w:firstColumn="1" w:firstRow="1" w:lastColumn="0" w:lastRow="0" w:noHBand="0" w:noVBand="1" w:val="04A0"/>
      </w:tblPr>
      <w:tblGrid>
        <w:gridCol w:w="5669"/>
        <w:gridCol w:w="1701"/>
      </w:tblGrid>
      <w:tr>
        <w:tc>
          <w:tcPr>
            <w:tcW w:type="dxa" w:w="5669"/>
            <w:shd w:val="clear" w:color="auto" w:fill="1F3A5F"/>
          </w:tcPr>
          <w:p>
            <w:pPr>
              <w:spacing w:after="20"/>
            </w:pPr>
            <w:r/>
            <w:r>
              <w:rPr>
                <w:b/>
                <w:color w:val="FFFFFF"/>
              </w:rPr>
              <w:t>Component</w:t>
            </w:r>
          </w:p>
        </w:tc>
        <w:tc>
          <w:tcPr>
            <w:tcW w:type="dxa" w:w="1701"/>
            <w:shd w:val="clear" w:color="auto" w:fill="1F3A5F"/>
          </w:tcPr>
          <w:p>
            <w:pPr>
              <w:spacing w:after="20"/>
            </w:pPr>
            <w:r/>
            <w:r>
              <w:rPr>
                <w:b/>
                <w:color w:val="FFFFFF"/>
              </w:rPr>
              <w:t>Marks</w:t>
            </w:r>
          </w:p>
        </w:tc>
      </w:tr>
      <w:tr>
        <w:tc>
          <w:tcPr>
            <w:tcW w:type="dxa" w:w="5669"/>
          </w:tcPr>
          <w:p>
            <w:pPr>
              <w:spacing w:after="20"/>
            </w:pPr>
            <w:r>
              <w:t>Vision &amp; Mission of the Institute and Department</w:t>
            </w:r>
          </w:p>
        </w:tc>
        <w:tc>
          <w:tcPr>
            <w:tcW w:type="dxa" w:w="1701"/>
          </w:tcPr>
          <w:p>
            <w:pPr>
              <w:spacing w:after="20"/>
            </w:pPr>
            <w:r>
              <w:t>05</w:t>
            </w:r>
          </w:p>
        </w:tc>
      </w:tr>
      <w:tr>
        <w:tc>
          <w:tcPr>
            <w:tcW w:type="dxa" w:w="5669"/>
            <w:shd w:val="clear" w:color="auto" w:fill="EEF2F7"/>
          </w:tcPr>
          <w:p>
            <w:pPr>
              <w:spacing w:after="20"/>
            </w:pPr>
            <w:r>
              <w:t>Program Educational Objectives (PEOs)</w:t>
            </w:r>
          </w:p>
        </w:tc>
        <w:tc>
          <w:tcPr>
            <w:tcW w:type="dxa" w:w="1701"/>
            <w:shd w:val="clear" w:color="auto" w:fill="EEF2F7"/>
          </w:tcPr>
          <w:p>
            <w:pPr>
              <w:spacing w:after="20"/>
            </w:pPr>
            <w:r>
              <w:t>05</w:t>
            </w:r>
          </w:p>
        </w:tc>
      </w:tr>
      <w:tr>
        <w:tc>
          <w:tcPr>
            <w:tcW w:type="dxa" w:w="5669"/>
          </w:tcPr>
          <w:p>
            <w:pPr>
              <w:spacing w:after="20"/>
            </w:pPr>
            <w:r>
              <w:t>Process of Defining Vision, Mission and PEOs</w:t>
            </w:r>
          </w:p>
        </w:tc>
        <w:tc>
          <w:tcPr>
            <w:tcW w:type="dxa" w:w="1701"/>
          </w:tcPr>
          <w:p>
            <w:pPr>
              <w:spacing w:after="20"/>
            </w:pPr>
            <w:r>
              <w:t>10</w:t>
            </w:r>
          </w:p>
        </w:tc>
      </w:tr>
      <w:tr>
        <w:tc>
          <w:tcPr>
            <w:tcW w:type="dxa" w:w="5669"/>
            <w:shd w:val="clear" w:color="auto" w:fill="EEF2F7"/>
          </w:tcPr>
          <w:p>
            <w:pPr>
              <w:spacing w:after="20"/>
            </w:pPr>
            <w:r>
              <w:t>Dissemination of Vision, Mission and PEOs</w:t>
            </w:r>
          </w:p>
        </w:tc>
        <w:tc>
          <w:tcPr>
            <w:tcW w:type="dxa" w:w="1701"/>
            <w:shd w:val="clear" w:color="auto" w:fill="EEF2F7"/>
          </w:tcPr>
          <w:p>
            <w:pPr>
              <w:spacing w:after="20"/>
            </w:pPr>
            <w:r>
              <w:t>05</w:t>
            </w:r>
          </w:p>
        </w:tc>
      </w:tr>
      <w:tr>
        <w:tc>
          <w:tcPr>
            <w:tcW w:type="dxa" w:w="5669"/>
          </w:tcPr>
          <w:p>
            <w:pPr>
              <w:spacing w:after="20"/>
            </w:pPr>
            <w:r>
              <w:t>Mapping of PEOs with Mission</w:t>
            </w:r>
          </w:p>
        </w:tc>
        <w:tc>
          <w:tcPr>
            <w:tcW w:type="dxa" w:w="1701"/>
          </w:tcPr>
          <w:p>
            <w:pPr>
              <w:spacing w:after="20"/>
            </w:pPr>
            <w:r>
              <w:t>10</w:t>
            </w:r>
          </w:p>
        </w:tc>
      </w:tr>
      <w:tr>
        <w:tc>
          <w:tcPr>
            <w:tcW w:type="dxa" w:w="5669"/>
            <w:shd w:val="clear" w:color="auto" w:fill="D6DFEA"/>
          </w:tcPr>
          <w:p>
            <w:pPr>
              <w:spacing w:after="20"/>
            </w:pPr>
            <w:r/>
            <w:r>
              <w:rPr>
                <w:b/>
              </w:rPr>
              <w:t>Total</w:t>
            </w:r>
          </w:p>
        </w:tc>
        <w:tc>
          <w:tcPr>
            <w:tcW w:type="dxa" w:w="1701"/>
            <w:shd w:val="clear" w:color="auto" w:fill="D6DFEA"/>
          </w:tcPr>
          <w:p>
            <w:pPr>
              <w:spacing w:after="20"/>
            </w:pPr>
            <w:r/>
            <w:r>
              <w:rPr>
                <w:b/>
              </w:rPr>
              <w:t>35</w:t>
            </w:r>
          </w:p>
        </w:tc>
      </w:tr>
    </w:tbl>
    <w:p/>
    <w:p>
      <w:pPr>
        <w:pStyle w:val="Heading2"/>
      </w:pPr>
      <w:r>
        <w:t>2. Vision &amp; Mission (05 Marks)</w:t>
      </w:r>
    </w:p>
    <w:p>
      <w:pPr>
        <w:pStyle w:val="ListBullet"/>
        <w:spacing w:after="40"/>
      </w:pPr>
      <w:r>
        <w:rPr>
          <w:b/>
          <w:i w:val="0"/>
        </w:rPr>
        <w:t>Vision:</w:t>
      </w:r>
      <w:r>
        <w:rPr>
          <w:b w:val="0"/>
          <w:i w:val="0"/>
        </w:rPr>
        <w:t xml:space="preserve"> Long-term aspirations of the institute/department (future destination).</w:t>
      </w:r>
    </w:p>
    <w:p>
      <w:pPr>
        <w:pStyle w:val="ListBullet2"/>
        <w:spacing w:after="40"/>
      </w:pPr>
      <w:r>
        <w:rPr>
          <w:b w:val="0"/>
          <w:i w:val="0"/>
        </w:rPr>
        <w:t xml:space="preserve">Should be </w:t>
      </w:r>
      <w:r>
        <w:rPr>
          <w:b w:val="0"/>
          <w:i/>
        </w:rPr>
        <w:t>clear, inspiring, forward-looking</w:t>
      </w:r>
      <w:r>
        <w:rPr>
          <w:b w:val="0"/>
          <w:i w:val="0"/>
        </w:rPr>
        <w:t>.</w:t>
      </w:r>
    </w:p>
    <w:p>
      <w:pPr>
        <w:pStyle w:val="ListBullet2"/>
        <w:spacing w:after="40"/>
      </w:pPr>
      <w:r>
        <w:rPr>
          <w:b w:val="0"/>
          <w:i w:val="0"/>
        </w:rPr>
        <w:t>Example: “</w:t>
      </w:r>
      <w:r>
        <w:rPr>
          <w:b w:val="0"/>
          <w:i/>
        </w:rPr>
        <w:t>To be a globally recognized centre of excellence in engineering education and research for sustainable development.</w:t>
      </w:r>
      <w:r>
        <w:rPr>
          <w:b w:val="0"/>
          <w:i w:val="0"/>
        </w:rPr>
        <w:t>”</w:t>
      </w:r>
    </w:p>
    <w:p>
      <w:pPr>
        <w:pStyle w:val="ListBullet"/>
        <w:spacing w:after="40"/>
      </w:pPr>
      <w:r>
        <w:rPr>
          <w:b/>
          <w:i w:val="0"/>
        </w:rPr>
        <w:t>Mission:</w:t>
      </w:r>
      <w:r>
        <w:rPr>
          <w:b w:val="0"/>
          <w:i w:val="0"/>
        </w:rPr>
        <w:t xml:space="preserve"> Immediate commitments and strategies to achieve the vision.</w:t>
      </w:r>
    </w:p>
    <w:p>
      <w:pPr>
        <w:pStyle w:val="ListBullet2"/>
        <w:spacing w:after="40"/>
      </w:pPr>
      <w:r>
        <w:rPr>
          <w:b w:val="0"/>
          <w:i w:val="0"/>
        </w:rPr>
        <w:t xml:space="preserve">Should focus on </w:t>
      </w:r>
      <w:r>
        <w:rPr>
          <w:b w:val="0"/>
          <w:i/>
        </w:rPr>
        <w:t>teaching-learning, research, ethics, industry collaboration, and societal development</w:t>
      </w:r>
      <w:r>
        <w:rPr>
          <w:b w:val="0"/>
          <w:i w:val="0"/>
        </w:rPr>
        <w:t>.</w:t>
      </w:r>
    </w:p>
    <w:p>
      <w:pPr>
        <w:pStyle w:val="ListBullet2"/>
        <w:spacing w:after="40"/>
      </w:pPr>
      <w:r>
        <w:rPr>
          <w:b w:val="0"/>
          <w:i w:val="0"/>
        </w:rPr>
        <w:t>Example: “</w:t>
      </w:r>
      <w:r>
        <w:rPr>
          <w:b w:val="0"/>
          <w:i/>
        </w:rPr>
        <w:t>To impart quality technical education, foster innovation, and nurture professionals with ethical values and leadership skills.</w:t>
      </w:r>
      <w:r>
        <w:rPr>
          <w:b w:val="0"/>
          <w:i w:val="0"/>
        </w:rPr>
        <w:t>”</w:t>
      </w:r>
    </w:p>
    <w:p>
      <w:pPr>
        <w:pStyle w:val="ListBullet"/>
        <w:spacing w:after="40"/>
      </w:pPr>
      <w:r>
        <w:rPr>
          <w:b/>
          <w:i w:val="0"/>
        </w:rPr>
        <w:t>NBA Evaluation:</w:t>
      </w:r>
    </w:p>
    <w:p>
      <w:pPr>
        <w:pStyle w:val="ListBullet2"/>
        <w:spacing w:after="40"/>
      </w:pPr>
      <w:r>
        <w:rPr>
          <w:b w:val="0"/>
          <w:i w:val="0"/>
        </w:rPr>
        <w:t>Clarity, relevance, and alignment of statements.</w:t>
      </w:r>
    </w:p>
    <w:p>
      <w:pPr>
        <w:pStyle w:val="ListBullet2"/>
        <w:spacing w:after="40"/>
      </w:pPr>
      <w:r>
        <w:rPr>
          <w:b w:val="0"/>
          <w:i w:val="0"/>
        </w:rPr>
        <w:t>Visibility on website, classrooms, curriculum.</w:t>
      </w:r>
    </w:p>
    <w:p>
      <w:pPr>
        <w:pStyle w:val="ListBullet2"/>
        <w:spacing w:after="40"/>
      </w:pPr>
      <w:r>
        <w:rPr>
          <w:b w:val="0"/>
          <w:i w:val="0"/>
        </w:rPr>
        <w:t>Consistency with Program Outcomes (POs) and PEOs.</w:t>
      </w:r>
    </w:p>
    <w:p>
      <w:pPr>
        <w:pStyle w:val="Heading2"/>
      </w:pPr>
      <w:r>
        <w:t>3. Program Educational Objectives (PEOs) (05 Marks)</w:t>
      </w:r>
    </w:p>
    <w:p>
      <w:pPr>
        <w:pStyle w:val="ListBullet"/>
        <w:spacing w:after="40"/>
      </w:pPr>
      <w:r>
        <w:rPr>
          <w:b/>
          <w:i w:val="0"/>
        </w:rPr>
        <w:t>Definition:</w:t>
      </w:r>
      <w:r>
        <w:rPr>
          <w:b w:val="0"/>
          <w:i w:val="0"/>
        </w:rPr>
        <w:t xml:space="preserve"> Broad career/professional achievements expected of graduates within 3–5 years after graduation.</w:t>
      </w:r>
    </w:p>
    <w:p>
      <w:pPr>
        <w:pStyle w:val="ListBullet"/>
        <w:spacing w:after="40"/>
      </w:pPr>
      <w:r>
        <w:rPr>
          <w:b/>
          <w:i w:val="0"/>
        </w:rPr>
        <w:t>Features:</w:t>
      </w:r>
    </w:p>
    <w:p>
      <w:pPr>
        <w:pStyle w:val="ListBullet2"/>
        <w:spacing w:after="40"/>
      </w:pPr>
      <w:r>
        <w:rPr>
          <w:b w:val="0"/>
          <w:i w:val="0"/>
        </w:rPr>
        <w:t>3–5 statements, concise yet comprehensive.</w:t>
      </w:r>
    </w:p>
    <w:p>
      <w:pPr>
        <w:pStyle w:val="ListBullet2"/>
        <w:spacing w:after="40"/>
      </w:pPr>
      <w:r>
        <w:rPr>
          <w:b w:val="0"/>
          <w:i w:val="0"/>
        </w:rPr>
        <w:t>Should cover employability, higher education, research, entrepreneurship, ethics, and societal contribution.</w:t>
      </w:r>
    </w:p>
    <w:p>
      <w:pPr>
        <w:pStyle w:val="ListBullet"/>
        <w:spacing w:after="40"/>
      </w:pPr>
      <w:r>
        <w:rPr>
          <w:b/>
          <w:i w:val="0"/>
        </w:rPr>
        <w:t>Example PEOs:</w:t>
      </w:r>
    </w:p>
    <w:p>
      <w:pPr>
        <w:pStyle w:val="ListBullet2"/>
        <w:spacing w:after="40"/>
      </w:pPr>
      <w:r>
        <w:rPr>
          <w:b w:val="0"/>
          <w:i w:val="0"/>
        </w:rPr>
        <w:t>Graduates will excel in professional careers by applying engineering knowledge and modern tools.</w:t>
      </w:r>
    </w:p>
    <w:p>
      <w:pPr>
        <w:pStyle w:val="ListBullet2"/>
        <w:spacing w:after="40"/>
      </w:pPr>
      <w:r>
        <w:rPr>
          <w:b w:val="0"/>
          <w:i w:val="0"/>
        </w:rPr>
        <w:t>Graduates will pursue higher education, research, and lifelong learning.</w:t>
      </w:r>
    </w:p>
    <w:p>
      <w:pPr>
        <w:pStyle w:val="ListBullet2"/>
        <w:spacing w:after="40"/>
      </w:pPr>
      <w:r>
        <w:rPr>
          <w:b w:val="0"/>
          <w:i w:val="0"/>
        </w:rPr>
        <w:t>Graduates will demonstrate innovation, leadership, and entrepreneurship.</w:t>
      </w:r>
    </w:p>
    <w:p>
      <w:pPr>
        <w:pStyle w:val="ListBullet2"/>
        <w:spacing w:after="40"/>
      </w:pPr>
      <w:r>
        <w:rPr>
          <w:b w:val="0"/>
          <w:i w:val="0"/>
        </w:rPr>
        <w:t>Graduates will practice professional ethics and contribute responsibly to society.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eastAsia="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eastAsia="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eastAsia="Cambria"/>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