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0" w:line="276" w:lineRule="auto"/>
      </w:pPr>
    </w:p>
    <w:p>
      <w:pPr>
        <w:spacing w:after="40" w:line="276" w:lineRule="auto"/>
        <w:jc w:val="center"/>
      </w:pPr>
      <w:r>
        <w:rPr>
          <w:rFonts w:ascii="Cambria" w:hAnsi="Cambria"/>
          <w:b/>
          <w:i w:val="0"/>
          <w:color w:val="FF0000"/>
          <w:sz w:val="48"/>
        </w:rPr>
        <w:t>NBA Accreditation Process</w:t>
      </w:r>
    </w:p>
    <w:p>
      <w:pPr>
        <w:spacing w:after="40" w:line="276" w:lineRule="auto"/>
        <w:jc w:val="center"/>
      </w:pPr>
      <w:r>
        <w:rPr>
          <w:rFonts w:ascii="Cambria" w:hAnsi="Cambria"/>
          <w:b/>
          <w:i w:val="0"/>
          <w:color w:val="FF0000"/>
          <w:sz w:val="48"/>
        </w:rPr>
        <w:t>for Tier-1 Institutions –</w:t>
      </w:r>
    </w:p>
    <w:p>
      <w:pPr>
        <w:spacing w:after="40" w:line="276" w:lineRule="auto"/>
        <w:jc w:val="center"/>
      </w:pPr>
      <w:r>
        <w:rPr>
          <w:rFonts w:ascii="Cambria" w:hAnsi="Cambria"/>
          <w:b/>
          <w:i w:val="0"/>
          <w:color w:val="FF0000"/>
          <w:sz w:val="48"/>
        </w:rPr>
        <w:t>Criterion 8: Continuous</w:t>
      </w:r>
    </w:p>
    <w:p>
      <w:pPr>
        <w:spacing w:after="40" w:line="276" w:lineRule="auto"/>
        <w:jc w:val="center"/>
      </w:pPr>
      <w:r>
        <w:rPr>
          <w:rFonts w:ascii="Cambria" w:hAnsi="Cambria"/>
          <w:b/>
          <w:i w:val="0"/>
          <w:color w:val="FF0000"/>
          <w:sz w:val="48"/>
        </w:rPr>
        <w:t>Improvement</w:t>
      </w:r>
    </w:p>
    <w:p>
      <w:pPr>
        <w:spacing w:after="200" w:line="276" w:lineRule="auto"/>
      </w:pPr>
    </w:p>
    <w:p>
      <w:pPr>
        <w:spacing w:after="480" w:line="276" w:lineRule="auto"/>
        <w:jc w:val="center"/>
      </w:pPr>
      <w:r>
        <w:rPr>
          <w:rFonts w:ascii="Cambria" w:hAnsi="Cambria"/>
          <w:b/>
          <w:i w:val="0"/>
          <w:color w:val="1F3A5F"/>
          <w:sz w:val="28"/>
        </w:rPr>
        <w:t>Closing the Loop in Outcome-Based Education for Quality Enhancement</w:t>
      </w:r>
    </w:p>
    <w:p>
      <w:pPr>
        <w:spacing w:after="200" w:line="276" w:lineRule="auto"/>
        <w:jc w:val="center"/>
      </w:pPr>
      <w:r>
        <w:rPr>
          <w:rFonts w:ascii="Cambria" w:hAnsi="Cambria"/>
          <w:b/>
          <w:i w:val="0"/>
          <w:sz w:val="22"/>
        </w:rPr>
        <w:t>Dr Venkata Rama Krishna Tottempudi</w:t>
      </w:r>
    </w:p>
    <w:p>
      <w:pPr>
        <w:spacing w:after="200" w:line="276" w:lineRule="auto"/>
        <w:jc w:val="center"/>
      </w:pPr>
      <w:r>
        <w:rPr>
          <w:rFonts w:ascii="Cambria" w:hAnsi="Cambria"/>
          <w:b/>
          <w:i w:val="0"/>
          <w:sz w:val="22"/>
        </w:rPr>
        <w:t>Sai Saran Tottempudi</w:t>
      </w:r>
    </w:p>
    <w:p>
      <w:r>
        <w:br w:type="page"/>
      </w:r>
    </w:p>
    <w:p>
      <w:pPr>
        <w:spacing w:after="240" w:line="276" w:lineRule="auto"/>
        <w:jc w:val="center"/>
      </w:pPr>
      <w:r>
        <w:rPr>
          <w:rFonts w:ascii="Cambria" w:hAnsi="Cambria"/>
          <w:b/>
          <w:i w:val="0"/>
          <w:color w:val="FF0000"/>
          <w:sz w:val="26"/>
        </w:rPr>
        <w:t>ACKNOWLEDGEMENT</w:t>
      </w:r>
    </w:p>
    <w:p>
      <w:pPr>
        <w:spacing w:after="160" w:line="276" w:lineRule="auto"/>
        <w:jc w:val="both"/>
      </w:pPr>
      <w:r>
        <w:rPr>
          <w:rFonts w:ascii="Cambria" w:hAnsi="Cambria"/>
          <w:b w:val="0"/>
          <w:i w:val="0"/>
          <w:sz w:val="22"/>
        </w:rPr>
        <w:t xml:space="preserve">We gratefully acknowledge the guidance of the National Board of Accreditation (NBA) in embedding the principle of </w:t>
      </w:r>
      <w:r>
        <w:rPr>
          <w:rFonts w:ascii="Cambria" w:hAnsi="Cambria"/>
          <w:b w:val="0"/>
          <w:i/>
          <w:sz w:val="22"/>
        </w:rPr>
        <w:t>Continuous Improvement</w:t>
      </w:r>
      <w:r>
        <w:rPr>
          <w:rFonts w:ascii="Cambria" w:hAnsi="Cambria"/>
          <w:b w:val="0"/>
          <w:i w:val="0"/>
          <w:sz w:val="22"/>
        </w:rPr>
        <w:t xml:space="preserve"> as a cornerstone of quality assurance in higher education. The process of preparing this report for Criterion 8: Continuous Improvement has enabled our institution to critically examine the effectiveness of our Outcome-Based Education (OBE) framework and to strengthen the mechanisms through which evaluation results translate into measurable progress.</w:t>
      </w:r>
    </w:p>
    <w:p>
      <w:pPr>
        <w:spacing w:after="160" w:line="276" w:lineRule="auto"/>
        <w:jc w:val="both"/>
      </w:pPr>
      <w:r>
        <w:rPr>
          <w:rFonts w:ascii="Cambria" w:hAnsi="Cambria"/>
          <w:b w:val="0"/>
          <w:i w:val="0"/>
          <w:sz w:val="22"/>
        </w:rPr>
        <w:t>We extend our sincere thanks to the Institutional Leadership, Department Heads, and NBA Steering Committee for their vision and commitment in institutionalizing a culture of reflection, corrective action, and sustained enhancement. We also appreciate the dedicated efforts of our faculty members, staff, and coordinators, who contributed extensively to the collection of attainment data, Action Taken Reports (ATRs), academic audits, and evidence of improvements in teaching, research, and student learning.</w:t>
      </w:r>
    </w:p>
    <w:p>
      <w:pPr>
        <w:spacing w:after="160" w:line="276" w:lineRule="auto"/>
        <w:jc w:val="both"/>
      </w:pPr>
      <w:r>
        <w:rPr>
          <w:rFonts w:ascii="Cambria" w:hAnsi="Cambria"/>
          <w:b w:val="0"/>
          <w:i w:val="0"/>
          <w:sz w:val="22"/>
        </w:rPr>
        <w:t>Special recognition is due to the Internal Quality Assurance Cell (IQAC) and the Academic Audit Committees, whose consistent monitoring, evaluations, and constructive feedback have been invaluable in closing the loop between assessment and continuous quality improvement.</w:t>
      </w:r>
    </w:p>
    <w:p>
      <w:pPr>
        <w:spacing w:after="160" w:line="276" w:lineRule="auto"/>
        <w:jc w:val="both"/>
      </w:pPr>
      <w:r>
        <w:rPr>
          <w:rFonts w:ascii="Cambria" w:hAnsi="Cambria"/>
          <w:b w:val="0"/>
          <w:i w:val="0"/>
          <w:sz w:val="22"/>
        </w:rPr>
        <w:t>Finally, we acknowledge the active participation of our students, alumni, and industry partners, whose feedback and engagement have provided crucial insights for corrective measures and institutional growth. This collective effort reflects our shared commitment to academic excellence, professional relevance, and a dynamic process of continuous improvement in alignment with NBA Tier-1 standards.</w:t>
      </w:r>
    </w:p>
    <w:p>
      <w:pPr>
        <w:spacing w:after="160" w:line="276" w:lineRule="auto"/>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spacing w:after="160" w:line="276" w:lineRule="auto"/>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60" w:line="276" w:lineRule="auto"/>
        <w:jc w:val="both"/>
      </w:pPr>
      <w:r>
        <w:rPr>
          <w:rFonts w:ascii="Cambria" w:hAnsi="Cambria"/>
          <w:b w:val="0"/>
          <w:i w:val="0"/>
          <w:sz w:val="22"/>
        </w:rPr>
        <w:t>Finally, I express my deep gratitude to my family and well-wishers for their continuous encouragement and moral support throughout this endeavor.</w:t>
      </w:r>
    </w:p>
    <w:p>
      <w:pPr>
        <w:spacing w:after="280" w:line="276" w:lineRule="auto"/>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40" w:line="276" w:lineRule="auto"/>
      </w:pPr>
      <w:r>
        <w:rPr>
          <w:rFonts w:ascii="Cambria" w:hAnsi="Cambria"/>
          <w:b/>
          <w:i w:val="0"/>
          <w:sz w:val="22"/>
        </w:rPr>
        <w:t>Dr. V. Rama Krishna Tottempudi</w:t>
      </w:r>
    </w:p>
    <w:p>
      <w:pPr>
        <w:spacing w:after="40" w:line="276" w:lineRule="auto"/>
      </w:pPr>
      <w:r>
        <w:rPr>
          <w:rFonts w:ascii="Cambria" w:hAnsi="Cambria"/>
          <w:b/>
          <w:i w:val="0"/>
          <w:sz w:val="22"/>
        </w:rPr>
        <w:t>Sai Saran Tottempudi</w:t>
      </w:r>
    </w:p>
    <w:p>
      <w:r>
        <w:br w:type="page"/>
      </w:r>
    </w:p>
    <w:p>
      <w:pPr>
        <w:spacing w:after="240" w:line="276" w:lineRule="auto"/>
        <w:jc w:val="center"/>
      </w:pPr>
      <w:r>
        <w:rPr>
          <w:rFonts w:ascii="Cambria" w:hAnsi="Cambria"/>
          <w:b/>
          <w:i w:val="0"/>
          <w:color w:val="FF0000"/>
          <w:sz w:val="26"/>
        </w:rPr>
        <w:t>Abstract</w:t>
      </w:r>
    </w:p>
    <w:p>
      <w:pPr>
        <w:spacing w:after="160" w:line="276" w:lineRule="auto"/>
        <w:jc w:val="both"/>
      </w:pPr>
      <w:r>
        <w:rPr>
          <w:rFonts w:ascii="Cambria" w:hAnsi="Cambria"/>
          <w:b w:val="0"/>
          <w:i w:val="0"/>
          <w:sz w:val="22"/>
        </w:rPr>
        <w:t xml:space="preserve">Criterion 8: </w:t>
      </w:r>
      <w:r>
        <w:rPr>
          <w:rFonts w:ascii="Cambria" w:hAnsi="Cambria"/>
          <w:b w:val="0"/>
          <w:i/>
          <w:sz w:val="22"/>
        </w:rPr>
        <w:t>Continuous Improvement</w:t>
      </w:r>
      <w:r>
        <w:rPr>
          <w:rFonts w:ascii="Cambria" w:hAnsi="Cambria"/>
          <w:b w:val="0"/>
          <w:i w:val="0"/>
          <w:sz w:val="22"/>
        </w:rPr>
        <w:t xml:space="preserve"> is a pivotal component of the NBA accreditation framework, carrying a weightage of 80 marks. It represents the essence of the Outcome-Based Education (OBE) philosophy by evaluating how effectively an institution transforms assessment data and evaluation results into structured corrective actions that lead to measurable progress. This criterion goes beyond routine assessment to test the institution’s ability to critically reflect on its practices, identify areas of weakness, implement evidence-based interventions, and demonstrate tangible improvements across student learning, faculty development, and institutional performance. By emphasizing quality enhancement as a continuous and dynamic process, Criterion 8 ensures that higher education institutions function as evolving ecosystems of learning, innovation, and accountability.</w:t>
      </w:r>
    </w:p>
    <w:p>
      <w:pPr>
        <w:spacing w:after="160" w:line="276" w:lineRule="auto"/>
        <w:jc w:val="both"/>
      </w:pPr>
      <w:r>
        <w:rPr>
          <w:rFonts w:ascii="Cambria" w:hAnsi="Cambria"/>
          <w:b w:val="0"/>
          <w:i w:val="0"/>
          <w:sz w:val="22"/>
        </w:rPr>
        <w:t>The core objective of Criterion 8 is to assess the institution’s effectiveness in operating within the OBE framework by examining improvements at the Course Outcome (CO), Program Outcome (PO), and Program Specific Outcome (PSO) levels, while also integrating academic audit findings, faculty growth indicators, and student performance metrics. The evaluation is divided into four major sub-criteria. The first, Actions Taken Based on CO, PO, and PSO Attainment (40 marks), emphasizes semester-wise reviews of CO attainment, identification of gaps between targets and actual outcomes, and corrective measures such as remedial classes, revised teaching methodologies, or enhanced practical exposure. At the program level, annual PO/PSO attainment is aggregated, weak outcomes are identified, and structured two-year action plans are implemented to demonstrate long-term improvements. The second sub-criterion, Academic Audit and Actions Taken (15 marks), assesses the robustness of internal and external audits in reviewing teaching–learning, curriculum delivery, and outcome attainment, and examines the effectiveness of corrective actions arising from audit recommendations. The third, Improvement in Faculty Qualification and Contribution (15 marks), highlights institutional efforts to strengthen faculty capacity, including increased faculty strength, completion of higher qualifications such as Ph.Ds., growth in research output, and professional contributions through Faculty Development Programs (FDPs), professional memberships, and industry linkages. The final component, Improvement in Academic Performance (10 marks), measures year-wise progress in student outcomes, primarily through pass percentages, the Academic Performance Index (API), and reduced dropout rates, thereby reflecting the impact of institutional reforms on student success.</w:t>
      </w:r>
    </w:p>
    <w:p>
      <w:pPr>
        <w:spacing w:after="160" w:line="276" w:lineRule="auto"/>
        <w:jc w:val="both"/>
      </w:pPr>
      <w:r>
        <w:rPr>
          <w:rFonts w:ascii="Cambria" w:hAnsi="Cambria"/>
          <w:b w:val="0"/>
          <w:i w:val="0"/>
          <w:sz w:val="22"/>
        </w:rPr>
        <w:t xml:space="preserve">A distinctive feature of Criterion 8 is its emphasis on the </w:t>
      </w:r>
      <w:r>
        <w:rPr>
          <w:rFonts w:ascii="Cambria" w:hAnsi="Cambria"/>
          <w:b w:val="0"/>
          <w:i/>
          <w:sz w:val="22"/>
        </w:rPr>
        <w:t>“closing the loop”</w:t>
      </w:r>
      <w:r>
        <w:rPr>
          <w:rFonts w:ascii="Cambria" w:hAnsi="Cambria"/>
          <w:b w:val="0"/>
          <w:i w:val="0"/>
          <w:sz w:val="22"/>
        </w:rPr>
        <w:t xml:space="preserve"> approach. This process entails systematic evaluation of outcomes, identification of gaps, planning and implementation of corrective actions, and subsequent re-assessment to verify improvements. Institutions are expected to maintain comprehensive documentation to substantiate their claims of continuous improvement, including attainment reports, Action Taken Reports (ATRs) from departmental and institutional meetings, records of remedial classes and student support activities, evidence of workshops and FDPs, and comparative attainment charts demonstrating </w:t>
      </w:r>
      <w:r>
        <w:rPr>
          <w:rFonts w:ascii="Cambria" w:hAnsi="Cambria"/>
          <w:b w:val="0"/>
          <w:i/>
          <w:sz w:val="22"/>
        </w:rPr>
        <w:t>before vs. after</w:t>
      </w:r>
      <w:r>
        <w:rPr>
          <w:rFonts w:ascii="Cambria" w:hAnsi="Cambria"/>
          <w:b w:val="0"/>
          <w:i w:val="0"/>
          <w:sz w:val="22"/>
        </w:rPr>
        <w:t xml:space="preserve"> progress. In doing so, Criterion 8 ensures that quality enhancement is not treated as a one-time exercise but as an embedded, ongoing culture within the institution.</w:t>
      </w:r>
    </w:p>
    <w:p>
      <w:pPr>
        <w:spacing w:after="160" w:line="276" w:lineRule="auto"/>
        <w:jc w:val="both"/>
      </w:pPr>
      <w:r>
        <w:rPr>
          <w:rFonts w:ascii="Cambria" w:hAnsi="Cambria"/>
          <w:b w:val="0"/>
          <w:i w:val="0"/>
          <w:sz w:val="22"/>
        </w:rPr>
        <w:t>In summary, Criterion 8 functions as a powerful mechanism to foster accountability, transparency, and progress within higher education institutions. By requiring demonstrable evidence of corrective action and improvement, it ensures that institutions remain dynamic, student-centered, and aligned with both national and global standards of academic excellence.</w:t>
      </w:r>
    </w:p>
    <w:p>
      <w:r>
        <w:br w:type="page"/>
      </w:r>
    </w:p>
    <w:p>
      <w:pPr>
        <w:spacing w:after="240" w:line="276" w:lineRule="auto"/>
        <w:jc w:val="center"/>
      </w:pPr>
      <w:r>
        <w:rPr>
          <w:rFonts w:ascii="Cambria" w:hAnsi="Cambria"/>
          <w:b/>
          <w:i w:val="0"/>
          <w:color w:val="FF0000"/>
          <w:sz w:val="26"/>
        </w:rPr>
        <w:t>Table of Contents</w:t>
      </w:r>
    </w:p>
    <w:tbl>
      <w:tblPr>
        <w:tblStyle w:val="TableGrid"/>
        <w:tblW w:type="auto" w:w="0"/>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spacing w:after="40" w:line="240" w:lineRule="auto"/>
              <w:jc w:val="center"/>
            </w:pPr>
            <w:r/>
            <w:r>
              <w:rPr>
                <w:rFonts w:ascii="Cambria" w:hAnsi="Cambria"/>
                <w:b/>
                <w:color w:val="FFFFFF"/>
                <w:sz w:val="20"/>
              </w:rPr>
              <w:t>S. No</w:t>
            </w:r>
          </w:p>
        </w:tc>
        <w:tc>
          <w:tcPr>
            <w:tcW w:type="dxa" w:w="7540"/>
            <w:shd w:val="clear" w:color="auto" w:fill="1F3A5F"/>
          </w:tcPr>
          <w:p>
            <w:pPr>
              <w:spacing w:after="40" w:line="240" w:lineRule="auto"/>
              <w:jc w:val="left"/>
            </w:pPr>
            <w:r/>
            <w:r>
              <w:rPr>
                <w:rFonts w:ascii="Cambria" w:hAnsi="Cambria"/>
                <w:b/>
                <w:color w:val="FFFFFF"/>
                <w:sz w:val="20"/>
              </w:rPr>
              <w:t>Name of the Content</w:t>
            </w:r>
          </w:p>
        </w:tc>
        <w:tc>
          <w:tcPr>
            <w:tcW w:type="dxa" w:w="1020"/>
            <w:shd w:val="clear" w:color="auto" w:fill="1F3A5F"/>
          </w:tcPr>
          <w:p>
            <w:pPr>
              <w:spacing w:after="40" w:line="240" w:lineRule="auto"/>
              <w:jc w:val="center"/>
            </w:pPr>
            <w:r/>
            <w:r>
              <w:rPr>
                <w:rFonts w:ascii="Cambria" w:hAnsi="Cambria"/>
                <w:b/>
                <w:color w:val="FFFFFF"/>
                <w:sz w:val="20"/>
              </w:rPr>
              <w:t>Pg.No</w:t>
            </w:r>
          </w:p>
        </w:tc>
      </w:tr>
      <w:tr>
        <w:tc>
          <w:tcPr>
            <w:tcW w:type="dxa" w:w="850"/>
          </w:tcPr>
          <w:p>
            <w:pPr>
              <w:spacing w:after="40" w:line="240" w:lineRule="auto"/>
              <w:jc w:val="center"/>
            </w:pPr>
            <w:r/>
            <w:r>
              <w:rPr>
                <w:rFonts w:ascii="Cambria" w:hAnsi="Cambria"/>
                <w:b w:val="0"/>
                <w:sz w:val="19"/>
              </w:rPr>
              <w:t>1</w:t>
            </w:r>
          </w:p>
        </w:tc>
        <w:tc>
          <w:tcPr>
            <w:tcW w:type="dxa" w:w="7540"/>
          </w:tcPr>
          <w:p>
            <w:pPr>
              <w:spacing w:after="40" w:line="240" w:lineRule="auto"/>
              <w:jc w:val="left"/>
            </w:pPr>
            <w:r/>
            <w:r>
              <w:rPr>
                <w:rFonts w:ascii="Cambria" w:hAnsi="Cambria"/>
                <w:b/>
                <w:sz w:val="19"/>
              </w:rPr>
              <w:t>Introduction</w:t>
            </w:r>
          </w:p>
        </w:tc>
        <w:tc>
          <w:tcPr>
            <w:tcW w:type="dxa" w:w="1020"/>
          </w:tcPr>
          <w:p>
            <w:pPr>
              <w:spacing w:after="40" w:line="240" w:lineRule="auto"/>
              <w:jc w:val="center"/>
            </w:pPr>
            <w:r/>
            <w:r>
              <w:rPr>
                <w:rFonts w:ascii="Cambria" w:hAnsi="Cambria"/>
                <w:b w:val="0"/>
                <w:sz w:val="19"/>
              </w:rPr>
              <w:t>001</w:t>
            </w:r>
          </w:p>
        </w:tc>
      </w:tr>
      <w:tr>
        <w:tc>
          <w:tcPr>
            <w:tcW w:type="dxa" w:w="850"/>
          </w:tcPr>
          <w:p>
            <w:pPr>
              <w:spacing w:after="40" w:line="240" w:lineRule="auto"/>
              <w:jc w:val="center"/>
            </w:pPr>
            <w:r/>
            <w:r>
              <w:rPr>
                <w:rFonts w:ascii="Cambria" w:hAnsi="Cambria"/>
                <w:b w:val="0"/>
                <w:sz w:val="19"/>
              </w:rPr>
              <w:t>2</w:t>
            </w:r>
          </w:p>
        </w:tc>
        <w:tc>
          <w:tcPr>
            <w:tcW w:type="dxa" w:w="7540"/>
          </w:tcPr>
          <w:p>
            <w:pPr>
              <w:spacing w:after="40" w:line="240" w:lineRule="auto"/>
              <w:jc w:val="left"/>
            </w:pPr>
            <w:r/>
            <w:r>
              <w:rPr>
                <w:rFonts w:ascii="Cambria" w:hAnsi="Cambria"/>
                <w:b/>
                <w:sz w:val="19"/>
              </w:rPr>
              <w:t>Criterion 8: Continuous Improvement</w:t>
            </w:r>
          </w:p>
        </w:tc>
        <w:tc>
          <w:tcPr>
            <w:tcW w:type="dxa" w:w="1020"/>
          </w:tcPr>
          <w:p>
            <w:pPr>
              <w:spacing w:after="40" w:line="240" w:lineRule="auto"/>
              <w:jc w:val="center"/>
            </w:pPr>
            <w:r/>
            <w:r>
              <w:rPr>
                <w:rFonts w:ascii="Cambria" w:hAnsi="Cambria"/>
                <w:b w:val="0"/>
                <w:sz w:val="19"/>
              </w:rPr>
              <w:t>003</w:t>
            </w:r>
          </w:p>
        </w:tc>
      </w:tr>
      <w:tr>
        <w:tc>
          <w:tcPr>
            <w:tcW w:type="dxa" w:w="850"/>
          </w:tcPr>
          <w:p>
            <w:pPr>
              <w:spacing w:after="40" w:line="240" w:lineRule="auto"/>
              <w:jc w:val="center"/>
            </w:pPr>
            <w:r/>
            <w:r>
              <w:rPr>
                <w:rFonts w:ascii="Cambria" w:hAnsi="Cambria"/>
                <w:b w:val="0"/>
                <w:sz w:val="19"/>
              </w:rPr>
              <w:t>3</w:t>
            </w:r>
          </w:p>
        </w:tc>
        <w:tc>
          <w:tcPr>
            <w:tcW w:type="dxa" w:w="7540"/>
          </w:tcPr>
          <w:p>
            <w:pPr>
              <w:spacing w:after="40" w:line="240" w:lineRule="auto"/>
              <w:jc w:val="left"/>
            </w:pPr>
            <w:r/>
            <w:r>
              <w:rPr>
                <w:rFonts w:ascii="Cambria" w:hAnsi="Cambria"/>
                <w:b/>
                <w:sz w:val="19"/>
              </w:rPr>
              <w:t>Actions Taken Based on the Results of Evaluation of the COs, POs, and PSOs</w:t>
            </w:r>
          </w:p>
        </w:tc>
        <w:tc>
          <w:tcPr>
            <w:tcW w:type="dxa" w:w="1020"/>
          </w:tcPr>
          <w:p>
            <w:pPr>
              <w:spacing w:after="40" w:line="240" w:lineRule="auto"/>
              <w:jc w:val="center"/>
            </w:pPr>
            <w:r/>
            <w:r>
              <w:rPr>
                <w:rFonts w:ascii="Cambria" w:hAnsi="Cambria"/>
                <w:b w:val="0"/>
                <w:sz w:val="19"/>
              </w:rPr>
              <w:t>006</w:t>
            </w:r>
          </w:p>
        </w:tc>
      </w:tr>
      <w:tr>
        <w:tc>
          <w:tcPr>
            <w:tcW w:type="dxa" w:w="850"/>
          </w:tcPr>
          <w:p>
            <w:pPr>
              <w:spacing w:after="40" w:line="240" w:lineRule="auto"/>
              <w:jc w:val="center"/>
            </w:pPr>
            <w:r/>
            <w:r>
              <w:rPr>
                <w:rFonts w:ascii="Cambria" w:hAnsi="Cambria"/>
                <w:b w:val="0"/>
                <w:sz w:val="19"/>
              </w:rPr>
              <w:t>4</w:t>
            </w:r>
          </w:p>
        </w:tc>
        <w:tc>
          <w:tcPr>
            <w:tcW w:type="dxa" w:w="7540"/>
          </w:tcPr>
          <w:p>
            <w:pPr>
              <w:spacing w:after="40" w:line="240" w:lineRule="auto"/>
              <w:jc w:val="left"/>
            </w:pPr>
            <w:r/>
            <w:r>
              <w:rPr>
                <w:rFonts w:ascii="Cambria" w:hAnsi="Cambria"/>
                <w:b/>
                <w:sz w:val="19"/>
              </w:rPr>
              <w:t>Actions Taken Based on the Results of Evaluation of the COs Attainment</w:t>
            </w:r>
          </w:p>
        </w:tc>
        <w:tc>
          <w:tcPr>
            <w:tcW w:type="dxa" w:w="1020"/>
          </w:tcPr>
          <w:p>
            <w:pPr>
              <w:spacing w:after="40" w:line="240" w:lineRule="auto"/>
              <w:jc w:val="center"/>
            </w:pPr>
            <w:r/>
            <w:r>
              <w:rPr>
                <w:rFonts w:ascii="Cambria" w:hAnsi="Cambria"/>
                <w:b w:val="0"/>
                <w:sz w:val="19"/>
              </w:rPr>
              <w:t>008</w:t>
            </w:r>
          </w:p>
        </w:tc>
      </w:tr>
      <w:tr>
        <w:tc>
          <w:tcPr>
            <w:tcW w:type="dxa" w:w="850"/>
          </w:tcPr>
          <w:p>
            <w:pPr>
              <w:spacing w:after="40" w:line="240" w:lineRule="auto"/>
              <w:jc w:val="center"/>
            </w:pPr>
            <w:r/>
            <w:r>
              <w:rPr>
                <w:rFonts w:ascii="Cambria" w:hAnsi="Cambria"/>
                <w:b w:val="0"/>
                <w:sz w:val="19"/>
              </w:rPr>
              <w:t>5</w:t>
            </w:r>
          </w:p>
        </w:tc>
        <w:tc>
          <w:tcPr>
            <w:tcW w:type="dxa" w:w="7540"/>
          </w:tcPr>
          <w:p>
            <w:pPr>
              <w:spacing w:after="40" w:line="240" w:lineRule="auto"/>
              <w:jc w:val="left"/>
            </w:pPr>
            <w:r/>
            <w:r>
              <w:rPr>
                <w:rFonts w:ascii="Cambria" w:hAnsi="Cambria"/>
                <w:b/>
                <w:sz w:val="19"/>
              </w:rPr>
              <w:t>Action Taken Reports (ATR) of Faculty Meetings and DAB (Department Advisory Board) Discussions</w:t>
            </w:r>
          </w:p>
        </w:tc>
        <w:tc>
          <w:tcPr>
            <w:tcW w:type="dxa" w:w="1020"/>
          </w:tcPr>
          <w:p>
            <w:pPr>
              <w:spacing w:after="40" w:line="240" w:lineRule="auto"/>
              <w:jc w:val="center"/>
            </w:pPr>
            <w:r/>
            <w:r>
              <w:rPr>
                <w:rFonts w:ascii="Cambria" w:hAnsi="Cambria"/>
                <w:b w:val="0"/>
                <w:sz w:val="19"/>
              </w:rPr>
              <w:t>011</w:t>
            </w:r>
          </w:p>
        </w:tc>
      </w:tr>
      <w:tr>
        <w:tc>
          <w:tcPr>
            <w:tcW w:type="dxa" w:w="850"/>
          </w:tcPr>
          <w:p>
            <w:pPr>
              <w:spacing w:after="40" w:line="240" w:lineRule="auto"/>
              <w:jc w:val="center"/>
            </w:pPr>
            <w:r/>
            <w:r>
              <w:rPr>
                <w:rFonts w:ascii="Cambria" w:hAnsi="Cambria"/>
                <w:b w:val="0"/>
                <w:sz w:val="19"/>
              </w:rPr>
              <w:t>6</w:t>
            </w:r>
          </w:p>
        </w:tc>
        <w:tc>
          <w:tcPr>
            <w:tcW w:type="dxa" w:w="7540"/>
          </w:tcPr>
          <w:p>
            <w:pPr>
              <w:spacing w:after="40" w:line="240" w:lineRule="auto"/>
              <w:jc w:val="left"/>
            </w:pPr>
            <w:r/>
            <w:r>
              <w:rPr>
                <w:rFonts w:ascii="Cambria" w:hAnsi="Cambria"/>
                <w:b/>
                <w:sz w:val="19"/>
              </w:rPr>
              <w:t>Improved Attainment Charts after Actions Were Implemented</w:t>
            </w:r>
          </w:p>
        </w:tc>
        <w:tc>
          <w:tcPr>
            <w:tcW w:type="dxa" w:w="1020"/>
          </w:tcPr>
          <w:p>
            <w:pPr>
              <w:spacing w:after="40" w:line="240" w:lineRule="auto"/>
              <w:jc w:val="center"/>
            </w:pPr>
            <w:r/>
            <w:r>
              <w:rPr>
                <w:rFonts w:ascii="Cambria" w:hAnsi="Cambria"/>
                <w:b w:val="0"/>
                <w:sz w:val="19"/>
              </w:rPr>
              <w:t>013</w:t>
            </w:r>
          </w:p>
        </w:tc>
      </w:tr>
      <w:tr>
        <w:tc>
          <w:tcPr>
            <w:tcW w:type="dxa" w:w="850"/>
          </w:tcPr>
          <w:p>
            <w:pPr>
              <w:spacing w:after="40" w:line="240" w:lineRule="auto"/>
              <w:jc w:val="center"/>
            </w:pPr>
            <w:r/>
            <w:r>
              <w:rPr>
                <w:rFonts w:ascii="Cambria" w:hAnsi="Cambria"/>
                <w:b w:val="0"/>
                <w:sz w:val="19"/>
              </w:rPr>
              <w:t>7</w:t>
            </w:r>
          </w:p>
        </w:tc>
        <w:tc>
          <w:tcPr>
            <w:tcW w:type="dxa" w:w="7540"/>
          </w:tcPr>
          <w:p>
            <w:pPr>
              <w:spacing w:after="40" w:line="240" w:lineRule="auto"/>
              <w:jc w:val="left"/>
            </w:pPr>
            <w:r/>
            <w:r>
              <w:rPr>
                <w:rFonts w:ascii="Cambria" w:hAnsi="Cambria"/>
                <w:b/>
                <w:sz w:val="19"/>
              </w:rPr>
              <w:t>Records of Remedial Classes, Workshops, Bridge Courses, and FDPs</w:t>
            </w:r>
          </w:p>
        </w:tc>
        <w:tc>
          <w:tcPr>
            <w:tcW w:type="dxa" w:w="1020"/>
          </w:tcPr>
          <w:p>
            <w:pPr>
              <w:spacing w:after="40" w:line="240" w:lineRule="auto"/>
              <w:jc w:val="center"/>
            </w:pPr>
            <w:r/>
            <w:r>
              <w:rPr>
                <w:rFonts w:ascii="Cambria" w:hAnsi="Cambria"/>
                <w:b w:val="0"/>
                <w:sz w:val="19"/>
              </w:rPr>
              <w:t>014</w:t>
            </w:r>
          </w:p>
        </w:tc>
      </w:tr>
      <w:tr>
        <w:tc>
          <w:tcPr>
            <w:tcW w:type="dxa" w:w="850"/>
          </w:tcPr>
          <w:p>
            <w:pPr>
              <w:spacing w:after="40" w:line="240" w:lineRule="auto"/>
              <w:jc w:val="center"/>
            </w:pPr>
            <w:r/>
            <w:r>
              <w:rPr>
                <w:rFonts w:ascii="Cambria" w:hAnsi="Cambria"/>
                <w:b w:val="0"/>
                <w:sz w:val="19"/>
              </w:rPr>
              <w:t>8</w:t>
            </w:r>
          </w:p>
        </w:tc>
        <w:tc>
          <w:tcPr>
            <w:tcW w:type="dxa" w:w="7540"/>
          </w:tcPr>
          <w:p>
            <w:pPr>
              <w:spacing w:after="40" w:line="240" w:lineRule="auto"/>
              <w:jc w:val="left"/>
            </w:pPr>
            <w:r/>
            <w:r>
              <w:rPr>
                <w:rFonts w:ascii="Cambria" w:hAnsi="Cambria"/>
                <w:b/>
                <w:sz w:val="19"/>
              </w:rPr>
              <w:t>CO Attainment Reports (course-wise, year-wise)</w:t>
            </w:r>
          </w:p>
        </w:tc>
        <w:tc>
          <w:tcPr>
            <w:tcW w:type="dxa" w:w="1020"/>
          </w:tcPr>
          <w:p>
            <w:pPr>
              <w:spacing w:after="40" w:line="240" w:lineRule="auto"/>
              <w:jc w:val="center"/>
            </w:pPr>
            <w:r/>
            <w:r>
              <w:rPr>
                <w:rFonts w:ascii="Cambria" w:hAnsi="Cambria"/>
                <w:b w:val="0"/>
                <w:sz w:val="19"/>
              </w:rPr>
              <w:t>016</w:t>
            </w:r>
          </w:p>
        </w:tc>
      </w:tr>
      <w:tr>
        <w:tc>
          <w:tcPr>
            <w:tcW w:type="dxa" w:w="850"/>
          </w:tcPr>
          <w:p>
            <w:pPr>
              <w:spacing w:after="40" w:line="240" w:lineRule="auto"/>
              <w:jc w:val="center"/>
            </w:pPr>
            <w:r/>
            <w:r>
              <w:rPr>
                <w:rFonts w:ascii="Cambria" w:hAnsi="Cambria"/>
                <w:b w:val="0"/>
                <w:sz w:val="19"/>
              </w:rPr>
              <w:t>9</w:t>
            </w:r>
          </w:p>
        </w:tc>
        <w:tc>
          <w:tcPr>
            <w:tcW w:type="dxa" w:w="7540"/>
          </w:tcPr>
          <w:p>
            <w:pPr>
              <w:spacing w:after="40" w:line="240" w:lineRule="auto"/>
              <w:jc w:val="left"/>
            </w:pPr>
            <w:r/>
            <w:r>
              <w:rPr>
                <w:rFonts w:ascii="Cambria" w:hAnsi="Cambria"/>
                <w:b/>
                <w:sz w:val="19"/>
              </w:rPr>
              <w:t>Actions Taken Based on the Results of Evaluation of the POs/PSOs Attainment</w:t>
            </w:r>
          </w:p>
        </w:tc>
        <w:tc>
          <w:tcPr>
            <w:tcW w:type="dxa" w:w="1020"/>
          </w:tcPr>
          <w:p>
            <w:pPr>
              <w:spacing w:after="40" w:line="240" w:lineRule="auto"/>
              <w:jc w:val="center"/>
            </w:pPr>
            <w:r/>
            <w:r>
              <w:rPr>
                <w:rFonts w:ascii="Cambria" w:hAnsi="Cambria"/>
                <w:b w:val="0"/>
                <w:sz w:val="19"/>
              </w:rPr>
              <w:t>018</w:t>
            </w:r>
          </w:p>
        </w:tc>
      </w:tr>
      <w:tr>
        <w:tc>
          <w:tcPr>
            <w:tcW w:type="dxa" w:w="850"/>
          </w:tcPr>
          <w:p>
            <w:pPr>
              <w:spacing w:after="40" w:line="240" w:lineRule="auto"/>
              <w:jc w:val="center"/>
            </w:pPr>
            <w:r/>
            <w:r>
              <w:rPr>
                <w:rFonts w:ascii="Cambria" w:hAnsi="Cambria"/>
                <w:b w:val="0"/>
                <w:sz w:val="19"/>
              </w:rPr>
              <w:t>10</w:t>
            </w:r>
          </w:p>
        </w:tc>
        <w:tc>
          <w:tcPr>
            <w:tcW w:type="dxa" w:w="7540"/>
          </w:tcPr>
          <w:p>
            <w:pPr>
              <w:spacing w:after="40" w:line="240" w:lineRule="auto"/>
              <w:jc w:val="left"/>
            </w:pPr>
            <w:r/>
            <w:r>
              <w:rPr>
                <w:rFonts w:ascii="Cambria" w:hAnsi="Cambria"/>
                <w:b/>
                <w:sz w:val="19"/>
              </w:rPr>
              <w:t>PO/PSO Attainment Analysis Reports (year-wise)</w:t>
            </w:r>
          </w:p>
        </w:tc>
        <w:tc>
          <w:tcPr>
            <w:tcW w:type="dxa" w:w="1020"/>
          </w:tcPr>
          <w:p>
            <w:pPr>
              <w:spacing w:after="40" w:line="240" w:lineRule="auto"/>
              <w:jc w:val="center"/>
            </w:pPr>
            <w:r/>
            <w:r>
              <w:rPr>
                <w:rFonts w:ascii="Cambria" w:hAnsi="Cambria"/>
                <w:b w:val="0"/>
                <w:sz w:val="19"/>
              </w:rPr>
              <w:t>020</w:t>
            </w:r>
          </w:p>
        </w:tc>
      </w:tr>
      <w:tr>
        <w:tc>
          <w:tcPr>
            <w:tcW w:type="dxa" w:w="850"/>
          </w:tcPr>
          <w:p>
            <w:pPr>
              <w:spacing w:after="40" w:line="240" w:lineRule="auto"/>
              <w:jc w:val="center"/>
            </w:pPr>
            <w:r/>
            <w:r>
              <w:rPr>
                <w:rFonts w:ascii="Cambria" w:hAnsi="Cambria"/>
                <w:b w:val="0"/>
                <w:sz w:val="19"/>
              </w:rPr>
              <w:t>11</w:t>
            </w:r>
          </w:p>
        </w:tc>
        <w:tc>
          <w:tcPr>
            <w:tcW w:type="dxa" w:w="7540"/>
          </w:tcPr>
          <w:p>
            <w:pPr>
              <w:spacing w:after="40" w:line="240" w:lineRule="auto"/>
              <w:jc w:val="left"/>
            </w:pPr>
            <w:r/>
            <w:r>
              <w:rPr>
                <w:rFonts w:ascii="Cambria" w:hAnsi="Cambria"/>
                <w:b/>
                <w:sz w:val="19"/>
              </w:rPr>
              <w:t>Improvement Charts: PO/PSO Attainment Before vs. After Interventions (CAYm2 → CAYm1 → CAY)</w:t>
            </w:r>
          </w:p>
        </w:tc>
        <w:tc>
          <w:tcPr>
            <w:tcW w:type="dxa" w:w="1020"/>
          </w:tcPr>
          <w:p>
            <w:pPr>
              <w:spacing w:after="40" w:line="240" w:lineRule="auto"/>
              <w:jc w:val="center"/>
            </w:pPr>
            <w:r/>
            <w:r>
              <w:rPr>
                <w:rFonts w:ascii="Cambria" w:hAnsi="Cambria"/>
                <w:b w:val="0"/>
                <w:sz w:val="19"/>
              </w:rPr>
              <w:t>022</w:t>
            </w:r>
          </w:p>
        </w:tc>
      </w:tr>
      <w:tr>
        <w:tc>
          <w:tcPr>
            <w:tcW w:type="dxa" w:w="850"/>
          </w:tcPr>
          <w:p>
            <w:pPr>
              <w:spacing w:after="40" w:line="240" w:lineRule="auto"/>
              <w:jc w:val="center"/>
            </w:pPr>
            <w:r/>
            <w:r>
              <w:rPr>
                <w:rFonts w:ascii="Cambria" w:hAnsi="Cambria"/>
                <w:b w:val="0"/>
                <w:sz w:val="19"/>
              </w:rPr>
              <w:t>12</w:t>
            </w:r>
          </w:p>
        </w:tc>
        <w:tc>
          <w:tcPr>
            <w:tcW w:type="dxa" w:w="7540"/>
          </w:tcPr>
          <w:p>
            <w:pPr>
              <w:spacing w:after="40" w:line="240" w:lineRule="auto"/>
              <w:jc w:val="left"/>
            </w:pPr>
            <w:r/>
            <w:r>
              <w:rPr>
                <w:rFonts w:ascii="Cambria" w:hAnsi="Cambria"/>
                <w:b/>
                <w:sz w:val="19"/>
              </w:rPr>
              <w:t>Identification of GAPS in CO, PO, and PSO attainment</w:t>
            </w:r>
          </w:p>
        </w:tc>
        <w:tc>
          <w:tcPr>
            <w:tcW w:type="dxa" w:w="1020"/>
          </w:tcPr>
          <w:p>
            <w:pPr>
              <w:spacing w:after="40" w:line="240" w:lineRule="auto"/>
              <w:jc w:val="center"/>
            </w:pPr>
            <w:r/>
            <w:r>
              <w:rPr>
                <w:rFonts w:ascii="Cambria" w:hAnsi="Cambria"/>
                <w:b w:val="0"/>
                <w:sz w:val="19"/>
              </w:rPr>
              <w:t>024</w:t>
            </w:r>
          </w:p>
        </w:tc>
      </w:tr>
      <w:tr>
        <w:tc>
          <w:tcPr>
            <w:tcW w:type="dxa" w:w="850"/>
          </w:tcPr>
          <w:p>
            <w:pPr>
              <w:spacing w:after="40" w:line="240" w:lineRule="auto"/>
              <w:jc w:val="center"/>
            </w:pPr>
            <w:r/>
            <w:r>
              <w:rPr>
                <w:rFonts w:ascii="Cambria" w:hAnsi="Cambria"/>
                <w:b w:val="0"/>
                <w:sz w:val="19"/>
              </w:rPr>
              <w:t>13</w:t>
            </w:r>
          </w:p>
        </w:tc>
        <w:tc>
          <w:tcPr>
            <w:tcW w:type="dxa" w:w="7540"/>
          </w:tcPr>
          <w:p>
            <w:pPr>
              <w:spacing w:after="40" w:line="240" w:lineRule="auto"/>
              <w:jc w:val="left"/>
            </w:pPr>
            <w:r/>
            <w:r>
              <w:rPr>
                <w:rFonts w:ascii="Cambria" w:hAnsi="Cambria"/>
                <w:b/>
                <w:sz w:val="19"/>
              </w:rPr>
              <w:t>Target Attainment Fixing Policy</w:t>
            </w:r>
          </w:p>
        </w:tc>
        <w:tc>
          <w:tcPr>
            <w:tcW w:type="dxa" w:w="1020"/>
          </w:tcPr>
          <w:p>
            <w:pPr>
              <w:spacing w:after="40" w:line="240" w:lineRule="auto"/>
              <w:jc w:val="center"/>
            </w:pPr>
            <w:r/>
            <w:r>
              <w:rPr>
                <w:rFonts w:ascii="Cambria" w:hAnsi="Cambria"/>
                <w:b w:val="0"/>
                <w:sz w:val="19"/>
              </w:rPr>
              <w:t>026</w:t>
            </w:r>
          </w:p>
        </w:tc>
      </w:tr>
      <w:tr>
        <w:tc>
          <w:tcPr>
            <w:tcW w:type="dxa" w:w="850"/>
          </w:tcPr>
          <w:p>
            <w:pPr>
              <w:spacing w:after="40" w:line="240" w:lineRule="auto"/>
              <w:jc w:val="center"/>
            </w:pPr>
            <w:r/>
            <w:r>
              <w:rPr>
                <w:rFonts w:ascii="Cambria" w:hAnsi="Cambria"/>
                <w:b w:val="0"/>
                <w:sz w:val="19"/>
              </w:rPr>
              <w:t>14</w:t>
            </w:r>
          </w:p>
        </w:tc>
        <w:tc>
          <w:tcPr>
            <w:tcW w:type="dxa" w:w="7540"/>
          </w:tcPr>
          <w:p>
            <w:pPr>
              <w:spacing w:after="40" w:line="240" w:lineRule="auto"/>
              <w:jc w:val="left"/>
            </w:pPr>
            <w:r/>
            <w:r>
              <w:rPr>
                <w:rFonts w:ascii="Cambria" w:hAnsi="Cambria"/>
                <w:b/>
                <w:sz w:val="19"/>
              </w:rPr>
              <w:t>Academic Audit and Actions Taken Thereof during the Period of Assessment</w:t>
            </w:r>
          </w:p>
        </w:tc>
        <w:tc>
          <w:tcPr>
            <w:tcW w:type="dxa" w:w="1020"/>
          </w:tcPr>
          <w:p>
            <w:pPr>
              <w:spacing w:after="40" w:line="240" w:lineRule="auto"/>
              <w:jc w:val="center"/>
            </w:pPr>
            <w:r/>
            <w:r>
              <w:rPr>
                <w:rFonts w:ascii="Cambria" w:hAnsi="Cambria"/>
                <w:b w:val="0"/>
                <w:sz w:val="19"/>
              </w:rPr>
              <w:t>028</w:t>
            </w:r>
          </w:p>
        </w:tc>
      </w:tr>
      <w:tr>
        <w:tc>
          <w:tcPr>
            <w:tcW w:type="dxa" w:w="850"/>
          </w:tcPr>
          <w:p>
            <w:pPr>
              <w:spacing w:after="40" w:line="240" w:lineRule="auto"/>
              <w:jc w:val="center"/>
            </w:pPr>
            <w:r/>
            <w:r>
              <w:rPr>
                <w:rFonts w:ascii="Cambria" w:hAnsi="Cambria"/>
                <w:b w:val="0"/>
                <w:sz w:val="19"/>
              </w:rPr>
              <w:t>15</w:t>
            </w:r>
          </w:p>
        </w:tc>
        <w:tc>
          <w:tcPr>
            <w:tcW w:type="dxa" w:w="7540"/>
          </w:tcPr>
          <w:p>
            <w:pPr>
              <w:spacing w:after="40" w:line="240" w:lineRule="auto"/>
              <w:jc w:val="left"/>
            </w:pPr>
            <w:r/>
            <w:r>
              <w:rPr>
                <w:rFonts w:ascii="Cambria" w:hAnsi="Cambria"/>
                <w:b/>
                <w:sz w:val="19"/>
              </w:rPr>
              <w:t>Academic Audit Reports (year-wise)</w:t>
            </w:r>
          </w:p>
        </w:tc>
        <w:tc>
          <w:tcPr>
            <w:tcW w:type="dxa" w:w="1020"/>
          </w:tcPr>
          <w:p>
            <w:pPr>
              <w:spacing w:after="40" w:line="240" w:lineRule="auto"/>
              <w:jc w:val="center"/>
            </w:pPr>
            <w:r/>
            <w:r>
              <w:rPr>
                <w:rFonts w:ascii="Cambria" w:hAnsi="Cambria"/>
                <w:b w:val="0"/>
                <w:sz w:val="19"/>
              </w:rPr>
              <w:t>030</w:t>
            </w:r>
          </w:p>
        </w:tc>
      </w:tr>
      <w:tr>
        <w:tc>
          <w:tcPr>
            <w:tcW w:type="dxa" w:w="850"/>
          </w:tcPr>
          <w:p>
            <w:pPr>
              <w:spacing w:after="40" w:line="240" w:lineRule="auto"/>
              <w:jc w:val="center"/>
            </w:pPr>
            <w:r/>
            <w:r>
              <w:rPr>
                <w:rFonts w:ascii="Cambria" w:hAnsi="Cambria"/>
                <w:b w:val="0"/>
                <w:sz w:val="19"/>
              </w:rPr>
              <w:t>16</w:t>
            </w:r>
          </w:p>
        </w:tc>
        <w:tc>
          <w:tcPr>
            <w:tcW w:type="dxa" w:w="7540"/>
          </w:tcPr>
          <w:p>
            <w:pPr>
              <w:spacing w:after="40" w:line="240" w:lineRule="auto"/>
              <w:jc w:val="left"/>
            </w:pPr>
            <w:r/>
            <w:r>
              <w:rPr>
                <w:rFonts w:ascii="Cambria" w:hAnsi="Cambria"/>
                <w:b/>
                <w:sz w:val="19"/>
              </w:rPr>
              <w:t>Minutes of Academic Audit Meetings with Recommendations</w:t>
            </w:r>
          </w:p>
        </w:tc>
        <w:tc>
          <w:tcPr>
            <w:tcW w:type="dxa" w:w="1020"/>
          </w:tcPr>
          <w:p>
            <w:pPr>
              <w:spacing w:after="40" w:line="240" w:lineRule="auto"/>
              <w:jc w:val="center"/>
            </w:pPr>
            <w:r/>
            <w:r>
              <w:rPr>
                <w:rFonts w:ascii="Cambria" w:hAnsi="Cambria"/>
                <w:b w:val="0"/>
                <w:sz w:val="19"/>
              </w:rPr>
              <w:t>032</w:t>
            </w:r>
          </w:p>
        </w:tc>
      </w:tr>
      <w:tr>
        <w:tc>
          <w:tcPr>
            <w:tcW w:type="dxa" w:w="850"/>
          </w:tcPr>
          <w:p>
            <w:pPr>
              <w:spacing w:after="40" w:line="240" w:lineRule="auto"/>
              <w:jc w:val="center"/>
            </w:pPr>
            <w:r/>
            <w:r>
              <w:rPr>
                <w:rFonts w:ascii="Cambria" w:hAnsi="Cambria"/>
                <w:b w:val="0"/>
                <w:sz w:val="19"/>
              </w:rPr>
              <w:t>17</w:t>
            </w:r>
          </w:p>
        </w:tc>
        <w:tc>
          <w:tcPr>
            <w:tcW w:type="dxa" w:w="7540"/>
          </w:tcPr>
          <w:p>
            <w:pPr>
              <w:spacing w:after="40" w:line="240" w:lineRule="auto"/>
              <w:jc w:val="left"/>
            </w:pPr>
            <w:r/>
            <w:r>
              <w:rPr>
                <w:rFonts w:ascii="Cambria" w:hAnsi="Cambria"/>
                <w:b/>
                <w:sz w:val="19"/>
              </w:rPr>
              <w:t>Action Taken Reports (ATR) on Audit Findings</w:t>
            </w:r>
          </w:p>
        </w:tc>
        <w:tc>
          <w:tcPr>
            <w:tcW w:type="dxa" w:w="1020"/>
          </w:tcPr>
          <w:p>
            <w:pPr>
              <w:spacing w:after="40" w:line="240" w:lineRule="auto"/>
              <w:jc w:val="center"/>
            </w:pPr>
            <w:r/>
            <w:r>
              <w:rPr>
                <w:rFonts w:ascii="Cambria" w:hAnsi="Cambria"/>
                <w:b w:val="0"/>
                <w:sz w:val="19"/>
              </w:rPr>
              <w:t>034</w:t>
            </w:r>
          </w:p>
        </w:tc>
      </w:tr>
      <w:tr>
        <w:tc>
          <w:tcPr>
            <w:tcW w:type="dxa" w:w="850"/>
          </w:tcPr>
          <w:p>
            <w:pPr>
              <w:spacing w:after="40" w:line="240" w:lineRule="auto"/>
              <w:jc w:val="center"/>
            </w:pPr>
            <w:r/>
            <w:r>
              <w:rPr>
                <w:rFonts w:ascii="Cambria" w:hAnsi="Cambria"/>
                <w:b w:val="0"/>
                <w:sz w:val="19"/>
              </w:rPr>
              <w:t>18</w:t>
            </w:r>
          </w:p>
        </w:tc>
        <w:tc>
          <w:tcPr>
            <w:tcW w:type="dxa" w:w="7540"/>
          </w:tcPr>
          <w:p>
            <w:pPr>
              <w:spacing w:after="40" w:line="240" w:lineRule="auto"/>
              <w:jc w:val="left"/>
            </w:pPr>
            <w:r/>
            <w:r>
              <w:rPr>
                <w:rFonts w:ascii="Cambria" w:hAnsi="Cambria"/>
                <w:b/>
                <w:sz w:val="19"/>
              </w:rPr>
              <w:t>Improvement in Faculty Qualification/Contribution</w:t>
            </w:r>
          </w:p>
        </w:tc>
        <w:tc>
          <w:tcPr>
            <w:tcW w:type="dxa" w:w="1020"/>
          </w:tcPr>
          <w:p>
            <w:pPr>
              <w:spacing w:after="40" w:line="240" w:lineRule="auto"/>
              <w:jc w:val="center"/>
            </w:pPr>
            <w:r/>
            <w:r>
              <w:rPr>
                <w:rFonts w:ascii="Cambria" w:hAnsi="Cambria"/>
                <w:b w:val="0"/>
                <w:sz w:val="19"/>
              </w:rPr>
              <w:t>036</w:t>
            </w:r>
          </w:p>
        </w:tc>
      </w:tr>
      <w:tr>
        <w:tc>
          <w:tcPr>
            <w:tcW w:type="dxa" w:w="850"/>
          </w:tcPr>
          <w:p>
            <w:pPr>
              <w:spacing w:after="40" w:line="240" w:lineRule="auto"/>
              <w:jc w:val="center"/>
            </w:pPr>
            <w:r/>
            <w:r>
              <w:rPr>
                <w:rFonts w:ascii="Cambria" w:hAnsi="Cambria"/>
                <w:b w:val="0"/>
                <w:sz w:val="19"/>
              </w:rPr>
              <w:t>19</w:t>
            </w:r>
          </w:p>
        </w:tc>
        <w:tc>
          <w:tcPr>
            <w:tcW w:type="dxa" w:w="7540"/>
          </w:tcPr>
          <w:p>
            <w:pPr>
              <w:spacing w:after="40" w:line="240" w:lineRule="auto"/>
              <w:jc w:val="left"/>
            </w:pPr>
            <w:r/>
            <w:r>
              <w:rPr>
                <w:rFonts w:ascii="Cambria" w:hAnsi="Cambria"/>
                <w:b/>
                <w:sz w:val="19"/>
              </w:rPr>
              <w:t>Ph.D. award letters / registration certificates</w:t>
            </w:r>
          </w:p>
        </w:tc>
        <w:tc>
          <w:tcPr>
            <w:tcW w:type="dxa" w:w="1020"/>
          </w:tcPr>
          <w:p>
            <w:pPr>
              <w:spacing w:after="40" w:line="240" w:lineRule="auto"/>
              <w:jc w:val="center"/>
            </w:pPr>
            <w:r/>
            <w:r>
              <w:rPr>
                <w:rFonts w:ascii="Cambria" w:hAnsi="Cambria"/>
                <w:b w:val="0"/>
                <w:sz w:val="19"/>
              </w:rPr>
              <w:t>039</w:t>
            </w:r>
          </w:p>
        </w:tc>
      </w:tr>
      <w:tr>
        <w:tc>
          <w:tcPr>
            <w:tcW w:type="dxa" w:w="850"/>
          </w:tcPr>
          <w:p>
            <w:pPr>
              <w:spacing w:after="40" w:line="240" w:lineRule="auto"/>
              <w:jc w:val="center"/>
            </w:pPr>
            <w:r/>
            <w:r>
              <w:rPr>
                <w:rFonts w:ascii="Cambria" w:hAnsi="Cambria"/>
                <w:b w:val="0"/>
                <w:sz w:val="19"/>
              </w:rPr>
              <w:t>20</w:t>
            </w:r>
          </w:p>
        </w:tc>
        <w:tc>
          <w:tcPr>
            <w:tcW w:type="dxa" w:w="7540"/>
          </w:tcPr>
          <w:p>
            <w:pPr>
              <w:spacing w:after="40" w:line="240" w:lineRule="auto"/>
              <w:jc w:val="left"/>
            </w:pPr>
            <w:r/>
            <w:r>
              <w:rPr>
                <w:rFonts w:ascii="Cambria" w:hAnsi="Cambria"/>
                <w:b/>
                <w:sz w:val="19"/>
              </w:rPr>
              <w:t>Certificates of FDP/STTP/MOOCs</w:t>
            </w:r>
          </w:p>
        </w:tc>
        <w:tc>
          <w:tcPr>
            <w:tcW w:type="dxa" w:w="1020"/>
          </w:tcPr>
          <w:p>
            <w:pPr>
              <w:spacing w:after="40" w:line="240" w:lineRule="auto"/>
              <w:jc w:val="center"/>
            </w:pPr>
            <w:r/>
            <w:r>
              <w:rPr>
                <w:rFonts w:ascii="Cambria" w:hAnsi="Cambria"/>
                <w:b w:val="0"/>
                <w:sz w:val="19"/>
              </w:rPr>
              <w:t>040</w:t>
            </w:r>
          </w:p>
        </w:tc>
      </w:tr>
      <w:tr>
        <w:tc>
          <w:tcPr>
            <w:tcW w:type="dxa" w:w="850"/>
          </w:tcPr>
          <w:p>
            <w:pPr>
              <w:spacing w:after="40" w:line="240" w:lineRule="auto"/>
              <w:jc w:val="center"/>
            </w:pPr>
            <w:r/>
            <w:r>
              <w:rPr>
                <w:rFonts w:ascii="Cambria" w:hAnsi="Cambria"/>
                <w:b w:val="0"/>
                <w:sz w:val="19"/>
              </w:rPr>
              <w:t>21</w:t>
            </w:r>
          </w:p>
        </w:tc>
        <w:tc>
          <w:tcPr>
            <w:tcW w:type="dxa" w:w="7540"/>
          </w:tcPr>
          <w:p>
            <w:pPr>
              <w:spacing w:after="40" w:line="240" w:lineRule="auto"/>
              <w:jc w:val="left"/>
            </w:pPr>
            <w:r/>
            <w:r>
              <w:rPr>
                <w:rFonts w:ascii="Cambria" w:hAnsi="Cambria"/>
                <w:b/>
                <w:sz w:val="19"/>
              </w:rPr>
              <w:t>Publication Proofs (DOI, Scopus/WoS indexing)</w:t>
            </w:r>
          </w:p>
        </w:tc>
        <w:tc>
          <w:tcPr>
            <w:tcW w:type="dxa" w:w="1020"/>
          </w:tcPr>
          <w:p>
            <w:pPr>
              <w:spacing w:after="40" w:line="240" w:lineRule="auto"/>
              <w:jc w:val="center"/>
            </w:pPr>
            <w:r/>
            <w:r>
              <w:rPr>
                <w:rFonts w:ascii="Cambria" w:hAnsi="Cambria"/>
                <w:b w:val="0"/>
                <w:sz w:val="19"/>
              </w:rPr>
              <w:t>041</w:t>
            </w:r>
          </w:p>
        </w:tc>
      </w:tr>
      <w:tr>
        <w:tc>
          <w:tcPr>
            <w:tcW w:type="dxa" w:w="850"/>
          </w:tcPr>
          <w:p>
            <w:pPr>
              <w:spacing w:after="40" w:line="240" w:lineRule="auto"/>
              <w:jc w:val="center"/>
            </w:pPr>
            <w:r/>
            <w:r>
              <w:rPr>
                <w:rFonts w:ascii="Cambria" w:hAnsi="Cambria"/>
                <w:b w:val="0"/>
                <w:sz w:val="19"/>
              </w:rPr>
              <w:t>22</w:t>
            </w:r>
          </w:p>
        </w:tc>
        <w:tc>
          <w:tcPr>
            <w:tcW w:type="dxa" w:w="7540"/>
          </w:tcPr>
          <w:p>
            <w:pPr>
              <w:spacing w:after="40" w:line="240" w:lineRule="auto"/>
              <w:jc w:val="left"/>
            </w:pPr>
            <w:r/>
            <w:r>
              <w:rPr>
                <w:rFonts w:ascii="Cambria" w:hAnsi="Cambria"/>
                <w:b/>
                <w:sz w:val="19"/>
              </w:rPr>
              <w:t>Improvement in Academic Performance</w:t>
            </w:r>
          </w:p>
        </w:tc>
        <w:tc>
          <w:tcPr>
            <w:tcW w:type="dxa" w:w="1020"/>
          </w:tcPr>
          <w:p>
            <w:pPr>
              <w:spacing w:after="40" w:line="240" w:lineRule="auto"/>
              <w:jc w:val="center"/>
            </w:pPr>
            <w:r/>
            <w:r>
              <w:rPr>
                <w:rFonts w:ascii="Cambria" w:hAnsi="Cambria"/>
                <w:b w:val="0"/>
                <w:sz w:val="19"/>
              </w:rPr>
              <w:t>043</w:t>
            </w:r>
          </w:p>
        </w:tc>
      </w:tr>
      <w:tr>
        <w:tc>
          <w:tcPr>
            <w:tcW w:type="dxa" w:w="850"/>
          </w:tcPr>
          <w:p>
            <w:pPr>
              <w:spacing w:after="40" w:line="240" w:lineRule="auto"/>
              <w:jc w:val="center"/>
            </w:pPr>
            <w:r/>
            <w:r>
              <w:rPr>
                <w:rFonts w:ascii="Cambria" w:hAnsi="Cambria"/>
                <w:b w:val="0"/>
                <w:sz w:val="19"/>
              </w:rPr>
              <w:t>23</w:t>
            </w:r>
          </w:p>
        </w:tc>
        <w:tc>
          <w:tcPr>
            <w:tcW w:type="dxa" w:w="7540"/>
          </w:tcPr>
          <w:p>
            <w:pPr>
              <w:spacing w:after="40" w:line="240" w:lineRule="auto"/>
              <w:jc w:val="left"/>
            </w:pPr>
            <w:r/>
            <w:r>
              <w:rPr>
                <w:rFonts w:ascii="Cambria" w:hAnsi="Cambria"/>
                <w:b/>
                <w:sz w:val="19"/>
              </w:rPr>
              <w:t>Improvement in Academic Performance (API)</w:t>
            </w:r>
          </w:p>
        </w:tc>
        <w:tc>
          <w:tcPr>
            <w:tcW w:type="dxa" w:w="1020"/>
          </w:tcPr>
          <w:p>
            <w:pPr>
              <w:spacing w:after="40" w:line="240" w:lineRule="auto"/>
              <w:jc w:val="center"/>
            </w:pPr>
            <w:r/>
            <w:r>
              <w:rPr>
                <w:rFonts w:ascii="Cambria" w:hAnsi="Cambria"/>
                <w:b w:val="0"/>
                <w:sz w:val="19"/>
              </w:rPr>
              <w:t>045</w:t>
            </w:r>
          </w:p>
        </w:tc>
      </w:tr>
      <w:tr>
        <w:tc>
          <w:tcPr>
            <w:tcW w:type="dxa" w:w="850"/>
          </w:tcPr>
          <w:p>
            <w:pPr>
              <w:spacing w:after="40" w:line="240" w:lineRule="auto"/>
              <w:jc w:val="center"/>
            </w:pPr>
            <w:r/>
            <w:r>
              <w:rPr>
                <w:rFonts w:ascii="Cambria" w:hAnsi="Cambria"/>
                <w:b w:val="0"/>
                <w:sz w:val="19"/>
              </w:rPr>
              <w:t>24</w:t>
            </w:r>
          </w:p>
        </w:tc>
        <w:tc>
          <w:tcPr>
            <w:tcW w:type="dxa" w:w="7540"/>
          </w:tcPr>
          <w:p>
            <w:pPr>
              <w:spacing w:after="40" w:line="240" w:lineRule="auto"/>
              <w:jc w:val="left"/>
            </w:pPr>
            <w:r/>
            <w:r>
              <w:rPr>
                <w:rFonts w:ascii="Cambria" w:hAnsi="Cambria"/>
                <w:b/>
                <w:sz w:val="19"/>
              </w:rPr>
              <w:t>References</w:t>
            </w:r>
          </w:p>
        </w:tc>
        <w:tc>
          <w:tcPr>
            <w:tcW w:type="dxa" w:w="1020"/>
          </w:tcPr>
          <w:p>
            <w:pPr>
              <w:spacing w:after="40" w:line="240" w:lineRule="auto"/>
              <w:jc w:val="center"/>
            </w:pPr>
            <w:r/>
            <w:r>
              <w:rPr>
                <w:rFonts w:ascii="Cambria" w:hAnsi="Cambria"/>
                <w:b w:val="0"/>
                <w:sz w:val="19"/>
              </w:rPr>
              <w:t>046</w:t>
            </w:r>
          </w:p>
        </w:tc>
      </w:tr>
    </w:tbl>
    <w:p>
      <w:r>
        <w:br w:type="page"/>
      </w:r>
    </w:p>
    <w:p>
      <w:pPr>
        <w:pStyle w:val="Heading1"/>
      </w:pPr>
      <w:r>
        <w:rPr>
          <w:rFonts w:ascii="Cambria" w:hAnsi="Cambria"/>
          <w:b/>
          <w:color w:val="1F3A5F"/>
          <w:sz w:val="36"/>
        </w:rPr>
        <w:t>1. Introduction</w:t>
      </w:r>
    </w:p>
    <w:p>
      <w:pPr>
        <w:spacing w:after="160" w:line="276" w:lineRule="auto"/>
        <w:jc w:val="both"/>
      </w:pPr>
      <w:r>
        <w:rPr>
          <w:rFonts w:ascii="Cambria" w:hAnsi="Cambria"/>
          <w:b w:val="0"/>
          <w:i w:val="0"/>
          <w:sz w:val="22"/>
        </w:rPr>
        <w:t xml:space="preserve">Criterion 8, titled </w:t>
      </w:r>
      <w:r>
        <w:rPr>
          <w:rFonts w:ascii="Cambria" w:hAnsi="Cambria"/>
          <w:b w:val="0"/>
          <w:i/>
          <w:sz w:val="22"/>
        </w:rPr>
        <w:t>“Continuous Improvement,”</w:t>
      </w:r>
      <w:r>
        <w:rPr>
          <w:rFonts w:ascii="Cambria" w:hAnsi="Cambria"/>
          <w:b w:val="0"/>
          <w:i w:val="0"/>
          <w:sz w:val="22"/>
        </w:rPr>
        <w:t xml:space="preserve"> is a vital component of the NBA accreditation framework, carrying a total of 80 marks. This criterion captures the essence of the outcome-based education (OBE) philosophy by ensuring that institutions do not merely assess student learning but also utilize evaluation results to identify weaknesses, implement corrective actions, and demonstrate measurable improvements over time. It emphasizes that quality education is not static but rather a dynamic, iterative process of reflection, action, and enhancement. Through this criterion, the NBA seeks to determine whether an institution systematically “closes the loop” in its assessment processes by connecting outcome attainment data with actionable strategies for continuous quality improvement (CQI).</w:t>
      </w:r>
    </w:p>
    <w:p>
      <w:pPr>
        <w:spacing w:after="160" w:line="276" w:lineRule="auto"/>
        <w:jc w:val="both"/>
      </w:pPr>
      <w:r>
        <w:rPr>
          <w:rFonts w:ascii="Cambria" w:hAnsi="Cambria"/>
          <w:b w:val="0"/>
          <w:i w:val="0"/>
          <w:sz w:val="22"/>
        </w:rPr>
        <w:t>The core purpose of Criterion 8 is to evaluate how effectively an institution functions within the OBE framework by analyzing attainment at the Course Outcome (CO), Program Outcome (PO), and Program Specific Outcome (PSO) levels. It specifically examines whether the results of outcome attainment are meaningfully employed to identify areas of concern, implement remedial actions, and demonstrate tangible improvements in student learning, faculty performance, and institutional processes. Institutions are thus required to go beyond measuring attainment and provide evidence of corrective interventions, sustained monitoring, and year-on-year progress.</w:t>
      </w:r>
    </w:p>
    <w:p>
      <w:pPr>
        <w:spacing w:after="160" w:line="276" w:lineRule="auto"/>
        <w:jc w:val="both"/>
      </w:pPr>
      <w:r>
        <w:rPr>
          <w:rFonts w:ascii="Cambria" w:hAnsi="Cambria"/>
          <w:b w:val="0"/>
          <w:i w:val="0"/>
          <w:sz w:val="22"/>
        </w:rPr>
        <w:t xml:space="preserve">Criterion 8 is systematically structured into several critical components that collectively reflect the institution’s capacity for continuous improvement. The largest portion of marks is allocated to Actions Taken Based on the Results of Evaluation of COs, POs, and PSOs (40 marks). This section is further divided into two parts: </w:t>
      </w:r>
      <w:r>
        <w:rPr>
          <w:rFonts w:ascii="Cambria" w:hAnsi="Cambria"/>
          <w:b w:val="0"/>
          <w:i/>
          <w:sz w:val="22"/>
        </w:rPr>
        <w:t>Actions Based on CO Attainment (20 marks)</w:t>
      </w:r>
      <w:r>
        <w:rPr>
          <w:rFonts w:ascii="Cambria" w:hAnsi="Cambria"/>
          <w:b w:val="0"/>
          <w:i w:val="0"/>
          <w:sz w:val="22"/>
        </w:rPr>
        <w:t xml:space="preserve">, which focuses on semester-wise evaluation of course outcomes, identification of gaps, and corrective measures such as remedial classes, curriculum redesign, or additional practice sessions; and </w:t>
      </w:r>
      <w:r>
        <w:rPr>
          <w:rFonts w:ascii="Cambria" w:hAnsi="Cambria"/>
          <w:b w:val="0"/>
          <w:i/>
          <w:sz w:val="22"/>
        </w:rPr>
        <w:t>Actions Based on PO/PSO Attainment (20 marks)</w:t>
      </w:r>
      <w:r>
        <w:rPr>
          <w:rFonts w:ascii="Cambria" w:hAnsi="Cambria"/>
          <w:b w:val="0"/>
          <w:i w:val="0"/>
          <w:sz w:val="22"/>
        </w:rPr>
        <w:t>, which emphasizes annual aggregation of PO/PSO attainment, identification of weak POs/PSOs, and a structured two-year cycle of corrective actions to ensure measurable improvement at the program level.</w:t>
      </w:r>
    </w:p>
    <w:p>
      <w:pPr>
        <w:spacing w:after="160" w:line="276" w:lineRule="auto"/>
        <w:jc w:val="both"/>
      </w:pPr>
      <w:r>
        <w:rPr>
          <w:rFonts w:ascii="Cambria" w:hAnsi="Cambria"/>
          <w:b w:val="0"/>
          <w:i w:val="0"/>
          <w:sz w:val="22"/>
        </w:rPr>
        <w:t>In addition to outcome-based corrective actions, Criterion 8 also evaluates broader institutional processes. Academic Audit and Actions Taken (15 marks) assess the robustness of internal and external audits in reviewing teaching–learning processes, curriculum delivery, and outcome attainment. Institutions are expected to document audit recommendations, implement them effectively, and track improvements over subsequent cycles. Improvement in Faculty Qualification and Contribution (15 marks) is another important area, emphasizing year-wise enhancements in faculty strength, advanced qualifications such as Ph.D. completions, research contributions in the form of publications and patents, and professional development through Faculty Development Programs (FDPs), workshops, and professional body memberships. This ensures that faculty growth directly contributes to improving teaching quality and institutional reputation. Improvement in Academic Performance (10 marks) focuses on measurable progress in student outcomes, typically demonstrated through pass percentages across successive years, the Academic Performance Index (API), and reduced dropout rates.</w:t>
      </w:r>
    </w:p>
    <w:p>
      <w:pPr>
        <w:spacing w:after="160" w:line="276" w:lineRule="auto"/>
        <w:jc w:val="both"/>
      </w:pPr>
      <w:r>
        <w:rPr>
          <w:rFonts w:ascii="Cambria" w:hAnsi="Cambria"/>
          <w:b w:val="0"/>
          <w:i w:val="0"/>
          <w:sz w:val="22"/>
        </w:rPr>
        <w:t>A consistent theme across Criterion 8 is the emphasis on evidence-based improvement. Institutions are expected to maintain and present documented proof such as attainment reports, Action Taken Reports (ATRs), records of remedial interventions, evidence of curriculum revisions, FDP participation records, audit reports, and comparative attainment charts that clearly demonstrate the positive impact of implemented measures. This structured approach ensures that continuous improvement is not an abstract idea but a documented and measurable reality within the institution.</w:t>
      </w:r>
    </w:p>
    <w:p>
      <w:pPr>
        <w:spacing w:after="160" w:line="276" w:lineRule="auto"/>
        <w:jc w:val="both"/>
      </w:pPr>
      <w:r>
        <w:rPr>
          <w:rFonts w:ascii="Cambria" w:hAnsi="Cambria"/>
          <w:b w:val="0"/>
          <w:i w:val="0"/>
          <w:sz w:val="22"/>
        </w:rPr>
        <w:t>In essence, Criterion 8 operationalizes the philosophy of continuous quality enhancement by embedding the principles of reflection, corrective action, and measurable progress into the academic ecosystem. It positions institutions as dynamic entities that evolve in response to evidence of student learning and institutional performance, thereby ensuring that higher education programs remain relevant, accountable, and aligned with both national priorities and global benchmarks of quality.</w:t>
      </w:r>
    </w:p>
    <w:p>
      <w:r>
        <w:br w:type="page"/>
      </w:r>
    </w:p>
    <w:p>
      <w:pPr>
        <w:pStyle w:val="Heading1"/>
      </w:pPr>
      <w:r>
        <w:rPr>
          <w:rFonts w:ascii="Cambria" w:hAnsi="Cambria"/>
          <w:b/>
          <w:color w:val="1F3A5F"/>
          <w:sz w:val="36"/>
        </w:rPr>
        <w:t>2. Criterion 8: Continuous Improvement</w:t>
      </w:r>
    </w:p>
    <w:p>
      <w:pPr>
        <w:spacing w:after="160" w:line="276" w:lineRule="auto"/>
        <w:jc w:val="both"/>
      </w:pPr>
      <w:r>
        <w:rPr>
          <w:rFonts w:ascii="Cambria" w:hAnsi="Cambria"/>
          <w:b w:val="0"/>
          <w:i w:val="0"/>
          <w:sz w:val="22"/>
        </w:rPr>
        <w:t>This criterion checks whether the institution is actively using evaluation results (COs, POs, PSOs, audits, faculty/student performance) to implement corrective actions and demonstrate measurable improvement.</w:t>
      </w:r>
    </w:p>
    <w:p>
      <w:pPr>
        <w:pStyle w:val="Heading3"/>
      </w:pPr>
      <w:r>
        <w:rPr>
          <w:rFonts w:ascii="Cambria" w:hAnsi="Cambria"/>
          <w:b/>
          <w:color w:val="1F3A5F"/>
          <w:sz w:val="26"/>
        </w:rPr>
        <w:t>1. Actions Taken Based on the Results of Evaluation of the COs, POs, and PSOs (40 Marks)</w:t>
      </w:r>
    </w:p>
    <w:p>
      <w:pPr>
        <w:spacing w:after="120" w:line="276" w:lineRule="auto"/>
      </w:pPr>
      <w:r>
        <w:rPr>
          <w:rFonts w:ascii="Cambria" w:hAnsi="Cambria"/>
          <w:b/>
          <w:i/>
          <w:sz w:val="22"/>
        </w:rPr>
        <w:t>a) Actions Based on CO Attainment (20 Marks)</w:t>
      </w:r>
    </w:p>
    <w:p>
      <w:pPr>
        <w:pStyle w:val="ListBullet"/>
        <w:spacing w:after="80" w:line="276" w:lineRule="auto"/>
      </w:pPr>
      <w:r>
        <w:rPr>
          <w:rFonts w:ascii="Cambria" w:hAnsi="Cambria"/>
          <w:b/>
          <w:i w:val="0"/>
          <w:sz w:val="22"/>
        </w:rPr>
        <w:t>What it means:</w:t>
      </w:r>
    </w:p>
    <w:p>
      <w:pPr>
        <w:pStyle w:val="ListBullet2"/>
        <w:spacing w:after="80" w:line="276" w:lineRule="auto"/>
      </w:pPr>
      <w:r>
        <w:rPr>
          <w:rFonts w:ascii="Cambria" w:hAnsi="Cambria"/>
          <w:b w:val="0"/>
          <w:i w:val="0"/>
          <w:sz w:val="22"/>
        </w:rPr>
        <w:t>After each semester, CO attainment is evaluated (direct + indirect methods).</w:t>
      </w:r>
    </w:p>
    <w:p>
      <w:pPr>
        <w:pStyle w:val="ListBullet2"/>
        <w:spacing w:after="80" w:line="276" w:lineRule="auto"/>
      </w:pPr>
      <w:r>
        <w:rPr>
          <w:rFonts w:ascii="Cambria" w:hAnsi="Cambria"/>
          <w:b w:val="0"/>
          <w:i w:val="0"/>
          <w:sz w:val="22"/>
        </w:rPr>
        <w:t>Gaps are identified between target vs actual attainment.</w:t>
      </w:r>
    </w:p>
    <w:p>
      <w:pPr>
        <w:pStyle w:val="ListBullet2"/>
        <w:spacing w:after="80" w:line="276" w:lineRule="auto"/>
      </w:pPr>
      <w:r>
        <w:rPr>
          <w:rFonts w:ascii="Cambria" w:hAnsi="Cambria"/>
          <w:b w:val="0"/>
          <w:i w:val="0"/>
          <w:sz w:val="22"/>
        </w:rPr>
        <w:t>Corrective measures are implemented to improve weak areas.</w:t>
      </w:r>
    </w:p>
    <w:p>
      <w:pPr>
        <w:pStyle w:val="ListBullet"/>
        <w:spacing w:after="80" w:line="276" w:lineRule="auto"/>
      </w:pPr>
      <w:r>
        <w:rPr>
          <w:rFonts w:ascii="Cambria" w:hAnsi="Cambria"/>
          <w:b/>
          <w:i w:val="0"/>
          <w:sz w:val="22"/>
        </w:rPr>
        <w:t>Examples of Weaknesses Identified:</w:t>
      </w:r>
    </w:p>
    <w:p>
      <w:pPr>
        <w:pStyle w:val="ListBullet2"/>
        <w:spacing w:after="80" w:line="276" w:lineRule="auto"/>
      </w:pPr>
      <w:r>
        <w:rPr>
          <w:rFonts w:ascii="Cambria" w:hAnsi="Cambria"/>
          <w:b w:val="0"/>
          <w:i w:val="0"/>
          <w:sz w:val="22"/>
        </w:rPr>
        <w:t>CO2 (Data Structures) – weak in coding implementation.</w:t>
      </w:r>
    </w:p>
    <w:p>
      <w:pPr>
        <w:pStyle w:val="ListBullet2"/>
        <w:spacing w:after="80" w:line="276" w:lineRule="auto"/>
      </w:pPr>
      <w:r>
        <w:rPr>
          <w:rFonts w:ascii="Cambria" w:hAnsi="Cambria"/>
          <w:b w:val="0"/>
          <w:i w:val="0"/>
          <w:sz w:val="22"/>
        </w:rPr>
        <w:t>CO5 (Thermodynamics) – low attainment due to lack of practical exposure.</w:t>
      </w:r>
    </w:p>
    <w:p>
      <w:pPr>
        <w:pStyle w:val="ListBullet"/>
        <w:spacing w:after="80" w:line="276" w:lineRule="auto"/>
      </w:pPr>
      <w:r>
        <w:rPr>
          <w:rFonts w:ascii="Cambria" w:hAnsi="Cambria"/>
          <w:b/>
          <w:i w:val="0"/>
          <w:sz w:val="22"/>
        </w:rPr>
        <w:t>Actions Taken:</w:t>
      </w:r>
    </w:p>
    <w:p>
      <w:pPr>
        <w:pStyle w:val="ListBullet2"/>
        <w:spacing w:after="80" w:line="276" w:lineRule="auto"/>
      </w:pPr>
      <w:r>
        <w:rPr>
          <w:rFonts w:ascii="Cambria" w:hAnsi="Cambria"/>
          <w:b w:val="0"/>
          <w:i w:val="0"/>
          <w:sz w:val="22"/>
        </w:rPr>
        <w:t>Curriculum Interventions → Adding lab assignments, bridge courses, coding bootcamps.</w:t>
      </w:r>
    </w:p>
    <w:p>
      <w:pPr>
        <w:pStyle w:val="ListBullet2"/>
        <w:spacing w:after="80" w:line="276" w:lineRule="auto"/>
      </w:pPr>
      <w:r>
        <w:rPr>
          <w:rFonts w:ascii="Cambria" w:hAnsi="Cambria"/>
          <w:b w:val="0"/>
          <w:i w:val="0"/>
          <w:sz w:val="22"/>
        </w:rPr>
        <w:t>Pedagogical Initiatives → ICT-enabled teaching, flipped classrooms, group projects.</w:t>
      </w:r>
    </w:p>
    <w:p>
      <w:pPr>
        <w:pStyle w:val="ListBullet2"/>
        <w:spacing w:after="80" w:line="276" w:lineRule="auto"/>
      </w:pPr>
      <w:r>
        <w:rPr>
          <w:rFonts w:ascii="Cambria" w:hAnsi="Cambria"/>
          <w:b w:val="0"/>
          <w:i w:val="0"/>
          <w:sz w:val="22"/>
        </w:rPr>
        <w:t>Support Systems → Remedial classes for slow learners, peer mentoring.</w:t>
      </w:r>
    </w:p>
    <w:p>
      <w:pPr>
        <w:pStyle w:val="ListBullet"/>
        <w:spacing w:after="80" w:line="276" w:lineRule="auto"/>
      </w:pPr>
      <w:r>
        <w:rPr>
          <w:rFonts w:ascii="Cambria" w:hAnsi="Cambria"/>
          <w:b/>
          <w:i w:val="0"/>
          <w:sz w:val="22"/>
        </w:rPr>
        <w:t>Evidence Required:</w:t>
      </w:r>
    </w:p>
    <w:p>
      <w:pPr>
        <w:pStyle w:val="ListBullet2"/>
        <w:spacing w:after="80" w:line="276" w:lineRule="auto"/>
      </w:pPr>
      <w:r>
        <w:rPr>
          <w:rFonts w:ascii="Cambria" w:hAnsi="Cambria"/>
          <w:b w:val="0"/>
          <w:i w:val="0"/>
          <w:sz w:val="22"/>
        </w:rPr>
        <w:t>CO attainment reports (course-wise, year-wise).</w:t>
      </w:r>
    </w:p>
    <w:p>
      <w:pPr>
        <w:pStyle w:val="ListBullet2"/>
        <w:spacing w:after="80" w:line="276" w:lineRule="auto"/>
      </w:pPr>
      <w:r>
        <w:rPr>
          <w:rFonts w:ascii="Cambria" w:hAnsi="Cambria"/>
          <w:b w:val="0"/>
          <w:i w:val="0"/>
          <w:sz w:val="22"/>
        </w:rPr>
        <w:t>Action Taken Reports (ATR) of faculty meetings.</w:t>
      </w:r>
    </w:p>
    <w:p>
      <w:pPr>
        <w:pStyle w:val="ListBullet2"/>
        <w:spacing w:after="80" w:line="276" w:lineRule="auto"/>
      </w:pPr>
      <w:r>
        <w:rPr>
          <w:rFonts w:ascii="Cambria" w:hAnsi="Cambria"/>
          <w:b w:val="0"/>
          <w:i w:val="0"/>
          <w:sz w:val="22"/>
        </w:rPr>
        <w:t>Remedial class/workshop records.</w:t>
      </w:r>
    </w:p>
    <w:p>
      <w:pPr>
        <w:pStyle w:val="ListBullet2"/>
        <w:spacing w:after="80" w:line="276" w:lineRule="auto"/>
      </w:pPr>
      <w:r>
        <w:rPr>
          <w:rFonts w:ascii="Cambria" w:hAnsi="Cambria"/>
          <w:b w:val="0"/>
          <w:i w:val="0"/>
          <w:sz w:val="22"/>
        </w:rPr>
        <w:t>Before vs. After attainment charts.</w:t>
      </w:r>
    </w:p>
    <w:p>
      <w:pPr>
        <w:spacing w:after="120" w:line="276" w:lineRule="auto"/>
      </w:pPr>
      <w:r>
        <w:rPr>
          <w:rFonts w:ascii="Cambria" w:hAnsi="Cambria"/>
          <w:b/>
          <w:i/>
          <w:sz w:val="22"/>
        </w:rPr>
        <w:t>b) Actions Based on PO/PSO Attainment (20 Marks)</w:t>
      </w:r>
    </w:p>
    <w:p>
      <w:pPr>
        <w:pStyle w:val="ListBullet"/>
        <w:spacing w:after="80" w:line="276" w:lineRule="auto"/>
      </w:pPr>
      <w:r>
        <w:rPr>
          <w:rFonts w:ascii="Cambria" w:hAnsi="Cambria"/>
          <w:b/>
          <w:i w:val="0"/>
          <w:sz w:val="22"/>
        </w:rPr>
        <w:t>What it means:</w:t>
      </w:r>
    </w:p>
    <w:p>
      <w:pPr>
        <w:pStyle w:val="ListBullet2"/>
        <w:spacing w:after="80" w:line="276" w:lineRule="auto"/>
      </w:pPr>
      <w:r>
        <w:rPr>
          <w:rFonts w:ascii="Cambria" w:hAnsi="Cambria"/>
          <w:b w:val="0"/>
          <w:i w:val="0"/>
          <w:sz w:val="22"/>
        </w:rPr>
        <w:t>Department reviews aggregated PO/PSO attainment every year.</w:t>
      </w:r>
    </w:p>
    <w:p>
      <w:pPr>
        <w:pStyle w:val="ListBullet2"/>
        <w:spacing w:after="80" w:line="276" w:lineRule="auto"/>
      </w:pPr>
      <w:r>
        <w:rPr>
          <w:rFonts w:ascii="Cambria" w:hAnsi="Cambria"/>
          <w:b w:val="0"/>
          <w:i w:val="0"/>
          <w:sz w:val="22"/>
        </w:rPr>
        <w:t>Weak POs (e.g., teamwork, communication, research skills) are identified.</w:t>
      </w:r>
    </w:p>
    <w:p>
      <w:pPr>
        <w:pStyle w:val="ListBullet2"/>
        <w:spacing w:after="80" w:line="276" w:lineRule="auto"/>
      </w:pPr>
      <w:r>
        <w:rPr>
          <w:rFonts w:ascii="Cambria" w:hAnsi="Cambria"/>
          <w:b w:val="0"/>
          <w:i w:val="0"/>
          <w:sz w:val="22"/>
        </w:rPr>
        <w:t>Measures are implemented to improve them over 2 years.</w:t>
      </w:r>
    </w:p>
    <w:p>
      <w:pPr>
        <w:pStyle w:val="ListBullet"/>
        <w:spacing w:after="80" w:line="276" w:lineRule="auto"/>
      </w:pPr>
      <w:r>
        <w:rPr>
          <w:rFonts w:ascii="Cambria" w:hAnsi="Cambria"/>
          <w:b/>
          <w:i w:val="0"/>
          <w:sz w:val="22"/>
        </w:rPr>
        <w:t>Examples of Weaknesses:</w:t>
      </w:r>
    </w:p>
    <w:p>
      <w:pPr>
        <w:pStyle w:val="ListBullet2"/>
        <w:spacing w:after="80" w:line="276" w:lineRule="auto"/>
      </w:pPr>
      <w:r>
        <w:rPr>
          <w:rFonts w:ascii="Cambria" w:hAnsi="Cambria"/>
          <w:b w:val="0"/>
          <w:i w:val="0"/>
          <w:sz w:val="22"/>
        </w:rPr>
        <w:t>PO4 (Investigation of problems) – weak due to lack of open-ended experiments.</w:t>
      </w:r>
    </w:p>
    <w:p>
      <w:pPr>
        <w:pStyle w:val="ListBullet2"/>
        <w:spacing w:after="80" w:line="276" w:lineRule="auto"/>
      </w:pPr>
      <w:r>
        <w:rPr>
          <w:rFonts w:ascii="Cambria" w:hAnsi="Cambria"/>
          <w:b w:val="0"/>
          <w:i w:val="0"/>
          <w:sz w:val="22"/>
        </w:rPr>
        <w:t>PO9 (Communication skills) – low attainment in technical writing.</w:t>
      </w:r>
    </w:p>
    <w:p>
      <w:pPr>
        <w:pStyle w:val="ListBullet2"/>
        <w:spacing w:after="80" w:line="276" w:lineRule="auto"/>
      </w:pPr>
      <w:r>
        <w:rPr>
          <w:rFonts w:ascii="Cambria" w:hAnsi="Cambria"/>
          <w:b w:val="0"/>
          <w:i w:val="0"/>
          <w:sz w:val="22"/>
        </w:rPr>
        <w:t>PSO1 (Domain Tools) – poor exposure to industry-standard software.</w:t>
      </w:r>
    </w:p>
    <w:p>
      <w:pPr>
        <w:pStyle w:val="ListBullet"/>
        <w:spacing w:after="80" w:line="276" w:lineRule="auto"/>
      </w:pPr>
      <w:r>
        <w:rPr>
          <w:rFonts w:ascii="Cambria" w:hAnsi="Cambria"/>
          <w:b/>
          <w:i w:val="0"/>
          <w:sz w:val="22"/>
        </w:rPr>
        <w:t>Actions Taken:</w:t>
      </w:r>
    </w:p>
    <w:p>
      <w:pPr>
        <w:pStyle w:val="ListBullet2"/>
        <w:spacing w:after="80" w:line="276" w:lineRule="auto"/>
      </w:pPr>
      <w:r>
        <w:rPr>
          <w:rFonts w:ascii="Cambria" w:hAnsi="Cambria"/>
          <w:b w:val="0"/>
          <w:i w:val="0"/>
          <w:sz w:val="22"/>
        </w:rPr>
        <w:t>Introduced mini-projects, simulation-based experiments, and internships.</w:t>
      </w:r>
    </w:p>
    <w:p>
      <w:pPr>
        <w:pStyle w:val="ListBullet2"/>
        <w:spacing w:after="80" w:line="276" w:lineRule="auto"/>
      </w:pPr>
      <w:r>
        <w:rPr>
          <w:rFonts w:ascii="Cambria" w:hAnsi="Cambria"/>
          <w:b w:val="0"/>
          <w:i w:val="0"/>
          <w:sz w:val="22"/>
        </w:rPr>
        <w:t>Conducted seminars, technical report writing workshops.</w:t>
      </w:r>
    </w:p>
    <w:p>
      <w:pPr>
        <w:pStyle w:val="ListBullet2"/>
        <w:spacing w:after="80" w:line="276" w:lineRule="auto"/>
      </w:pPr>
      <w:r>
        <w:rPr>
          <w:rFonts w:ascii="Cambria" w:hAnsi="Cambria"/>
          <w:b w:val="0"/>
          <w:i w:val="0"/>
          <w:sz w:val="22"/>
        </w:rPr>
        <w:t>Upgraded labs with industry-standard tools (MATLAB, PSPICE, ANSYS).</w:t>
      </w:r>
    </w:p>
    <w:p>
      <w:pPr>
        <w:pStyle w:val="ListBullet2"/>
        <w:spacing w:after="80" w:line="276" w:lineRule="auto"/>
      </w:pPr>
      <w:r>
        <w:rPr>
          <w:rFonts w:ascii="Cambria" w:hAnsi="Cambria"/>
          <w:b w:val="0"/>
          <w:i w:val="0"/>
          <w:sz w:val="22"/>
        </w:rPr>
        <w:t>Made MOOCs mandatory for lifelong learning (PO12).</w:t>
      </w:r>
    </w:p>
    <w:p>
      <w:pPr>
        <w:pStyle w:val="ListBullet"/>
        <w:spacing w:after="80" w:line="276" w:lineRule="auto"/>
      </w:pPr>
      <w:r>
        <w:rPr>
          <w:rFonts w:ascii="Cambria" w:hAnsi="Cambria"/>
          <w:b/>
          <w:i w:val="0"/>
          <w:sz w:val="22"/>
        </w:rPr>
        <w:t>Evidence Required:</w:t>
      </w:r>
    </w:p>
    <w:p>
      <w:pPr>
        <w:pStyle w:val="ListBullet2"/>
        <w:spacing w:after="80" w:line="276" w:lineRule="auto"/>
      </w:pPr>
      <w:r>
        <w:rPr>
          <w:rFonts w:ascii="Cambria" w:hAnsi="Cambria"/>
          <w:b w:val="0"/>
          <w:i w:val="0"/>
          <w:sz w:val="22"/>
        </w:rPr>
        <w:t>PO/PSO attainment reports.</w:t>
      </w:r>
    </w:p>
    <w:p>
      <w:pPr>
        <w:pStyle w:val="ListBullet2"/>
        <w:spacing w:after="80" w:line="276" w:lineRule="auto"/>
      </w:pPr>
      <w:r>
        <w:rPr>
          <w:rFonts w:ascii="Cambria" w:hAnsi="Cambria"/>
          <w:b w:val="0"/>
          <w:i w:val="0"/>
          <w:sz w:val="22"/>
        </w:rPr>
        <w:t>DAB, BoS, Academic Council meeting minutes with ATR.</w:t>
      </w:r>
    </w:p>
    <w:p>
      <w:pPr>
        <w:pStyle w:val="ListBullet2"/>
        <w:spacing w:after="80" w:line="276" w:lineRule="auto"/>
      </w:pPr>
      <w:r>
        <w:rPr>
          <w:rFonts w:ascii="Cambria" w:hAnsi="Cambria"/>
          <w:b w:val="0"/>
          <w:i w:val="0"/>
          <w:sz w:val="22"/>
        </w:rPr>
        <w:t>Records of internships, industry projects, FDPs.</w:t>
      </w:r>
    </w:p>
    <w:p>
      <w:pPr>
        <w:pStyle w:val="ListBullet2"/>
        <w:spacing w:after="80" w:line="276" w:lineRule="auto"/>
      </w:pPr>
      <w:r>
        <w:rPr>
          <w:rFonts w:ascii="Cambria" w:hAnsi="Cambria"/>
          <w:b w:val="0"/>
          <w:i w:val="0"/>
          <w:sz w:val="22"/>
        </w:rPr>
        <w:t>Improved attainment charts (before vs. after).</w:t>
      </w:r>
    </w:p>
    <w:p>
      <w:pPr>
        <w:pStyle w:val="Heading3"/>
      </w:pPr>
      <w:r>
        <w:rPr>
          <w:rFonts w:ascii="Cambria" w:hAnsi="Cambria"/>
          <w:b/>
          <w:color w:val="1F3A5F"/>
          <w:sz w:val="26"/>
        </w:rPr>
        <w:t>2. Academic Audit and Actions Taken During the Period of Assessment (15 Marks)</w:t>
      </w:r>
    </w:p>
    <w:p>
      <w:pPr>
        <w:pStyle w:val="ListBullet"/>
        <w:spacing w:after="80" w:line="276" w:lineRule="auto"/>
      </w:pPr>
      <w:r>
        <w:rPr>
          <w:rFonts w:ascii="Cambria" w:hAnsi="Cambria"/>
          <w:b/>
          <w:i w:val="0"/>
          <w:sz w:val="22"/>
        </w:rPr>
        <w:t xml:space="preserve">Definition: </w:t>
      </w:r>
      <w:r>
        <w:rPr>
          <w:rFonts w:ascii="Cambria" w:hAnsi="Cambria"/>
          <w:b w:val="0"/>
          <w:i w:val="0"/>
          <w:sz w:val="22"/>
        </w:rPr>
        <w:t>Academic Audit is a structured review of teaching-learning, curriculum delivery, CO/PO attainment, assessment quality, faculty development, and student support.</w:t>
      </w:r>
    </w:p>
    <w:p>
      <w:pPr>
        <w:pStyle w:val="ListBullet"/>
        <w:spacing w:after="80" w:line="276" w:lineRule="auto"/>
      </w:pPr>
      <w:r>
        <w:rPr>
          <w:rFonts w:ascii="Cambria" w:hAnsi="Cambria"/>
          <w:b/>
          <w:i w:val="0"/>
          <w:sz w:val="22"/>
        </w:rPr>
        <w:t>Process:</w:t>
      </w:r>
    </w:p>
    <w:p>
      <w:pPr>
        <w:pStyle w:val="ListNumber2"/>
        <w:spacing w:after="80" w:line="276" w:lineRule="auto"/>
      </w:pPr>
      <w:r>
        <w:rPr>
          <w:rFonts w:ascii="Cambria" w:hAnsi="Cambria"/>
          <w:b w:val="0"/>
          <w:i w:val="0"/>
          <w:sz w:val="22"/>
        </w:rPr>
        <w:t>Audit Planning → IQAC/HoD sets framework.</w:t>
      </w:r>
    </w:p>
    <w:p>
      <w:pPr>
        <w:pStyle w:val="ListNumber2"/>
        <w:spacing w:after="80" w:line="276" w:lineRule="auto"/>
      </w:pPr>
      <w:r>
        <w:rPr>
          <w:rFonts w:ascii="Cambria" w:hAnsi="Cambria"/>
          <w:b w:val="0"/>
          <w:i w:val="0"/>
          <w:sz w:val="22"/>
        </w:rPr>
        <w:t>Audit Execution → Internal + external experts review CO-PO mapping, attainment, teaching files, assessments.</w:t>
      </w:r>
    </w:p>
    <w:p>
      <w:pPr>
        <w:pStyle w:val="ListNumber2"/>
        <w:spacing w:after="80" w:line="276" w:lineRule="auto"/>
      </w:pPr>
      <w:r>
        <w:rPr>
          <w:rFonts w:ascii="Cambria" w:hAnsi="Cambria"/>
          <w:b w:val="0"/>
          <w:i w:val="0"/>
          <w:sz w:val="22"/>
        </w:rPr>
        <w:t>Findings → Strengths, weaknesses, gaps noted.</w:t>
      </w:r>
    </w:p>
    <w:p>
      <w:pPr>
        <w:pStyle w:val="ListNumber2"/>
        <w:spacing w:after="80" w:line="276" w:lineRule="auto"/>
      </w:pPr>
      <w:r>
        <w:rPr>
          <w:rFonts w:ascii="Cambria" w:hAnsi="Cambria"/>
          <w:b w:val="0"/>
          <w:i w:val="0"/>
          <w:sz w:val="22"/>
        </w:rPr>
        <w:t>Recommendations → Suggested corrective measures.</w:t>
      </w:r>
    </w:p>
    <w:p>
      <w:pPr>
        <w:pStyle w:val="ListNumber2"/>
        <w:spacing w:after="80" w:line="276" w:lineRule="auto"/>
      </w:pPr>
      <w:r>
        <w:rPr>
          <w:rFonts w:ascii="Cambria" w:hAnsi="Cambria"/>
          <w:b w:val="0"/>
          <w:i w:val="0"/>
          <w:sz w:val="22"/>
        </w:rPr>
        <w:t>Actions Taken → Implemented in following semester/year.</w:t>
      </w:r>
    </w:p>
    <w:p>
      <w:pPr>
        <w:pStyle w:val="ListBullet"/>
        <w:spacing w:after="80" w:line="276" w:lineRule="auto"/>
      </w:pPr>
      <w:r>
        <w:rPr>
          <w:rFonts w:ascii="Cambria" w:hAnsi="Cambria"/>
          <w:b/>
          <w:i w:val="0"/>
          <w:sz w:val="22"/>
        </w:rPr>
        <w:t>Examples of Actions Taken:</w:t>
      </w:r>
    </w:p>
    <w:p>
      <w:pPr>
        <w:pStyle w:val="ListNumber2"/>
        <w:spacing w:after="80" w:line="276" w:lineRule="auto"/>
      </w:pPr>
      <w:r>
        <w:rPr>
          <w:rFonts w:ascii="Cambria" w:hAnsi="Cambria"/>
          <w:b w:val="0"/>
          <w:i w:val="0"/>
          <w:sz w:val="22"/>
        </w:rPr>
        <w:t>Introduced FDP on Bloom’s Taxonomy for assessment design.</w:t>
      </w:r>
    </w:p>
    <w:p>
      <w:pPr>
        <w:pStyle w:val="ListNumber2"/>
        <w:spacing w:after="80" w:line="276" w:lineRule="auto"/>
      </w:pPr>
      <w:r>
        <w:rPr>
          <w:rFonts w:ascii="Cambria" w:hAnsi="Cambria"/>
          <w:b w:val="0"/>
          <w:i w:val="0"/>
          <w:sz w:val="22"/>
        </w:rPr>
        <w:t>Bridge courses in programming &amp; mathematics.</w:t>
      </w:r>
    </w:p>
    <w:p>
      <w:pPr>
        <w:pStyle w:val="ListNumber2"/>
        <w:spacing w:after="80" w:line="276" w:lineRule="auto"/>
      </w:pPr>
      <w:r>
        <w:rPr>
          <w:rFonts w:ascii="Cambria" w:hAnsi="Cambria"/>
          <w:b w:val="0"/>
          <w:i w:val="0"/>
          <w:sz w:val="22"/>
        </w:rPr>
        <w:t>Mentoring and remedial classes.</w:t>
      </w:r>
    </w:p>
    <w:p>
      <w:pPr>
        <w:pStyle w:val="ListNumber2"/>
        <w:spacing w:after="80" w:line="276" w:lineRule="auto"/>
      </w:pPr>
      <w:r>
        <w:rPr>
          <w:rFonts w:ascii="Cambria" w:hAnsi="Cambria"/>
          <w:b w:val="0"/>
          <w:i w:val="0"/>
          <w:sz w:val="22"/>
        </w:rPr>
        <w:t>Curriculum updated with industry-relevant topics.</w:t>
      </w:r>
    </w:p>
    <w:p>
      <w:pPr>
        <w:pStyle w:val="ListBullet"/>
        <w:spacing w:after="80" w:line="276" w:lineRule="auto"/>
      </w:pPr>
      <w:r>
        <w:rPr>
          <w:rFonts w:ascii="Cambria" w:hAnsi="Cambria"/>
          <w:b/>
          <w:i w:val="0"/>
          <w:sz w:val="22"/>
        </w:rPr>
        <w:t>Evidence Required:</w:t>
      </w:r>
    </w:p>
    <w:p>
      <w:pPr>
        <w:pStyle w:val="ListNumber2"/>
        <w:spacing w:after="80" w:line="276" w:lineRule="auto"/>
      </w:pPr>
      <w:r>
        <w:rPr>
          <w:rFonts w:ascii="Cambria" w:hAnsi="Cambria"/>
          <w:b w:val="0"/>
          <w:i w:val="0"/>
          <w:sz w:val="22"/>
        </w:rPr>
        <w:t>Academic Audit Reports (year-wise).</w:t>
      </w:r>
    </w:p>
    <w:p>
      <w:pPr>
        <w:pStyle w:val="ListNumber2"/>
        <w:spacing w:after="80" w:line="276" w:lineRule="auto"/>
      </w:pPr>
      <w:r>
        <w:rPr>
          <w:rFonts w:ascii="Cambria" w:hAnsi="Cambria"/>
          <w:b w:val="0"/>
          <w:i w:val="0"/>
          <w:sz w:val="22"/>
        </w:rPr>
        <w:t>Minutes of Audit Meetings with recommendations.</w:t>
      </w:r>
    </w:p>
    <w:p>
      <w:pPr>
        <w:pStyle w:val="ListNumber2"/>
        <w:spacing w:after="80" w:line="276" w:lineRule="auto"/>
      </w:pPr>
      <w:r>
        <w:rPr>
          <w:rFonts w:ascii="Cambria" w:hAnsi="Cambria"/>
          <w:b w:val="0"/>
          <w:i w:val="0"/>
          <w:sz w:val="22"/>
        </w:rPr>
        <w:t>ATR on audit findings.</w:t>
      </w:r>
    </w:p>
    <w:p>
      <w:pPr>
        <w:pStyle w:val="ListNumber2"/>
        <w:spacing w:after="80" w:line="276" w:lineRule="auto"/>
      </w:pPr>
      <w:r>
        <w:rPr>
          <w:rFonts w:ascii="Cambria" w:hAnsi="Cambria"/>
          <w:b w:val="0"/>
          <w:i w:val="0"/>
          <w:sz w:val="22"/>
        </w:rPr>
        <w:t>Improved attainment records.</w:t>
      </w:r>
    </w:p>
    <w:p>
      <w:pPr>
        <w:pStyle w:val="Heading3"/>
      </w:pPr>
      <w:r>
        <w:rPr>
          <w:rFonts w:ascii="Cambria" w:hAnsi="Cambria"/>
          <w:b/>
          <w:color w:val="1F3A5F"/>
          <w:sz w:val="26"/>
        </w:rPr>
        <w:t>3. Improvement in Faculty Qualification/Contribution (15 Marks)</w:t>
      </w:r>
    </w:p>
    <w:p>
      <w:pPr>
        <w:pStyle w:val="ListBullet"/>
        <w:spacing w:after="80" w:line="276" w:lineRule="auto"/>
      </w:pPr>
      <w:r>
        <w:rPr>
          <w:rFonts w:ascii="Cambria" w:hAnsi="Cambria"/>
          <w:b/>
          <w:i w:val="0"/>
          <w:sz w:val="22"/>
        </w:rPr>
        <w:t xml:space="preserve">Objective: </w:t>
      </w:r>
      <w:r>
        <w:rPr>
          <w:rFonts w:ascii="Cambria" w:hAnsi="Cambria"/>
          <w:b w:val="0"/>
          <w:i w:val="0"/>
          <w:sz w:val="22"/>
        </w:rPr>
        <w:t>To show improvement in faculty strength, qualifications, research, and professional contributions.</w:t>
      </w:r>
    </w:p>
    <w:p>
      <w:pPr>
        <w:pStyle w:val="ListBullet"/>
        <w:spacing w:after="80" w:line="276" w:lineRule="auto"/>
      </w:pPr>
      <w:r>
        <w:rPr>
          <w:rFonts w:ascii="Cambria" w:hAnsi="Cambria"/>
          <w:b/>
          <w:i w:val="0"/>
          <w:sz w:val="22"/>
        </w:rPr>
        <w:t>Parameters:</w:t>
      </w:r>
    </w:p>
    <w:p>
      <w:pPr>
        <w:pStyle w:val="ListBullet2"/>
        <w:spacing w:after="80" w:line="276" w:lineRule="auto"/>
      </w:pPr>
      <w:r>
        <w:rPr>
          <w:rFonts w:ascii="Cambria" w:hAnsi="Cambria"/>
          <w:b w:val="0"/>
          <w:i w:val="0"/>
          <w:sz w:val="22"/>
        </w:rPr>
        <w:t>Faculty completing Ph.D./Post-Doc during assessment.</w:t>
      </w:r>
    </w:p>
    <w:p>
      <w:pPr>
        <w:pStyle w:val="ListBullet2"/>
        <w:spacing w:after="80" w:line="276" w:lineRule="auto"/>
      </w:pPr>
      <w:r>
        <w:rPr>
          <w:rFonts w:ascii="Cambria" w:hAnsi="Cambria"/>
          <w:b w:val="0"/>
          <w:i w:val="0"/>
          <w:sz w:val="22"/>
        </w:rPr>
        <w:t>Increase in peer-reviewed journal &amp; conference publications.</w:t>
      </w:r>
    </w:p>
    <w:p>
      <w:pPr>
        <w:pStyle w:val="ListBullet2"/>
        <w:spacing w:after="80" w:line="276" w:lineRule="auto"/>
      </w:pPr>
      <w:r>
        <w:rPr>
          <w:rFonts w:ascii="Cambria" w:hAnsi="Cambria"/>
          <w:b w:val="0"/>
          <w:i w:val="0"/>
          <w:sz w:val="22"/>
        </w:rPr>
        <w:t>Patents filed/granted, books authored, consultancy projects.</w:t>
      </w:r>
    </w:p>
    <w:p>
      <w:pPr>
        <w:pStyle w:val="ListBullet2"/>
        <w:spacing w:after="80" w:line="276" w:lineRule="auto"/>
      </w:pPr>
      <w:r>
        <w:rPr>
          <w:rFonts w:ascii="Cambria" w:hAnsi="Cambria"/>
          <w:b w:val="0"/>
          <w:i w:val="0"/>
          <w:sz w:val="22"/>
        </w:rPr>
        <w:t>Faculty attending FDPs/STTPs/MOOCs.</w:t>
      </w:r>
    </w:p>
    <w:p>
      <w:pPr>
        <w:pStyle w:val="ListBullet2"/>
        <w:spacing w:after="80" w:line="276" w:lineRule="auto"/>
      </w:pPr>
      <w:r>
        <w:rPr>
          <w:rFonts w:ascii="Cambria" w:hAnsi="Cambria"/>
          <w:b w:val="0"/>
          <w:i w:val="0"/>
          <w:sz w:val="22"/>
        </w:rPr>
        <w:t>Membership in professional bodies (IEEE, ISTE, ACM).</w:t>
      </w:r>
    </w:p>
    <w:p>
      <w:pPr>
        <w:pStyle w:val="ListBullet"/>
        <w:spacing w:after="80" w:line="276" w:lineRule="auto"/>
      </w:pPr>
      <w:r>
        <w:rPr>
          <w:rFonts w:ascii="Cambria" w:hAnsi="Cambria"/>
          <w:b/>
          <w:i w:val="0"/>
          <w:sz w:val="22"/>
        </w:rPr>
        <w:t>Evidence Required:</w:t>
      </w:r>
    </w:p>
    <w:p>
      <w:pPr>
        <w:pStyle w:val="ListBullet2"/>
        <w:spacing w:after="80" w:line="276" w:lineRule="auto"/>
      </w:pPr>
      <w:r>
        <w:rPr>
          <w:rFonts w:ascii="Cambria" w:hAnsi="Cambria"/>
          <w:b w:val="0"/>
          <w:i w:val="0"/>
          <w:sz w:val="22"/>
        </w:rPr>
        <w:t>Ph.D. award letters/registration certificates.</w:t>
      </w:r>
    </w:p>
    <w:p>
      <w:pPr>
        <w:pStyle w:val="ListBullet2"/>
        <w:spacing w:after="80" w:line="276" w:lineRule="auto"/>
      </w:pPr>
      <w:r>
        <w:rPr>
          <w:rFonts w:ascii="Cambria" w:hAnsi="Cambria"/>
          <w:b w:val="0"/>
          <w:i w:val="0"/>
          <w:sz w:val="22"/>
        </w:rPr>
        <w:t>Publication proofs (DOI, Scopus/WoS indexing).</w:t>
      </w:r>
    </w:p>
    <w:p>
      <w:pPr>
        <w:pStyle w:val="ListBullet2"/>
        <w:spacing w:after="80" w:line="276" w:lineRule="auto"/>
      </w:pPr>
      <w:r>
        <w:rPr>
          <w:rFonts w:ascii="Cambria" w:hAnsi="Cambria"/>
          <w:b w:val="0"/>
          <w:i w:val="0"/>
          <w:sz w:val="22"/>
        </w:rPr>
        <w:t>FDP/STTP/MOOC certificates.</w:t>
      </w:r>
    </w:p>
    <w:p>
      <w:pPr>
        <w:pStyle w:val="ListBullet2"/>
        <w:spacing w:after="80" w:line="276" w:lineRule="auto"/>
      </w:pPr>
      <w:r>
        <w:rPr>
          <w:rFonts w:ascii="Cambria" w:hAnsi="Cambria"/>
          <w:b w:val="0"/>
          <w:i w:val="0"/>
          <w:sz w:val="22"/>
        </w:rPr>
        <w:t>Excel trackers showing year-wise improvement.</w:t>
      </w:r>
    </w:p>
    <w:p>
      <w:pPr>
        <w:pStyle w:val="Heading3"/>
      </w:pPr>
      <w:r>
        <w:rPr>
          <w:rFonts w:ascii="Cambria" w:hAnsi="Cambria"/>
          <w:b/>
          <w:color w:val="1F3A5F"/>
          <w:sz w:val="26"/>
        </w:rPr>
        <w:t>4. Improvement in Academic Performance (10 Marks)</w:t>
      </w:r>
    </w:p>
    <w:p>
      <w:pPr>
        <w:pStyle w:val="ListBullet"/>
        <w:spacing w:after="80" w:line="276" w:lineRule="auto"/>
      </w:pPr>
      <w:r>
        <w:rPr>
          <w:rFonts w:ascii="Cambria" w:hAnsi="Cambria"/>
          <w:b/>
          <w:i w:val="0"/>
          <w:sz w:val="22"/>
        </w:rPr>
        <w:t xml:space="preserve">Objective: </w:t>
      </w:r>
      <w:r>
        <w:rPr>
          <w:rFonts w:ascii="Cambria" w:hAnsi="Cambria"/>
          <w:b w:val="0"/>
          <w:i w:val="0"/>
          <w:sz w:val="22"/>
        </w:rPr>
        <w:t>To track academic growth of students across 1st, 2nd, and 3rd years.</w:t>
      </w:r>
    </w:p>
    <w:p>
      <w:pPr>
        <w:pStyle w:val="ListBullet"/>
        <w:spacing w:after="80" w:line="276" w:lineRule="auto"/>
      </w:pPr>
      <w:r>
        <w:rPr>
          <w:rFonts w:ascii="Cambria" w:hAnsi="Cambria"/>
          <w:b/>
          <w:i w:val="0"/>
          <w:sz w:val="22"/>
        </w:rPr>
        <w:t>Measured via:</w:t>
      </w:r>
    </w:p>
    <w:p>
      <w:pPr>
        <w:pStyle w:val="ListBullet2"/>
        <w:spacing w:after="80" w:line="276" w:lineRule="auto"/>
      </w:pPr>
      <w:r>
        <w:rPr>
          <w:rFonts w:ascii="Cambria" w:hAnsi="Cambria"/>
          <w:b w:val="0"/>
          <w:i w:val="0"/>
          <w:sz w:val="22"/>
        </w:rPr>
        <w:t>Pass % (successful students / appeared).</w:t>
      </w:r>
    </w:p>
    <w:p>
      <w:pPr>
        <w:pStyle w:val="ListBullet2"/>
        <w:spacing w:after="80" w:line="276" w:lineRule="auto"/>
      </w:pPr>
      <w:r>
        <w:rPr>
          <w:rFonts w:ascii="Cambria" w:hAnsi="Cambria"/>
          <w:b w:val="0"/>
          <w:i w:val="0"/>
          <w:sz w:val="22"/>
        </w:rPr>
        <w:t>Academic Performance Index (API):</w:t>
      </w:r>
    </w:p>
    <w:p>
      <w:pPr>
        <w:pStyle w:val="ListBullet2"/>
        <w:spacing w:after="80" w:line="276" w:lineRule="auto"/>
      </w:pPr>
      <w:r>
        <w:rPr>
          <w:rFonts w:ascii="Cambria" w:hAnsi="Cambria"/>
          <w:b w:val="0"/>
          <w:i w:val="0"/>
          <w:sz w:val="22"/>
        </w:rPr>
        <w:t>API=(Mean GPA/10)×(No. of successful students/No. appeared)</w:t>
      </w:r>
    </w:p>
    <w:p>
      <w:pPr>
        <w:pStyle w:val="ListBullet2"/>
        <w:spacing w:after="80" w:line="276" w:lineRule="auto"/>
      </w:pPr>
      <w:r>
        <w:rPr>
          <w:rFonts w:ascii="Cambria" w:hAnsi="Cambria"/>
          <w:b w:val="0"/>
          <w:i w:val="0"/>
          <w:sz w:val="22"/>
        </w:rPr>
        <w:t>Year-wise improvement trends (CAY, CAYm1, CAYm2).</w:t>
      </w:r>
    </w:p>
    <w:p>
      <w:pPr>
        <w:pStyle w:val="ListBullet"/>
        <w:spacing w:after="80" w:line="276" w:lineRule="auto"/>
      </w:pPr>
      <w:r>
        <w:rPr>
          <w:rFonts w:ascii="Cambria" w:hAnsi="Cambria"/>
          <w:b/>
          <w:i w:val="0"/>
          <w:sz w:val="22"/>
        </w:rPr>
        <w:t>Examples of Improvement Actions:</w:t>
      </w:r>
    </w:p>
    <w:p>
      <w:pPr>
        <w:pStyle w:val="ListBullet2"/>
        <w:spacing w:after="80" w:line="276" w:lineRule="auto"/>
      </w:pPr>
      <w:r>
        <w:rPr>
          <w:rFonts w:ascii="Cambria" w:hAnsi="Cambria"/>
          <w:b w:val="0"/>
          <w:i w:val="0"/>
          <w:sz w:val="22"/>
        </w:rPr>
        <w:t>Bridge courses &amp; remedial classes for weak students.</w:t>
      </w:r>
    </w:p>
    <w:p>
      <w:pPr>
        <w:pStyle w:val="ListBullet2"/>
        <w:spacing w:after="80" w:line="276" w:lineRule="auto"/>
      </w:pPr>
      <w:r>
        <w:rPr>
          <w:rFonts w:ascii="Cambria" w:hAnsi="Cambria"/>
          <w:b w:val="0"/>
          <w:i w:val="0"/>
          <w:sz w:val="22"/>
        </w:rPr>
        <w:t>Peer mentoring and academic counseling.</w:t>
      </w:r>
    </w:p>
    <w:p>
      <w:pPr>
        <w:pStyle w:val="ListBullet2"/>
        <w:spacing w:after="80" w:line="276" w:lineRule="auto"/>
      </w:pPr>
      <w:r>
        <w:rPr>
          <w:rFonts w:ascii="Cambria" w:hAnsi="Cambria"/>
          <w:b w:val="0"/>
          <w:i w:val="0"/>
          <w:sz w:val="22"/>
        </w:rPr>
        <w:t>ICT-enabled learning and workshops.</w:t>
      </w:r>
    </w:p>
    <w:p>
      <w:pPr>
        <w:pStyle w:val="ListBullet2"/>
        <w:spacing w:after="80" w:line="276" w:lineRule="auto"/>
      </w:pPr>
      <w:r>
        <w:rPr>
          <w:rFonts w:ascii="Cambria" w:hAnsi="Cambria"/>
          <w:b w:val="0"/>
          <w:i w:val="0"/>
          <w:sz w:val="22"/>
        </w:rPr>
        <w:t>Industry projects in higher years to improve engagement.</w:t>
      </w:r>
    </w:p>
    <w:p>
      <w:pPr>
        <w:pStyle w:val="ListBullet"/>
        <w:spacing w:after="80" w:line="276" w:lineRule="auto"/>
      </w:pPr>
      <w:r>
        <w:rPr>
          <w:rFonts w:ascii="Cambria" w:hAnsi="Cambria"/>
          <w:b/>
          <w:i w:val="0"/>
          <w:sz w:val="22"/>
        </w:rPr>
        <w:t>Evidence Required:</w:t>
      </w:r>
    </w:p>
    <w:p>
      <w:pPr>
        <w:pStyle w:val="ListBullet2"/>
        <w:spacing w:after="80" w:line="276" w:lineRule="auto"/>
      </w:pPr>
      <w:r>
        <w:rPr>
          <w:rFonts w:ascii="Cambria" w:hAnsi="Cambria"/>
          <w:b w:val="0"/>
          <w:i w:val="0"/>
          <w:sz w:val="22"/>
        </w:rPr>
        <w:t>Academic Performance Tracker (year-wise).</w:t>
      </w:r>
    </w:p>
    <w:p>
      <w:pPr>
        <w:pStyle w:val="ListBullet2"/>
        <w:spacing w:after="80" w:line="276" w:lineRule="auto"/>
      </w:pPr>
      <w:r>
        <w:rPr>
          <w:rFonts w:ascii="Cambria" w:hAnsi="Cambria"/>
          <w:b w:val="0"/>
          <w:i w:val="0"/>
          <w:sz w:val="22"/>
        </w:rPr>
        <w:t>API calculations for 1st, 2nd, 3rd year.</w:t>
      </w:r>
    </w:p>
    <w:p>
      <w:pPr>
        <w:pStyle w:val="ListBullet2"/>
        <w:spacing w:after="80" w:line="276" w:lineRule="auto"/>
      </w:pPr>
      <w:r>
        <w:rPr>
          <w:rFonts w:ascii="Cambria" w:hAnsi="Cambria"/>
          <w:b w:val="0"/>
          <w:i w:val="0"/>
          <w:sz w:val="22"/>
        </w:rPr>
        <w:t>Remedial/Bridge course records.</w:t>
      </w:r>
    </w:p>
    <w:p>
      <w:pPr>
        <w:pStyle w:val="ListBullet2"/>
        <w:spacing w:after="80" w:line="276" w:lineRule="auto"/>
      </w:pPr>
      <w:r>
        <w:rPr>
          <w:rFonts w:ascii="Cambria" w:hAnsi="Cambria"/>
          <w:b w:val="0"/>
          <w:i w:val="0"/>
          <w:sz w:val="22"/>
        </w:rPr>
        <w:t>Improvement charts (CAYm2 → CAYm1 → CAY).</w:t>
      </w:r>
    </w:p>
    <w:p>
      <w:pPr>
        <w:pStyle w:val="Heading3"/>
      </w:pPr>
      <w:r>
        <w:rPr>
          <w:rFonts w:ascii="Cambria" w:hAnsi="Cambria"/>
          <w:b/>
          <w:color w:val="1F3A5F"/>
          <w:sz w:val="26"/>
        </w:rPr>
        <w:t>5. NBA Scoring Distribution</w:t>
      </w:r>
    </w:p>
    <w:p>
      <w:pPr>
        <w:pStyle w:val="ListBullet"/>
        <w:spacing w:after="80" w:line="276" w:lineRule="auto"/>
      </w:pPr>
      <w:r>
        <w:rPr>
          <w:rFonts w:ascii="Cambria" w:hAnsi="Cambria"/>
          <w:b w:val="0"/>
          <w:i w:val="0"/>
          <w:sz w:val="22"/>
        </w:rPr>
        <w:t>Actions taken on CO Attainment → 20 Marks.</w:t>
      </w:r>
    </w:p>
    <w:p>
      <w:pPr>
        <w:pStyle w:val="ListBullet"/>
        <w:spacing w:after="80" w:line="276" w:lineRule="auto"/>
      </w:pPr>
      <w:r>
        <w:rPr>
          <w:rFonts w:ascii="Cambria" w:hAnsi="Cambria"/>
          <w:b w:val="0"/>
          <w:i w:val="0"/>
          <w:sz w:val="22"/>
        </w:rPr>
        <w:t>Actions taken on PO/PSO Attainment → 20 Marks.</w:t>
      </w:r>
    </w:p>
    <w:p>
      <w:pPr>
        <w:pStyle w:val="ListBullet"/>
        <w:spacing w:after="80" w:line="276" w:lineRule="auto"/>
      </w:pPr>
      <w:r>
        <w:rPr>
          <w:rFonts w:ascii="Cambria" w:hAnsi="Cambria"/>
          <w:b w:val="0"/>
          <w:i w:val="0"/>
          <w:sz w:val="22"/>
        </w:rPr>
        <w:t>Academic Audit &amp; Actions Taken → 15 Marks.</w:t>
      </w:r>
    </w:p>
    <w:p>
      <w:pPr>
        <w:pStyle w:val="ListBullet"/>
        <w:spacing w:after="80" w:line="276" w:lineRule="auto"/>
      </w:pPr>
      <w:r>
        <w:rPr>
          <w:rFonts w:ascii="Cambria" w:hAnsi="Cambria"/>
          <w:b w:val="0"/>
          <w:i w:val="0"/>
          <w:sz w:val="22"/>
        </w:rPr>
        <w:t>Improvement in Faculty Qualification/Contribution → 15 Marks.</w:t>
      </w:r>
    </w:p>
    <w:p>
      <w:pPr>
        <w:pStyle w:val="ListBullet"/>
        <w:spacing w:after="80" w:line="276" w:lineRule="auto"/>
      </w:pPr>
      <w:r>
        <w:rPr>
          <w:rFonts w:ascii="Cambria" w:hAnsi="Cambria"/>
          <w:b w:val="0"/>
          <w:i w:val="0"/>
          <w:sz w:val="22"/>
        </w:rPr>
        <w:t>Improvement in Academic Performance → 10 Marks.</w:t>
      </w:r>
    </w:p>
    <w:p>
      <w:pPr>
        <w:pStyle w:val="ListBullet"/>
        <w:spacing w:after="80" w:line="276" w:lineRule="auto"/>
      </w:pPr>
      <w:r>
        <w:rPr>
          <w:rFonts w:ascii="Cambria" w:hAnsi="Cambria"/>
          <w:b/>
          <w:i w:val="0"/>
          <w:sz w:val="22"/>
        </w:rPr>
        <w:t>Total = 80 Marks</w:t>
      </w:r>
    </w:p>
    <w:p>
      <w:r>
        <w:br w:type="page"/>
      </w:r>
    </w:p>
    <w:p>
      <w:pPr>
        <w:pStyle w:val="Heading1"/>
      </w:pPr>
      <w:r>
        <w:rPr>
          <w:rFonts w:ascii="Cambria" w:hAnsi="Cambria"/>
          <w:b/>
          <w:color w:val="1F3A5F"/>
          <w:sz w:val="36"/>
        </w:rPr>
        <w:t>3. Actions Taken Based on the Results of Evaluation of the COs, POs, and PSOs</w:t>
      </w:r>
    </w:p>
    <w:p>
      <w:pPr>
        <w:pStyle w:val="Heading3"/>
      </w:pPr>
      <w:r>
        <w:rPr>
          <w:rFonts w:ascii="Cambria" w:hAnsi="Cambria"/>
          <w:b/>
          <w:color w:val="1F3A5F"/>
          <w:sz w:val="26"/>
        </w:rPr>
        <w:t>1. Context &amp; Purpose</w:t>
      </w:r>
    </w:p>
    <w:p>
      <w:pPr>
        <w:pStyle w:val="ListBullet"/>
        <w:spacing w:after="80" w:line="276" w:lineRule="auto"/>
      </w:pPr>
      <w:r>
        <w:rPr>
          <w:rFonts w:ascii="Cambria" w:hAnsi="Cambria"/>
          <w:b w:val="0"/>
          <w:i w:val="0"/>
          <w:sz w:val="22"/>
        </w:rPr>
        <w:t>NBA accreditation is outcome-based → focuses on what students are able to achieve (attain) at the end of a course (CO), program (PO), and program-specific area (PSO).</w:t>
      </w:r>
    </w:p>
    <w:p>
      <w:pPr>
        <w:pStyle w:val="ListBullet"/>
        <w:spacing w:after="80" w:line="276" w:lineRule="auto"/>
      </w:pPr>
      <w:r>
        <w:rPr>
          <w:rFonts w:ascii="Cambria" w:hAnsi="Cambria"/>
          <w:b w:val="0"/>
          <w:i w:val="0"/>
          <w:sz w:val="22"/>
        </w:rPr>
        <w:t>This criterion assesses continuous improvement, i.e., how the institution uses attainment results to identify weaknesses, implement corrective actions, and measure improvements.</w:t>
      </w:r>
    </w:p>
    <w:p>
      <w:pPr>
        <w:pStyle w:val="ListBullet"/>
        <w:spacing w:after="80" w:line="276" w:lineRule="auto"/>
      </w:pPr>
      <w:r>
        <w:rPr>
          <w:rFonts w:ascii="Cambria" w:hAnsi="Cambria"/>
          <w:b w:val="0"/>
          <w:i w:val="0"/>
          <w:sz w:val="22"/>
        </w:rPr>
        <w:t>Marks (40) are awarded based on systematic process, corrective actions, evidence, and demonstrated impact.</w:t>
      </w:r>
    </w:p>
    <w:p>
      <w:pPr>
        <w:pStyle w:val="Heading3"/>
      </w:pPr>
      <w:r>
        <w:rPr>
          <w:rFonts w:ascii="Cambria" w:hAnsi="Cambria"/>
          <w:b/>
          <w:color w:val="1F3A5F"/>
          <w:sz w:val="26"/>
        </w:rPr>
        <w:t>2. Evaluation Process</w:t>
      </w:r>
    </w:p>
    <w:p>
      <w:pPr>
        <w:pStyle w:val="ListBullet"/>
        <w:spacing w:after="80" w:line="276" w:lineRule="auto"/>
      </w:pPr>
      <w:r>
        <w:rPr>
          <w:rFonts w:ascii="Cambria" w:hAnsi="Cambria"/>
          <w:b/>
          <w:i w:val="0"/>
          <w:sz w:val="22"/>
        </w:rPr>
        <w:t>CO Attainment</w:t>
      </w:r>
    </w:p>
    <w:p>
      <w:pPr>
        <w:pStyle w:val="ListBullet2"/>
        <w:spacing w:after="80" w:line="276" w:lineRule="auto"/>
      </w:pPr>
      <w:r>
        <w:rPr>
          <w:rFonts w:ascii="Cambria" w:hAnsi="Cambria"/>
          <w:b w:val="0"/>
          <w:i w:val="0"/>
          <w:sz w:val="22"/>
        </w:rPr>
        <w:t>Direct: internal tests, end-semester exams, assignments, labs, projects.</w:t>
      </w:r>
    </w:p>
    <w:p>
      <w:pPr>
        <w:pStyle w:val="ListBullet2"/>
        <w:spacing w:after="80" w:line="276" w:lineRule="auto"/>
      </w:pPr>
      <w:r>
        <w:rPr>
          <w:rFonts w:ascii="Cambria" w:hAnsi="Cambria"/>
          <w:b w:val="0"/>
          <w:i w:val="0"/>
          <w:sz w:val="22"/>
        </w:rPr>
        <w:t>Indirect: student surveys, course exit surveys.</w:t>
      </w:r>
    </w:p>
    <w:p>
      <w:pPr>
        <w:pStyle w:val="ListBullet"/>
        <w:spacing w:after="80" w:line="276" w:lineRule="auto"/>
      </w:pPr>
      <w:r>
        <w:rPr>
          <w:rFonts w:ascii="Cambria" w:hAnsi="Cambria"/>
          <w:b/>
          <w:i w:val="0"/>
          <w:sz w:val="22"/>
        </w:rPr>
        <w:t>PO &amp; PSO Attainment</w:t>
      </w:r>
    </w:p>
    <w:p>
      <w:pPr>
        <w:pStyle w:val="ListBullet2"/>
        <w:spacing w:after="80" w:line="276" w:lineRule="auto"/>
      </w:pPr>
      <w:r>
        <w:rPr>
          <w:rFonts w:ascii="Cambria" w:hAnsi="Cambria"/>
          <w:b w:val="0"/>
          <w:i w:val="0"/>
          <w:sz w:val="22"/>
        </w:rPr>
        <w:t>Aggregated CO attainment mapped to POs/PSOs.</w:t>
      </w:r>
    </w:p>
    <w:p>
      <w:pPr>
        <w:pStyle w:val="ListBullet2"/>
        <w:spacing w:after="80" w:line="276" w:lineRule="auto"/>
      </w:pPr>
      <w:r>
        <w:rPr>
          <w:rFonts w:ascii="Cambria" w:hAnsi="Cambria"/>
          <w:b w:val="0"/>
          <w:i w:val="0"/>
          <w:sz w:val="22"/>
        </w:rPr>
        <w:t>Supported by project evaluations, internships, employability, surveys (alumni, employers).</w:t>
      </w:r>
    </w:p>
    <w:p>
      <w:pPr>
        <w:pStyle w:val="ListBullet"/>
        <w:spacing w:after="80" w:line="276" w:lineRule="auto"/>
      </w:pPr>
      <w:r>
        <w:rPr>
          <w:rFonts w:ascii="Cambria" w:hAnsi="Cambria"/>
          <w:b/>
          <w:i w:val="0"/>
          <w:sz w:val="22"/>
        </w:rPr>
        <w:t>Gap Analysis</w:t>
      </w:r>
    </w:p>
    <w:p>
      <w:pPr>
        <w:pStyle w:val="ListBullet2"/>
        <w:spacing w:after="80" w:line="276" w:lineRule="auto"/>
      </w:pPr>
      <w:r>
        <w:rPr>
          <w:rFonts w:ascii="Cambria" w:hAnsi="Cambria"/>
          <w:b w:val="0"/>
          <w:i w:val="0"/>
          <w:sz w:val="22"/>
        </w:rPr>
        <w:t>Benchmark: e.g., 70% target.</w:t>
      </w:r>
    </w:p>
    <w:p>
      <w:pPr>
        <w:pStyle w:val="ListBullet2"/>
        <w:spacing w:after="80" w:line="276" w:lineRule="auto"/>
      </w:pPr>
      <w:r>
        <w:rPr>
          <w:rFonts w:ascii="Cambria" w:hAnsi="Cambria"/>
          <w:b w:val="0"/>
          <w:i w:val="0"/>
          <w:sz w:val="22"/>
        </w:rPr>
        <w:t>If actual &lt; target → identify shortfall.</w:t>
      </w:r>
    </w:p>
    <w:p>
      <w:pPr>
        <w:pStyle w:val="ListBullet2"/>
        <w:spacing w:after="80" w:line="276" w:lineRule="auto"/>
      </w:pPr>
      <w:r>
        <w:rPr>
          <w:rFonts w:ascii="Cambria" w:hAnsi="Cambria"/>
          <w:b w:val="0"/>
          <w:i w:val="0"/>
          <w:sz w:val="22"/>
        </w:rPr>
        <w:t>Gaps classified: conceptual, practical, analytical, communication, industry-exposure related.</w:t>
      </w:r>
    </w:p>
    <w:p>
      <w:pPr>
        <w:pStyle w:val="Heading3"/>
      </w:pPr>
      <w:r>
        <w:rPr>
          <w:rFonts w:ascii="Cambria" w:hAnsi="Cambria"/>
          <w:b/>
          <w:color w:val="1F3A5F"/>
          <w:sz w:val="26"/>
        </w:rPr>
        <w:t>3. Areas of Weakness Identified</w:t>
      </w:r>
    </w:p>
    <w:p>
      <w:pPr>
        <w:pStyle w:val="ListNumber"/>
        <w:spacing w:after="80" w:line="276" w:lineRule="auto"/>
      </w:pPr>
      <w:r>
        <w:rPr>
          <w:rFonts w:ascii="Cambria" w:hAnsi="Cambria"/>
          <w:b/>
          <w:i w:val="0"/>
          <w:sz w:val="22"/>
        </w:rPr>
        <w:t>CO Level</w:t>
      </w:r>
    </w:p>
    <w:p>
      <w:pPr>
        <w:pStyle w:val="ListBullet2"/>
        <w:spacing w:after="80" w:line="276" w:lineRule="auto"/>
      </w:pPr>
      <w:r>
        <w:rPr>
          <w:rFonts w:ascii="Cambria" w:hAnsi="Cambria"/>
          <w:b w:val="0"/>
          <w:i w:val="0"/>
          <w:sz w:val="22"/>
        </w:rPr>
        <w:t>Weak understanding of higher-order concepts (recursion, thermodynamics, simulations).</w:t>
      </w:r>
    </w:p>
    <w:p>
      <w:pPr>
        <w:pStyle w:val="ListBullet2"/>
        <w:spacing w:after="80" w:line="276" w:lineRule="auto"/>
      </w:pPr>
      <w:r>
        <w:rPr>
          <w:rFonts w:ascii="Cambria" w:hAnsi="Cambria"/>
          <w:b w:val="0"/>
          <w:i w:val="0"/>
          <w:sz w:val="22"/>
        </w:rPr>
        <w:t>Poor performance in problem-solving or lab-based COs.</w:t>
      </w:r>
    </w:p>
    <w:p>
      <w:pPr>
        <w:pStyle w:val="ListBullet2"/>
        <w:spacing w:after="80" w:line="276" w:lineRule="auto"/>
      </w:pPr>
      <w:r>
        <w:rPr>
          <w:rFonts w:ascii="Cambria" w:hAnsi="Cambria"/>
          <w:b w:val="0"/>
          <w:i w:val="0"/>
          <w:sz w:val="22"/>
        </w:rPr>
        <w:t>Gaps in project-based COs requiring innovation/creativity.</w:t>
      </w:r>
    </w:p>
    <w:p>
      <w:pPr>
        <w:pStyle w:val="ListNumber"/>
        <w:spacing w:after="80" w:line="276" w:lineRule="auto"/>
      </w:pPr>
      <w:r>
        <w:rPr>
          <w:rFonts w:ascii="Cambria" w:hAnsi="Cambria"/>
          <w:b/>
          <w:i w:val="0"/>
          <w:sz w:val="22"/>
        </w:rPr>
        <w:t>PO Level</w:t>
      </w:r>
    </w:p>
    <w:p>
      <w:pPr>
        <w:pStyle w:val="ListBullet2"/>
        <w:spacing w:after="80" w:line="276" w:lineRule="auto"/>
      </w:pPr>
      <w:r>
        <w:rPr>
          <w:rFonts w:ascii="Cambria" w:hAnsi="Cambria"/>
          <w:b w:val="0"/>
          <w:i w:val="0"/>
          <w:sz w:val="22"/>
        </w:rPr>
        <w:t>Low attainment in PO4 (Investigations), PO9 (Communication), PO12 (Lifelong learning).</w:t>
      </w:r>
    </w:p>
    <w:p>
      <w:pPr>
        <w:pStyle w:val="ListBullet2"/>
        <w:spacing w:after="80" w:line="276" w:lineRule="auto"/>
      </w:pPr>
      <w:r>
        <w:rPr>
          <w:rFonts w:ascii="Cambria" w:hAnsi="Cambria"/>
          <w:b w:val="0"/>
          <w:i w:val="0"/>
          <w:sz w:val="22"/>
        </w:rPr>
        <w:t>Students underperforming in teamwork, ethics, and project management.</w:t>
      </w:r>
    </w:p>
    <w:p>
      <w:pPr>
        <w:pStyle w:val="ListNumber"/>
        <w:spacing w:after="80" w:line="276" w:lineRule="auto"/>
      </w:pPr>
      <w:r>
        <w:rPr>
          <w:rFonts w:ascii="Cambria" w:hAnsi="Cambria"/>
          <w:b/>
          <w:i w:val="0"/>
          <w:sz w:val="22"/>
        </w:rPr>
        <w:t>PSO Level</w:t>
      </w:r>
    </w:p>
    <w:p>
      <w:pPr>
        <w:pStyle w:val="ListBullet2"/>
        <w:spacing w:after="80" w:line="276" w:lineRule="auto"/>
      </w:pPr>
      <w:r>
        <w:rPr>
          <w:rFonts w:ascii="Cambria" w:hAnsi="Cambria"/>
          <w:b w:val="0"/>
          <w:i w:val="0"/>
          <w:sz w:val="22"/>
        </w:rPr>
        <w:t>Lack of domain-specific tools and advanced technology usage.</w:t>
      </w:r>
    </w:p>
    <w:p>
      <w:pPr>
        <w:pStyle w:val="ListBullet2"/>
        <w:spacing w:after="80" w:line="276" w:lineRule="auto"/>
      </w:pPr>
      <w:r>
        <w:rPr>
          <w:rFonts w:ascii="Cambria" w:hAnsi="Cambria"/>
          <w:b w:val="0"/>
          <w:i w:val="0"/>
          <w:sz w:val="22"/>
        </w:rPr>
        <w:t>Limited exposure to current industry practices.</w:t>
      </w:r>
    </w:p>
    <w:p>
      <w:pPr>
        <w:pStyle w:val="Heading3"/>
      </w:pPr>
      <w:r>
        <w:rPr>
          <w:rFonts w:ascii="Cambria" w:hAnsi="Cambria"/>
          <w:b/>
          <w:color w:val="1F3A5F"/>
          <w:sz w:val="26"/>
        </w:rPr>
        <w:t>4. Actions Taken</w:t>
      </w:r>
    </w:p>
    <w:p>
      <w:pPr>
        <w:spacing w:after="80" w:line="276" w:lineRule="auto"/>
      </w:pPr>
      <w:r>
        <w:rPr>
          <w:rFonts w:ascii="Cambria" w:hAnsi="Cambria"/>
          <w:b/>
          <w:i w:val="0"/>
          <w:sz w:val="22"/>
        </w:rPr>
        <w:t>A. Curriculum Interventions</w:t>
      </w:r>
    </w:p>
    <w:p>
      <w:pPr>
        <w:pStyle w:val="ListBullet"/>
        <w:spacing w:after="80" w:line="276" w:lineRule="auto"/>
      </w:pPr>
      <w:r>
        <w:rPr>
          <w:rFonts w:ascii="Cambria" w:hAnsi="Cambria"/>
          <w:b w:val="0"/>
          <w:i w:val="0"/>
          <w:sz w:val="22"/>
        </w:rPr>
        <w:t>Revised syllabi to include advanced/emerging topics.</w:t>
      </w:r>
    </w:p>
    <w:p>
      <w:pPr>
        <w:pStyle w:val="ListBullet"/>
        <w:spacing w:after="80" w:line="276" w:lineRule="auto"/>
      </w:pPr>
      <w:r>
        <w:rPr>
          <w:rFonts w:ascii="Cambria" w:hAnsi="Cambria"/>
          <w:b w:val="0"/>
          <w:i w:val="0"/>
          <w:sz w:val="22"/>
        </w:rPr>
        <w:t>Introduced bridge courses to strengthen fundamentals.</w:t>
      </w:r>
    </w:p>
    <w:p>
      <w:pPr>
        <w:pStyle w:val="ListBullet"/>
        <w:spacing w:after="80" w:line="276" w:lineRule="auto"/>
      </w:pPr>
      <w:r>
        <w:rPr>
          <w:rFonts w:ascii="Cambria" w:hAnsi="Cambria"/>
          <w:b w:val="0"/>
          <w:i w:val="0"/>
          <w:sz w:val="22"/>
        </w:rPr>
        <w:t>Added value-added courses (MOOCs, NPTEL, Coursera) mapped to specific POs/PSOs.</w:t>
      </w:r>
    </w:p>
    <w:p>
      <w:pPr>
        <w:spacing w:after="80" w:line="276" w:lineRule="auto"/>
      </w:pPr>
      <w:r>
        <w:rPr>
          <w:rFonts w:ascii="Cambria" w:hAnsi="Cambria"/>
          <w:b/>
          <w:i w:val="0"/>
          <w:sz w:val="22"/>
        </w:rPr>
        <w:t>B. Pedagogical Initiatives</w:t>
      </w:r>
    </w:p>
    <w:p>
      <w:pPr>
        <w:pStyle w:val="ListBullet"/>
        <w:spacing w:after="80" w:line="276" w:lineRule="auto"/>
      </w:pPr>
      <w:r>
        <w:rPr>
          <w:rFonts w:ascii="Cambria" w:hAnsi="Cambria"/>
          <w:b w:val="0"/>
          <w:i w:val="0"/>
          <w:sz w:val="22"/>
        </w:rPr>
        <w:t>Adopted ICT-enabled learning (simulations, virtual labs, coding platforms).</w:t>
      </w:r>
    </w:p>
    <w:p>
      <w:pPr>
        <w:pStyle w:val="ListBullet"/>
        <w:spacing w:after="80" w:line="276" w:lineRule="auto"/>
      </w:pPr>
      <w:r>
        <w:rPr>
          <w:rFonts w:ascii="Cambria" w:hAnsi="Cambria"/>
          <w:b w:val="0"/>
          <w:i w:val="0"/>
          <w:sz w:val="22"/>
        </w:rPr>
        <w:t>Implemented flipped classrooms, project-based learning, and case studies.</w:t>
      </w:r>
    </w:p>
    <w:p>
      <w:pPr>
        <w:pStyle w:val="ListBullet"/>
        <w:spacing w:after="80" w:line="276" w:lineRule="auto"/>
      </w:pPr>
      <w:r>
        <w:rPr>
          <w:rFonts w:ascii="Cambria" w:hAnsi="Cambria"/>
          <w:b w:val="0"/>
          <w:i w:val="0"/>
          <w:sz w:val="22"/>
        </w:rPr>
        <w:t>Introduced rubrics for evaluating communication, ethics, teamwork.</w:t>
      </w:r>
    </w:p>
    <w:p>
      <w:pPr>
        <w:spacing w:after="80" w:line="276" w:lineRule="auto"/>
      </w:pPr>
      <w:r>
        <w:rPr>
          <w:rFonts w:ascii="Cambria" w:hAnsi="Cambria"/>
          <w:b/>
          <w:i w:val="0"/>
          <w:sz w:val="22"/>
        </w:rPr>
        <w:t>C. Student Support Measures</w:t>
      </w:r>
    </w:p>
    <w:p>
      <w:pPr>
        <w:pStyle w:val="ListBullet"/>
        <w:spacing w:after="80" w:line="276" w:lineRule="auto"/>
      </w:pPr>
      <w:r>
        <w:rPr>
          <w:rFonts w:ascii="Cambria" w:hAnsi="Cambria"/>
          <w:b w:val="0"/>
          <w:i w:val="0"/>
          <w:sz w:val="22"/>
        </w:rPr>
        <w:t>Conducted remedial classes for slow learners.</w:t>
      </w:r>
    </w:p>
    <w:p>
      <w:pPr>
        <w:pStyle w:val="ListBullet"/>
        <w:spacing w:after="80" w:line="276" w:lineRule="auto"/>
      </w:pPr>
      <w:r>
        <w:rPr>
          <w:rFonts w:ascii="Cambria" w:hAnsi="Cambria"/>
          <w:b w:val="0"/>
          <w:i w:val="0"/>
          <w:sz w:val="22"/>
        </w:rPr>
        <w:t>Organized workshops, technical training, hackathons.</w:t>
      </w:r>
    </w:p>
    <w:p>
      <w:pPr>
        <w:pStyle w:val="ListBullet"/>
        <w:spacing w:after="80" w:line="276" w:lineRule="auto"/>
      </w:pPr>
      <w:r>
        <w:rPr>
          <w:rFonts w:ascii="Cambria" w:hAnsi="Cambria"/>
          <w:b w:val="0"/>
          <w:i w:val="0"/>
          <w:sz w:val="22"/>
        </w:rPr>
        <w:t>Established mentoring system for personalized guidance.</w:t>
      </w:r>
    </w:p>
    <w:p>
      <w:pPr>
        <w:pStyle w:val="ListBullet"/>
        <w:spacing w:after="80" w:line="276" w:lineRule="auto"/>
      </w:pPr>
      <w:r>
        <w:rPr>
          <w:rFonts w:ascii="Cambria" w:hAnsi="Cambria"/>
          <w:b w:val="0"/>
          <w:i w:val="0"/>
          <w:sz w:val="22"/>
        </w:rPr>
        <w:t>Soft skills and employability training.</w:t>
      </w:r>
    </w:p>
    <w:p>
      <w:pPr>
        <w:spacing w:after="80" w:line="276" w:lineRule="auto"/>
      </w:pPr>
      <w:r>
        <w:rPr>
          <w:rFonts w:ascii="Cambria" w:hAnsi="Cambria"/>
          <w:b/>
          <w:i w:val="0"/>
          <w:sz w:val="22"/>
        </w:rPr>
        <w:t>D. Faculty Development</w:t>
      </w:r>
    </w:p>
    <w:p>
      <w:pPr>
        <w:pStyle w:val="ListBullet"/>
        <w:spacing w:after="80" w:line="276" w:lineRule="auto"/>
      </w:pPr>
      <w:r>
        <w:rPr>
          <w:rFonts w:ascii="Cambria" w:hAnsi="Cambria"/>
          <w:b w:val="0"/>
          <w:i w:val="0"/>
          <w:sz w:val="22"/>
        </w:rPr>
        <w:t>FDPs on Outcome-Based Education (OBE), pedagogy, and advanced tools.</w:t>
      </w:r>
    </w:p>
    <w:p>
      <w:pPr>
        <w:pStyle w:val="ListBullet"/>
        <w:spacing w:after="80" w:line="276" w:lineRule="auto"/>
      </w:pPr>
      <w:r>
        <w:rPr>
          <w:rFonts w:ascii="Cambria" w:hAnsi="Cambria"/>
          <w:b w:val="0"/>
          <w:i w:val="0"/>
          <w:sz w:val="22"/>
        </w:rPr>
        <w:t>Industry internships for faculty to align with real-world practices.</w:t>
      </w:r>
    </w:p>
    <w:p>
      <w:pPr>
        <w:spacing w:after="80" w:line="276" w:lineRule="auto"/>
      </w:pPr>
      <w:r>
        <w:rPr>
          <w:rFonts w:ascii="Cambria" w:hAnsi="Cambria"/>
          <w:b/>
          <w:i w:val="0"/>
          <w:sz w:val="22"/>
        </w:rPr>
        <w:t>E. Industry &amp; Research Exposure</w:t>
      </w:r>
    </w:p>
    <w:p>
      <w:pPr>
        <w:pStyle w:val="ListBullet"/>
        <w:spacing w:after="80" w:line="276" w:lineRule="auto"/>
      </w:pPr>
      <w:r>
        <w:rPr>
          <w:rFonts w:ascii="Cambria" w:hAnsi="Cambria"/>
          <w:b w:val="0"/>
          <w:i w:val="0"/>
          <w:sz w:val="22"/>
        </w:rPr>
        <w:t>MoUs with industries → internships &amp; live projects.</w:t>
      </w:r>
    </w:p>
    <w:p>
      <w:pPr>
        <w:pStyle w:val="ListBullet"/>
        <w:spacing w:after="80" w:line="276" w:lineRule="auto"/>
      </w:pPr>
      <w:r>
        <w:rPr>
          <w:rFonts w:ascii="Cambria" w:hAnsi="Cambria"/>
          <w:b w:val="0"/>
          <w:i w:val="0"/>
          <w:sz w:val="22"/>
        </w:rPr>
        <w:t>Invited industry experts for seminars and guest lectures.</w:t>
      </w:r>
    </w:p>
    <w:p>
      <w:pPr>
        <w:pStyle w:val="ListBullet"/>
        <w:spacing w:after="80" w:line="276" w:lineRule="auto"/>
      </w:pPr>
      <w:r>
        <w:rPr>
          <w:rFonts w:ascii="Cambria" w:hAnsi="Cambria"/>
          <w:b w:val="0"/>
          <w:i w:val="0"/>
          <w:sz w:val="22"/>
        </w:rPr>
        <w:t>Encouraged student mini-projects, publications, and startup incubation.</w:t>
      </w:r>
    </w:p>
    <w:p>
      <w:pPr>
        <w:pStyle w:val="Heading3"/>
      </w:pPr>
      <w:r>
        <w:rPr>
          <w:rFonts w:ascii="Cambria" w:hAnsi="Cambria"/>
          <w:b/>
          <w:color w:val="1F3A5F"/>
          <w:sz w:val="26"/>
        </w:rPr>
        <w:t>5. Documentation &amp; Evidence</w:t>
      </w:r>
    </w:p>
    <w:p>
      <w:pPr>
        <w:pStyle w:val="ListBullet"/>
        <w:spacing w:after="80" w:line="276" w:lineRule="auto"/>
      </w:pPr>
      <w:r>
        <w:rPr>
          <w:rFonts w:ascii="Cambria" w:hAnsi="Cambria"/>
          <w:b w:val="0"/>
          <w:i w:val="0"/>
          <w:sz w:val="22"/>
        </w:rPr>
        <w:t>CO Attainment Reports (course-wise, year-wise).</w:t>
      </w:r>
    </w:p>
    <w:p>
      <w:pPr>
        <w:pStyle w:val="ListBullet"/>
        <w:spacing w:after="80" w:line="276" w:lineRule="auto"/>
      </w:pPr>
      <w:r>
        <w:rPr>
          <w:rFonts w:ascii="Cambria" w:hAnsi="Cambria"/>
          <w:b w:val="0"/>
          <w:i w:val="0"/>
          <w:sz w:val="22"/>
        </w:rPr>
        <w:t>PO/PSO Attainment Analysis (aggregated over years).</w:t>
      </w:r>
    </w:p>
    <w:p>
      <w:pPr>
        <w:pStyle w:val="ListBullet"/>
        <w:spacing w:after="80" w:line="276" w:lineRule="auto"/>
      </w:pPr>
      <w:r>
        <w:rPr>
          <w:rFonts w:ascii="Cambria" w:hAnsi="Cambria"/>
          <w:b w:val="0"/>
          <w:i w:val="0"/>
          <w:sz w:val="22"/>
        </w:rPr>
        <w:t>Action Taken Reports (ATRs) from Faculty Meetings &amp; DAB discussions.</w:t>
      </w:r>
    </w:p>
    <w:p>
      <w:pPr>
        <w:pStyle w:val="ListBullet"/>
        <w:spacing w:after="80" w:line="276" w:lineRule="auto"/>
      </w:pPr>
      <w:r>
        <w:rPr>
          <w:rFonts w:ascii="Cambria" w:hAnsi="Cambria"/>
          <w:b w:val="0"/>
          <w:i w:val="0"/>
          <w:sz w:val="22"/>
        </w:rPr>
        <w:t>Records of interventions → remedial classes, bridge courses, FDPs, workshops.</w:t>
      </w:r>
    </w:p>
    <w:p>
      <w:pPr>
        <w:pStyle w:val="ListBullet"/>
        <w:spacing w:after="80" w:line="276" w:lineRule="auto"/>
      </w:pPr>
      <w:r>
        <w:rPr>
          <w:rFonts w:ascii="Cambria" w:hAnsi="Cambria"/>
          <w:b w:val="0"/>
          <w:i w:val="0"/>
          <w:sz w:val="22"/>
        </w:rPr>
        <w:t>Improved attainment charts (before vs. after).</w:t>
      </w:r>
    </w:p>
    <w:p>
      <w:pPr>
        <w:pStyle w:val="ListBullet"/>
        <w:spacing w:after="80" w:line="276" w:lineRule="auto"/>
      </w:pPr>
      <w:r>
        <w:rPr>
          <w:rFonts w:ascii="Cambria" w:hAnsi="Cambria"/>
          <w:b w:val="0"/>
          <w:i w:val="0"/>
          <w:sz w:val="22"/>
        </w:rPr>
        <w:t>Feedback forms from students, alumni, employers confirming effectiveness.</w:t>
      </w:r>
    </w:p>
    <w:p>
      <w:pPr>
        <w:pStyle w:val="Heading3"/>
      </w:pPr>
      <w:r>
        <w:rPr>
          <w:rFonts w:ascii="Cambria" w:hAnsi="Cambria"/>
          <w:b/>
          <w:color w:val="1F3A5F"/>
          <w:sz w:val="26"/>
        </w:rPr>
        <w:t>6. Demonstrated Impact</w:t>
      </w:r>
    </w:p>
    <w:p>
      <w:pPr>
        <w:pStyle w:val="ListBullet"/>
        <w:spacing w:after="80" w:line="276" w:lineRule="auto"/>
      </w:pPr>
      <w:r>
        <w:rPr>
          <w:rFonts w:ascii="Cambria" w:hAnsi="Cambria"/>
          <w:b/>
          <w:i w:val="0"/>
          <w:sz w:val="22"/>
        </w:rPr>
        <w:t xml:space="preserve">CO Improvement: </w:t>
      </w:r>
      <w:r>
        <w:rPr>
          <w:rFonts w:ascii="Cambria" w:hAnsi="Cambria"/>
          <w:b w:val="0"/>
          <w:i w:val="0"/>
          <w:sz w:val="22"/>
        </w:rPr>
        <w:t>Example – CO2 in Data Structures improved from 52% → 69% after weekly coding challenges.</w:t>
      </w:r>
    </w:p>
    <w:p>
      <w:pPr>
        <w:pStyle w:val="ListBullet"/>
        <w:spacing w:after="80" w:line="276" w:lineRule="auto"/>
      </w:pPr>
      <w:r>
        <w:rPr>
          <w:rFonts w:ascii="Cambria" w:hAnsi="Cambria"/>
          <w:b/>
          <w:i w:val="0"/>
          <w:sz w:val="22"/>
        </w:rPr>
        <w:t xml:space="preserve">PO Improvement: </w:t>
      </w:r>
      <w:r>
        <w:rPr>
          <w:rFonts w:ascii="Cambria" w:hAnsi="Cambria"/>
          <w:b w:val="0"/>
          <w:i w:val="0"/>
          <w:sz w:val="22"/>
        </w:rPr>
        <w:t>Example – PO4 (Investigations) improved from 55% → 68% after introducing simulation labs.</w:t>
      </w:r>
    </w:p>
    <w:p>
      <w:pPr>
        <w:pStyle w:val="ListBullet"/>
        <w:spacing w:after="80" w:line="276" w:lineRule="auto"/>
      </w:pPr>
      <w:r>
        <w:rPr>
          <w:rFonts w:ascii="Cambria" w:hAnsi="Cambria"/>
          <w:b/>
          <w:i w:val="0"/>
          <w:sz w:val="22"/>
        </w:rPr>
        <w:t xml:space="preserve">PSO Improvement: </w:t>
      </w:r>
      <w:r>
        <w:rPr>
          <w:rFonts w:ascii="Cambria" w:hAnsi="Cambria"/>
          <w:b w:val="0"/>
          <w:i w:val="0"/>
          <w:sz w:val="22"/>
        </w:rPr>
        <w:t>Example – PSO1 (Domain-specific tools) improved from 52% → 66% after installing industry-grade software.</w:t>
      </w:r>
    </w:p>
    <w:p>
      <w:pPr>
        <w:pStyle w:val="ListBullet"/>
        <w:spacing w:after="80" w:line="276" w:lineRule="auto"/>
      </w:pPr>
      <w:r>
        <w:rPr>
          <w:rFonts w:ascii="Cambria" w:hAnsi="Cambria"/>
          <w:b/>
          <w:i w:val="0"/>
          <w:sz w:val="22"/>
        </w:rPr>
        <w:t>Indirect Indicators:</w:t>
      </w:r>
    </w:p>
    <w:p>
      <w:pPr>
        <w:pStyle w:val="ListBullet2"/>
        <w:spacing w:after="80" w:line="276" w:lineRule="auto"/>
      </w:pPr>
      <w:r>
        <w:rPr>
          <w:rFonts w:ascii="Cambria" w:hAnsi="Cambria"/>
          <w:b w:val="0"/>
          <w:i w:val="0"/>
          <w:sz w:val="22"/>
        </w:rPr>
        <w:t>Better student feedback.</w:t>
      </w:r>
    </w:p>
    <w:p>
      <w:pPr>
        <w:pStyle w:val="ListBullet2"/>
        <w:spacing w:after="80" w:line="276" w:lineRule="auto"/>
      </w:pPr>
      <w:r>
        <w:rPr>
          <w:rFonts w:ascii="Cambria" w:hAnsi="Cambria"/>
          <w:b w:val="0"/>
          <w:i w:val="0"/>
          <w:sz w:val="22"/>
        </w:rPr>
        <w:t>Increased placements and higher studies admissions.</w:t>
      </w:r>
    </w:p>
    <w:p>
      <w:pPr>
        <w:pStyle w:val="ListBullet2"/>
        <w:spacing w:after="80" w:line="276" w:lineRule="auto"/>
      </w:pPr>
      <w:r>
        <w:rPr>
          <w:rFonts w:ascii="Cambria" w:hAnsi="Cambria"/>
          <w:b w:val="0"/>
          <w:i w:val="0"/>
          <w:sz w:val="22"/>
        </w:rPr>
        <w:t>Research outputs and innovation activities increased.</w:t>
      </w:r>
    </w:p>
    <w:p>
      <w:pPr>
        <w:pStyle w:val="Heading3"/>
      </w:pPr>
      <w:r>
        <w:rPr>
          <w:rFonts w:ascii="Cambria" w:hAnsi="Cambria"/>
          <w:b/>
          <w:color w:val="1F3A5F"/>
          <w:sz w:val="26"/>
        </w:rPr>
        <w:t>7. Marking Distribution (40 Marks)</w:t>
      </w:r>
    </w:p>
    <w:p>
      <w:pPr>
        <w:pStyle w:val="ListBullet"/>
        <w:spacing w:after="80" w:line="276" w:lineRule="auto"/>
      </w:pPr>
      <w:r>
        <w:rPr>
          <w:rFonts w:ascii="Cambria" w:hAnsi="Cambria"/>
          <w:b w:val="0"/>
          <w:i w:val="0"/>
          <w:sz w:val="22"/>
        </w:rPr>
        <w:t>Systematic evaluation and identification of gaps – 10 marks.</w:t>
      </w:r>
    </w:p>
    <w:p>
      <w:pPr>
        <w:pStyle w:val="ListBullet"/>
        <w:spacing w:after="80" w:line="276" w:lineRule="auto"/>
      </w:pPr>
      <w:r>
        <w:rPr>
          <w:rFonts w:ascii="Cambria" w:hAnsi="Cambria"/>
          <w:b w:val="0"/>
          <w:i w:val="0"/>
          <w:sz w:val="22"/>
        </w:rPr>
        <w:t>Corrective actions taken at CO, PO, and PSO levels – 10 marks.</w:t>
      </w:r>
    </w:p>
    <w:p>
      <w:pPr>
        <w:pStyle w:val="ListBullet"/>
        <w:spacing w:after="80" w:line="276" w:lineRule="auto"/>
      </w:pPr>
      <w:r>
        <w:rPr>
          <w:rFonts w:ascii="Cambria" w:hAnsi="Cambria"/>
          <w:b w:val="0"/>
          <w:i w:val="0"/>
          <w:sz w:val="22"/>
        </w:rPr>
        <w:t>Evidence of implementation (ATRs, remedial records, FDP reports) – 10 marks.</w:t>
      </w:r>
    </w:p>
    <w:p>
      <w:pPr>
        <w:pStyle w:val="ListBullet"/>
        <w:spacing w:after="80" w:line="276" w:lineRule="auto"/>
      </w:pPr>
      <w:r>
        <w:rPr>
          <w:rFonts w:ascii="Cambria" w:hAnsi="Cambria"/>
          <w:b w:val="0"/>
          <w:i w:val="0"/>
          <w:sz w:val="22"/>
        </w:rPr>
        <w:t>Demonstrated impact through improved attainment charts – 10 marks.</w:t>
      </w:r>
    </w:p>
    <w:p>
      <w:r>
        <w:br w:type="page"/>
      </w:r>
    </w:p>
    <w:p>
      <w:pPr>
        <w:pStyle w:val="Heading1"/>
      </w:pPr>
      <w:r>
        <w:rPr>
          <w:rFonts w:ascii="Cambria" w:hAnsi="Cambria"/>
          <w:b/>
          <w:color w:val="1F3A5F"/>
          <w:sz w:val="36"/>
        </w:rPr>
        <w:t>4. Actions Taken Based on the Results of Evaluation of the COs Attainment</w:t>
      </w:r>
    </w:p>
    <w:p>
      <w:pPr>
        <w:spacing w:after="80" w:line="276" w:lineRule="auto"/>
      </w:pPr>
      <w:r>
        <w:rPr>
          <w:rFonts w:ascii="Cambria" w:hAnsi="Cambria"/>
          <w:b/>
          <w:i w:val="0"/>
          <w:sz w:val="22"/>
        </w:rPr>
        <w:t>Context and Purpose</w:t>
      </w:r>
    </w:p>
    <w:p>
      <w:pPr>
        <w:pStyle w:val="ListBullet"/>
        <w:spacing w:after="80" w:line="276" w:lineRule="auto"/>
      </w:pPr>
      <w:r>
        <w:rPr>
          <w:rFonts w:ascii="Cambria" w:hAnsi="Cambria"/>
          <w:b w:val="0"/>
          <w:i w:val="0"/>
          <w:sz w:val="22"/>
        </w:rPr>
        <w:t>Course Outcomes (COs) describe what a student is expected to learn by the end of a course.</w:t>
      </w:r>
    </w:p>
    <w:p>
      <w:pPr>
        <w:pStyle w:val="ListBullet"/>
        <w:spacing w:after="80" w:line="276" w:lineRule="auto"/>
      </w:pPr>
      <w:r>
        <w:rPr>
          <w:rFonts w:ascii="Cambria" w:hAnsi="Cambria"/>
          <w:b w:val="0"/>
          <w:i w:val="0"/>
          <w:sz w:val="22"/>
        </w:rPr>
        <w:t>Institutions must evaluate the attainment of COs every semester/year through direct (exam results, assignments, lab work) and indirect (surveys, feedback) assessments.</w:t>
      </w:r>
    </w:p>
    <w:p>
      <w:pPr>
        <w:pStyle w:val="ListBullet"/>
        <w:spacing w:after="80" w:line="276" w:lineRule="auto"/>
      </w:pPr>
      <w:r>
        <w:rPr>
          <w:rFonts w:ascii="Cambria" w:hAnsi="Cambria"/>
          <w:b w:val="0"/>
          <w:i w:val="0"/>
          <w:sz w:val="22"/>
        </w:rPr>
        <w:t>This criterion emphasizes how weaknesses are identified from CO attainment analysis and how institutions implement corrective measures to ensure continuous improvement.</w:t>
      </w:r>
    </w:p>
    <w:p>
      <w:pPr>
        <w:spacing w:after="80" w:line="276" w:lineRule="auto"/>
      </w:pPr>
      <w:r>
        <w:rPr>
          <w:rFonts w:ascii="Cambria" w:hAnsi="Cambria"/>
          <w:b/>
          <w:i w:val="0"/>
          <w:sz w:val="22"/>
        </w:rPr>
        <w:t>Evaluation of CO Attainment</w:t>
      </w:r>
    </w:p>
    <w:p>
      <w:pPr>
        <w:pStyle w:val="ListBullet"/>
        <w:spacing w:after="80" w:line="276" w:lineRule="auto"/>
      </w:pPr>
      <w:r>
        <w:rPr>
          <w:rFonts w:ascii="Cambria" w:hAnsi="Cambria"/>
          <w:b/>
          <w:i w:val="0"/>
          <w:sz w:val="22"/>
        </w:rPr>
        <w:t>Direct Methods:</w:t>
      </w:r>
    </w:p>
    <w:p>
      <w:pPr>
        <w:pStyle w:val="ListBullet2"/>
        <w:spacing w:after="80" w:line="276" w:lineRule="auto"/>
      </w:pPr>
      <w:r>
        <w:rPr>
          <w:rFonts w:ascii="Cambria" w:hAnsi="Cambria"/>
          <w:b w:val="0"/>
          <w:i w:val="0"/>
          <w:sz w:val="22"/>
        </w:rPr>
        <w:t>Internal assessments, semester-end examinations, lab work, projects, viva, class performance.</w:t>
      </w:r>
    </w:p>
    <w:p>
      <w:pPr>
        <w:pStyle w:val="ListBullet2"/>
        <w:spacing w:after="80" w:line="276" w:lineRule="auto"/>
      </w:pPr>
      <w:r>
        <w:rPr>
          <w:rFonts w:ascii="Cambria" w:hAnsi="Cambria"/>
          <w:b w:val="0"/>
          <w:i w:val="0"/>
          <w:sz w:val="22"/>
        </w:rPr>
        <w:t>Rubrics-based assessment of experiments, presentations, assignments.</w:t>
      </w:r>
    </w:p>
    <w:p>
      <w:pPr>
        <w:pStyle w:val="ListBullet"/>
        <w:spacing w:after="80" w:line="276" w:lineRule="auto"/>
      </w:pPr>
      <w:r>
        <w:rPr>
          <w:rFonts w:ascii="Cambria" w:hAnsi="Cambria"/>
          <w:b/>
          <w:i w:val="0"/>
          <w:sz w:val="22"/>
        </w:rPr>
        <w:t>Indirect Methods:</w:t>
      </w:r>
    </w:p>
    <w:p>
      <w:pPr>
        <w:pStyle w:val="ListBullet2"/>
        <w:spacing w:after="80" w:line="276" w:lineRule="auto"/>
      </w:pPr>
      <w:r>
        <w:rPr>
          <w:rFonts w:ascii="Cambria" w:hAnsi="Cambria"/>
          <w:b w:val="0"/>
          <w:i w:val="0"/>
          <w:sz w:val="22"/>
        </w:rPr>
        <w:t>Student surveys, course exit surveys, alumni feedback, employer input.</w:t>
      </w:r>
    </w:p>
    <w:p>
      <w:pPr>
        <w:pStyle w:val="ListBullet"/>
        <w:spacing w:after="80" w:line="276" w:lineRule="auto"/>
      </w:pPr>
      <w:r>
        <w:rPr>
          <w:rFonts w:ascii="Cambria" w:hAnsi="Cambria"/>
          <w:b/>
          <w:i w:val="0"/>
          <w:sz w:val="22"/>
        </w:rPr>
        <w:t>Benchmarks/Thresholds:</w:t>
      </w:r>
    </w:p>
    <w:p>
      <w:pPr>
        <w:pStyle w:val="ListBullet2"/>
        <w:spacing w:after="80" w:line="276" w:lineRule="auto"/>
      </w:pPr>
      <w:r>
        <w:rPr>
          <w:rFonts w:ascii="Cambria" w:hAnsi="Cambria"/>
          <w:b w:val="0"/>
          <w:i w:val="0"/>
          <w:sz w:val="22"/>
        </w:rPr>
        <w:t>Example: If 70% of students scoring ≥ 50 marks is the target, but only 55% achieved it, then a gap exists.</w:t>
      </w:r>
    </w:p>
    <w:p>
      <w:pPr>
        <w:pStyle w:val="ListBullet"/>
        <w:spacing w:after="80" w:line="276" w:lineRule="auto"/>
      </w:pPr>
      <w:r>
        <w:rPr>
          <w:rFonts w:ascii="Cambria" w:hAnsi="Cambria"/>
          <w:b/>
          <w:i w:val="0"/>
          <w:sz w:val="22"/>
        </w:rPr>
        <w:t>Gap Analysis:</w:t>
      </w:r>
    </w:p>
    <w:p>
      <w:pPr>
        <w:pStyle w:val="ListBullet2"/>
        <w:spacing w:after="80" w:line="276" w:lineRule="auto"/>
      </w:pPr>
      <w:r>
        <w:rPr>
          <w:rFonts w:ascii="Cambria" w:hAnsi="Cambria"/>
          <w:b w:val="0"/>
          <w:i w:val="0"/>
          <w:sz w:val="22"/>
        </w:rPr>
        <w:t>Identify specific topics or skills where students underperformed.</w:t>
      </w:r>
    </w:p>
    <w:p>
      <w:pPr>
        <w:pStyle w:val="ListBullet2"/>
        <w:spacing w:after="80" w:line="276" w:lineRule="auto"/>
      </w:pPr>
      <w:r>
        <w:rPr>
          <w:rFonts w:ascii="Cambria" w:hAnsi="Cambria"/>
          <w:b w:val="0"/>
          <w:i w:val="0"/>
          <w:sz w:val="22"/>
        </w:rPr>
        <w:t>Classify weaknesses as conceptual gaps, lack of practical exposure, or inadequate higher-order skill development.</w:t>
      </w:r>
    </w:p>
    <w:p>
      <w:pPr>
        <w:spacing w:after="80" w:line="276" w:lineRule="auto"/>
      </w:pPr>
      <w:r>
        <w:rPr>
          <w:rFonts w:ascii="Cambria" w:hAnsi="Cambria"/>
          <w:b/>
          <w:i w:val="0"/>
          <w:sz w:val="22"/>
        </w:rPr>
        <w:t>Areas of Weakness Identified (Examples)</w:t>
      </w:r>
    </w:p>
    <w:p>
      <w:pPr>
        <w:pStyle w:val="ListNumber"/>
        <w:spacing w:after="80" w:line="276" w:lineRule="auto"/>
      </w:pPr>
      <w:r>
        <w:rPr>
          <w:rFonts w:ascii="Cambria" w:hAnsi="Cambria"/>
          <w:b w:val="0"/>
          <w:i w:val="0"/>
          <w:sz w:val="22"/>
        </w:rPr>
        <w:t>Low attainment in analytical/problem-solving oriented COs.</w:t>
      </w:r>
    </w:p>
    <w:p>
      <w:pPr>
        <w:pStyle w:val="ListNumber"/>
        <w:spacing w:after="80" w:line="276" w:lineRule="auto"/>
      </w:pPr>
      <w:r>
        <w:rPr>
          <w:rFonts w:ascii="Cambria" w:hAnsi="Cambria"/>
          <w:b w:val="0"/>
          <w:i w:val="0"/>
          <w:sz w:val="22"/>
        </w:rPr>
        <w:t>Poor performance in application-based/laboratory COs.</w:t>
      </w:r>
    </w:p>
    <w:p>
      <w:pPr>
        <w:pStyle w:val="ListNumber"/>
        <w:spacing w:after="80" w:line="276" w:lineRule="auto"/>
      </w:pPr>
      <w:r>
        <w:rPr>
          <w:rFonts w:ascii="Cambria" w:hAnsi="Cambria"/>
          <w:b w:val="0"/>
          <w:i w:val="0"/>
          <w:sz w:val="22"/>
        </w:rPr>
        <w:t>Weak fundamentals in mathematical and programming-related COs.</w:t>
      </w:r>
    </w:p>
    <w:p>
      <w:pPr>
        <w:pStyle w:val="ListNumber"/>
        <w:spacing w:after="80" w:line="276" w:lineRule="auto"/>
      </w:pPr>
      <w:r>
        <w:rPr>
          <w:rFonts w:ascii="Cambria" w:hAnsi="Cambria"/>
          <w:b w:val="0"/>
          <w:i w:val="0"/>
          <w:sz w:val="22"/>
        </w:rPr>
        <w:t>Difficulty in higher Bloom’s Taxonomy levels (Analyze, Evaluate, Create).</w:t>
      </w:r>
    </w:p>
    <w:p>
      <w:pPr>
        <w:pStyle w:val="ListNumber"/>
        <w:spacing w:after="80" w:line="276" w:lineRule="auto"/>
      </w:pPr>
      <w:r>
        <w:rPr>
          <w:rFonts w:ascii="Cambria" w:hAnsi="Cambria"/>
          <w:b w:val="0"/>
          <w:i w:val="0"/>
          <w:sz w:val="22"/>
        </w:rPr>
        <w:t>Limited exposure to industry practices in project-related COs.</w:t>
      </w:r>
    </w:p>
    <w:p>
      <w:pPr>
        <w:spacing w:after="80" w:line="276" w:lineRule="auto"/>
      </w:pPr>
      <w:r>
        <w:rPr>
          <w:rFonts w:ascii="Cambria" w:hAnsi="Cambria"/>
          <w:b/>
          <w:i w:val="0"/>
          <w:sz w:val="22"/>
        </w:rPr>
        <w:t>Measures Taken / Improvement Actions</w:t>
      </w:r>
    </w:p>
    <w:p>
      <w:pPr>
        <w:pStyle w:val="ListNumber"/>
        <w:spacing w:after="80" w:line="276" w:lineRule="auto"/>
      </w:pPr>
      <w:r>
        <w:rPr>
          <w:rFonts w:ascii="Cambria" w:hAnsi="Cambria"/>
          <w:b/>
          <w:i w:val="0"/>
          <w:sz w:val="22"/>
        </w:rPr>
        <w:t>Curriculum Intervention</w:t>
      </w:r>
    </w:p>
    <w:p>
      <w:pPr>
        <w:pStyle w:val="ListBullet2"/>
        <w:spacing w:after="80" w:line="276" w:lineRule="auto"/>
      </w:pPr>
      <w:r>
        <w:rPr>
          <w:rFonts w:ascii="Cambria" w:hAnsi="Cambria"/>
          <w:b w:val="0"/>
          <w:i w:val="0"/>
          <w:sz w:val="22"/>
        </w:rPr>
        <w:t>Revision of syllabi to include additional topics or case studies.</w:t>
      </w:r>
    </w:p>
    <w:p>
      <w:pPr>
        <w:pStyle w:val="ListBullet2"/>
        <w:spacing w:after="80" w:line="276" w:lineRule="auto"/>
      </w:pPr>
      <w:r>
        <w:rPr>
          <w:rFonts w:ascii="Cambria" w:hAnsi="Cambria"/>
          <w:b w:val="0"/>
          <w:i w:val="0"/>
          <w:sz w:val="22"/>
        </w:rPr>
        <w:t>Introduction of bridge courses in mathematics, coding, or communication.</w:t>
      </w:r>
    </w:p>
    <w:p>
      <w:pPr>
        <w:pStyle w:val="ListBullet2"/>
        <w:spacing w:after="80" w:line="276" w:lineRule="auto"/>
      </w:pPr>
      <w:r>
        <w:rPr>
          <w:rFonts w:ascii="Cambria" w:hAnsi="Cambria"/>
          <w:b w:val="0"/>
          <w:i w:val="0"/>
          <w:sz w:val="22"/>
        </w:rPr>
        <w:t>Integration of emerging technology tools/software in labs.</w:t>
      </w:r>
    </w:p>
    <w:p>
      <w:pPr>
        <w:pStyle w:val="ListNumber"/>
        <w:spacing w:after="80" w:line="276" w:lineRule="auto"/>
      </w:pPr>
      <w:r>
        <w:rPr>
          <w:rFonts w:ascii="Cambria" w:hAnsi="Cambria"/>
          <w:b/>
          <w:i w:val="0"/>
          <w:sz w:val="22"/>
        </w:rPr>
        <w:t>Pedagogical Initiatives</w:t>
      </w:r>
    </w:p>
    <w:p>
      <w:pPr>
        <w:pStyle w:val="ListBullet2"/>
        <w:spacing w:after="80" w:line="276" w:lineRule="auto"/>
      </w:pPr>
      <w:r>
        <w:rPr>
          <w:rFonts w:ascii="Cambria" w:hAnsi="Cambria"/>
          <w:b w:val="0"/>
          <w:i w:val="0"/>
          <w:sz w:val="22"/>
        </w:rPr>
        <w:t>Use of ICT-enabled teaching (simulations, virtual labs, video lectures).</w:t>
      </w:r>
    </w:p>
    <w:p>
      <w:pPr>
        <w:pStyle w:val="ListBullet2"/>
        <w:spacing w:after="80" w:line="276" w:lineRule="auto"/>
      </w:pPr>
      <w:r>
        <w:rPr>
          <w:rFonts w:ascii="Cambria" w:hAnsi="Cambria"/>
          <w:b w:val="0"/>
          <w:i w:val="0"/>
          <w:sz w:val="22"/>
        </w:rPr>
        <w:t>Flipped classroom approach and problem-based learning.</w:t>
      </w:r>
    </w:p>
    <w:p>
      <w:pPr>
        <w:pStyle w:val="ListBullet2"/>
        <w:spacing w:after="80" w:line="276" w:lineRule="auto"/>
      </w:pPr>
      <w:r>
        <w:rPr>
          <w:rFonts w:ascii="Cambria" w:hAnsi="Cambria"/>
          <w:b w:val="0"/>
          <w:i w:val="0"/>
          <w:sz w:val="22"/>
        </w:rPr>
        <w:t>Assigning mini-projects, design tasks, and open-ended experiments.</w:t>
      </w:r>
    </w:p>
    <w:p>
      <w:pPr>
        <w:pStyle w:val="ListNumber"/>
        <w:spacing w:after="80" w:line="276" w:lineRule="auto"/>
      </w:pPr>
      <w:r>
        <w:rPr>
          <w:rFonts w:ascii="Cambria" w:hAnsi="Cambria"/>
          <w:b/>
          <w:i w:val="0"/>
          <w:sz w:val="22"/>
        </w:rPr>
        <w:t>Support System Improvements</w:t>
      </w:r>
    </w:p>
    <w:p>
      <w:pPr>
        <w:pStyle w:val="ListBullet2"/>
        <w:spacing w:after="80" w:line="276" w:lineRule="auto"/>
      </w:pPr>
      <w:r>
        <w:rPr>
          <w:rFonts w:ascii="Cambria" w:hAnsi="Cambria"/>
          <w:b w:val="0"/>
          <w:i w:val="0"/>
          <w:sz w:val="22"/>
        </w:rPr>
        <w:t>Remedial classes for slow learners.</w:t>
      </w:r>
    </w:p>
    <w:p>
      <w:pPr>
        <w:pStyle w:val="ListBullet2"/>
        <w:spacing w:after="80" w:line="276" w:lineRule="auto"/>
      </w:pPr>
      <w:r>
        <w:rPr>
          <w:rFonts w:ascii="Cambria" w:hAnsi="Cambria"/>
          <w:b w:val="0"/>
          <w:i w:val="0"/>
          <w:sz w:val="22"/>
        </w:rPr>
        <w:t>Special tutorials, doubt-clearing sessions, peer-assisted learning.</w:t>
      </w:r>
    </w:p>
    <w:p>
      <w:pPr>
        <w:pStyle w:val="ListBullet2"/>
        <w:spacing w:after="80" w:line="276" w:lineRule="auto"/>
      </w:pPr>
      <w:r>
        <w:rPr>
          <w:rFonts w:ascii="Cambria" w:hAnsi="Cambria"/>
          <w:b w:val="0"/>
          <w:i w:val="0"/>
          <w:sz w:val="22"/>
        </w:rPr>
        <w:t>Mentoring for academically weak students.</w:t>
      </w:r>
    </w:p>
    <w:p>
      <w:pPr>
        <w:pStyle w:val="ListNumber"/>
        <w:spacing w:after="80" w:line="276" w:lineRule="auto"/>
      </w:pPr>
      <w:r>
        <w:rPr>
          <w:rFonts w:ascii="Cambria" w:hAnsi="Cambria"/>
          <w:b/>
          <w:i w:val="0"/>
          <w:sz w:val="22"/>
        </w:rPr>
        <w:t>Assessment Reforms</w:t>
      </w:r>
    </w:p>
    <w:p>
      <w:pPr>
        <w:pStyle w:val="ListBullet2"/>
        <w:spacing w:after="80" w:line="276" w:lineRule="auto"/>
      </w:pPr>
      <w:r>
        <w:rPr>
          <w:rFonts w:ascii="Cambria" w:hAnsi="Cambria"/>
          <w:b w:val="0"/>
          <w:i w:val="0"/>
          <w:sz w:val="22"/>
        </w:rPr>
        <w:t>Redesigning question papers to balance Bloom’s levels.</w:t>
      </w:r>
    </w:p>
    <w:p>
      <w:pPr>
        <w:pStyle w:val="ListBullet2"/>
        <w:spacing w:after="80" w:line="276" w:lineRule="auto"/>
      </w:pPr>
      <w:r>
        <w:rPr>
          <w:rFonts w:ascii="Cambria" w:hAnsi="Cambria"/>
          <w:b w:val="0"/>
          <w:i w:val="0"/>
          <w:sz w:val="22"/>
        </w:rPr>
        <w:t>Rubrics for evaluating higher-order skills in labs/projects.</w:t>
      </w:r>
    </w:p>
    <w:p>
      <w:pPr>
        <w:pStyle w:val="ListBullet2"/>
        <w:spacing w:after="80" w:line="276" w:lineRule="auto"/>
      </w:pPr>
      <w:r>
        <w:rPr>
          <w:rFonts w:ascii="Cambria" w:hAnsi="Cambria"/>
          <w:b w:val="0"/>
          <w:i w:val="0"/>
          <w:sz w:val="22"/>
        </w:rPr>
        <w:t>Frequent low-stakes quizzes to improve learning retention.</w:t>
      </w:r>
    </w:p>
    <w:p>
      <w:pPr>
        <w:pStyle w:val="ListNumber"/>
        <w:spacing w:after="80" w:line="276" w:lineRule="auto"/>
      </w:pPr>
      <w:r>
        <w:rPr>
          <w:rFonts w:ascii="Cambria" w:hAnsi="Cambria"/>
          <w:b/>
          <w:i w:val="0"/>
          <w:sz w:val="22"/>
        </w:rPr>
        <w:t>Faculty Development</w:t>
      </w:r>
    </w:p>
    <w:p>
      <w:pPr>
        <w:pStyle w:val="ListBullet2"/>
        <w:spacing w:after="80" w:line="276" w:lineRule="auto"/>
      </w:pPr>
      <w:r>
        <w:rPr>
          <w:rFonts w:ascii="Cambria" w:hAnsi="Cambria"/>
          <w:b w:val="0"/>
          <w:i w:val="0"/>
          <w:sz w:val="22"/>
        </w:rPr>
        <w:t>Training workshops on pedagogy, digital tools, and outcome-based teaching.</w:t>
      </w:r>
    </w:p>
    <w:p>
      <w:pPr>
        <w:pStyle w:val="ListBullet2"/>
        <w:spacing w:after="80" w:line="276" w:lineRule="auto"/>
      </w:pPr>
      <w:r>
        <w:rPr>
          <w:rFonts w:ascii="Cambria" w:hAnsi="Cambria"/>
          <w:b w:val="0"/>
          <w:i w:val="0"/>
          <w:sz w:val="22"/>
        </w:rPr>
        <w:t>Interactions with industry experts for aligning teaching with real-world applications.</w:t>
      </w:r>
    </w:p>
    <w:p>
      <w:pPr>
        <w:pStyle w:val="ListNumber"/>
        <w:spacing w:after="80" w:line="276" w:lineRule="auto"/>
      </w:pPr>
      <w:r>
        <w:rPr>
          <w:rFonts w:ascii="Cambria" w:hAnsi="Cambria"/>
          <w:b/>
          <w:i w:val="0"/>
          <w:sz w:val="22"/>
        </w:rPr>
        <w:t>Student Exposure and Motivation</w:t>
      </w:r>
    </w:p>
    <w:p>
      <w:pPr>
        <w:pStyle w:val="ListBullet2"/>
        <w:spacing w:after="80" w:line="276" w:lineRule="auto"/>
      </w:pPr>
      <w:r>
        <w:rPr>
          <w:rFonts w:ascii="Cambria" w:hAnsi="Cambria"/>
          <w:b w:val="0"/>
          <w:i w:val="0"/>
          <w:sz w:val="22"/>
        </w:rPr>
        <w:t>Guest lectures, industrial visits, and internships.</w:t>
      </w:r>
    </w:p>
    <w:p>
      <w:pPr>
        <w:pStyle w:val="ListBullet2"/>
        <w:spacing w:after="80" w:line="276" w:lineRule="auto"/>
      </w:pPr>
      <w:r>
        <w:rPr>
          <w:rFonts w:ascii="Cambria" w:hAnsi="Cambria"/>
          <w:b w:val="0"/>
          <w:i w:val="0"/>
          <w:sz w:val="22"/>
        </w:rPr>
        <w:t>Encouraging participation in hackathons, coding challenges, innovation contests.</w:t>
      </w:r>
    </w:p>
    <w:p>
      <w:pPr>
        <w:pStyle w:val="ListBullet2"/>
        <w:spacing w:after="80" w:line="276" w:lineRule="auto"/>
      </w:pPr>
      <w:r>
        <w:rPr>
          <w:rFonts w:ascii="Cambria" w:hAnsi="Cambria"/>
          <w:b w:val="0"/>
          <w:i w:val="0"/>
          <w:sz w:val="22"/>
        </w:rPr>
        <w:t>Counseling and motivational sessions to reduce dropouts.</w:t>
      </w:r>
    </w:p>
    <w:p>
      <w:pPr>
        <w:spacing w:after="80" w:line="276" w:lineRule="auto"/>
      </w:pPr>
      <w:r>
        <w:rPr>
          <w:rFonts w:ascii="Cambria" w:hAnsi="Cambria"/>
          <w:b/>
          <w:i w:val="0"/>
          <w:sz w:val="22"/>
        </w:rPr>
        <w:t>Evidence and Documentation</w:t>
      </w:r>
    </w:p>
    <w:p>
      <w:pPr>
        <w:pStyle w:val="ListBullet"/>
        <w:spacing w:after="80" w:line="276" w:lineRule="auto"/>
      </w:pPr>
      <w:r>
        <w:rPr>
          <w:rFonts w:ascii="Cambria" w:hAnsi="Cambria"/>
          <w:b w:val="0"/>
          <w:i w:val="0"/>
          <w:sz w:val="22"/>
        </w:rPr>
        <w:t>CO Attainment Reports (course-wise, year-wise).</w:t>
      </w:r>
    </w:p>
    <w:p>
      <w:pPr>
        <w:pStyle w:val="ListBullet"/>
        <w:spacing w:after="80" w:line="276" w:lineRule="auto"/>
      </w:pPr>
      <w:r>
        <w:rPr>
          <w:rFonts w:ascii="Cambria" w:hAnsi="Cambria"/>
          <w:b w:val="0"/>
          <w:i w:val="0"/>
          <w:sz w:val="22"/>
        </w:rPr>
        <w:t>Action Taken Reports (ATR) of faculty meetings, DAB (Department Advisory Board) discussions.</w:t>
      </w:r>
    </w:p>
    <w:p>
      <w:pPr>
        <w:pStyle w:val="ListBullet"/>
        <w:spacing w:after="80" w:line="276" w:lineRule="auto"/>
      </w:pPr>
      <w:r>
        <w:rPr>
          <w:rFonts w:ascii="Cambria" w:hAnsi="Cambria"/>
          <w:b w:val="0"/>
          <w:i w:val="0"/>
          <w:sz w:val="22"/>
        </w:rPr>
        <w:t>Records of remedial classes, workshops, bridge courses, FDPs.</w:t>
      </w:r>
    </w:p>
    <w:p>
      <w:pPr>
        <w:pStyle w:val="ListBullet"/>
        <w:spacing w:after="80" w:line="276" w:lineRule="auto"/>
      </w:pPr>
      <w:r>
        <w:rPr>
          <w:rFonts w:ascii="Cambria" w:hAnsi="Cambria"/>
          <w:b w:val="0"/>
          <w:i w:val="0"/>
          <w:sz w:val="22"/>
        </w:rPr>
        <w:t>Improved attainment charts after actions were implemented.</w:t>
      </w:r>
    </w:p>
    <w:p>
      <w:pPr>
        <w:pStyle w:val="ListBullet"/>
        <w:spacing w:after="80" w:line="276" w:lineRule="auto"/>
      </w:pPr>
      <w:r>
        <w:rPr>
          <w:rFonts w:ascii="Cambria" w:hAnsi="Cambria"/>
          <w:b w:val="0"/>
          <w:i w:val="0"/>
          <w:sz w:val="22"/>
        </w:rPr>
        <w:t>Feedback forms from students and stakeholders confirming effectiveness.</w:t>
      </w:r>
    </w:p>
    <w:p>
      <w:pPr>
        <w:spacing w:after="80" w:line="276" w:lineRule="auto"/>
      </w:pPr>
      <w:r>
        <w:rPr>
          <w:rFonts w:ascii="Cambria" w:hAnsi="Cambria"/>
          <w:b/>
          <w:i w:val="0"/>
          <w:sz w:val="22"/>
        </w:rPr>
        <w:t>Impact Demonstration</w:t>
      </w:r>
    </w:p>
    <w:p>
      <w:pPr>
        <w:pStyle w:val="ListBullet"/>
        <w:spacing w:after="80" w:line="276" w:lineRule="auto"/>
      </w:pPr>
      <w:r>
        <w:rPr>
          <w:rFonts w:ascii="Cambria" w:hAnsi="Cambria"/>
          <w:b w:val="0"/>
          <w:i w:val="0"/>
          <w:sz w:val="22"/>
        </w:rPr>
        <w:t>Improved CO attainment in the next cycle (comparison of CAYm1 with previous years).</w:t>
      </w:r>
    </w:p>
    <w:p>
      <w:pPr>
        <w:pStyle w:val="ListBullet"/>
        <w:spacing w:after="80" w:line="276" w:lineRule="auto"/>
      </w:pPr>
      <w:r>
        <w:rPr>
          <w:rFonts w:ascii="Cambria" w:hAnsi="Cambria"/>
          <w:b w:val="0"/>
          <w:i w:val="0"/>
          <w:sz w:val="22"/>
        </w:rPr>
        <w:t>Increased pass percentages and reduction in failure rates.</w:t>
      </w:r>
    </w:p>
    <w:p>
      <w:pPr>
        <w:pStyle w:val="ListBullet"/>
        <w:spacing w:after="80" w:line="276" w:lineRule="auto"/>
      </w:pPr>
      <w:r>
        <w:rPr>
          <w:rFonts w:ascii="Cambria" w:hAnsi="Cambria"/>
          <w:b w:val="0"/>
          <w:i w:val="0"/>
          <w:sz w:val="22"/>
        </w:rPr>
        <w:t>Higher student satisfaction in feedback surveys.</w:t>
      </w:r>
    </w:p>
    <w:p>
      <w:pPr>
        <w:pStyle w:val="ListBullet"/>
        <w:spacing w:after="80" w:line="276" w:lineRule="auto"/>
      </w:pPr>
      <w:r>
        <w:rPr>
          <w:rFonts w:ascii="Cambria" w:hAnsi="Cambria"/>
          <w:b w:val="0"/>
          <w:i w:val="0"/>
          <w:sz w:val="22"/>
        </w:rPr>
        <w:t>Enhanced placement, internships, or project outcomes linked to improved COs.</w:t>
      </w:r>
    </w:p>
    <w:p>
      <w:pPr>
        <w:spacing w:after="80" w:line="276" w:lineRule="auto"/>
      </w:pPr>
      <w:r>
        <w:rPr>
          <w:rFonts w:ascii="Cambria" w:hAnsi="Cambria"/>
          <w:b/>
          <w:i w:val="0"/>
          <w:sz w:val="22"/>
        </w:rPr>
        <w:t>Marking Distribution (20 Marks)</w:t>
      </w:r>
    </w:p>
    <w:p>
      <w:pPr>
        <w:pStyle w:val="ListBullet"/>
        <w:spacing w:after="80" w:line="276" w:lineRule="auto"/>
      </w:pPr>
      <w:r>
        <w:rPr>
          <w:rFonts w:ascii="Cambria" w:hAnsi="Cambria"/>
          <w:b/>
          <w:i w:val="0"/>
          <w:sz w:val="22"/>
        </w:rPr>
        <w:t xml:space="preserve">Identification of Weaknesses (5 marks) – </w:t>
      </w:r>
      <w:r>
        <w:rPr>
          <w:rFonts w:ascii="Cambria" w:hAnsi="Cambria"/>
          <w:b w:val="0"/>
          <w:i w:val="0"/>
          <w:sz w:val="22"/>
        </w:rPr>
        <w:t>Based on data-driven gap analysis.</w:t>
      </w:r>
    </w:p>
    <w:p>
      <w:pPr>
        <w:pStyle w:val="ListBullet"/>
        <w:spacing w:after="80" w:line="276" w:lineRule="auto"/>
      </w:pPr>
      <w:r>
        <w:rPr>
          <w:rFonts w:ascii="Cambria" w:hAnsi="Cambria"/>
          <w:b/>
          <w:i w:val="0"/>
          <w:sz w:val="22"/>
        </w:rPr>
        <w:t xml:space="preserve">Corrective Actions Taken (5 marks) – </w:t>
      </w:r>
      <w:r>
        <w:rPr>
          <w:rFonts w:ascii="Cambria" w:hAnsi="Cambria"/>
          <w:b w:val="0"/>
          <w:i w:val="0"/>
          <w:sz w:val="22"/>
        </w:rPr>
        <w:t>Clearly documented measures.</w:t>
      </w:r>
    </w:p>
    <w:p>
      <w:pPr>
        <w:pStyle w:val="ListBullet"/>
        <w:spacing w:after="80" w:line="276" w:lineRule="auto"/>
      </w:pPr>
      <w:r>
        <w:rPr>
          <w:rFonts w:ascii="Cambria" w:hAnsi="Cambria"/>
          <w:b/>
          <w:i w:val="0"/>
          <w:sz w:val="22"/>
        </w:rPr>
        <w:t xml:space="preserve">Implementation Evidence (5 marks) – </w:t>
      </w:r>
      <w:r>
        <w:rPr>
          <w:rFonts w:ascii="Cambria" w:hAnsi="Cambria"/>
          <w:b w:val="0"/>
          <w:i w:val="0"/>
          <w:sz w:val="22"/>
        </w:rPr>
        <w:t>Proof of remedial classes, FDPs, interventions.</w:t>
      </w:r>
    </w:p>
    <w:p>
      <w:pPr>
        <w:pStyle w:val="ListBullet"/>
        <w:spacing w:after="80" w:line="276" w:lineRule="auto"/>
      </w:pPr>
      <w:r>
        <w:rPr>
          <w:rFonts w:ascii="Cambria" w:hAnsi="Cambria"/>
          <w:b/>
          <w:i w:val="0"/>
          <w:sz w:val="22"/>
        </w:rPr>
        <w:t xml:space="preserve">Impact/Improvement Shown (5 marks) – </w:t>
      </w:r>
      <w:r>
        <w:rPr>
          <w:rFonts w:ascii="Cambria" w:hAnsi="Cambria"/>
          <w:b w:val="0"/>
          <w:i w:val="0"/>
          <w:sz w:val="22"/>
        </w:rPr>
        <w:t>Demonstrated improvement in CO attainment.</w:t>
      </w:r>
    </w:p>
    <w:p>
      <w:pPr>
        <w:spacing w:after="120" w:line="276" w:lineRule="auto"/>
      </w:pPr>
      <w:r>
        <w:rPr>
          <w:rFonts w:ascii="Cambria" w:hAnsi="Cambria"/>
          <w:b/>
          <w:i w:val="0"/>
          <w:sz w:val="22"/>
        </w:rPr>
        <w:t>Sample Excel Layout</w:t>
      </w:r>
    </w:p>
    <w:tbl>
      <w:tblPr>
        <w:tblStyle w:val="TableGrid"/>
        <w:tblW w:type="auto" w:w="0"/>
        <w:jc w:val="center"/>
        <w:tblLayout w:type="fixed"/>
        <w:tblLook w:firstColumn="1" w:firstRow="1" w:lastColumn="0" w:lastRow="0" w:noHBand="0" w:noVBand="1" w:val="04A0"/>
        <w:tblLayout w:type="fixed"/>
      </w:tblPr>
      <w:tblGrid>
        <w:gridCol w:w="1814"/>
        <w:gridCol w:w="737"/>
        <w:gridCol w:w="850"/>
        <w:gridCol w:w="850"/>
        <w:gridCol w:w="737"/>
        <w:gridCol w:w="1587"/>
        <w:gridCol w:w="1587"/>
        <w:gridCol w:w="1587"/>
        <w:gridCol w:w="1304"/>
      </w:tblGrid>
      <w:tr>
        <w:tc>
          <w:tcPr>
            <w:tcW w:type="dxa" w:w="1814"/>
            <w:shd w:val="clear" w:color="auto" w:fill="1F3A5F"/>
          </w:tcPr>
          <w:p>
            <w:pPr>
              <w:spacing w:after="40" w:line="240" w:lineRule="auto"/>
              <w:jc w:val="center"/>
            </w:pPr>
            <w:r/>
            <w:r>
              <w:rPr>
                <w:rFonts w:ascii="Cambria" w:hAnsi="Cambria"/>
                <w:b/>
                <w:color w:val="FFFFFF"/>
                <w:sz w:val="19"/>
              </w:rPr>
              <w:t>Course Code &amp; Title</w:t>
            </w:r>
          </w:p>
        </w:tc>
        <w:tc>
          <w:tcPr>
            <w:tcW w:type="dxa" w:w="737"/>
            <w:shd w:val="clear" w:color="auto" w:fill="1F3A5F"/>
          </w:tcPr>
          <w:p>
            <w:pPr>
              <w:spacing w:after="40" w:line="240" w:lineRule="auto"/>
              <w:jc w:val="center"/>
            </w:pPr>
            <w:r/>
            <w:r>
              <w:rPr>
                <w:rFonts w:ascii="Cambria" w:hAnsi="Cambria"/>
                <w:b/>
                <w:color w:val="FFFFFF"/>
                <w:sz w:val="19"/>
              </w:rPr>
              <w:t>CO No.</w:t>
            </w:r>
          </w:p>
        </w:tc>
        <w:tc>
          <w:tcPr>
            <w:tcW w:type="dxa" w:w="850"/>
            <w:shd w:val="clear" w:color="auto" w:fill="1F3A5F"/>
          </w:tcPr>
          <w:p>
            <w:pPr>
              <w:spacing w:after="40" w:line="240" w:lineRule="auto"/>
              <w:jc w:val="center"/>
            </w:pPr>
            <w:r/>
            <w:r>
              <w:rPr>
                <w:rFonts w:ascii="Cambria" w:hAnsi="Cambria"/>
                <w:b/>
                <w:color w:val="FFFFFF"/>
                <w:sz w:val="19"/>
              </w:rPr>
              <w:t>Target</w:t>
              <w:br/>
              <w:t>Attainment</w:t>
              <w:br/>
              <w:t>(%)</w:t>
            </w:r>
          </w:p>
        </w:tc>
        <w:tc>
          <w:tcPr>
            <w:tcW w:type="dxa" w:w="850"/>
            <w:shd w:val="clear" w:color="auto" w:fill="1F3A5F"/>
          </w:tcPr>
          <w:p>
            <w:pPr>
              <w:spacing w:after="40" w:line="240" w:lineRule="auto"/>
              <w:jc w:val="center"/>
            </w:pPr>
            <w:r/>
            <w:r>
              <w:rPr>
                <w:rFonts w:ascii="Cambria" w:hAnsi="Cambria"/>
                <w:b/>
                <w:color w:val="FFFFFF"/>
                <w:sz w:val="19"/>
              </w:rPr>
              <w:t>Actual</w:t>
              <w:br/>
              <w:t>Attainment</w:t>
              <w:br/>
              <w:t>(%)</w:t>
            </w:r>
          </w:p>
        </w:tc>
        <w:tc>
          <w:tcPr>
            <w:tcW w:type="dxa" w:w="737"/>
            <w:shd w:val="clear" w:color="auto" w:fill="1F3A5F"/>
          </w:tcPr>
          <w:p>
            <w:pPr>
              <w:spacing w:after="40" w:line="240" w:lineRule="auto"/>
              <w:jc w:val="center"/>
            </w:pPr>
            <w:r/>
            <w:r>
              <w:rPr>
                <w:rFonts w:ascii="Cambria" w:hAnsi="Cambria"/>
                <w:b/>
                <w:color w:val="FFFFFF"/>
                <w:sz w:val="19"/>
              </w:rPr>
              <w:t>Attainment</w:t>
              <w:br/>
              <w:t>Gap (%)</w:t>
            </w:r>
          </w:p>
        </w:tc>
        <w:tc>
          <w:tcPr>
            <w:tcW w:type="dxa" w:w="1587"/>
            <w:shd w:val="clear" w:color="auto" w:fill="1F3A5F"/>
          </w:tcPr>
          <w:p>
            <w:pPr>
              <w:spacing w:after="40" w:line="240" w:lineRule="auto"/>
              <w:jc w:val="center"/>
            </w:pPr>
            <w:r/>
            <w:r>
              <w:rPr>
                <w:rFonts w:ascii="Cambria" w:hAnsi="Cambria"/>
                <w:b/>
                <w:color w:val="FFFFFF"/>
                <w:sz w:val="19"/>
              </w:rPr>
              <w:t>Weakness</w:t>
              <w:br/>
              <w:t>Identified</w:t>
            </w:r>
          </w:p>
        </w:tc>
        <w:tc>
          <w:tcPr>
            <w:tcW w:type="dxa" w:w="1587"/>
            <w:shd w:val="clear" w:color="auto" w:fill="1F3A5F"/>
          </w:tcPr>
          <w:p>
            <w:pPr>
              <w:spacing w:after="40" w:line="240" w:lineRule="auto"/>
              <w:jc w:val="center"/>
            </w:pPr>
            <w:r/>
            <w:r>
              <w:rPr>
                <w:rFonts w:ascii="Cambria" w:hAnsi="Cambria"/>
                <w:b/>
                <w:color w:val="FFFFFF"/>
                <w:sz w:val="19"/>
              </w:rPr>
              <w:t>Action Taken</w:t>
            </w:r>
          </w:p>
        </w:tc>
        <w:tc>
          <w:tcPr>
            <w:tcW w:type="dxa" w:w="1587"/>
            <w:shd w:val="clear" w:color="auto" w:fill="1F3A5F"/>
          </w:tcPr>
          <w:p>
            <w:pPr>
              <w:spacing w:after="40" w:line="240" w:lineRule="auto"/>
              <w:jc w:val="center"/>
            </w:pPr>
            <w:r/>
            <w:r>
              <w:rPr>
                <w:rFonts w:ascii="Cambria" w:hAnsi="Cambria"/>
                <w:b/>
                <w:color w:val="FFFFFF"/>
                <w:sz w:val="19"/>
              </w:rPr>
              <w:t>Implementation</w:t>
              <w:br/>
              <w:t>Evidence</w:t>
            </w:r>
          </w:p>
        </w:tc>
        <w:tc>
          <w:tcPr>
            <w:tcW w:type="dxa" w:w="1304"/>
            <w:shd w:val="clear" w:color="auto" w:fill="1F3A5F"/>
          </w:tcPr>
          <w:p>
            <w:pPr>
              <w:spacing w:after="40" w:line="240" w:lineRule="auto"/>
              <w:jc w:val="center"/>
            </w:pPr>
            <w:r/>
            <w:r>
              <w:rPr>
                <w:rFonts w:ascii="Cambria" w:hAnsi="Cambria"/>
                <w:b/>
                <w:color w:val="FFFFFF"/>
                <w:sz w:val="19"/>
              </w:rPr>
              <w:t>Impact/</w:t>
              <w:br/>
              <w:t>Improvement</w:t>
            </w:r>
          </w:p>
        </w:tc>
      </w:tr>
      <w:tr>
        <w:tc>
          <w:tcPr>
            <w:tcW w:type="dxa" w:w="1814"/>
          </w:tcPr>
          <w:p>
            <w:pPr>
              <w:spacing w:after="40" w:line="240" w:lineRule="auto"/>
              <w:jc w:val="left"/>
            </w:pPr>
            <w:r/>
            <w:r>
              <w:rPr>
                <w:rFonts w:ascii="Cambria" w:hAnsi="Cambria"/>
                <w:b w:val="0"/>
                <w:sz w:val="18"/>
              </w:rPr>
              <w:t>CS301 – Data Structures</w:t>
            </w:r>
          </w:p>
        </w:tc>
        <w:tc>
          <w:tcPr>
            <w:tcW w:type="dxa" w:w="737"/>
          </w:tcPr>
          <w:p>
            <w:pPr>
              <w:spacing w:after="40" w:line="240" w:lineRule="auto"/>
              <w:jc w:val="left"/>
            </w:pPr>
            <w:r/>
            <w:r>
              <w:rPr>
                <w:rFonts w:ascii="Cambria" w:hAnsi="Cambria"/>
                <w:b w:val="0"/>
                <w:sz w:val="18"/>
              </w:rPr>
              <w:t>CO1</w:t>
            </w:r>
          </w:p>
        </w:tc>
        <w:tc>
          <w:tcPr>
            <w:tcW w:type="dxa" w:w="850"/>
          </w:tcPr>
          <w:p>
            <w:pPr>
              <w:spacing w:after="40" w:line="240" w:lineRule="auto"/>
              <w:jc w:val="left"/>
            </w:pPr>
            <w:r/>
            <w:r>
              <w:rPr>
                <w:rFonts w:ascii="Cambria" w:hAnsi="Cambria"/>
                <w:b w:val="0"/>
                <w:sz w:val="18"/>
              </w:rPr>
              <w:t>70</w:t>
            </w:r>
          </w:p>
        </w:tc>
        <w:tc>
          <w:tcPr>
            <w:tcW w:type="dxa" w:w="850"/>
          </w:tcPr>
          <w:p>
            <w:pPr>
              <w:spacing w:after="40" w:line="240" w:lineRule="auto"/>
              <w:jc w:val="left"/>
            </w:pPr>
            <w:r/>
            <w:r>
              <w:rPr>
                <w:rFonts w:ascii="Cambria" w:hAnsi="Cambria"/>
                <w:b w:val="0"/>
                <w:sz w:val="18"/>
              </w:rPr>
              <w:t>55</w:t>
            </w:r>
          </w:p>
        </w:tc>
        <w:tc>
          <w:tcPr>
            <w:tcW w:type="dxa" w:w="737"/>
          </w:tcPr>
          <w:p>
            <w:pPr>
              <w:spacing w:after="40" w:line="240" w:lineRule="auto"/>
              <w:jc w:val="left"/>
            </w:pPr>
            <w:r/>
            <w:r>
              <w:rPr>
                <w:rFonts w:ascii="Cambria" w:hAnsi="Cambria"/>
                <w:b w:val="0"/>
                <w:sz w:val="18"/>
              </w:rPr>
              <w:t>15</w:t>
            </w:r>
          </w:p>
        </w:tc>
        <w:tc>
          <w:tcPr>
            <w:tcW w:type="dxa" w:w="1587"/>
          </w:tcPr>
          <w:p>
            <w:pPr>
              <w:spacing w:after="40" w:line="240" w:lineRule="auto"/>
              <w:jc w:val="left"/>
            </w:pPr>
            <w:r/>
            <w:r>
              <w:rPr>
                <w:rFonts w:ascii="Cambria" w:hAnsi="Cambria"/>
                <w:b w:val="0"/>
                <w:sz w:val="18"/>
              </w:rPr>
              <w:t>Poor understanding of recursion concepts</w:t>
            </w:r>
          </w:p>
        </w:tc>
        <w:tc>
          <w:tcPr>
            <w:tcW w:type="dxa" w:w="1587"/>
          </w:tcPr>
          <w:p>
            <w:pPr>
              <w:spacing w:after="40" w:line="240" w:lineRule="auto"/>
              <w:jc w:val="left"/>
            </w:pPr>
            <w:r/>
            <w:r>
              <w:rPr>
                <w:rFonts w:ascii="Cambria" w:hAnsi="Cambria"/>
                <w:b w:val="0"/>
                <w:sz w:val="18"/>
              </w:rPr>
              <w:t>Conducted extra tutorial sessions &amp; provided video lectures</w:t>
            </w:r>
          </w:p>
        </w:tc>
        <w:tc>
          <w:tcPr>
            <w:tcW w:type="dxa" w:w="1587"/>
          </w:tcPr>
          <w:p>
            <w:pPr>
              <w:spacing w:after="40" w:line="240" w:lineRule="auto"/>
              <w:jc w:val="left"/>
            </w:pPr>
            <w:r/>
            <w:r>
              <w:rPr>
                <w:rFonts w:ascii="Cambria" w:hAnsi="Cambria"/>
                <w:b w:val="0"/>
                <w:sz w:val="18"/>
              </w:rPr>
              <w:t>Attendance sheets, shared PPTs, ATR of meeting</w:t>
            </w:r>
          </w:p>
        </w:tc>
        <w:tc>
          <w:tcPr>
            <w:tcW w:type="dxa" w:w="1304"/>
          </w:tcPr>
          <w:p>
            <w:pPr>
              <w:spacing w:after="40" w:line="240" w:lineRule="auto"/>
              <w:jc w:val="left"/>
            </w:pPr>
            <w:r/>
            <w:r>
              <w:rPr>
                <w:rFonts w:ascii="Cambria" w:hAnsi="Cambria"/>
                <w:b w:val="0"/>
                <w:sz w:val="18"/>
              </w:rPr>
              <w:t>Improved to 68% in next cycle</w:t>
            </w:r>
          </w:p>
        </w:tc>
      </w:tr>
      <w:tr>
        <w:tc>
          <w:tcPr>
            <w:tcW w:type="dxa" w:w="1814"/>
            <w:shd w:val="clear" w:color="auto" w:fill="F2F2F2"/>
          </w:tcPr>
          <w:p>
            <w:pPr>
              <w:spacing w:after="40" w:line="240" w:lineRule="auto"/>
              <w:jc w:val="left"/>
            </w:pPr>
            <w:r/>
            <w:r>
              <w:rPr>
                <w:rFonts w:ascii="Cambria" w:hAnsi="Cambria"/>
                <w:b w:val="0"/>
                <w:sz w:val="18"/>
              </w:rPr>
              <w:t>CS301 – Data Structures</w:t>
            </w:r>
          </w:p>
        </w:tc>
        <w:tc>
          <w:tcPr>
            <w:tcW w:type="dxa" w:w="737"/>
            <w:shd w:val="clear" w:color="auto" w:fill="F2F2F2"/>
          </w:tcPr>
          <w:p>
            <w:pPr>
              <w:spacing w:after="40" w:line="240" w:lineRule="auto"/>
              <w:jc w:val="left"/>
            </w:pPr>
            <w:r/>
            <w:r>
              <w:rPr>
                <w:rFonts w:ascii="Cambria" w:hAnsi="Cambria"/>
                <w:b w:val="0"/>
                <w:sz w:val="18"/>
              </w:rPr>
              <w:t>CO2</w:t>
            </w:r>
          </w:p>
        </w:tc>
        <w:tc>
          <w:tcPr>
            <w:tcW w:type="dxa" w:w="850"/>
            <w:shd w:val="clear" w:color="auto" w:fill="F2F2F2"/>
          </w:tcPr>
          <w:p>
            <w:pPr>
              <w:spacing w:after="40" w:line="240" w:lineRule="auto"/>
              <w:jc w:val="left"/>
            </w:pPr>
            <w:r/>
            <w:r>
              <w:rPr>
                <w:rFonts w:ascii="Cambria" w:hAnsi="Cambria"/>
                <w:b w:val="0"/>
                <w:sz w:val="18"/>
              </w:rPr>
              <w:t>70</w:t>
            </w:r>
          </w:p>
        </w:tc>
        <w:tc>
          <w:tcPr>
            <w:tcW w:type="dxa" w:w="850"/>
            <w:shd w:val="clear" w:color="auto" w:fill="F2F2F2"/>
          </w:tcPr>
          <w:p>
            <w:pPr>
              <w:spacing w:after="40" w:line="240" w:lineRule="auto"/>
              <w:jc w:val="left"/>
            </w:pPr>
            <w:r/>
            <w:r>
              <w:rPr>
                <w:rFonts w:ascii="Cambria" w:hAnsi="Cambria"/>
                <w:b w:val="0"/>
                <w:sz w:val="18"/>
              </w:rPr>
              <w:t>52</w:t>
            </w:r>
          </w:p>
        </w:tc>
        <w:tc>
          <w:tcPr>
            <w:tcW w:type="dxa" w:w="737"/>
            <w:shd w:val="clear" w:color="auto" w:fill="F2F2F2"/>
          </w:tcPr>
          <w:p>
            <w:pPr>
              <w:spacing w:after="40" w:line="240" w:lineRule="auto"/>
              <w:jc w:val="left"/>
            </w:pPr>
            <w:r/>
            <w:r>
              <w:rPr>
                <w:rFonts w:ascii="Cambria" w:hAnsi="Cambria"/>
                <w:b w:val="0"/>
                <w:sz w:val="18"/>
              </w:rPr>
              <w:t>18</w:t>
            </w:r>
          </w:p>
        </w:tc>
        <w:tc>
          <w:tcPr>
            <w:tcW w:type="dxa" w:w="1587"/>
            <w:shd w:val="clear" w:color="auto" w:fill="F2F2F2"/>
          </w:tcPr>
          <w:p>
            <w:pPr>
              <w:spacing w:after="40" w:line="240" w:lineRule="auto"/>
              <w:jc w:val="left"/>
            </w:pPr>
            <w:r/>
            <w:r>
              <w:rPr>
                <w:rFonts w:ascii="Cambria" w:hAnsi="Cambria"/>
                <w:b w:val="0"/>
                <w:sz w:val="18"/>
              </w:rPr>
              <w:t>Lack of coding practice in lab</w:t>
            </w:r>
          </w:p>
        </w:tc>
        <w:tc>
          <w:tcPr>
            <w:tcW w:type="dxa" w:w="1587"/>
            <w:shd w:val="clear" w:color="auto" w:fill="F2F2F2"/>
          </w:tcPr>
          <w:p>
            <w:pPr>
              <w:spacing w:after="40" w:line="240" w:lineRule="auto"/>
              <w:jc w:val="left"/>
            </w:pPr>
            <w:r/>
            <w:r>
              <w:rPr>
                <w:rFonts w:ascii="Cambria" w:hAnsi="Cambria"/>
                <w:b w:val="0"/>
                <w:sz w:val="18"/>
              </w:rPr>
              <w:t>Introduced weekly coding challenges</w:t>
            </w:r>
          </w:p>
        </w:tc>
        <w:tc>
          <w:tcPr>
            <w:tcW w:type="dxa" w:w="1587"/>
            <w:shd w:val="clear" w:color="auto" w:fill="F2F2F2"/>
          </w:tcPr>
          <w:p>
            <w:pPr>
              <w:spacing w:after="40" w:line="240" w:lineRule="auto"/>
              <w:jc w:val="left"/>
            </w:pPr>
            <w:r/>
            <w:r>
              <w:rPr>
                <w:rFonts w:ascii="Cambria" w:hAnsi="Cambria"/>
                <w:b w:val="0"/>
                <w:sz w:val="18"/>
              </w:rPr>
              <w:t>Lab performance records, screenshots of online platform</w:t>
            </w:r>
          </w:p>
        </w:tc>
        <w:tc>
          <w:tcPr>
            <w:tcW w:type="dxa" w:w="1304"/>
            <w:shd w:val="clear" w:color="auto" w:fill="F2F2F2"/>
          </w:tcPr>
          <w:p>
            <w:pPr>
              <w:spacing w:after="40" w:line="240" w:lineRule="auto"/>
              <w:jc w:val="left"/>
            </w:pPr>
            <w:r/>
            <w:r>
              <w:rPr>
                <w:rFonts w:ascii="Cambria" w:hAnsi="Cambria"/>
                <w:b w:val="0"/>
                <w:sz w:val="18"/>
              </w:rPr>
              <w:t>Improved programming success rate by 20%</w:t>
            </w:r>
          </w:p>
        </w:tc>
      </w:tr>
      <w:tr>
        <w:tc>
          <w:tcPr>
            <w:tcW w:type="dxa" w:w="1814"/>
          </w:tcPr>
          <w:p>
            <w:pPr>
              <w:spacing w:after="40" w:line="240" w:lineRule="auto"/>
              <w:jc w:val="left"/>
            </w:pPr>
            <w:r/>
            <w:r>
              <w:rPr>
                <w:rFonts w:ascii="Cambria" w:hAnsi="Cambria"/>
                <w:b w:val="0"/>
                <w:sz w:val="18"/>
              </w:rPr>
              <w:t>EE205 – Circuit Theory</w:t>
            </w:r>
          </w:p>
        </w:tc>
        <w:tc>
          <w:tcPr>
            <w:tcW w:type="dxa" w:w="737"/>
          </w:tcPr>
          <w:p>
            <w:pPr>
              <w:spacing w:after="40" w:line="240" w:lineRule="auto"/>
              <w:jc w:val="left"/>
            </w:pPr>
            <w:r/>
            <w:r>
              <w:rPr>
                <w:rFonts w:ascii="Cambria" w:hAnsi="Cambria"/>
                <w:b w:val="0"/>
                <w:sz w:val="18"/>
              </w:rPr>
              <w:t>CO3</w:t>
            </w:r>
          </w:p>
        </w:tc>
        <w:tc>
          <w:tcPr>
            <w:tcW w:type="dxa" w:w="850"/>
          </w:tcPr>
          <w:p>
            <w:pPr>
              <w:spacing w:after="40" w:line="240" w:lineRule="auto"/>
              <w:jc w:val="left"/>
            </w:pPr>
            <w:r/>
            <w:r>
              <w:rPr>
                <w:rFonts w:ascii="Cambria" w:hAnsi="Cambria"/>
                <w:b w:val="0"/>
                <w:sz w:val="18"/>
              </w:rPr>
              <w:t>65</w:t>
            </w:r>
          </w:p>
        </w:tc>
        <w:tc>
          <w:tcPr>
            <w:tcW w:type="dxa" w:w="850"/>
          </w:tcPr>
          <w:p>
            <w:pPr>
              <w:spacing w:after="40" w:line="240" w:lineRule="auto"/>
              <w:jc w:val="left"/>
            </w:pPr>
            <w:r/>
            <w:r>
              <w:rPr>
                <w:rFonts w:ascii="Cambria" w:hAnsi="Cambria"/>
                <w:b w:val="0"/>
                <w:sz w:val="18"/>
              </w:rPr>
              <w:t>50</w:t>
            </w:r>
          </w:p>
        </w:tc>
        <w:tc>
          <w:tcPr>
            <w:tcW w:type="dxa" w:w="737"/>
          </w:tcPr>
          <w:p>
            <w:pPr>
              <w:spacing w:after="40" w:line="240" w:lineRule="auto"/>
              <w:jc w:val="left"/>
            </w:pPr>
            <w:r/>
            <w:r>
              <w:rPr>
                <w:rFonts w:ascii="Cambria" w:hAnsi="Cambria"/>
                <w:b w:val="0"/>
                <w:sz w:val="18"/>
              </w:rPr>
              <w:t>15</w:t>
            </w:r>
          </w:p>
        </w:tc>
        <w:tc>
          <w:tcPr>
            <w:tcW w:type="dxa" w:w="1587"/>
          </w:tcPr>
          <w:p>
            <w:pPr>
              <w:spacing w:after="40" w:line="240" w:lineRule="auto"/>
              <w:jc w:val="left"/>
            </w:pPr>
            <w:r/>
            <w:r>
              <w:rPr>
                <w:rFonts w:ascii="Cambria" w:hAnsi="Cambria"/>
                <w:b w:val="0"/>
                <w:sz w:val="18"/>
              </w:rPr>
              <w:t>Weak in problem analysis &amp; circuit simulations</w:t>
            </w:r>
          </w:p>
        </w:tc>
        <w:tc>
          <w:tcPr>
            <w:tcW w:type="dxa" w:w="1587"/>
          </w:tcPr>
          <w:p>
            <w:pPr>
              <w:spacing w:after="40" w:line="240" w:lineRule="auto"/>
              <w:jc w:val="left"/>
            </w:pPr>
            <w:r/>
            <w:r>
              <w:rPr>
                <w:rFonts w:ascii="Cambria" w:hAnsi="Cambria"/>
                <w:b w:val="0"/>
                <w:sz w:val="18"/>
              </w:rPr>
              <w:t>Added simulation-based assignments (MATLAB/PSPICE)</w:t>
            </w:r>
          </w:p>
        </w:tc>
        <w:tc>
          <w:tcPr>
            <w:tcW w:type="dxa" w:w="1587"/>
          </w:tcPr>
          <w:p>
            <w:pPr>
              <w:spacing w:after="40" w:line="240" w:lineRule="auto"/>
              <w:jc w:val="left"/>
            </w:pPr>
            <w:r/>
            <w:r>
              <w:rPr>
                <w:rFonts w:ascii="Cambria" w:hAnsi="Cambria"/>
                <w:b w:val="0"/>
                <w:sz w:val="18"/>
              </w:rPr>
              <w:t>Assignment submissions, lab manuals</w:t>
            </w:r>
          </w:p>
        </w:tc>
        <w:tc>
          <w:tcPr>
            <w:tcW w:type="dxa" w:w="1304"/>
          </w:tcPr>
          <w:p>
            <w:pPr>
              <w:spacing w:after="40" w:line="240" w:lineRule="auto"/>
              <w:jc w:val="left"/>
            </w:pPr>
            <w:r/>
            <w:r>
              <w:rPr>
                <w:rFonts w:ascii="Cambria" w:hAnsi="Cambria"/>
                <w:b w:val="0"/>
                <w:sz w:val="18"/>
              </w:rPr>
              <w:t>Attainment improved to 64%</w:t>
            </w:r>
          </w:p>
        </w:tc>
      </w:tr>
      <w:tr>
        <w:tc>
          <w:tcPr>
            <w:tcW w:type="dxa" w:w="1814"/>
            <w:shd w:val="clear" w:color="auto" w:fill="F2F2F2"/>
          </w:tcPr>
          <w:p>
            <w:pPr>
              <w:spacing w:after="40" w:line="240" w:lineRule="auto"/>
              <w:jc w:val="left"/>
            </w:pPr>
            <w:r/>
            <w:r>
              <w:rPr>
                <w:rFonts w:ascii="Cambria" w:hAnsi="Cambria"/>
                <w:b w:val="0"/>
                <w:sz w:val="18"/>
              </w:rPr>
              <w:t>ME210 – Thermodynamics</w:t>
            </w:r>
          </w:p>
        </w:tc>
        <w:tc>
          <w:tcPr>
            <w:tcW w:type="dxa" w:w="737"/>
            <w:shd w:val="clear" w:color="auto" w:fill="F2F2F2"/>
          </w:tcPr>
          <w:p>
            <w:pPr>
              <w:spacing w:after="40" w:line="240" w:lineRule="auto"/>
              <w:jc w:val="left"/>
            </w:pPr>
            <w:r/>
            <w:r>
              <w:rPr>
                <w:rFonts w:ascii="Cambria" w:hAnsi="Cambria"/>
                <w:b w:val="0"/>
                <w:sz w:val="18"/>
              </w:rPr>
              <w:t>CO4</w:t>
            </w:r>
          </w:p>
        </w:tc>
        <w:tc>
          <w:tcPr>
            <w:tcW w:type="dxa" w:w="850"/>
            <w:shd w:val="clear" w:color="auto" w:fill="F2F2F2"/>
          </w:tcPr>
          <w:p>
            <w:pPr>
              <w:spacing w:after="40" w:line="240" w:lineRule="auto"/>
              <w:jc w:val="left"/>
            </w:pPr>
            <w:r/>
            <w:r>
              <w:rPr>
                <w:rFonts w:ascii="Cambria" w:hAnsi="Cambria"/>
                <w:b w:val="0"/>
                <w:sz w:val="18"/>
              </w:rPr>
              <w:t>75</w:t>
            </w:r>
          </w:p>
        </w:tc>
        <w:tc>
          <w:tcPr>
            <w:tcW w:type="dxa" w:w="850"/>
            <w:shd w:val="clear" w:color="auto" w:fill="F2F2F2"/>
          </w:tcPr>
          <w:p>
            <w:pPr>
              <w:spacing w:after="40" w:line="240" w:lineRule="auto"/>
              <w:jc w:val="left"/>
            </w:pPr>
            <w:r/>
            <w:r>
              <w:rPr>
                <w:rFonts w:ascii="Cambria" w:hAnsi="Cambria"/>
                <w:b w:val="0"/>
                <w:sz w:val="18"/>
              </w:rPr>
              <w:t>60</w:t>
            </w:r>
          </w:p>
        </w:tc>
        <w:tc>
          <w:tcPr>
            <w:tcW w:type="dxa" w:w="737"/>
            <w:shd w:val="clear" w:color="auto" w:fill="F2F2F2"/>
          </w:tcPr>
          <w:p>
            <w:pPr>
              <w:spacing w:after="40" w:line="240" w:lineRule="auto"/>
              <w:jc w:val="left"/>
            </w:pPr>
            <w:r/>
            <w:r>
              <w:rPr>
                <w:rFonts w:ascii="Cambria" w:hAnsi="Cambria"/>
                <w:b w:val="0"/>
                <w:sz w:val="18"/>
              </w:rPr>
              <w:t>15</w:t>
            </w:r>
          </w:p>
        </w:tc>
        <w:tc>
          <w:tcPr>
            <w:tcW w:type="dxa" w:w="1587"/>
            <w:shd w:val="clear" w:color="auto" w:fill="F2F2F2"/>
          </w:tcPr>
          <w:p>
            <w:pPr>
              <w:spacing w:after="40" w:line="240" w:lineRule="auto"/>
              <w:jc w:val="left"/>
            </w:pPr>
            <w:r/>
            <w:r>
              <w:rPr>
                <w:rFonts w:ascii="Cambria" w:hAnsi="Cambria"/>
                <w:b w:val="0"/>
                <w:sz w:val="18"/>
              </w:rPr>
              <w:t>Conceptual clarity issues in entropy &amp; laws of thermodynamics</w:t>
            </w:r>
          </w:p>
        </w:tc>
        <w:tc>
          <w:tcPr>
            <w:tcW w:type="dxa" w:w="1587"/>
            <w:shd w:val="clear" w:color="auto" w:fill="F2F2F2"/>
          </w:tcPr>
          <w:p>
            <w:pPr>
              <w:spacing w:after="40" w:line="240" w:lineRule="auto"/>
              <w:jc w:val="left"/>
            </w:pPr>
            <w:r/>
            <w:r>
              <w:rPr>
                <w:rFonts w:ascii="Cambria" w:hAnsi="Cambria"/>
                <w:b w:val="0"/>
                <w:sz w:val="18"/>
              </w:rPr>
              <w:t>Bridge course on basics + guest lecture by industry expert</w:t>
            </w:r>
          </w:p>
        </w:tc>
        <w:tc>
          <w:tcPr>
            <w:tcW w:type="dxa" w:w="1587"/>
            <w:shd w:val="clear" w:color="auto" w:fill="F2F2F2"/>
          </w:tcPr>
          <w:p>
            <w:pPr>
              <w:spacing w:after="40" w:line="240" w:lineRule="auto"/>
              <w:jc w:val="left"/>
            </w:pPr>
            <w:r/>
            <w:r>
              <w:rPr>
                <w:rFonts w:ascii="Cambria" w:hAnsi="Cambria"/>
                <w:b w:val="0"/>
                <w:sz w:val="18"/>
              </w:rPr>
              <w:t>Bridge course attendance, guest lecture report</w:t>
            </w:r>
          </w:p>
        </w:tc>
        <w:tc>
          <w:tcPr>
            <w:tcW w:type="dxa" w:w="1304"/>
            <w:shd w:val="clear" w:color="auto" w:fill="F2F2F2"/>
          </w:tcPr>
          <w:p>
            <w:pPr>
              <w:spacing w:after="40" w:line="240" w:lineRule="auto"/>
              <w:jc w:val="left"/>
            </w:pPr>
            <w:r/>
            <w:r>
              <w:rPr>
                <w:rFonts w:ascii="Cambria" w:hAnsi="Cambria"/>
                <w:b w:val="0"/>
                <w:sz w:val="18"/>
              </w:rPr>
              <w:t>Student feedback improved, attainment reached 72%</w:t>
            </w:r>
          </w:p>
        </w:tc>
      </w:tr>
    </w:tbl>
    <w:p>
      <w:pPr>
        <w:spacing w:after="40"/>
      </w:pPr>
    </w:p>
    <w:p>
      <w:r>
        <w:br w:type="page"/>
      </w:r>
    </w:p>
    <w:p>
      <w:pPr>
        <w:pStyle w:val="Heading1"/>
      </w:pPr>
      <w:r>
        <w:rPr>
          <w:rFonts w:ascii="Cambria" w:hAnsi="Cambria"/>
          <w:b/>
          <w:color w:val="1F3A5F"/>
          <w:sz w:val="36"/>
        </w:rPr>
        <w:t>5. Action Taken Reports (ATR) of Faculty Meetings and DAB (Department Advisory Board) Discussions</w:t>
      </w:r>
    </w:p>
    <w:p>
      <w:pPr>
        <w:pStyle w:val="Heading3"/>
      </w:pPr>
      <w:r>
        <w:rPr>
          <w:rFonts w:ascii="Cambria" w:hAnsi="Cambria"/>
          <w:b/>
          <w:color w:val="1F3A5F"/>
          <w:sz w:val="26"/>
        </w:rPr>
        <w:t>1. Purpose of ATR in NBA</w:t>
      </w:r>
    </w:p>
    <w:p>
      <w:pPr>
        <w:pStyle w:val="ListBullet"/>
        <w:spacing w:after="80" w:line="276" w:lineRule="auto"/>
      </w:pPr>
      <w:r>
        <w:rPr>
          <w:rFonts w:ascii="Cambria" w:hAnsi="Cambria"/>
          <w:b w:val="0"/>
          <w:i w:val="0"/>
          <w:sz w:val="22"/>
        </w:rPr>
        <w:t>ATR demonstrates that feedback and evaluation of CO/PO/PSO attainment are not just collected but acted upon.</w:t>
      </w:r>
    </w:p>
    <w:p>
      <w:pPr>
        <w:pStyle w:val="ListBullet"/>
        <w:spacing w:after="80" w:line="276" w:lineRule="auto"/>
      </w:pPr>
      <w:r>
        <w:rPr>
          <w:rFonts w:ascii="Cambria" w:hAnsi="Cambria"/>
          <w:b w:val="0"/>
          <w:i w:val="0"/>
          <w:sz w:val="22"/>
        </w:rPr>
        <w:t>Provides evidence of continuous improvement through faculty and board-level discussions.</w:t>
      </w:r>
    </w:p>
    <w:p>
      <w:pPr>
        <w:pStyle w:val="ListBullet"/>
        <w:spacing w:after="80" w:line="276" w:lineRule="auto"/>
      </w:pPr>
      <w:r>
        <w:rPr>
          <w:rFonts w:ascii="Cambria" w:hAnsi="Cambria"/>
          <w:b w:val="0"/>
          <w:i w:val="0"/>
          <w:sz w:val="22"/>
        </w:rPr>
        <w:t>Shows how decisions taken in meetings translate into measurable actions.</w:t>
      </w:r>
    </w:p>
    <w:p>
      <w:pPr>
        <w:pStyle w:val="Heading3"/>
      </w:pPr>
      <w:r>
        <w:rPr>
          <w:rFonts w:ascii="Cambria" w:hAnsi="Cambria"/>
          <w:b/>
          <w:color w:val="1F3A5F"/>
          <w:sz w:val="26"/>
        </w:rPr>
        <w:t>2. Key Elements of ATR</w:t>
      </w:r>
    </w:p>
    <w:p>
      <w:pPr>
        <w:spacing w:after="80" w:line="276" w:lineRule="auto"/>
      </w:pPr>
      <w:r>
        <w:rPr>
          <w:rFonts w:ascii="Cambria" w:hAnsi="Cambria"/>
          <w:b w:val="0"/>
          <w:i w:val="0"/>
          <w:sz w:val="22"/>
        </w:rPr>
        <w:t>Each ATR should include:</w:t>
      </w:r>
    </w:p>
    <w:p>
      <w:pPr>
        <w:pStyle w:val="ListBullet"/>
        <w:spacing w:after="80" w:line="276" w:lineRule="auto"/>
      </w:pPr>
      <w:r>
        <w:rPr>
          <w:rFonts w:ascii="Cambria" w:hAnsi="Cambria"/>
          <w:b/>
          <w:i w:val="0"/>
          <w:sz w:val="22"/>
        </w:rPr>
        <w:t>Meeting Details</w:t>
      </w:r>
    </w:p>
    <w:p>
      <w:pPr>
        <w:pStyle w:val="ListBullet2"/>
        <w:spacing w:after="80" w:line="276" w:lineRule="auto"/>
      </w:pPr>
      <w:r>
        <w:rPr>
          <w:rFonts w:ascii="Cambria" w:hAnsi="Cambria"/>
          <w:b w:val="0"/>
          <w:i w:val="0"/>
          <w:sz w:val="22"/>
        </w:rPr>
        <w:t>Meeting Type: Faculty / DAB / BoS / Academic Council</w:t>
      </w:r>
    </w:p>
    <w:p>
      <w:pPr>
        <w:pStyle w:val="ListBullet2"/>
        <w:spacing w:after="80" w:line="276" w:lineRule="auto"/>
      </w:pPr>
      <w:r>
        <w:rPr>
          <w:rFonts w:ascii="Cambria" w:hAnsi="Cambria"/>
          <w:b w:val="0"/>
          <w:i w:val="0"/>
          <w:sz w:val="22"/>
        </w:rPr>
        <w:t>Date, Time, Venue</w:t>
      </w:r>
    </w:p>
    <w:p>
      <w:pPr>
        <w:pStyle w:val="ListBullet2"/>
        <w:spacing w:after="80" w:line="276" w:lineRule="auto"/>
      </w:pPr>
      <w:r>
        <w:rPr>
          <w:rFonts w:ascii="Cambria" w:hAnsi="Cambria"/>
          <w:b w:val="0"/>
          <w:i w:val="0"/>
          <w:sz w:val="22"/>
        </w:rPr>
        <w:t>Chairperson &amp; Attendees</w:t>
      </w:r>
    </w:p>
    <w:p>
      <w:pPr>
        <w:pStyle w:val="ListBullet"/>
        <w:spacing w:after="80" w:line="276" w:lineRule="auto"/>
      </w:pPr>
      <w:r>
        <w:rPr>
          <w:rFonts w:ascii="Cambria" w:hAnsi="Cambria"/>
          <w:b/>
          <w:i w:val="0"/>
          <w:sz w:val="22"/>
        </w:rPr>
        <w:t>Agenda Points Discussed</w:t>
      </w:r>
    </w:p>
    <w:p>
      <w:pPr>
        <w:pStyle w:val="ListBullet2"/>
        <w:spacing w:after="80" w:line="276" w:lineRule="auto"/>
      </w:pPr>
      <w:r>
        <w:rPr>
          <w:rFonts w:ascii="Cambria" w:hAnsi="Cambria"/>
          <w:b w:val="0"/>
          <w:i w:val="0"/>
          <w:sz w:val="22"/>
        </w:rPr>
        <w:t>Review of CO attainment gaps</w:t>
      </w:r>
    </w:p>
    <w:p>
      <w:pPr>
        <w:pStyle w:val="ListBullet2"/>
        <w:spacing w:after="80" w:line="276" w:lineRule="auto"/>
      </w:pPr>
      <w:r>
        <w:rPr>
          <w:rFonts w:ascii="Cambria" w:hAnsi="Cambria"/>
          <w:b w:val="0"/>
          <w:i w:val="0"/>
          <w:sz w:val="22"/>
        </w:rPr>
        <w:t>Feedback from stakeholders (students, alumni, employers)</w:t>
      </w:r>
    </w:p>
    <w:p>
      <w:pPr>
        <w:pStyle w:val="ListBullet2"/>
        <w:spacing w:after="80" w:line="276" w:lineRule="auto"/>
      </w:pPr>
      <w:r>
        <w:rPr>
          <w:rFonts w:ascii="Cambria" w:hAnsi="Cambria"/>
          <w:b w:val="0"/>
          <w:i w:val="0"/>
          <w:sz w:val="22"/>
        </w:rPr>
        <w:t>Identification of weak areas in program/course delivery</w:t>
      </w:r>
    </w:p>
    <w:p>
      <w:pPr>
        <w:pStyle w:val="ListBullet"/>
        <w:spacing w:after="80" w:line="276" w:lineRule="auto"/>
      </w:pPr>
      <w:r>
        <w:rPr>
          <w:rFonts w:ascii="Cambria" w:hAnsi="Cambria"/>
          <w:b/>
          <w:i w:val="0"/>
          <w:sz w:val="22"/>
        </w:rPr>
        <w:t>Decisions Taken</w:t>
      </w:r>
    </w:p>
    <w:p>
      <w:pPr>
        <w:pStyle w:val="ListBullet2"/>
        <w:spacing w:after="80" w:line="276" w:lineRule="auto"/>
      </w:pPr>
      <w:r>
        <w:rPr>
          <w:rFonts w:ascii="Cambria" w:hAnsi="Cambria"/>
          <w:b w:val="0"/>
          <w:i w:val="0"/>
          <w:sz w:val="22"/>
        </w:rPr>
        <w:t>Specific actions approved for curriculum, pedagogy, labs, student support</w:t>
      </w:r>
    </w:p>
    <w:p>
      <w:pPr>
        <w:pStyle w:val="ListBullet"/>
        <w:spacing w:after="80" w:line="276" w:lineRule="auto"/>
      </w:pPr>
      <w:r>
        <w:rPr>
          <w:rFonts w:ascii="Cambria" w:hAnsi="Cambria"/>
          <w:b/>
          <w:i w:val="0"/>
          <w:sz w:val="22"/>
        </w:rPr>
        <w:t>Action Taken</w:t>
      </w:r>
    </w:p>
    <w:p>
      <w:pPr>
        <w:pStyle w:val="ListBullet2"/>
        <w:spacing w:after="80" w:line="276" w:lineRule="auto"/>
      </w:pPr>
      <w:r>
        <w:rPr>
          <w:rFonts w:ascii="Cambria" w:hAnsi="Cambria"/>
          <w:b w:val="0"/>
          <w:i w:val="0"/>
          <w:sz w:val="22"/>
        </w:rPr>
        <w:t>What was implemented after the decision (remedial classes, lab upgrades, FDPs, guest lectures)</w:t>
      </w:r>
    </w:p>
    <w:p>
      <w:pPr>
        <w:pStyle w:val="ListBullet"/>
        <w:spacing w:after="80" w:line="276" w:lineRule="auto"/>
      </w:pPr>
      <w:r>
        <w:rPr>
          <w:rFonts w:ascii="Cambria" w:hAnsi="Cambria"/>
          <w:b/>
          <w:i w:val="0"/>
          <w:sz w:val="22"/>
        </w:rPr>
        <w:t>Evidence/Documentation</w:t>
      </w:r>
    </w:p>
    <w:p>
      <w:pPr>
        <w:pStyle w:val="ListBullet2"/>
        <w:spacing w:after="80" w:line="276" w:lineRule="auto"/>
      </w:pPr>
      <w:r>
        <w:rPr>
          <w:rFonts w:ascii="Cambria" w:hAnsi="Cambria"/>
          <w:b w:val="0"/>
          <w:i w:val="0"/>
          <w:sz w:val="22"/>
        </w:rPr>
        <w:t>Links to attendance sheets, minutes, remedial timetables, workshop circulars, feedback reports</w:t>
      </w:r>
    </w:p>
    <w:p>
      <w:pPr>
        <w:pStyle w:val="ListBullet"/>
        <w:spacing w:after="80" w:line="276" w:lineRule="auto"/>
      </w:pPr>
      <w:r>
        <w:rPr>
          <w:rFonts w:ascii="Cambria" w:hAnsi="Cambria"/>
          <w:b/>
          <w:i w:val="0"/>
          <w:sz w:val="22"/>
        </w:rPr>
        <w:t>Impact/Outcome</w:t>
      </w:r>
    </w:p>
    <w:p>
      <w:pPr>
        <w:pStyle w:val="ListBullet2"/>
        <w:spacing w:after="80" w:line="276" w:lineRule="auto"/>
      </w:pPr>
      <w:r>
        <w:rPr>
          <w:rFonts w:ascii="Cambria" w:hAnsi="Cambria"/>
          <w:b w:val="0"/>
          <w:i w:val="0"/>
          <w:sz w:val="22"/>
        </w:rPr>
        <w:t>Improvement in CO attainment, student feedback, placement outcomes</w:t>
      </w:r>
    </w:p>
    <w:p>
      <w:pPr>
        <w:pStyle w:val="Heading3"/>
      </w:pPr>
      <w:r>
        <w:rPr>
          <w:rFonts w:ascii="Cambria" w:hAnsi="Cambria"/>
          <w:b/>
          <w:color w:val="1F3A5F"/>
          <w:sz w:val="26"/>
        </w:rPr>
        <w:t>3. Sample ATR Template (Word/Excel Ready)</w:t>
      </w:r>
    </w:p>
    <w:tbl>
      <w:tblPr>
        <w:tblStyle w:val="TableGrid"/>
        <w:tblW w:type="auto" w:w="0"/>
        <w:jc w:val="center"/>
        <w:tblLayout w:type="fixed"/>
        <w:tblLook w:firstColumn="1" w:firstRow="1" w:lastColumn="0" w:lastRow="0" w:noHBand="0" w:noVBand="1" w:val="04A0"/>
        <w:tblLayout w:type="fixed"/>
      </w:tblPr>
      <w:tblGrid>
        <w:gridCol w:w="907"/>
        <w:gridCol w:w="737"/>
        <w:gridCol w:w="1361"/>
        <w:gridCol w:w="1191"/>
        <w:gridCol w:w="1191"/>
        <w:gridCol w:w="1304"/>
        <w:gridCol w:w="907"/>
        <w:gridCol w:w="1134"/>
        <w:gridCol w:w="1134"/>
      </w:tblGrid>
      <w:tr>
        <w:tc>
          <w:tcPr>
            <w:tcW w:type="dxa" w:w="907"/>
            <w:shd w:val="clear" w:color="auto" w:fill="1F3A5F"/>
          </w:tcPr>
          <w:p>
            <w:pPr>
              <w:spacing w:after="40" w:line="240" w:lineRule="auto"/>
              <w:jc w:val="center"/>
            </w:pPr>
            <w:r/>
            <w:r>
              <w:rPr>
                <w:rFonts w:ascii="Cambria" w:hAnsi="Cambria"/>
                <w:b/>
                <w:color w:val="FFFFFF"/>
                <w:sz w:val="18"/>
              </w:rPr>
              <w:t>Meeting</w:t>
              <w:br/>
              <w:t>Type</w:t>
            </w:r>
          </w:p>
        </w:tc>
        <w:tc>
          <w:tcPr>
            <w:tcW w:type="dxa" w:w="737"/>
            <w:shd w:val="clear" w:color="auto" w:fill="1F3A5F"/>
          </w:tcPr>
          <w:p>
            <w:pPr>
              <w:spacing w:after="40" w:line="240" w:lineRule="auto"/>
              <w:jc w:val="center"/>
            </w:pPr>
            <w:r/>
            <w:r>
              <w:rPr>
                <w:rFonts w:ascii="Cambria" w:hAnsi="Cambria"/>
                <w:b/>
                <w:color w:val="FFFFFF"/>
                <w:sz w:val="18"/>
              </w:rPr>
              <w:t>Date</w:t>
            </w:r>
          </w:p>
        </w:tc>
        <w:tc>
          <w:tcPr>
            <w:tcW w:type="dxa" w:w="1361"/>
            <w:shd w:val="clear" w:color="auto" w:fill="1F3A5F"/>
          </w:tcPr>
          <w:p>
            <w:pPr>
              <w:spacing w:after="40" w:line="240" w:lineRule="auto"/>
              <w:jc w:val="center"/>
            </w:pPr>
            <w:r/>
            <w:r>
              <w:rPr>
                <w:rFonts w:ascii="Cambria" w:hAnsi="Cambria"/>
                <w:b/>
                <w:color w:val="FFFFFF"/>
                <w:sz w:val="18"/>
              </w:rPr>
              <w:t>Agenda Item</w:t>
            </w:r>
          </w:p>
        </w:tc>
        <w:tc>
          <w:tcPr>
            <w:tcW w:type="dxa" w:w="1191"/>
            <w:shd w:val="clear" w:color="auto" w:fill="1F3A5F"/>
          </w:tcPr>
          <w:p>
            <w:pPr>
              <w:spacing w:after="40" w:line="240" w:lineRule="auto"/>
              <w:jc w:val="center"/>
            </w:pPr>
            <w:r/>
            <w:r>
              <w:rPr>
                <w:rFonts w:ascii="Cambria" w:hAnsi="Cambria"/>
                <w:b/>
                <w:color w:val="FFFFFF"/>
                <w:sz w:val="18"/>
              </w:rPr>
              <w:t>Discussion</w:t>
              <w:br/>
              <w:t>Summary</w:t>
            </w:r>
          </w:p>
        </w:tc>
        <w:tc>
          <w:tcPr>
            <w:tcW w:type="dxa" w:w="1191"/>
            <w:shd w:val="clear" w:color="auto" w:fill="1F3A5F"/>
          </w:tcPr>
          <w:p>
            <w:pPr>
              <w:spacing w:after="40" w:line="240" w:lineRule="auto"/>
              <w:jc w:val="center"/>
            </w:pPr>
            <w:r/>
            <w:r>
              <w:rPr>
                <w:rFonts w:ascii="Cambria" w:hAnsi="Cambria"/>
                <w:b/>
                <w:color w:val="FFFFFF"/>
                <w:sz w:val="18"/>
              </w:rPr>
              <w:t>Decision</w:t>
              <w:br/>
              <w:t>Taken</w:t>
            </w:r>
          </w:p>
        </w:tc>
        <w:tc>
          <w:tcPr>
            <w:tcW w:type="dxa" w:w="1304"/>
            <w:shd w:val="clear" w:color="auto" w:fill="1F3A5F"/>
          </w:tcPr>
          <w:p>
            <w:pPr>
              <w:spacing w:after="40" w:line="240" w:lineRule="auto"/>
              <w:jc w:val="center"/>
            </w:pPr>
            <w:r/>
            <w:r>
              <w:rPr>
                <w:rFonts w:ascii="Cambria" w:hAnsi="Cambria"/>
                <w:b/>
                <w:color w:val="FFFFFF"/>
                <w:sz w:val="18"/>
              </w:rPr>
              <w:t>Action</w:t>
              <w:br/>
              <w:t>Taken</w:t>
            </w:r>
          </w:p>
        </w:tc>
        <w:tc>
          <w:tcPr>
            <w:tcW w:type="dxa" w:w="907"/>
            <w:shd w:val="clear" w:color="auto" w:fill="1F3A5F"/>
          </w:tcPr>
          <w:p>
            <w:pPr>
              <w:spacing w:after="40" w:line="240" w:lineRule="auto"/>
              <w:jc w:val="center"/>
            </w:pPr>
            <w:r/>
            <w:r>
              <w:rPr>
                <w:rFonts w:ascii="Cambria" w:hAnsi="Cambria"/>
                <w:b/>
                <w:color w:val="FFFFFF"/>
                <w:sz w:val="18"/>
              </w:rPr>
              <w:t>Responsible</w:t>
              <w:br/>
              <w:t>Person/Unit</w:t>
            </w:r>
          </w:p>
        </w:tc>
        <w:tc>
          <w:tcPr>
            <w:tcW w:type="dxa" w:w="1134"/>
            <w:shd w:val="clear" w:color="auto" w:fill="1F3A5F"/>
          </w:tcPr>
          <w:p>
            <w:pPr>
              <w:spacing w:after="40" w:line="240" w:lineRule="auto"/>
              <w:jc w:val="center"/>
            </w:pPr>
            <w:r/>
            <w:r>
              <w:rPr>
                <w:rFonts w:ascii="Cambria" w:hAnsi="Cambria"/>
                <w:b/>
                <w:color w:val="FFFFFF"/>
                <w:sz w:val="18"/>
              </w:rPr>
              <w:t>Evidence</w:t>
              <w:br/>
              <w:t>Link</w:t>
            </w:r>
          </w:p>
        </w:tc>
        <w:tc>
          <w:tcPr>
            <w:tcW w:type="dxa" w:w="1134"/>
            <w:shd w:val="clear" w:color="auto" w:fill="1F3A5F"/>
          </w:tcPr>
          <w:p>
            <w:pPr>
              <w:spacing w:after="40" w:line="240" w:lineRule="auto"/>
              <w:jc w:val="center"/>
            </w:pPr>
            <w:r/>
            <w:r>
              <w:rPr>
                <w:rFonts w:ascii="Cambria" w:hAnsi="Cambria"/>
                <w:b/>
                <w:color w:val="FFFFFF"/>
                <w:sz w:val="18"/>
              </w:rPr>
              <w:t>Impact/</w:t>
              <w:br/>
              <w:t>Improvement</w:t>
            </w:r>
          </w:p>
        </w:tc>
      </w:tr>
      <w:tr>
        <w:tc>
          <w:tcPr>
            <w:tcW w:type="dxa" w:w="907"/>
          </w:tcPr>
          <w:p>
            <w:pPr>
              <w:spacing w:after="40" w:line="240" w:lineRule="auto"/>
              <w:jc w:val="left"/>
            </w:pPr>
            <w:r/>
            <w:r>
              <w:rPr>
                <w:rFonts w:ascii="Cambria" w:hAnsi="Cambria"/>
                <w:b w:val="0"/>
                <w:sz w:val="17"/>
              </w:rPr>
              <w:t>Faculty Meeting</w:t>
            </w:r>
          </w:p>
        </w:tc>
        <w:tc>
          <w:tcPr>
            <w:tcW w:type="dxa" w:w="737"/>
          </w:tcPr>
          <w:p>
            <w:pPr>
              <w:spacing w:after="40" w:line="240" w:lineRule="auto"/>
              <w:jc w:val="left"/>
            </w:pPr>
            <w:r/>
            <w:r>
              <w:rPr>
                <w:rFonts w:ascii="Cambria" w:hAnsi="Cambria"/>
                <w:b w:val="0"/>
                <w:sz w:val="17"/>
              </w:rPr>
              <w:t>12-08-2024</w:t>
            </w:r>
          </w:p>
        </w:tc>
        <w:tc>
          <w:tcPr>
            <w:tcW w:type="dxa" w:w="1361"/>
          </w:tcPr>
          <w:p>
            <w:pPr>
              <w:spacing w:after="40" w:line="240" w:lineRule="auto"/>
              <w:jc w:val="left"/>
            </w:pPr>
            <w:r/>
            <w:r>
              <w:rPr>
                <w:rFonts w:ascii="Cambria" w:hAnsi="Cambria"/>
                <w:b w:val="0"/>
                <w:sz w:val="17"/>
              </w:rPr>
              <w:t>CO2 of Data Structures not attained (gap = 18%)</w:t>
            </w:r>
          </w:p>
        </w:tc>
        <w:tc>
          <w:tcPr>
            <w:tcW w:type="dxa" w:w="1191"/>
          </w:tcPr>
          <w:p>
            <w:pPr>
              <w:spacing w:after="40" w:line="240" w:lineRule="auto"/>
              <w:jc w:val="left"/>
            </w:pPr>
            <w:r/>
            <w:r>
              <w:rPr>
                <w:rFonts w:ascii="Cambria" w:hAnsi="Cambria"/>
                <w:b w:val="0"/>
                <w:sz w:val="17"/>
              </w:rPr>
              <w:t>Lack of coding practice identified</w:t>
            </w:r>
          </w:p>
        </w:tc>
        <w:tc>
          <w:tcPr>
            <w:tcW w:type="dxa" w:w="1191"/>
          </w:tcPr>
          <w:p>
            <w:pPr>
              <w:spacing w:after="40" w:line="240" w:lineRule="auto"/>
              <w:jc w:val="left"/>
            </w:pPr>
            <w:r/>
            <w:r>
              <w:rPr>
                <w:rFonts w:ascii="Cambria" w:hAnsi="Cambria"/>
                <w:b w:val="0"/>
                <w:sz w:val="17"/>
              </w:rPr>
              <w:t>Weekly coding challenges to be introduced</w:t>
            </w:r>
          </w:p>
        </w:tc>
        <w:tc>
          <w:tcPr>
            <w:tcW w:type="dxa" w:w="1304"/>
          </w:tcPr>
          <w:p>
            <w:pPr>
              <w:spacing w:after="40" w:line="240" w:lineRule="auto"/>
              <w:jc w:val="left"/>
            </w:pPr>
            <w:r/>
            <w:r>
              <w:rPr>
                <w:rFonts w:ascii="Cambria" w:hAnsi="Cambria"/>
                <w:b w:val="0"/>
                <w:sz w:val="17"/>
              </w:rPr>
              <w:t>Coding challenges started from Sept 2024 in lab</w:t>
            </w:r>
          </w:p>
        </w:tc>
        <w:tc>
          <w:tcPr>
            <w:tcW w:type="dxa" w:w="907"/>
          </w:tcPr>
          <w:p>
            <w:pPr>
              <w:spacing w:after="40" w:line="240" w:lineRule="auto"/>
              <w:jc w:val="left"/>
            </w:pPr>
            <w:r/>
            <w:r>
              <w:rPr>
                <w:rFonts w:ascii="Cambria" w:hAnsi="Cambria"/>
                <w:b w:val="0"/>
                <w:sz w:val="17"/>
              </w:rPr>
              <w:t>Course Coordinator</w:t>
            </w:r>
          </w:p>
        </w:tc>
        <w:tc>
          <w:tcPr>
            <w:tcW w:type="dxa" w:w="1134"/>
          </w:tcPr>
          <w:p>
            <w:pPr>
              <w:spacing w:after="40" w:line="240" w:lineRule="auto"/>
              <w:jc w:val="left"/>
            </w:pPr>
            <w:r/>
            <w:r>
              <w:rPr>
                <w:rFonts w:ascii="Cambria" w:hAnsi="Cambria"/>
                <w:b w:val="0"/>
                <w:sz w:val="17"/>
              </w:rPr>
              <w:t>Lab attendance, coding challenge sheets</w:t>
            </w:r>
          </w:p>
        </w:tc>
        <w:tc>
          <w:tcPr>
            <w:tcW w:type="dxa" w:w="1134"/>
          </w:tcPr>
          <w:p>
            <w:pPr>
              <w:spacing w:after="40" w:line="240" w:lineRule="auto"/>
              <w:jc w:val="left"/>
            </w:pPr>
            <w:r/>
            <w:r>
              <w:rPr>
                <w:rFonts w:ascii="Cambria" w:hAnsi="Cambria"/>
                <w:b w:val="0"/>
                <w:sz w:val="17"/>
              </w:rPr>
              <w:t>Attainment improved to 69% in 2024-25</w:t>
            </w:r>
          </w:p>
        </w:tc>
      </w:tr>
      <w:tr>
        <w:tc>
          <w:tcPr>
            <w:tcW w:type="dxa" w:w="907"/>
            <w:shd w:val="clear" w:color="auto" w:fill="F2F2F2"/>
          </w:tcPr>
          <w:p>
            <w:pPr>
              <w:spacing w:after="40" w:line="240" w:lineRule="auto"/>
              <w:jc w:val="left"/>
            </w:pPr>
            <w:r/>
            <w:r>
              <w:rPr>
                <w:rFonts w:ascii="Cambria" w:hAnsi="Cambria"/>
                <w:b w:val="0"/>
                <w:sz w:val="17"/>
              </w:rPr>
              <w:t>DAB Meeting</w:t>
            </w:r>
          </w:p>
        </w:tc>
        <w:tc>
          <w:tcPr>
            <w:tcW w:type="dxa" w:w="737"/>
            <w:shd w:val="clear" w:color="auto" w:fill="F2F2F2"/>
          </w:tcPr>
          <w:p>
            <w:pPr>
              <w:spacing w:after="40" w:line="240" w:lineRule="auto"/>
              <w:jc w:val="left"/>
            </w:pPr>
            <w:r/>
            <w:r>
              <w:rPr>
                <w:rFonts w:ascii="Cambria" w:hAnsi="Cambria"/>
                <w:b w:val="0"/>
                <w:sz w:val="17"/>
              </w:rPr>
              <w:t>15-09-2024</w:t>
            </w:r>
          </w:p>
        </w:tc>
        <w:tc>
          <w:tcPr>
            <w:tcW w:type="dxa" w:w="1361"/>
            <w:shd w:val="clear" w:color="auto" w:fill="F2F2F2"/>
          </w:tcPr>
          <w:p>
            <w:pPr>
              <w:spacing w:after="40" w:line="240" w:lineRule="auto"/>
              <w:jc w:val="left"/>
            </w:pPr>
            <w:r/>
            <w:r>
              <w:rPr>
                <w:rFonts w:ascii="Cambria" w:hAnsi="Cambria"/>
                <w:b w:val="0"/>
                <w:sz w:val="17"/>
              </w:rPr>
              <w:t>Weak fundamentals in Thermodynamics (CO4)</w:t>
            </w:r>
          </w:p>
        </w:tc>
        <w:tc>
          <w:tcPr>
            <w:tcW w:type="dxa" w:w="1191"/>
            <w:shd w:val="clear" w:color="auto" w:fill="F2F2F2"/>
          </w:tcPr>
          <w:p>
            <w:pPr>
              <w:spacing w:after="40" w:line="240" w:lineRule="auto"/>
              <w:jc w:val="left"/>
            </w:pPr>
            <w:r/>
            <w:r>
              <w:rPr>
                <w:rFonts w:ascii="Cambria" w:hAnsi="Cambria"/>
                <w:b w:val="0"/>
                <w:sz w:val="17"/>
              </w:rPr>
              <w:t>Feedback from employers &amp; alumni indicated poor conceptual clarity</w:t>
            </w:r>
          </w:p>
        </w:tc>
        <w:tc>
          <w:tcPr>
            <w:tcW w:type="dxa" w:w="1191"/>
            <w:shd w:val="clear" w:color="auto" w:fill="F2F2F2"/>
          </w:tcPr>
          <w:p>
            <w:pPr>
              <w:spacing w:after="40" w:line="240" w:lineRule="auto"/>
              <w:jc w:val="left"/>
            </w:pPr>
            <w:r/>
            <w:r>
              <w:rPr>
                <w:rFonts w:ascii="Cambria" w:hAnsi="Cambria"/>
                <w:b w:val="0"/>
                <w:sz w:val="17"/>
              </w:rPr>
              <w:t>Introduce bridge course + guest lecture</w:t>
            </w:r>
          </w:p>
        </w:tc>
        <w:tc>
          <w:tcPr>
            <w:tcW w:type="dxa" w:w="1304"/>
            <w:shd w:val="clear" w:color="auto" w:fill="F2F2F2"/>
          </w:tcPr>
          <w:p>
            <w:pPr>
              <w:spacing w:after="40" w:line="240" w:lineRule="auto"/>
              <w:jc w:val="left"/>
            </w:pPr>
            <w:r/>
            <w:r>
              <w:rPr>
                <w:rFonts w:ascii="Cambria" w:hAnsi="Cambria"/>
                <w:b w:val="0"/>
                <w:sz w:val="17"/>
              </w:rPr>
              <w:t>Bridge course conducted, guest lecture held on 22-10-2024</w:t>
            </w:r>
          </w:p>
        </w:tc>
        <w:tc>
          <w:tcPr>
            <w:tcW w:type="dxa" w:w="907"/>
            <w:shd w:val="clear" w:color="auto" w:fill="F2F2F2"/>
          </w:tcPr>
          <w:p>
            <w:pPr>
              <w:spacing w:after="40" w:line="240" w:lineRule="auto"/>
              <w:jc w:val="left"/>
            </w:pPr>
            <w:r/>
            <w:r>
              <w:rPr>
                <w:rFonts w:ascii="Cambria" w:hAnsi="Cambria"/>
                <w:b w:val="0"/>
                <w:sz w:val="17"/>
              </w:rPr>
              <w:t>HoD &amp; Subject Faculty</w:t>
            </w:r>
          </w:p>
        </w:tc>
        <w:tc>
          <w:tcPr>
            <w:tcW w:type="dxa" w:w="1134"/>
            <w:shd w:val="clear" w:color="auto" w:fill="F2F2F2"/>
          </w:tcPr>
          <w:p>
            <w:pPr>
              <w:spacing w:after="40" w:line="240" w:lineRule="auto"/>
              <w:jc w:val="left"/>
            </w:pPr>
            <w:r/>
            <w:r>
              <w:rPr>
                <w:rFonts w:ascii="Cambria" w:hAnsi="Cambria"/>
                <w:b w:val="0"/>
                <w:sz w:val="17"/>
              </w:rPr>
              <w:t>Bridge course timetable, guest lecture report</w:t>
            </w:r>
          </w:p>
        </w:tc>
        <w:tc>
          <w:tcPr>
            <w:tcW w:type="dxa" w:w="1134"/>
            <w:shd w:val="clear" w:color="auto" w:fill="F2F2F2"/>
          </w:tcPr>
          <w:p>
            <w:pPr>
              <w:spacing w:after="40" w:line="240" w:lineRule="auto"/>
              <w:jc w:val="left"/>
            </w:pPr>
            <w:r/>
            <w:r>
              <w:rPr>
                <w:rFonts w:ascii="Cambria" w:hAnsi="Cambria"/>
                <w:b w:val="0"/>
                <w:sz w:val="17"/>
              </w:rPr>
              <w:t>Attainment improved by 12%</w:t>
            </w:r>
          </w:p>
        </w:tc>
      </w:tr>
      <w:tr>
        <w:tc>
          <w:tcPr>
            <w:tcW w:type="dxa" w:w="907"/>
          </w:tcPr>
          <w:p>
            <w:pPr>
              <w:spacing w:after="40" w:line="240" w:lineRule="auto"/>
              <w:jc w:val="left"/>
            </w:pPr>
            <w:r/>
            <w:r>
              <w:rPr>
                <w:rFonts w:ascii="Cambria" w:hAnsi="Cambria"/>
                <w:b w:val="0"/>
                <w:sz w:val="17"/>
              </w:rPr>
              <w:t>Faculty Meeting</w:t>
            </w:r>
          </w:p>
        </w:tc>
        <w:tc>
          <w:tcPr>
            <w:tcW w:type="dxa" w:w="737"/>
          </w:tcPr>
          <w:p>
            <w:pPr>
              <w:spacing w:after="40" w:line="240" w:lineRule="auto"/>
              <w:jc w:val="left"/>
            </w:pPr>
            <w:r/>
            <w:r>
              <w:rPr>
                <w:rFonts w:ascii="Cambria" w:hAnsi="Cambria"/>
                <w:b w:val="0"/>
                <w:sz w:val="17"/>
              </w:rPr>
              <w:t>20-11-2024</w:t>
            </w:r>
          </w:p>
        </w:tc>
        <w:tc>
          <w:tcPr>
            <w:tcW w:type="dxa" w:w="1361"/>
          </w:tcPr>
          <w:p>
            <w:pPr>
              <w:spacing w:after="40" w:line="240" w:lineRule="auto"/>
              <w:jc w:val="left"/>
            </w:pPr>
            <w:r/>
            <w:r>
              <w:rPr>
                <w:rFonts w:ascii="Cambria" w:hAnsi="Cambria"/>
                <w:b w:val="0"/>
                <w:sz w:val="17"/>
              </w:rPr>
              <w:t>Student feedback on circuit simulation labs</w:t>
            </w:r>
          </w:p>
        </w:tc>
        <w:tc>
          <w:tcPr>
            <w:tcW w:type="dxa" w:w="1191"/>
          </w:tcPr>
          <w:p>
            <w:pPr>
              <w:spacing w:after="40" w:line="240" w:lineRule="auto"/>
              <w:jc w:val="left"/>
            </w:pPr>
            <w:r/>
            <w:r>
              <w:rPr>
                <w:rFonts w:ascii="Cambria" w:hAnsi="Cambria"/>
                <w:b w:val="0"/>
                <w:sz w:val="17"/>
              </w:rPr>
              <w:t>Labs lacked modern simulation tools</w:t>
            </w:r>
          </w:p>
        </w:tc>
        <w:tc>
          <w:tcPr>
            <w:tcW w:type="dxa" w:w="1191"/>
          </w:tcPr>
          <w:p>
            <w:pPr>
              <w:spacing w:after="40" w:line="240" w:lineRule="auto"/>
              <w:jc w:val="left"/>
            </w:pPr>
            <w:r/>
            <w:r>
              <w:rPr>
                <w:rFonts w:ascii="Cambria" w:hAnsi="Cambria"/>
                <w:b w:val="0"/>
                <w:sz w:val="17"/>
              </w:rPr>
              <w:t>Upgrade lab with PSPICE software</w:t>
            </w:r>
          </w:p>
        </w:tc>
        <w:tc>
          <w:tcPr>
            <w:tcW w:type="dxa" w:w="1304"/>
          </w:tcPr>
          <w:p>
            <w:pPr>
              <w:spacing w:after="40" w:line="240" w:lineRule="auto"/>
              <w:jc w:val="left"/>
            </w:pPr>
            <w:r/>
            <w:r>
              <w:rPr>
                <w:rFonts w:ascii="Cambria" w:hAnsi="Cambria"/>
                <w:b w:val="0"/>
                <w:sz w:val="17"/>
              </w:rPr>
              <w:t>PSPICE installed, training given to faculty &amp; students</w:t>
            </w:r>
          </w:p>
        </w:tc>
        <w:tc>
          <w:tcPr>
            <w:tcW w:type="dxa" w:w="907"/>
          </w:tcPr>
          <w:p>
            <w:pPr>
              <w:spacing w:after="40" w:line="240" w:lineRule="auto"/>
              <w:jc w:val="left"/>
            </w:pPr>
            <w:r/>
            <w:r>
              <w:rPr>
                <w:rFonts w:ascii="Cambria" w:hAnsi="Cambria"/>
                <w:b w:val="0"/>
                <w:sz w:val="17"/>
              </w:rPr>
              <w:t>Lab Incharge</w:t>
            </w:r>
          </w:p>
        </w:tc>
        <w:tc>
          <w:tcPr>
            <w:tcW w:type="dxa" w:w="1134"/>
          </w:tcPr>
          <w:p>
            <w:pPr>
              <w:spacing w:after="40" w:line="240" w:lineRule="auto"/>
              <w:jc w:val="left"/>
            </w:pPr>
            <w:r/>
            <w:r>
              <w:rPr>
                <w:rFonts w:ascii="Cambria" w:hAnsi="Cambria"/>
                <w:b w:val="0"/>
                <w:sz w:val="17"/>
              </w:rPr>
              <w:t>AMC invoice, lab manual updated</w:t>
            </w:r>
          </w:p>
        </w:tc>
        <w:tc>
          <w:tcPr>
            <w:tcW w:type="dxa" w:w="1134"/>
          </w:tcPr>
          <w:p>
            <w:pPr>
              <w:spacing w:after="40" w:line="240" w:lineRule="auto"/>
              <w:jc w:val="left"/>
            </w:pPr>
            <w:r/>
            <w:r>
              <w:rPr>
                <w:rFonts w:ascii="Cambria" w:hAnsi="Cambria"/>
                <w:b w:val="0"/>
                <w:sz w:val="17"/>
              </w:rPr>
              <w:t>Student lab performance improved</w:t>
            </w:r>
          </w:p>
        </w:tc>
      </w:tr>
    </w:tbl>
    <w:p>
      <w:pPr>
        <w:spacing w:after="40"/>
      </w:pPr>
    </w:p>
    <w:p>
      <w:pPr>
        <w:spacing w:after="120" w:line="276" w:lineRule="auto"/>
      </w:pPr>
      <w:r>
        <w:rPr>
          <w:rFonts w:ascii="Cambria" w:hAnsi="Cambria"/>
          <w:b/>
          <w:i w:val="0"/>
          <w:color w:val="1F3A5F"/>
          <w:sz w:val="26"/>
        </w:rPr>
        <w:t>4. Evidence Collection for ATR</w:t>
      </w:r>
    </w:p>
    <w:p>
      <w:pPr>
        <w:pStyle w:val="ListBullet"/>
        <w:spacing w:after="80" w:line="276" w:lineRule="auto"/>
      </w:pPr>
      <w:r>
        <w:rPr>
          <w:rFonts w:ascii="Cambria" w:hAnsi="Cambria"/>
          <w:b/>
          <w:i w:val="0"/>
          <w:sz w:val="22"/>
        </w:rPr>
        <w:t xml:space="preserve">Minutes of Meeting (MoM) – </w:t>
      </w:r>
      <w:r>
        <w:rPr>
          <w:rFonts w:ascii="Cambria" w:hAnsi="Cambria"/>
          <w:b w:val="0"/>
          <w:i w:val="0"/>
          <w:sz w:val="22"/>
        </w:rPr>
        <w:t>signed by Chairperson and faculty.</w:t>
      </w:r>
    </w:p>
    <w:p>
      <w:pPr>
        <w:pStyle w:val="ListBullet"/>
        <w:spacing w:after="80" w:line="276" w:lineRule="auto"/>
      </w:pPr>
      <w:r>
        <w:rPr>
          <w:rFonts w:ascii="Cambria" w:hAnsi="Cambria"/>
          <w:b/>
          <w:i w:val="0"/>
          <w:sz w:val="22"/>
        </w:rPr>
        <w:t xml:space="preserve">Attendance Sheets – </w:t>
      </w:r>
      <w:r>
        <w:rPr>
          <w:rFonts w:ascii="Cambria" w:hAnsi="Cambria"/>
          <w:b w:val="0"/>
          <w:i w:val="0"/>
          <w:sz w:val="22"/>
        </w:rPr>
        <w:t>list of faculty/DAB members present.</w:t>
      </w:r>
    </w:p>
    <w:p>
      <w:pPr>
        <w:pStyle w:val="ListBullet"/>
        <w:spacing w:after="80" w:line="276" w:lineRule="auto"/>
      </w:pPr>
      <w:r>
        <w:rPr>
          <w:rFonts w:ascii="Cambria" w:hAnsi="Cambria"/>
          <w:b/>
          <w:i w:val="0"/>
          <w:sz w:val="22"/>
        </w:rPr>
        <w:t xml:space="preserve">Circulars/Notices – </w:t>
      </w:r>
      <w:r>
        <w:rPr>
          <w:rFonts w:ascii="Cambria" w:hAnsi="Cambria"/>
          <w:b w:val="0"/>
          <w:i w:val="0"/>
          <w:sz w:val="22"/>
        </w:rPr>
        <w:t>about remedial classes, workshops, guest lectures.</w:t>
      </w:r>
    </w:p>
    <w:p>
      <w:pPr>
        <w:pStyle w:val="ListBullet"/>
        <w:spacing w:after="80" w:line="276" w:lineRule="auto"/>
      </w:pPr>
      <w:r>
        <w:rPr>
          <w:rFonts w:ascii="Cambria" w:hAnsi="Cambria"/>
          <w:b/>
          <w:i w:val="0"/>
          <w:sz w:val="22"/>
        </w:rPr>
        <w:t xml:space="preserve">Before vs. After Reports – </w:t>
      </w:r>
      <w:r>
        <w:rPr>
          <w:rFonts w:ascii="Cambria" w:hAnsi="Cambria"/>
          <w:b w:val="0"/>
          <w:i w:val="0"/>
          <w:sz w:val="22"/>
        </w:rPr>
        <w:t>CO attainment % comparisons.</w:t>
      </w:r>
    </w:p>
    <w:p>
      <w:pPr>
        <w:spacing w:after="120" w:line="276" w:lineRule="auto"/>
      </w:pPr>
      <w:r>
        <w:rPr>
          <w:rFonts w:ascii="Cambria" w:hAnsi="Cambria"/>
          <w:b/>
          <w:i w:val="0"/>
          <w:color w:val="1F3A5F"/>
          <w:sz w:val="26"/>
        </w:rPr>
        <w:t>5. NBA Scoring Connection</w:t>
      </w:r>
    </w:p>
    <w:p>
      <w:pPr>
        <w:pStyle w:val="ListBullet"/>
        <w:spacing w:after="80" w:line="276" w:lineRule="auto"/>
      </w:pPr>
      <w:r>
        <w:rPr>
          <w:rFonts w:ascii="Cambria" w:hAnsi="Cambria"/>
          <w:b w:val="0"/>
          <w:i w:val="0"/>
          <w:sz w:val="22"/>
        </w:rPr>
        <w:t>ATRs serve as proof of corrective measures (directly linked to Criterion 9.3 Feedback Analysis and Criterion 9.6 Governance &amp; Transparency).</w:t>
      </w:r>
    </w:p>
    <w:p>
      <w:pPr>
        <w:pStyle w:val="ListBullet"/>
        <w:spacing w:after="80" w:line="276" w:lineRule="auto"/>
      </w:pPr>
      <w:r>
        <w:rPr>
          <w:rFonts w:ascii="Cambria" w:hAnsi="Cambria"/>
          <w:b w:val="0"/>
          <w:i w:val="0"/>
          <w:sz w:val="22"/>
        </w:rPr>
        <w:t>They show the “closing the loop” process of OBE → evaluation → corrective action → improvement.</w:t>
      </w:r>
    </w:p>
    <w:p>
      <w:r>
        <w:br w:type="page"/>
      </w:r>
    </w:p>
    <w:p>
      <w:pPr>
        <w:pStyle w:val="Heading1"/>
      </w:pPr>
      <w:r>
        <w:rPr>
          <w:rFonts w:ascii="Cambria" w:hAnsi="Cambria"/>
          <w:b/>
          <w:color w:val="1F3A5F"/>
          <w:sz w:val="36"/>
        </w:rPr>
        <w:t>6. Improved Attainment Charts after Actions Were Implemented</w:t>
      </w:r>
    </w:p>
    <w:p>
      <w:pPr>
        <w:pStyle w:val="Heading3"/>
      </w:pPr>
      <w:r>
        <w:rPr>
          <w:rFonts w:ascii="Cambria" w:hAnsi="Cambria"/>
          <w:b/>
          <w:color w:val="1F3A5F"/>
          <w:sz w:val="26"/>
        </w:rPr>
        <w:t>1. Purpose of Improved Attainment Charts</w:t>
      </w:r>
    </w:p>
    <w:p>
      <w:pPr>
        <w:pStyle w:val="ListBullet"/>
        <w:spacing w:after="80" w:line="276" w:lineRule="auto"/>
      </w:pPr>
      <w:r>
        <w:rPr>
          <w:rFonts w:ascii="Cambria" w:hAnsi="Cambria"/>
          <w:b w:val="0"/>
          <w:i w:val="0"/>
          <w:sz w:val="22"/>
        </w:rPr>
        <w:t>Visual proof that actions taken (remedial classes, lab upgrades, bridge courses, FDPs, etc.) have resulted in better CO attainment.</w:t>
      </w:r>
    </w:p>
    <w:p>
      <w:pPr>
        <w:pStyle w:val="ListBullet"/>
        <w:spacing w:after="80" w:line="276" w:lineRule="auto"/>
      </w:pPr>
      <w:r>
        <w:rPr>
          <w:rFonts w:ascii="Cambria" w:hAnsi="Cambria"/>
          <w:b w:val="0"/>
          <w:i w:val="0"/>
          <w:sz w:val="22"/>
        </w:rPr>
        <w:t>Provides before vs. after comparison of attainment levels.</w:t>
      </w:r>
    </w:p>
    <w:p>
      <w:pPr>
        <w:pStyle w:val="ListBullet"/>
        <w:spacing w:after="80" w:line="276" w:lineRule="auto"/>
      </w:pPr>
      <w:r>
        <w:rPr>
          <w:rFonts w:ascii="Cambria" w:hAnsi="Cambria"/>
          <w:b w:val="0"/>
          <w:i w:val="0"/>
          <w:sz w:val="22"/>
        </w:rPr>
        <w:t>Strengthens evidence for the continuous improvement loop in Outcome-Based Education (OBE).</w:t>
      </w:r>
    </w:p>
    <w:p>
      <w:pPr>
        <w:pStyle w:val="Heading3"/>
      </w:pPr>
      <w:r>
        <w:rPr>
          <w:rFonts w:ascii="Cambria" w:hAnsi="Cambria"/>
          <w:b/>
          <w:color w:val="1F3A5F"/>
          <w:sz w:val="26"/>
        </w:rPr>
        <w:t>2. Types of Charts to Use (NBA-Ready)</w:t>
      </w:r>
    </w:p>
    <w:p>
      <w:pPr>
        <w:pStyle w:val="ListNumber"/>
        <w:spacing w:after="80" w:line="276" w:lineRule="auto"/>
      </w:pPr>
      <w:r>
        <w:rPr>
          <w:rFonts w:ascii="Cambria" w:hAnsi="Cambria"/>
          <w:b/>
          <w:i w:val="0"/>
          <w:sz w:val="22"/>
        </w:rPr>
        <w:t>Bar Chart (Before vs. After for Each CO)</w:t>
      </w:r>
    </w:p>
    <w:p>
      <w:pPr>
        <w:pStyle w:val="ListBullet2"/>
        <w:spacing w:after="80" w:line="276" w:lineRule="auto"/>
      </w:pPr>
      <w:r>
        <w:rPr>
          <w:rFonts w:ascii="Cambria" w:hAnsi="Cambria"/>
          <w:b w:val="0"/>
          <w:i w:val="0"/>
          <w:sz w:val="22"/>
        </w:rPr>
        <w:t>X-axis: COs (CO1, CO2, …)</w:t>
      </w:r>
    </w:p>
    <w:p>
      <w:pPr>
        <w:pStyle w:val="ListBullet2"/>
        <w:spacing w:after="80" w:line="276" w:lineRule="auto"/>
      </w:pPr>
      <w:r>
        <w:rPr>
          <w:rFonts w:ascii="Cambria" w:hAnsi="Cambria"/>
          <w:b w:val="0"/>
          <w:i w:val="0"/>
          <w:sz w:val="22"/>
        </w:rPr>
        <w:t>Y-axis: % attainment</w:t>
      </w:r>
    </w:p>
    <w:p>
      <w:pPr>
        <w:pStyle w:val="ListBullet2"/>
        <w:spacing w:after="80" w:line="276" w:lineRule="auto"/>
      </w:pPr>
      <w:r>
        <w:rPr>
          <w:rFonts w:ascii="Cambria" w:hAnsi="Cambria"/>
          <w:b w:val="0"/>
          <w:i w:val="0"/>
          <w:sz w:val="22"/>
        </w:rPr>
        <w:t>Bars: “Before Action” vs. “After Action”</w:t>
      </w:r>
    </w:p>
    <w:p>
      <w:pPr>
        <w:pStyle w:val="ListBullet2"/>
        <w:spacing w:after="80" w:line="276" w:lineRule="auto"/>
      </w:pPr>
      <w:r>
        <w:rPr>
          <w:rFonts w:ascii="Cambria" w:hAnsi="Cambria"/>
          <w:b w:val="0"/>
          <w:i w:val="0"/>
          <w:sz w:val="22"/>
        </w:rPr>
        <w:t>Example: CO2 improved from 52% → 69% after coding practice sessions.</w:t>
      </w:r>
    </w:p>
    <w:p>
      <w:pPr>
        <w:pStyle w:val="ListNumber"/>
        <w:spacing w:after="80" w:line="276" w:lineRule="auto"/>
      </w:pPr>
      <w:r>
        <w:rPr>
          <w:rFonts w:ascii="Cambria" w:hAnsi="Cambria"/>
          <w:b/>
          <w:i w:val="0"/>
          <w:sz w:val="22"/>
        </w:rPr>
        <w:t>Line/Trend Chart (Year-wise Improvement)</w:t>
      </w:r>
    </w:p>
    <w:p>
      <w:pPr>
        <w:pStyle w:val="ListBullet2"/>
        <w:spacing w:after="80" w:line="276" w:lineRule="auto"/>
      </w:pPr>
      <w:r>
        <w:rPr>
          <w:rFonts w:ascii="Cambria" w:hAnsi="Cambria"/>
          <w:b w:val="0"/>
          <w:i w:val="0"/>
          <w:sz w:val="22"/>
        </w:rPr>
        <w:t>X-axis: Academic Year (CAY, CAYm1, CAYm2)</w:t>
      </w:r>
    </w:p>
    <w:p>
      <w:pPr>
        <w:pStyle w:val="ListBullet2"/>
        <w:spacing w:after="80" w:line="276" w:lineRule="auto"/>
      </w:pPr>
      <w:r>
        <w:rPr>
          <w:rFonts w:ascii="Cambria" w:hAnsi="Cambria"/>
          <w:b w:val="0"/>
          <w:i w:val="0"/>
          <w:sz w:val="22"/>
        </w:rPr>
        <w:t>Y-axis: Attainment (%)</w:t>
      </w:r>
    </w:p>
    <w:p>
      <w:pPr>
        <w:pStyle w:val="ListBullet2"/>
        <w:spacing w:after="80" w:line="276" w:lineRule="auto"/>
      </w:pPr>
      <w:r>
        <w:rPr>
          <w:rFonts w:ascii="Cambria" w:hAnsi="Cambria"/>
          <w:b w:val="0"/>
          <w:i w:val="0"/>
          <w:sz w:val="22"/>
        </w:rPr>
        <w:t>Lines: Each CO’s progress across years.</w:t>
      </w:r>
    </w:p>
    <w:p>
      <w:pPr>
        <w:pStyle w:val="ListBullet2"/>
        <w:spacing w:after="80" w:line="276" w:lineRule="auto"/>
      </w:pPr>
      <w:r>
        <w:rPr>
          <w:rFonts w:ascii="Cambria" w:hAnsi="Cambria"/>
          <w:b w:val="0"/>
          <w:i w:val="0"/>
          <w:sz w:val="22"/>
        </w:rPr>
        <w:t>Shows long-term impact of repeated interventions.</w:t>
      </w:r>
    </w:p>
    <w:p>
      <w:pPr>
        <w:pStyle w:val="ListNumber"/>
        <w:spacing w:after="80" w:line="276" w:lineRule="auto"/>
      </w:pPr>
      <w:r>
        <w:rPr>
          <w:rFonts w:ascii="Cambria" w:hAnsi="Cambria"/>
          <w:b/>
          <w:i w:val="0"/>
          <w:sz w:val="22"/>
        </w:rPr>
        <w:t>Stacked Column / Clustered Chart (Direct vs. Indirect)</w:t>
      </w:r>
    </w:p>
    <w:p>
      <w:pPr>
        <w:pStyle w:val="ListBullet2"/>
        <w:spacing w:after="80" w:line="276" w:lineRule="auto"/>
      </w:pPr>
      <w:r>
        <w:rPr>
          <w:rFonts w:ascii="Cambria" w:hAnsi="Cambria"/>
          <w:b w:val="0"/>
          <w:i w:val="0"/>
          <w:sz w:val="22"/>
        </w:rPr>
        <w:t>Compare direct attainment and indirect attainment before vs. after actions.</w:t>
      </w:r>
    </w:p>
    <w:p>
      <w:pPr>
        <w:pStyle w:val="ListBullet2"/>
        <w:spacing w:after="80" w:line="276" w:lineRule="auto"/>
      </w:pPr>
      <w:r>
        <w:rPr>
          <w:rFonts w:ascii="Cambria" w:hAnsi="Cambria"/>
          <w:b w:val="0"/>
          <w:i w:val="0"/>
          <w:sz w:val="22"/>
        </w:rPr>
        <w:t>Example: Direct attainment improved from 55% → 68%, indirect from 60% → 70%.</w:t>
      </w:r>
    </w:p>
    <w:p>
      <w:pPr>
        <w:pStyle w:val="Heading3"/>
      </w:pPr>
      <w:r>
        <w:rPr>
          <w:rFonts w:ascii="Cambria" w:hAnsi="Cambria"/>
          <w:b/>
          <w:color w:val="1F3A5F"/>
          <w:sz w:val="26"/>
        </w:rPr>
        <w:t>3. Sample Data for Charting</w:t>
      </w:r>
    </w:p>
    <w:tbl>
      <w:tblPr>
        <w:tblStyle w:val="TableGrid"/>
        <w:tblW w:type="auto" w:w="0"/>
        <w:jc w:val="center"/>
        <w:tblLayout w:type="fixed"/>
        <w:tblLook w:firstColumn="1" w:firstRow="1" w:lastColumn="0" w:lastRow="0" w:noHBand="0" w:noVBand="1" w:val="04A0"/>
        <w:tblLayout w:type="fixed"/>
      </w:tblPr>
      <w:tblGrid>
        <w:gridCol w:w="2551"/>
        <w:gridCol w:w="1020"/>
        <w:gridCol w:w="1134"/>
        <w:gridCol w:w="1701"/>
        <w:gridCol w:w="1644"/>
        <w:gridCol w:w="1304"/>
      </w:tblGrid>
      <w:tr>
        <w:tc>
          <w:tcPr>
            <w:tcW w:type="dxa" w:w="2551"/>
            <w:shd w:val="clear" w:color="auto" w:fill="1F3A5F"/>
          </w:tcPr>
          <w:p>
            <w:pPr>
              <w:spacing w:after="40" w:line="240" w:lineRule="auto"/>
              <w:jc w:val="center"/>
            </w:pPr>
            <w:r/>
            <w:r>
              <w:rPr>
                <w:rFonts w:ascii="Cambria" w:hAnsi="Cambria"/>
                <w:b/>
                <w:color w:val="FFFFFF"/>
                <w:sz w:val="19"/>
              </w:rPr>
              <w:t>Course Code &amp; Title</w:t>
            </w:r>
          </w:p>
        </w:tc>
        <w:tc>
          <w:tcPr>
            <w:tcW w:type="dxa" w:w="1020"/>
            <w:shd w:val="clear" w:color="auto" w:fill="1F3A5F"/>
          </w:tcPr>
          <w:p>
            <w:pPr>
              <w:spacing w:after="40" w:line="240" w:lineRule="auto"/>
              <w:jc w:val="center"/>
            </w:pPr>
            <w:r/>
            <w:r>
              <w:rPr>
                <w:rFonts w:ascii="Cambria" w:hAnsi="Cambria"/>
                <w:b/>
                <w:color w:val="FFFFFF"/>
                <w:sz w:val="19"/>
              </w:rPr>
              <w:t>CO No.</w:t>
            </w:r>
          </w:p>
        </w:tc>
        <w:tc>
          <w:tcPr>
            <w:tcW w:type="dxa" w:w="1134"/>
            <w:shd w:val="clear" w:color="auto" w:fill="1F3A5F"/>
          </w:tcPr>
          <w:p>
            <w:pPr>
              <w:spacing w:after="40" w:line="240" w:lineRule="auto"/>
              <w:jc w:val="center"/>
            </w:pPr>
            <w:r/>
            <w:r>
              <w:rPr>
                <w:rFonts w:ascii="Cambria" w:hAnsi="Cambria"/>
                <w:b/>
                <w:color w:val="FFFFFF"/>
                <w:sz w:val="19"/>
              </w:rPr>
              <w:t>Target (%)</w:t>
            </w:r>
          </w:p>
        </w:tc>
        <w:tc>
          <w:tcPr>
            <w:tcW w:type="dxa" w:w="1701"/>
            <w:shd w:val="clear" w:color="auto" w:fill="1F3A5F"/>
          </w:tcPr>
          <w:p>
            <w:pPr>
              <w:spacing w:after="40" w:line="240" w:lineRule="auto"/>
              <w:jc w:val="center"/>
            </w:pPr>
            <w:r/>
            <w:r>
              <w:rPr>
                <w:rFonts w:ascii="Cambria" w:hAnsi="Cambria"/>
                <w:b/>
                <w:color w:val="FFFFFF"/>
                <w:sz w:val="19"/>
              </w:rPr>
              <w:t>Attainment Before Action (CAYm1)</w:t>
            </w:r>
          </w:p>
        </w:tc>
        <w:tc>
          <w:tcPr>
            <w:tcW w:type="dxa" w:w="1644"/>
            <w:shd w:val="clear" w:color="auto" w:fill="1F3A5F"/>
          </w:tcPr>
          <w:p>
            <w:pPr>
              <w:spacing w:after="40" w:line="240" w:lineRule="auto"/>
              <w:jc w:val="center"/>
            </w:pPr>
            <w:r/>
            <w:r>
              <w:rPr>
                <w:rFonts w:ascii="Cambria" w:hAnsi="Cambria"/>
                <w:b/>
                <w:color w:val="FFFFFF"/>
                <w:sz w:val="19"/>
              </w:rPr>
              <w:t>Attainment After Action (CAY)</w:t>
            </w:r>
          </w:p>
        </w:tc>
        <w:tc>
          <w:tcPr>
            <w:tcW w:type="dxa" w:w="1304"/>
            <w:shd w:val="clear" w:color="auto" w:fill="1F3A5F"/>
          </w:tcPr>
          <w:p>
            <w:pPr>
              <w:spacing w:after="40" w:line="240" w:lineRule="auto"/>
              <w:jc w:val="center"/>
            </w:pPr>
            <w:r/>
            <w:r>
              <w:rPr>
                <w:rFonts w:ascii="Cambria" w:hAnsi="Cambria"/>
                <w:b/>
                <w:color w:val="FFFFFF"/>
                <w:sz w:val="19"/>
              </w:rPr>
              <w:t>Gap Closed (%)</w:t>
            </w:r>
          </w:p>
        </w:tc>
      </w:tr>
      <w:tr>
        <w:tc>
          <w:tcPr>
            <w:tcW w:type="dxa" w:w="2551"/>
          </w:tcPr>
          <w:p>
            <w:pPr>
              <w:spacing w:after="40" w:line="240" w:lineRule="auto"/>
              <w:jc w:val="left"/>
            </w:pPr>
            <w:r/>
            <w:r>
              <w:rPr>
                <w:rFonts w:ascii="Cambria" w:hAnsi="Cambria"/>
                <w:b w:val="0"/>
                <w:sz w:val="18"/>
              </w:rPr>
              <w:t>CS301 – Data Structures</w:t>
            </w:r>
          </w:p>
        </w:tc>
        <w:tc>
          <w:tcPr>
            <w:tcW w:type="dxa" w:w="1020"/>
          </w:tcPr>
          <w:p>
            <w:pPr>
              <w:spacing w:after="40" w:line="240" w:lineRule="auto"/>
              <w:jc w:val="left"/>
            </w:pPr>
            <w:r/>
            <w:r>
              <w:rPr>
                <w:rFonts w:ascii="Cambria" w:hAnsi="Cambria"/>
                <w:b w:val="0"/>
                <w:sz w:val="18"/>
              </w:rPr>
              <w:t>CO1</w:t>
            </w:r>
          </w:p>
        </w:tc>
        <w:tc>
          <w:tcPr>
            <w:tcW w:type="dxa" w:w="1134"/>
          </w:tcPr>
          <w:p>
            <w:pPr>
              <w:spacing w:after="40" w:line="240" w:lineRule="auto"/>
              <w:jc w:val="left"/>
            </w:pPr>
            <w:r/>
            <w:r>
              <w:rPr>
                <w:rFonts w:ascii="Cambria" w:hAnsi="Cambria"/>
                <w:b w:val="0"/>
                <w:sz w:val="18"/>
              </w:rPr>
              <w:t>70</w:t>
            </w:r>
          </w:p>
        </w:tc>
        <w:tc>
          <w:tcPr>
            <w:tcW w:type="dxa" w:w="1701"/>
          </w:tcPr>
          <w:p>
            <w:pPr>
              <w:spacing w:after="40" w:line="240" w:lineRule="auto"/>
              <w:jc w:val="left"/>
            </w:pPr>
            <w:r/>
            <w:r>
              <w:rPr>
                <w:rFonts w:ascii="Cambria" w:hAnsi="Cambria"/>
                <w:b w:val="0"/>
                <w:sz w:val="18"/>
              </w:rPr>
              <w:t>55</w:t>
            </w:r>
          </w:p>
        </w:tc>
        <w:tc>
          <w:tcPr>
            <w:tcW w:type="dxa" w:w="1644"/>
          </w:tcPr>
          <w:p>
            <w:pPr>
              <w:spacing w:after="40" w:line="240" w:lineRule="auto"/>
              <w:jc w:val="left"/>
            </w:pPr>
            <w:r/>
            <w:r>
              <w:rPr>
                <w:rFonts w:ascii="Cambria" w:hAnsi="Cambria"/>
                <w:b w:val="0"/>
                <w:sz w:val="18"/>
              </w:rPr>
              <w:t>68</w:t>
            </w:r>
          </w:p>
        </w:tc>
        <w:tc>
          <w:tcPr>
            <w:tcW w:type="dxa" w:w="1304"/>
          </w:tcPr>
          <w:p>
            <w:pPr>
              <w:spacing w:after="40" w:line="240" w:lineRule="auto"/>
              <w:jc w:val="left"/>
            </w:pPr>
            <w:r/>
            <w:r>
              <w:rPr>
                <w:rFonts w:ascii="Cambria" w:hAnsi="Cambria"/>
                <w:b w:val="0"/>
                <w:sz w:val="18"/>
              </w:rPr>
              <w:t>+13</w:t>
            </w:r>
          </w:p>
        </w:tc>
      </w:tr>
      <w:tr>
        <w:tc>
          <w:tcPr>
            <w:tcW w:type="dxa" w:w="2551"/>
            <w:shd w:val="clear" w:color="auto" w:fill="F2F2F2"/>
          </w:tcPr>
          <w:p>
            <w:pPr>
              <w:spacing w:after="40" w:line="240" w:lineRule="auto"/>
              <w:jc w:val="left"/>
            </w:pPr>
            <w:r/>
            <w:r>
              <w:rPr>
                <w:rFonts w:ascii="Cambria" w:hAnsi="Cambria"/>
                <w:b w:val="0"/>
                <w:sz w:val="18"/>
              </w:rPr>
              <w:t>CS301 – Data Structures</w:t>
            </w:r>
          </w:p>
        </w:tc>
        <w:tc>
          <w:tcPr>
            <w:tcW w:type="dxa" w:w="1020"/>
            <w:shd w:val="clear" w:color="auto" w:fill="F2F2F2"/>
          </w:tcPr>
          <w:p>
            <w:pPr>
              <w:spacing w:after="40" w:line="240" w:lineRule="auto"/>
              <w:jc w:val="left"/>
            </w:pPr>
            <w:r/>
            <w:r>
              <w:rPr>
                <w:rFonts w:ascii="Cambria" w:hAnsi="Cambria"/>
                <w:b w:val="0"/>
                <w:sz w:val="18"/>
              </w:rPr>
              <w:t>CO2</w:t>
            </w:r>
          </w:p>
        </w:tc>
        <w:tc>
          <w:tcPr>
            <w:tcW w:type="dxa" w:w="1134"/>
            <w:shd w:val="clear" w:color="auto" w:fill="F2F2F2"/>
          </w:tcPr>
          <w:p>
            <w:pPr>
              <w:spacing w:after="40" w:line="240" w:lineRule="auto"/>
              <w:jc w:val="left"/>
            </w:pPr>
            <w:r/>
            <w:r>
              <w:rPr>
                <w:rFonts w:ascii="Cambria" w:hAnsi="Cambria"/>
                <w:b w:val="0"/>
                <w:sz w:val="18"/>
              </w:rPr>
              <w:t>70</w:t>
            </w:r>
          </w:p>
        </w:tc>
        <w:tc>
          <w:tcPr>
            <w:tcW w:type="dxa" w:w="1701"/>
            <w:shd w:val="clear" w:color="auto" w:fill="F2F2F2"/>
          </w:tcPr>
          <w:p>
            <w:pPr>
              <w:spacing w:after="40" w:line="240" w:lineRule="auto"/>
              <w:jc w:val="left"/>
            </w:pPr>
            <w:r/>
            <w:r>
              <w:rPr>
                <w:rFonts w:ascii="Cambria" w:hAnsi="Cambria"/>
                <w:b w:val="0"/>
                <w:sz w:val="18"/>
              </w:rPr>
              <w:t>52</w:t>
            </w:r>
          </w:p>
        </w:tc>
        <w:tc>
          <w:tcPr>
            <w:tcW w:type="dxa" w:w="1644"/>
            <w:shd w:val="clear" w:color="auto" w:fill="F2F2F2"/>
          </w:tcPr>
          <w:p>
            <w:pPr>
              <w:spacing w:after="40" w:line="240" w:lineRule="auto"/>
              <w:jc w:val="left"/>
            </w:pPr>
            <w:r/>
            <w:r>
              <w:rPr>
                <w:rFonts w:ascii="Cambria" w:hAnsi="Cambria"/>
                <w:b w:val="0"/>
                <w:sz w:val="18"/>
              </w:rPr>
              <w:t>69</w:t>
            </w:r>
          </w:p>
        </w:tc>
        <w:tc>
          <w:tcPr>
            <w:tcW w:type="dxa" w:w="1304"/>
            <w:shd w:val="clear" w:color="auto" w:fill="F2F2F2"/>
          </w:tcPr>
          <w:p>
            <w:pPr>
              <w:spacing w:after="40" w:line="240" w:lineRule="auto"/>
              <w:jc w:val="left"/>
            </w:pPr>
            <w:r/>
            <w:r>
              <w:rPr>
                <w:rFonts w:ascii="Cambria" w:hAnsi="Cambria"/>
                <w:b w:val="0"/>
                <w:sz w:val="18"/>
              </w:rPr>
              <w:t>+17</w:t>
            </w:r>
          </w:p>
        </w:tc>
      </w:tr>
      <w:tr>
        <w:tc>
          <w:tcPr>
            <w:tcW w:type="dxa" w:w="2551"/>
          </w:tcPr>
          <w:p>
            <w:pPr>
              <w:spacing w:after="40" w:line="240" w:lineRule="auto"/>
              <w:jc w:val="left"/>
            </w:pPr>
            <w:r/>
            <w:r>
              <w:rPr>
                <w:rFonts w:ascii="Cambria" w:hAnsi="Cambria"/>
                <w:b w:val="0"/>
                <w:sz w:val="18"/>
              </w:rPr>
              <w:t>EE205 – Circuit Theory</w:t>
            </w:r>
          </w:p>
        </w:tc>
        <w:tc>
          <w:tcPr>
            <w:tcW w:type="dxa" w:w="1020"/>
          </w:tcPr>
          <w:p>
            <w:pPr>
              <w:spacing w:after="40" w:line="240" w:lineRule="auto"/>
              <w:jc w:val="left"/>
            </w:pPr>
            <w:r/>
            <w:r>
              <w:rPr>
                <w:rFonts w:ascii="Cambria" w:hAnsi="Cambria"/>
                <w:b w:val="0"/>
                <w:sz w:val="18"/>
              </w:rPr>
              <w:t>CO3</w:t>
            </w:r>
          </w:p>
        </w:tc>
        <w:tc>
          <w:tcPr>
            <w:tcW w:type="dxa" w:w="1134"/>
          </w:tcPr>
          <w:p>
            <w:pPr>
              <w:spacing w:after="40" w:line="240" w:lineRule="auto"/>
              <w:jc w:val="left"/>
            </w:pPr>
            <w:r/>
            <w:r>
              <w:rPr>
                <w:rFonts w:ascii="Cambria" w:hAnsi="Cambria"/>
                <w:b w:val="0"/>
                <w:sz w:val="18"/>
              </w:rPr>
              <w:t>65</w:t>
            </w:r>
          </w:p>
        </w:tc>
        <w:tc>
          <w:tcPr>
            <w:tcW w:type="dxa" w:w="1701"/>
          </w:tcPr>
          <w:p>
            <w:pPr>
              <w:spacing w:after="40" w:line="240" w:lineRule="auto"/>
              <w:jc w:val="left"/>
            </w:pPr>
            <w:r/>
            <w:r>
              <w:rPr>
                <w:rFonts w:ascii="Cambria" w:hAnsi="Cambria"/>
                <w:b w:val="0"/>
                <w:sz w:val="18"/>
              </w:rPr>
              <w:t>50</w:t>
            </w:r>
          </w:p>
        </w:tc>
        <w:tc>
          <w:tcPr>
            <w:tcW w:type="dxa" w:w="1644"/>
          </w:tcPr>
          <w:p>
            <w:pPr>
              <w:spacing w:after="40" w:line="240" w:lineRule="auto"/>
              <w:jc w:val="left"/>
            </w:pPr>
            <w:r/>
            <w:r>
              <w:rPr>
                <w:rFonts w:ascii="Cambria" w:hAnsi="Cambria"/>
                <w:b w:val="0"/>
                <w:sz w:val="18"/>
              </w:rPr>
              <w:t>64</w:t>
            </w:r>
          </w:p>
        </w:tc>
        <w:tc>
          <w:tcPr>
            <w:tcW w:type="dxa" w:w="1304"/>
          </w:tcPr>
          <w:p>
            <w:pPr>
              <w:spacing w:after="40" w:line="240" w:lineRule="auto"/>
              <w:jc w:val="left"/>
            </w:pPr>
            <w:r/>
            <w:r>
              <w:rPr>
                <w:rFonts w:ascii="Cambria" w:hAnsi="Cambria"/>
                <w:b w:val="0"/>
                <w:sz w:val="18"/>
              </w:rPr>
              <w:t>+14</w:t>
            </w:r>
          </w:p>
        </w:tc>
      </w:tr>
      <w:tr>
        <w:tc>
          <w:tcPr>
            <w:tcW w:type="dxa" w:w="2551"/>
            <w:shd w:val="clear" w:color="auto" w:fill="F2F2F2"/>
          </w:tcPr>
          <w:p>
            <w:pPr>
              <w:spacing w:after="40" w:line="240" w:lineRule="auto"/>
              <w:jc w:val="left"/>
            </w:pPr>
            <w:r/>
            <w:r>
              <w:rPr>
                <w:rFonts w:ascii="Cambria" w:hAnsi="Cambria"/>
                <w:b w:val="0"/>
                <w:sz w:val="18"/>
              </w:rPr>
              <w:t>ME210 – Thermodynamics</w:t>
            </w:r>
          </w:p>
        </w:tc>
        <w:tc>
          <w:tcPr>
            <w:tcW w:type="dxa" w:w="1020"/>
            <w:shd w:val="clear" w:color="auto" w:fill="F2F2F2"/>
          </w:tcPr>
          <w:p>
            <w:pPr>
              <w:spacing w:after="40" w:line="240" w:lineRule="auto"/>
              <w:jc w:val="left"/>
            </w:pPr>
            <w:r/>
            <w:r>
              <w:rPr>
                <w:rFonts w:ascii="Cambria" w:hAnsi="Cambria"/>
                <w:b w:val="0"/>
                <w:sz w:val="18"/>
              </w:rPr>
              <w:t>CO4</w:t>
            </w:r>
          </w:p>
        </w:tc>
        <w:tc>
          <w:tcPr>
            <w:tcW w:type="dxa" w:w="1134"/>
            <w:shd w:val="clear" w:color="auto" w:fill="F2F2F2"/>
          </w:tcPr>
          <w:p>
            <w:pPr>
              <w:spacing w:after="40" w:line="240" w:lineRule="auto"/>
              <w:jc w:val="left"/>
            </w:pPr>
            <w:r/>
            <w:r>
              <w:rPr>
                <w:rFonts w:ascii="Cambria" w:hAnsi="Cambria"/>
                <w:b w:val="0"/>
                <w:sz w:val="18"/>
              </w:rPr>
              <w:t>75</w:t>
            </w:r>
          </w:p>
        </w:tc>
        <w:tc>
          <w:tcPr>
            <w:tcW w:type="dxa" w:w="1701"/>
            <w:shd w:val="clear" w:color="auto" w:fill="F2F2F2"/>
          </w:tcPr>
          <w:p>
            <w:pPr>
              <w:spacing w:after="40" w:line="240" w:lineRule="auto"/>
              <w:jc w:val="left"/>
            </w:pPr>
            <w:r/>
            <w:r>
              <w:rPr>
                <w:rFonts w:ascii="Cambria" w:hAnsi="Cambria"/>
                <w:b w:val="0"/>
                <w:sz w:val="18"/>
              </w:rPr>
              <w:t>60</w:t>
            </w:r>
          </w:p>
        </w:tc>
        <w:tc>
          <w:tcPr>
            <w:tcW w:type="dxa" w:w="1644"/>
            <w:shd w:val="clear" w:color="auto" w:fill="F2F2F2"/>
          </w:tcPr>
          <w:p>
            <w:pPr>
              <w:spacing w:after="40" w:line="240" w:lineRule="auto"/>
              <w:jc w:val="left"/>
            </w:pPr>
            <w:r/>
            <w:r>
              <w:rPr>
                <w:rFonts w:ascii="Cambria" w:hAnsi="Cambria"/>
                <w:b w:val="0"/>
                <w:sz w:val="18"/>
              </w:rPr>
              <w:t>72</w:t>
            </w:r>
          </w:p>
        </w:tc>
        <w:tc>
          <w:tcPr>
            <w:tcW w:type="dxa" w:w="1304"/>
            <w:shd w:val="clear" w:color="auto" w:fill="F2F2F2"/>
          </w:tcPr>
          <w:p>
            <w:pPr>
              <w:spacing w:after="40" w:line="240" w:lineRule="auto"/>
              <w:jc w:val="left"/>
            </w:pPr>
            <w:r/>
            <w:r>
              <w:rPr>
                <w:rFonts w:ascii="Cambria" w:hAnsi="Cambria"/>
                <w:b w:val="0"/>
                <w:sz w:val="18"/>
              </w:rPr>
              <w:t>+12</w:t>
            </w:r>
          </w:p>
        </w:tc>
      </w:tr>
    </w:tbl>
    <w:p>
      <w:pPr>
        <w:spacing w:after="40"/>
      </w:pPr>
    </w:p>
    <w:p>
      <w:pPr>
        <w:pStyle w:val="Heading3"/>
      </w:pPr>
      <w:r>
        <w:rPr>
          <w:rFonts w:ascii="Cambria" w:hAnsi="Cambria"/>
          <w:b/>
          <w:color w:val="1F3A5F"/>
          <w:sz w:val="26"/>
        </w:rPr>
        <w:t>4. Chart Annotations (for NBA Reports)</w:t>
      </w:r>
    </w:p>
    <w:p>
      <w:pPr>
        <w:pStyle w:val="ListBullet"/>
        <w:spacing w:after="80" w:line="276" w:lineRule="auto"/>
      </w:pPr>
      <w:r>
        <w:rPr>
          <w:rFonts w:ascii="Cambria" w:hAnsi="Cambria"/>
          <w:b w:val="0"/>
          <w:i w:val="0"/>
          <w:sz w:val="22"/>
        </w:rPr>
        <w:t>Highlight gap reduction in each CO.</w:t>
      </w:r>
    </w:p>
    <w:p>
      <w:pPr>
        <w:pStyle w:val="ListBullet"/>
        <w:spacing w:after="80" w:line="276" w:lineRule="auto"/>
      </w:pPr>
      <w:r>
        <w:rPr>
          <w:rFonts w:ascii="Cambria" w:hAnsi="Cambria"/>
          <w:b w:val="0"/>
          <w:i w:val="0"/>
          <w:sz w:val="22"/>
        </w:rPr>
        <w:t xml:space="preserve">Use arrows or callouts: </w:t>
      </w:r>
      <w:r>
        <w:rPr>
          <w:rFonts w:ascii="Cambria" w:hAnsi="Cambria"/>
          <w:b w:val="0"/>
          <w:i/>
          <w:sz w:val="22"/>
        </w:rPr>
        <w:t>“CO2 improved by 17% after weekly coding challenges.”</w:t>
      </w:r>
    </w:p>
    <w:p>
      <w:pPr>
        <w:pStyle w:val="ListBullet"/>
        <w:spacing w:after="80" w:line="276" w:lineRule="auto"/>
      </w:pPr>
      <w:r>
        <w:rPr>
          <w:rFonts w:ascii="Cambria" w:hAnsi="Cambria"/>
          <w:b w:val="0"/>
          <w:i w:val="0"/>
          <w:sz w:val="22"/>
        </w:rPr>
        <w:t xml:space="preserve">Mention actions in a footnote under chart (e.g., </w:t>
      </w:r>
      <w:r>
        <w:rPr>
          <w:rFonts w:ascii="Cambria" w:hAnsi="Cambria"/>
          <w:b w:val="0"/>
          <w:i/>
          <w:sz w:val="22"/>
        </w:rPr>
        <w:t>“Remedial classes + guest lecture conducted in AY 2024-25”</w:t>
      </w:r>
      <w:r>
        <w:rPr>
          <w:rFonts w:ascii="Cambria" w:hAnsi="Cambria"/>
          <w:b w:val="0"/>
          <w:i w:val="0"/>
          <w:sz w:val="22"/>
        </w:rPr>
        <w:t>).</w:t>
      </w:r>
    </w:p>
    <w:p>
      <w:pPr>
        <w:pStyle w:val="Heading3"/>
      </w:pPr>
      <w:r>
        <w:rPr>
          <w:rFonts w:ascii="Cambria" w:hAnsi="Cambria"/>
          <w:b/>
          <w:color w:val="1F3A5F"/>
          <w:sz w:val="26"/>
        </w:rPr>
        <w:t>5. Evidence &amp; Documentation</w:t>
      </w:r>
    </w:p>
    <w:p>
      <w:pPr>
        <w:pStyle w:val="ListBullet"/>
        <w:spacing w:after="80" w:line="276" w:lineRule="auto"/>
      </w:pPr>
      <w:r>
        <w:rPr>
          <w:rFonts w:ascii="Cambria" w:hAnsi="Cambria"/>
          <w:b w:val="0"/>
          <w:i w:val="0"/>
          <w:sz w:val="22"/>
        </w:rPr>
        <w:t>Attach before vs. after graphs in annexures of SAR (Self-Assessment Report).</w:t>
      </w:r>
    </w:p>
    <w:p>
      <w:pPr>
        <w:pStyle w:val="ListBullet"/>
        <w:spacing w:after="80" w:line="276" w:lineRule="auto"/>
      </w:pPr>
      <w:r>
        <w:rPr>
          <w:rFonts w:ascii="Cambria" w:hAnsi="Cambria"/>
          <w:b w:val="0"/>
          <w:i w:val="0"/>
          <w:sz w:val="22"/>
        </w:rPr>
        <w:t>Maintain Excel sheets with formulas auto-calculating “Gap Closed %”.</w:t>
      </w:r>
    </w:p>
    <w:p>
      <w:pPr>
        <w:pStyle w:val="ListBullet"/>
        <w:spacing w:after="80" w:line="276" w:lineRule="auto"/>
      </w:pPr>
      <w:r>
        <w:rPr>
          <w:rFonts w:ascii="Cambria" w:hAnsi="Cambria"/>
          <w:b w:val="0"/>
          <w:i w:val="0"/>
          <w:sz w:val="22"/>
        </w:rPr>
        <w:t>Include in faculty/DAB ATRs as supporting evidence.</w:t>
      </w:r>
    </w:p>
    <w:p>
      <w:pPr>
        <w:pStyle w:val="Heading3"/>
      </w:pPr>
      <w:r>
        <w:rPr>
          <w:rFonts w:ascii="Cambria" w:hAnsi="Cambria"/>
          <w:b/>
          <w:color w:val="1F3A5F"/>
          <w:sz w:val="26"/>
        </w:rPr>
        <w:t>6. NBA Presentation Tip</w:t>
      </w:r>
    </w:p>
    <w:p>
      <w:pPr>
        <w:pStyle w:val="ListBullet"/>
        <w:spacing w:after="80" w:line="276" w:lineRule="auto"/>
      </w:pPr>
      <w:r>
        <w:rPr>
          <w:rFonts w:ascii="Cambria" w:hAnsi="Cambria"/>
          <w:b w:val="0"/>
          <w:i w:val="0"/>
          <w:sz w:val="22"/>
        </w:rPr>
        <w:t>In SAR/peer team visit: Show side-by-side comparison charts for at least 2–3 courses.</w:t>
      </w:r>
    </w:p>
    <w:p>
      <w:pPr>
        <w:pStyle w:val="ListBullet"/>
        <w:spacing w:after="80" w:line="276" w:lineRule="auto"/>
      </w:pPr>
      <w:r>
        <w:rPr>
          <w:rFonts w:ascii="Cambria" w:hAnsi="Cambria"/>
          <w:b w:val="0"/>
          <w:i w:val="0"/>
          <w:sz w:val="22"/>
        </w:rPr>
        <w:t>Use consistent color coding (e.g., Blue = Before, Green = After).</w:t>
      </w:r>
    </w:p>
    <w:p>
      <w:pPr>
        <w:pStyle w:val="ListBullet"/>
        <w:spacing w:after="80" w:line="276" w:lineRule="auto"/>
      </w:pPr>
      <w:r>
        <w:rPr>
          <w:rFonts w:ascii="Cambria" w:hAnsi="Cambria"/>
          <w:b w:val="0"/>
          <w:i w:val="0"/>
          <w:sz w:val="22"/>
        </w:rPr>
        <w:t>Keep charts simple, data-driven, and linked to ATR evidence.</w:t>
      </w:r>
    </w:p>
    <w:p>
      <w:r>
        <w:br w:type="page"/>
      </w:r>
    </w:p>
    <w:p>
      <w:pPr>
        <w:pStyle w:val="Heading1"/>
      </w:pPr>
      <w:r>
        <w:rPr>
          <w:rFonts w:ascii="Cambria" w:hAnsi="Cambria"/>
          <w:b/>
          <w:color w:val="1F3A5F"/>
          <w:sz w:val="36"/>
        </w:rPr>
        <w:t>7. Records of Remedial Classes, Workshops, Bridge Courses, and FDPs</w:t>
      </w:r>
    </w:p>
    <w:p>
      <w:pPr>
        <w:pStyle w:val="Heading3"/>
      </w:pPr>
      <w:r>
        <w:rPr>
          <w:rFonts w:ascii="Cambria" w:hAnsi="Cambria"/>
          <w:b/>
          <w:color w:val="1F3A5F"/>
          <w:sz w:val="26"/>
        </w:rPr>
        <w:t>1. Purpose</w:t>
      </w:r>
    </w:p>
    <w:p>
      <w:pPr>
        <w:pStyle w:val="ListBullet"/>
        <w:spacing w:after="80" w:line="276" w:lineRule="auto"/>
      </w:pPr>
      <w:r>
        <w:rPr>
          <w:rFonts w:ascii="Cambria" w:hAnsi="Cambria"/>
          <w:b w:val="0"/>
          <w:i w:val="0"/>
          <w:sz w:val="22"/>
        </w:rPr>
        <w:t>To demonstrate actions taken after CO/PO/PSO attainment analysis.</w:t>
      </w:r>
    </w:p>
    <w:p>
      <w:pPr>
        <w:pStyle w:val="ListBullet"/>
        <w:spacing w:after="80" w:line="276" w:lineRule="auto"/>
      </w:pPr>
      <w:r>
        <w:rPr>
          <w:rFonts w:ascii="Cambria" w:hAnsi="Cambria"/>
          <w:b w:val="0"/>
          <w:i w:val="0"/>
          <w:sz w:val="22"/>
        </w:rPr>
        <w:t>Serves as evidence of corrective measures for continuous improvement.</w:t>
      </w:r>
    </w:p>
    <w:p>
      <w:pPr>
        <w:pStyle w:val="ListBullet"/>
        <w:spacing w:after="80" w:line="276" w:lineRule="auto"/>
      </w:pPr>
      <w:r>
        <w:rPr>
          <w:rFonts w:ascii="Cambria" w:hAnsi="Cambria"/>
          <w:b w:val="0"/>
          <w:i w:val="0"/>
          <w:sz w:val="22"/>
        </w:rPr>
        <w:t>Links directly to Criterion 9 (Student Support &amp; Governance) and closing the OBE loop.</w:t>
      </w:r>
    </w:p>
    <w:p>
      <w:pPr>
        <w:pStyle w:val="Heading3"/>
      </w:pPr>
      <w:r>
        <w:rPr>
          <w:rFonts w:ascii="Cambria" w:hAnsi="Cambria"/>
          <w:b/>
          <w:color w:val="1F3A5F"/>
          <w:sz w:val="26"/>
        </w:rPr>
        <w:t>2. Types of Records to Maintain</w:t>
      </w:r>
    </w:p>
    <w:p>
      <w:pPr>
        <w:pStyle w:val="ListNumber"/>
        <w:spacing w:after="80" w:line="276" w:lineRule="auto"/>
      </w:pPr>
      <w:r>
        <w:rPr>
          <w:rFonts w:ascii="Cambria" w:hAnsi="Cambria"/>
          <w:b/>
          <w:i w:val="0"/>
          <w:sz w:val="22"/>
        </w:rPr>
        <w:t>Remedial Classes</w:t>
      </w:r>
    </w:p>
    <w:p>
      <w:pPr>
        <w:pStyle w:val="ListBullet2"/>
        <w:spacing w:after="80" w:line="276" w:lineRule="auto"/>
      </w:pPr>
      <w:r>
        <w:rPr>
          <w:rFonts w:ascii="Cambria" w:hAnsi="Cambria"/>
          <w:b w:val="0"/>
          <w:i w:val="0"/>
          <w:sz w:val="22"/>
        </w:rPr>
        <w:t>Attendance sheets of students.</w:t>
      </w:r>
    </w:p>
    <w:p>
      <w:pPr>
        <w:pStyle w:val="ListBullet2"/>
        <w:spacing w:after="80" w:line="276" w:lineRule="auto"/>
      </w:pPr>
      <w:r>
        <w:rPr>
          <w:rFonts w:ascii="Cambria" w:hAnsi="Cambria"/>
          <w:b w:val="0"/>
          <w:i w:val="0"/>
          <w:sz w:val="22"/>
        </w:rPr>
        <w:t>Timetables and schedules (topics covered).</w:t>
      </w:r>
    </w:p>
    <w:p>
      <w:pPr>
        <w:pStyle w:val="ListBullet2"/>
        <w:spacing w:after="80" w:line="276" w:lineRule="auto"/>
      </w:pPr>
      <w:r>
        <w:rPr>
          <w:rFonts w:ascii="Cambria" w:hAnsi="Cambria"/>
          <w:b w:val="0"/>
          <w:i w:val="0"/>
          <w:sz w:val="22"/>
        </w:rPr>
        <w:t>List of weak students identified (based on CO attainment gaps).</w:t>
      </w:r>
    </w:p>
    <w:p>
      <w:pPr>
        <w:pStyle w:val="ListBullet2"/>
        <w:spacing w:after="80" w:line="276" w:lineRule="auto"/>
      </w:pPr>
      <w:r>
        <w:rPr>
          <w:rFonts w:ascii="Cambria" w:hAnsi="Cambria"/>
          <w:b w:val="0"/>
          <w:i w:val="0"/>
          <w:sz w:val="22"/>
        </w:rPr>
        <w:t>Feedback from students about effectiveness.</w:t>
      </w:r>
    </w:p>
    <w:p>
      <w:pPr>
        <w:pStyle w:val="ListNumber"/>
        <w:spacing w:after="80" w:line="276" w:lineRule="auto"/>
      </w:pPr>
      <w:r>
        <w:rPr>
          <w:rFonts w:ascii="Cambria" w:hAnsi="Cambria"/>
          <w:b/>
          <w:i w:val="0"/>
          <w:sz w:val="22"/>
        </w:rPr>
        <w:t>Workshops (Skill/Technical/Soft Skills)</w:t>
      </w:r>
    </w:p>
    <w:p>
      <w:pPr>
        <w:pStyle w:val="ListBullet2"/>
        <w:spacing w:after="80" w:line="276" w:lineRule="auto"/>
      </w:pPr>
      <w:r>
        <w:rPr>
          <w:rFonts w:ascii="Cambria" w:hAnsi="Cambria"/>
          <w:b w:val="0"/>
          <w:i w:val="0"/>
          <w:sz w:val="22"/>
        </w:rPr>
        <w:t>Circulars/invitations.</w:t>
      </w:r>
    </w:p>
    <w:p>
      <w:pPr>
        <w:pStyle w:val="ListBullet2"/>
        <w:spacing w:after="80" w:line="276" w:lineRule="auto"/>
      </w:pPr>
      <w:r>
        <w:rPr>
          <w:rFonts w:ascii="Cambria" w:hAnsi="Cambria"/>
          <w:b w:val="0"/>
          <w:i w:val="0"/>
          <w:sz w:val="22"/>
        </w:rPr>
        <w:t>Resource person details (internal/external).</w:t>
      </w:r>
    </w:p>
    <w:p>
      <w:pPr>
        <w:pStyle w:val="ListBullet2"/>
        <w:spacing w:after="80" w:line="276" w:lineRule="auto"/>
      </w:pPr>
      <w:r>
        <w:rPr>
          <w:rFonts w:ascii="Cambria" w:hAnsi="Cambria"/>
          <w:b w:val="0"/>
          <w:i w:val="0"/>
          <w:sz w:val="22"/>
        </w:rPr>
        <w:t>Photos/screenshots of sessions.</w:t>
      </w:r>
    </w:p>
    <w:p>
      <w:pPr>
        <w:pStyle w:val="ListBullet2"/>
        <w:spacing w:after="80" w:line="276" w:lineRule="auto"/>
      </w:pPr>
      <w:r>
        <w:rPr>
          <w:rFonts w:ascii="Cambria" w:hAnsi="Cambria"/>
          <w:b w:val="0"/>
          <w:i w:val="0"/>
          <w:sz w:val="22"/>
        </w:rPr>
        <w:t>Certificates issued (if any).</w:t>
      </w:r>
    </w:p>
    <w:p>
      <w:pPr>
        <w:pStyle w:val="ListBullet2"/>
        <w:spacing w:after="80" w:line="276" w:lineRule="auto"/>
      </w:pPr>
      <w:r>
        <w:rPr>
          <w:rFonts w:ascii="Cambria" w:hAnsi="Cambria"/>
          <w:b w:val="0"/>
          <w:i w:val="0"/>
          <w:sz w:val="22"/>
        </w:rPr>
        <w:t>Report summarizing outcomes and participant feedback.</w:t>
      </w:r>
    </w:p>
    <w:p>
      <w:pPr>
        <w:pStyle w:val="ListNumber"/>
        <w:spacing w:after="80" w:line="276" w:lineRule="auto"/>
      </w:pPr>
      <w:r>
        <w:rPr>
          <w:rFonts w:ascii="Cambria" w:hAnsi="Cambria"/>
          <w:b/>
          <w:i w:val="0"/>
          <w:sz w:val="22"/>
        </w:rPr>
        <w:t>Bridge Courses</w:t>
      </w:r>
    </w:p>
    <w:p>
      <w:pPr>
        <w:pStyle w:val="ListBullet2"/>
        <w:spacing w:after="80" w:line="276" w:lineRule="auto"/>
      </w:pPr>
      <w:r>
        <w:rPr>
          <w:rFonts w:ascii="Cambria" w:hAnsi="Cambria"/>
          <w:b w:val="0"/>
          <w:i w:val="0"/>
          <w:sz w:val="22"/>
        </w:rPr>
        <w:t>Course syllabus and schedule.</w:t>
      </w:r>
    </w:p>
    <w:p>
      <w:pPr>
        <w:pStyle w:val="ListBullet2"/>
        <w:spacing w:after="80" w:line="276" w:lineRule="auto"/>
      </w:pPr>
      <w:r>
        <w:rPr>
          <w:rFonts w:ascii="Cambria" w:hAnsi="Cambria"/>
          <w:b w:val="0"/>
          <w:i w:val="0"/>
          <w:sz w:val="22"/>
        </w:rPr>
        <w:t>Enrolled student list.</w:t>
      </w:r>
    </w:p>
    <w:p>
      <w:pPr>
        <w:pStyle w:val="ListBullet2"/>
        <w:spacing w:after="80" w:line="276" w:lineRule="auto"/>
      </w:pPr>
      <w:r>
        <w:rPr>
          <w:rFonts w:ascii="Cambria" w:hAnsi="Cambria"/>
          <w:b w:val="0"/>
          <w:i w:val="0"/>
          <w:sz w:val="22"/>
        </w:rPr>
        <w:t>Attendance registers.</w:t>
      </w:r>
    </w:p>
    <w:p>
      <w:pPr>
        <w:pStyle w:val="ListBullet2"/>
        <w:spacing w:after="80" w:line="276" w:lineRule="auto"/>
      </w:pPr>
      <w:r>
        <w:rPr>
          <w:rFonts w:ascii="Cambria" w:hAnsi="Cambria"/>
          <w:b w:val="0"/>
          <w:i w:val="0"/>
          <w:sz w:val="22"/>
        </w:rPr>
        <w:t>Materials/notes provided.</w:t>
      </w:r>
    </w:p>
    <w:p>
      <w:pPr>
        <w:pStyle w:val="ListBullet2"/>
        <w:spacing w:after="80" w:line="276" w:lineRule="auto"/>
      </w:pPr>
      <w:r>
        <w:rPr>
          <w:rFonts w:ascii="Cambria" w:hAnsi="Cambria"/>
          <w:b w:val="0"/>
          <w:i w:val="0"/>
          <w:sz w:val="22"/>
        </w:rPr>
        <w:t>Assessment results (before vs. after bridge course).</w:t>
      </w:r>
    </w:p>
    <w:p>
      <w:pPr>
        <w:pStyle w:val="ListNumber"/>
        <w:spacing w:after="80" w:line="276" w:lineRule="auto"/>
      </w:pPr>
      <w:r>
        <w:rPr>
          <w:rFonts w:ascii="Cambria" w:hAnsi="Cambria"/>
          <w:b/>
          <w:i w:val="0"/>
          <w:sz w:val="22"/>
        </w:rPr>
        <w:t>Faculty Development Programs (FDPs)</w:t>
      </w:r>
    </w:p>
    <w:p>
      <w:pPr>
        <w:pStyle w:val="ListBullet2"/>
        <w:spacing w:after="80" w:line="276" w:lineRule="auto"/>
      </w:pPr>
      <w:r>
        <w:rPr>
          <w:rFonts w:ascii="Cambria" w:hAnsi="Cambria"/>
          <w:b w:val="0"/>
          <w:i w:val="0"/>
          <w:sz w:val="22"/>
        </w:rPr>
        <w:t>Circulars and agenda.</w:t>
      </w:r>
    </w:p>
    <w:p>
      <w:pPr>
        <w:pStyle w:val="ListBullet2"/>
        <w:spacing w:after="80" w:line="276" w:lineRule="auto"/>
      </w:pPr>
      <w:r>
        <w:rPr>
          <w:rFonts w:ascii="Cambria" w:hAnsi="Cambria"/>
          <w:b w:val="0"/>
          <w:i w:val="0"/>
          <w:sz w:val="22"/>
        </w:rPr>
        <w:t>Attendance of faculty participants.</w:t>
      </w:r>
    </w:p>
    <w:p>
      <w:pPr>
        <w:pStyle w:val="ListBullet2"/>
        <w:spacing w:after="80" w:line="276" w:lineRule="auto"/>
      </w:pPr>
      <w:r>
        <w:rPr>
          <w:rFonts w:ascii="Cambria" w:hAnsi="Cambria"/>
          <w:b w:val="0"/>
          <w:i w:val="0"/>
          <w:sz w:val="22"/>
        </w:rPr>
        <w:t>Certificates of participation.</w:t>
      </w:r>
    </w:p>
    <w:p>
      <w:pPr>
        <w:pStyle w:val="ListBullet2"/>
        <w:spacing w:after="80" w:line="276" w:lineRule="auto"/>
      </w:pPr>
      <w:r>
        <w:rPr>
          <w:rFonts w:ascii="Cambria" w:hAnsi="Cambria"/>
          <w:b w:val="0"/>
          <w:i w:val="0"/>
          <w:sz w:val="22"/>
        </w:rPr>
        <w:t>FDP content (topics, resource persons, institution).</w:t>
      </w:r>
    </w:p>
    <w:p>
      <w:pPr>
        <w:pStyle w:val="ListBullet2"/>
        <w:spacing w:after="80" w:line="276" w:lineRule="auto"/>
      </w:pPr>
      <w:r>
        <w:rPr>
          <w:rFonts w:ascii="Cambria" w:hAnsi="Cambria"/>
          <w:b w:val="0"/>
          <w:i w:val="0"/>
          <w:sz w:val="22"/>
        </w:rPr>
        <w:t>Summary report (impact on teaching quality).</w:t>
      </w:r>
    </w:p>
    <w:p>
      <w:pPr>
        <w:pStyle w:val="Heading3"/>
      </w:pPr>
      <w:r>
        <w:rPr>
          <w:rFonts w:ascii="Cambria" w:hAnsi="Cambria"/>
          <w:b/>
          <w:color w:val="1F3A5F"/>
          <w:sz w:val="26"/>
        </w:rPr>
        <w:t>3. Suggested Excel Record Template</w:t>
      </w:r>
    </w:p>
    <w:tbl>
      <w:tblPr>
        <w:tblStyle w:val="TableGrid"/>
        <w:tblW w:type="auto" w:w="0"/>
        <w:jc w:val="center"/>
        <w:tblLayout w:type="fixed"/>
        <w:tblLook w:firstColumn="1" w:firstRow="1" w:lastColumn="0" w:lastRow="0" w:noHBand="0" w:noVBand="1" w:val="04A0"/>
        <w:tblLayout w:type="fixed"/>
      </w:tblPr>
      <w:tblGrid>
        <w:gridCol w:w="1020"/>
        <w:gridCol w:w="1134"/>
        <w:gridCol w:w="1474"/>
        <w:gridCol w:w="907"/>
        <w:gridCol w:w="1134"/>
        <w:gridCol w:w="794"/>
        <w:gridCol w:w="907"/>
        <w:gridCol w:w="1191"/>
        <w:gridCol w:w="1191"/>
      </w:tblGrid>
      <w:tr>
        <w:tc>
          <w:tcPr>
            <w:tcW w:type="dxa" w:w="1020"/>
            <w:shd w:val="clear" w:color="auto" w:fill="1F3A5F"/>
          </w:tcPr>
          <w:p>
            <w:pPr>
              <w:spacing w:after="40" w:line="240" w:lineRule="auto"/>
              <w:jc w:val="center"/>
            </w:pPr>
            <w:r/>
            <w:r>
              <w:rPr>
                <w:rFonts w:ascii="Cambria" w:hAnsi="Cambria"/>
                <w:b/>
                <w:color w:val="FFFFFF"/>
                <w:sz w:val="18"/>
              </w:rPr>
              <w:t>Activity</w:t>
              <w:br/>
              <w:t>Type</w:t>
            </w:r>
          </w:p>
        </w:tc>
        <w:tc>
          <w:tcPr>
            <w:tcW w:type="dxa" w:w="1134"/>
            <w:shd w:val="clear" w:color="auto" w:fill="1F3A5F"/>
          </w:tcPr>
          <w:p>
            <w:pPr>
              <w:spacing w:after="40" w:line="240" w:lineRule="auto"/>
              <w:jc w:val="center"/>
            </w:pPr>
            <w:r/>
            <w:r>
              <w:rPr>
                <w:rFonts w:ascii="Cambria" w:hAnsi="Cambria"/>
                <w:b/>
                <w:color w:val="FFFFFF"/>
                <w:sz w:val="18"/>
              </w:rPr>
              <w:t>Date(s)</w:t>
            </w:r>
          </w:p>
        </w:tc>
        <w:tc>
          <w:tcPr>
            <w:tcW w:type="dxa" w:w="1474"/>
            <w:shd w:val="clear" w:color="auto" w:fill="1F3A5F"/>
          </w:tcPr>
          <w:p>
            <w:pPr>
              <w:spacing w:after="40" w:line="240" w:lineRule="auto"/>
              <w:jc w:val="center"/>
            </w:pPr>
            <w:r/>
            <w:r>
              <w:rPr>
                <w:rFonts w:ascii="Cambria" w:hAnsi="Cambria"/>
                <w:b/>
                <w:color w:val="FFFFFF"/>
                <w:sz w:val="18"/>
              </w:rPr>
              <w:t>Course/Topic</w:t>
            </w:r>
          </w:p>
        </w:tc>
        <w:tc>
          <w:tcPr>
            <w:tcW w:type="dxa" w:w="907"/>
            <w:shd w:val="clear" w:color="auto" w:fill="1F3A5F"/>
          </w:tcPr>
          <w:p>
            <w:pPr>
              <w:spacing w:after="40" w:line="240" w:lineRule="auto"/>
              <w:jc w:val="center"/>
            </w:pPr>
            <w:r/>
            <w:r>
              <w:rPr>
                <w:rFonts w:ascii="Cambria" w:hAnsi="Cambria"/>
                <w:b/>
                <w:color w:val="FFFFFF"/>
                <w:sz w:val="18"/>
              </w:rPr>
              <w:t>Target</w:t>
              <w:br/>
              <w:t>Group</w:t>
            </w:r>
          </w:p>
        </w:tc>
        <w:tc>
          <w:tcPr>
            <w:tcW w:type="dxa" w:w="1134"/>
            <w:shd w:val="clear" w:color="auto" w:fill="1F3A5F"/>
          </w:tcPr>
          <w:p>
            <w:pPr>
              <w:spacing w:after="40" w:line="240" w:lineRule="auto"/>
              <w:jc w:val="center"/>
            </w:pPr>
            <w:r/>
            <w:r>
              <w:rPr>
                <w:rFonts w:ascii="Cambria" w:hAnsi="Cambria"/>
                <w:b/>
                <w:color w:val="FFFFFF"/>
                <w:sz w:val="18"/>
              </w:rPr>
              <w:t>Resource</w:t>
              <w:br/>
              <w:t>Person(s)</w:t>
            </w:r>
          </w:p>
        </w:tc>
        <w:tc>
          <w:tcPr>
            <w:tcW w:type="dxa" w:w="794"/>
            <w:shd w:val="clear" w:color="auto" w:fill="1F3A5F"/>
          </w:tcPr>
          <w:p>
            <w:pPr>
              <w:spacing w:after="40" w:line="240" w:lineRule="auto"/>
              <w:jc w:val="center"/>
            </w:pPr>
            <w:r/>
            <w:r>
              <w:rPr>
                <w:rFonts w:ascii="Cambria" w:hAnsi="Cambria"/>
                <w:b/>
                <w:color w:val="FFFFFF"/>
                <w:sz w:val="18"/>
              </w:rPr>
              <w:t>Organizer</w:t>
            </w:r>
          </w:p>
        </w:tc>
        <w:tc>
          <w:tcPr>
            <w:tcW w:type="dxa" w:w="907"/>
            <w:shd w:val="clear" w:color="auto" w:fill="1F3A5F"/>
          </w:tcPr>
          <w:p>
            <w:pPr>
              <w:spacing w:after="40" w:line="240" w:lineRule="auto"/>
              <w:jc w:val="center"/>
            </w:pPr>
            <w:r/>
            <w:r>
              <w:rPr>
                <w:rFonts w:ascii="Cambria" w:hAnsi="Cambria"/>
                <w:b/>
                <w:color w:val="FFFFFF"/>
                <w:sz w:val="18"/>
              </w:rPr>
              <w:t>No. of</w:t>
              <w:br/>
              <w:t>Participants</w:t>
            </w:r>
          </w:p>
        </w:tc>
        <w:tc>
          <w:tcPr>
            <w:tcW w:type="dxa" w:w="1191"/>
            <w:shd w:val="clear" w:color="auto" w:fill="1F3A5F"/>
          </w:tcPr>
          <w:p>
            <w:pPr>
              <w:spacing w:after="40" w:line="240" w:lineRule="auto"/>
              <w:jc w:val="center"/>
            </w:pPr>
            <w:r/>
            <w:r>
              <w:rPr>
                <w:rFonts w:ascii="Cambria" w:hAnsi="Cambria"/>
                <w:b/>
                <w:color w:val="FFFFFF"/>
                <w:sz w:val="18"/>
              </w:rPr>
              <w:t>Evidence</w:t>
              <w:br/>
              <w:t>Link/Path</w:t>
            </w:r>
          </w:p>
        </w:tc>
        <w:tc>
          <w:tcPr>
            <w:tcW w:type="dxa" w:w="1191"/>
            <w:shd w:val="clear" w:color="auto" w:fill="1F3A5F"/>
          </w:tcPr>
          <w:p>
            <w:pPr>
              <w:spacing w:after="40" w:line="240" w:lineRule="auto"/>
              <w:jc w:val="center"/>
            </w:pPr>
            <w:r/>
            <w:r>
              <w:rPr>
                <w:rFonts w:ascii="Cambria" w:hAnsi="Cambria"/>
                <w:b/>
                <w:color w:val="FFFFFF"/>
                <w:sz w:val="18"/>
              </w:rPr>
              <w:t>Impact/</w:t>
              <w:br/>
              <w:t>Outcome</w:t>
            </w:r>
          </w:p>
        </w:tc>
      </w:tr>
      <w:tr>
        <w:tc>
          <w:tcPr>
            <w:tcW w:type="dxa" w:w="1020"/>
          </w:tcPr>
          <w:p>
            <w:pPr>
              <w:spacing w:after="40" w:line="240" w:lineRule="auto"/>
              <w:jc w:val="left"/>
            </w:pPr>
            <w:r/>
            <w:r>
              <w:rPr>
                <w:rFonts w:ascii="Cambria" w:hAnsi="Cambria"/>
                <w:b w:val="0"/>
                <w:sz w:val="17"/>
              </w:rPr>
              <w:t>Remedial Class</w:t>
            </w:r>
          </w:p>
        </w:tc>
        <w:tc>
          <w:tcPr>
            <w:tcW w:type="dxa" w:w="1134"/>
          </w:tcPr>
          <w:p>
            <w:pPr>
              <w:spacing w:after="40" w:line="240" w:lineRule="auto"/>
              <w:jc w:val="left"/>
            </w:pPr>
            <w:r/>
            <w:r>
              <w:rPr>
                <w:rFonts w:ascii="Cambria" w:hAnsi="Cambria"/>
                <w:b w:val="0"/>
                <w:sz w:val="17"/>
              </w:rPr>
              <w:t>12-08-2024</w:t>
            </w:r>
          </w:p>
        </w:tc>
        <w:tc>
          <w:tcPr>
            <w:tcW w:type="dxa" w:w="1474"/>
          </w:tcPr>
          <w:p>
            <w:pPr>
              <w:spacing w:after="40" w:line="240" w:lineRule="auto"/>
              <w:jc w:val="left"/>
            </w:pPr>
            <w:r/>
            <w:r>
              <w:rPr>
                <w:rFonts w:ascii="Cambria" w:hAnsi="Cambria"/>
                <w:b w:val="0"/>
                <w:sz w:val="17"/>
              </w:rPr>
              <w:t>Recursion (Data Structures)</w:t>
            </w:r>
          </w:p>
        </w:tc>
        <w:tc>
          <w:tcPr>
            <w:tcW w:type="dxa" w:w="907"/>
          </w:tcPr>
          <w:p>
            <w:pPr>
              <w:spacing w:after="40" w:line="240" w:lineRule="auto"/>
              <w:jc w:val="left"/>
            </w:pPr>
            <w:r/>
            <w:r>
              <w:rPr>
                <w:rFonts w:ascii="Cambria" w:hAnsi="Cambria"/>
                <w:b w:val="0"/>
                <w:sz w:val="17"/>
              </w:rPr>
              <w:t>2nd Yr CSE</w:t>
            </w:r>
          </w:p>
        </w:tc>
        <w:tc>
          <w:tcPr>
            <w:tcW w:type="dxa" w:w="1134"/>
          </w:tcPr>
          <w:p>
            <w:pPr>
              <w:spacing w:after="40" w:line="240" w:lineRule="auto"/>
              <w:jc w:val="left"/>
            </w:pPr>
            <w:r/>
            <w:r>
              <w:rPr>
                <w:rFonts w:ascii="Cambria" w:hAnsi="Cambria"/>
                <w:b w:val="0"/>
                <w:sz w:val="17"/>
              </w:rPr>
              <w:t>Faculty: Dr. A. Sharma</w:t>
            </w:r>
          </w:p>
        </w:tc>
        <w:tc>
          <w:tcPr>
            <w:tcW w:type="dxa" w:w="794"/>
          </w:tcPr>
          <w:p>
            <w:pPr>
              <w:spacing w:after="40" w:line="240" w:lineRule="auto"/>
              <w:jc w:val="left"/>
            </w:pPr>
            <w:r/>
            <w:r>
              <w:rPr>
                <w:rFonts w:ascii="Cambria" w:hAnsi="Cambria"/>
                <w:b w:val="0"/>
                <w:sz w:val="17"/>
              </w:rPr>
              <w:t>Dept. of CSE</w:t>
            </w:r>
          </w:p>
        </w:tc>
        <w:tc>
          <w:tcPr>
            <w:tcW w:type="dxa" w:w="907"/>
          </w:tcPr>
          <w:p>
            <w:pPr>
              <w:spacing w:after="40" w:line="240" w:lineRule="auto"/>
              <w:jc w:val="left"/>
            </w:pPr>
            <w:r/>
            <w:r>
              <w:rPr>
                <w:rFonts w:ascii="Cambria" w:hAnsi="Cambria"/>
                <w:b w:val="0"/>
                <w:sz w:val="17"/>
              </w:rPr>
              <w:t>30 students</w:t>
            </w:r>
          </w:p>
        </w:tc>
        <w:tc>
          <w:tcPr>
            <w:tcW w:type="dxa" w:w="1191"/>
          </w:tcPr>
          <w:p>
            <w:pPr>
              <w:spacing w:after="40" w:line="240" w:lineRule="auto"/>
              <w:jc w:val="left"/>
            </w:pPr>
            <w:r/>
            <w:r>
              <w:rPr>
                <w:rFonts w:ascii="Cambria" w:hAnsi="Cambria"/>
                <w:b w:val="0"/>
                <w:sz w:val="17"/>
              </w:rPr>
              <w:t>Attendance sheet, timetable</w:t>
            </w:r>
          </w:p>
        </w:tc>
        <w:tc>
          <w:tcPr>
            <w:tcW w:type="dxa" w:w="1191"/>
          </w:tcPr>
          <w:p>
            <w:pPr>
              <w:spacing w:after="40" w:line="240" w:lineRule="auto"/>
              <w:jc w:val="left"/>
            </w:pPr>
            <w:r/>
            <w:r>
              <w:rPr>
                <w:rFonts w:ascii="Cambria" w:hAnsi="Cambria"/>
                <w:b w:val="0"/>
                <w:sz w:val="17"/>
              </w:rPr>
              <w:t>Attainment improved by 13%</w:t>
            </w:r>
          </w:p>
        </w:tc>
      </w:tr>
      <w:tr>
        <w:tc>
          <w:tcPr>
            <w:tcW w:type="dxa" w:w="1020"/>
            <w:shd w:val="clear" w:color="auto" w:fill="F2F2F2"/>
          </w:tcPr>
          <w:p>
            <w:pPr>
              <w:spacing w:after="40" w:line="240" w:lineRule="auto"/>
              <w:jc w:val="left"/>
            </w:pPr>
            <w:r/>
            <w:r>
              <w:rPr>
                <w:rFonts w:ascii="Cambria" w:hAnsi="Cambria"/>
                <w:b w:val="0"/>
                <w:sz w:val="17"/>
              </w:rPr>
              <w:t>Workshop</w:t>
            </w:r>
          </w:p>
        </w:tc>
        <w:tc>
          <w:tcPr>
            <w:tcW w:type="dxa" w:w="1134"/>
            <w:shd w:val="clear" w:color="auto" w:fill="F2F2F2"/>
          </w:tcPr>
          <w:p>
            <w:pPr>
              <w:spacing w:after="40" w:line="240" w:lineRule="auto"/>
              <w:jc w:val="left"/>
            </w:pPr>
            <w:r/>
            <w:r>
              <w:rPr>
                <w:rFonts w:ascii="Cambria" w:hAnsi="Cambria"/>
                <w:b w:val="0"/>
                <w:sz w:val="17"/>
              </w:rPr>
              <w:t>20-09-2024</w:t>
            </w:r>
          </w:p>
        </w:tc>
        <w:tc>
          <w:tcPr>
            <w:tcW w:type="dxa" w:w="1474"/>
            <w:shd w:val="clear" w:color="auto" w:fill="F2F2F2"/>
          </w:tcPr>
          <w:p>
            <w:pPr>
              <w:spacing w:after="40" w:line="240" w:lineRule="auto"/>
              <w:jc w:val="left"/>
            </w:pPr>
            <w:r/>
            <w:r>
              <w:rPr>
                <w:rFonts w:ascii="Cambria" w:hAnsi="Cambria"/>
                <w:b w:val="0"/>
                <w:sz w:val="17"/>
              </w:rPr>
              <w:t>Circuit Simulation using PSPICE</w:t>
            </w:r>
          </w:p>
        </w:tc>
        <w:tc>
          <w:tcPr>
            <w:tcW w:type="dxa" w:w="907"/>
            <w:shd w:val="clear" w:color="auto" w:fill="F2F2F2"/>
          </w:tcPr>
          <w:p>
            <w:pPr>
              <w:spacing w:after="40" w:line="240" w:lineRule="auto"/>
              <w:jc w:val="left"/>
            </w:pPr>
            <w:r/>
            <w:r>
              <w:rPr>
                <w:rFonts w:ascii="Cambria" w:hAnsi="Cambria"/>
                <w:b w:val="0"/>
                <w:sz w:val="17"/>
              </w:rPr>
              <w:t>3rd Yr EEE</w:t>
            </w:r>
          </w:p>
        </w:tc>
        <w:tc>
          <w:tcPr>
            <w:tcW w:type="dxa" w:w="1134"/>
            <w:shd w:val="clear" w:color="auto" w:fill="F2F2F2"/>
          </w:tcPr>
          <w:p>
            <w:pPr>
              <w:spacing w:after="40" w:line="240" w:lineRule="auto"/>
              <w:jc w:val="left"/>
            </w:pPr>
            <w:r/>
            <w:r>
              <w:rPr>
                <w:rFonts w:ascii="Cambria" w:hAnsi="Cambria"/>
                <w:b w:val="0"/>
                <w:sz w:val="17"/>
              </w:rPr>
              <w:t>Industry Expert: Mr. R. Patel</w:t>
            </w:r>
          </w:p>
        </w:tc>
        <w:tc>
          <w:tcPr>
            <w:tcW w:type="dxa" w:w="794"/>
            <w:shd w:val="clear" w:color="auto" w:fill="F2F2F2"/>
          </w:tcPr>
          <w:p>
            <w:pPr>
              <w:spacing w:after="40" w:line="240" w:lineRule="auto"/>
              <w:jc w:val="left"/>
            </w:pPr>
            <w:r/>
            <w:r>
              <w:rPr>
                <w:rFonts w:ascii="Cambria" w:hAnsi="Cambria"/>
                <w:b w:val="0"/>
                <w:sz w:val="17"/>
              </w:rPr>
              <w:t>EEE Dept.</w:t>
            </w:r>
          </w:p>
        </w:tc>
        <w:tc>
          <w:tcPr>
            <w:tcW w:type="dxa" w:w="907"/>
            <w:shd w:val="clear" w:color="auto" w:fill="F2F2F2"/>
          </w:tcPr>
          <w:p>
            <w:pPr>
              <w:spacing w:after="40" w:line="240" w:lineRule="auto"/>
              <w:jc w:val="left"/>
            </w:pPr>
            <w:r/>
            <w:r>
              <w:rPr>
                <w:rFonts w:ascii="Cambria" w:hAnsi="Cambria"/>
                <w:b w:val="0"/>
                <w:sz w:val="17"/>
              </w:rPr>
              <w:t>45 students</w:t>
            </w:r>
          </w:p>
        </w:tc>
        <w:tc>
          <w:tcPr>
            <w:tcW w:type="dxa" w:w="1191"/>
            <w:shd w:val="clear" w:color="auto" w:fill="F2F2F2"/>
          </w:tcPr>
          <w:p>
            <w:pPr>
              <w:spacing w:after="40" w:line="240" w:lineRule="auto"/>
              <w:jc w:val="left"/>
            </w:pPr>
            <w:r/>
            <w:r>
              <w:rPr>
                <w:rFonts w:ascii="Cambria" w:hAnsi="Cambria"/>
                <w:b w:val="0"/>
                <w:sz w:val="17"/>
              </w:rPr>
              <w:t>Workshop report, photos</w:t>
            </w:r>
          </w:p>
        </w:tc>
        <w:tc>
          <w:tcPr>
            <w:tcW w:type="dxa" w:w="1191"/>
            <w:shd w:val="clear" w:color="auto" w:fill="F2F2F2"/>
          </w:tcPr>
          <w:p>
            <w:pPr>
              <w:spacing w:after="40" w:line="240" w:lineRule="auto"/>
              <w:jc w:val="left"/>
            </w:pPr>
            <w:r/>
            <w:r>
              <w:rPr>
                <w:rFonts w:ascii="Cambria" w:hAnsi="Cambria"/>
                <w:b w:val="0"/>
                <w:sz w:val="17"/>
              </w:rPr>
              <w:t>Better lab performance</w:t>
            </w:r>
          </w:p>
        </w:tc>
      </w:tr>
      <w:tr>
        <w:tc>
          <w:tcPr>
            <w:tcW w:type="dxa" w:w="1020"/>
          </w:tcPr>
          <w:p>
            <w:pPr>
              <w:spacing w:after="40" w:line="240" w:lineRule="auto"/>
              <w:jc w:val="left"/>
            </w:pPr>
            <w:r/>
            <w:r>
              <w:rPr>
                <w:rFonts w:ascii="Cambria" w:hAnsi="Cambria"/>
                <w:b w:val="0"/>
                <w:sz w:val="17"/>
              </w:rPr>
              <w:t>Bridge Course</w:t>
            </w:r>
          </w:p>
        </w:tc>
        <w:tc>
          <w:tcPr>
            <w:tcW w:type="dxa" w:w="1134"/>
          </w:tcPr>
          <w:p>
            <w:pPr>
              <w:spacing w:after="40" w:line="240" w:lineRule="auto"/>
              <w:jc w:val="left"/>
            </w:pPr>
            <w:r/>
            <w:r>
              <w:rPr>
                <w:rFonts w:ascii="Cambria" w:hAnsi="Cambria"/>
                <w:b w:val="0"/>
                <w:sz w:val="17"/>
              </w:rPr>
              <w:t>10-10-2024 to 25-10-2024</w:t>
            </w:r>
          </w:p>
        </w:tc>
        <w:tc>
          <w:tcPr>
            <w:tcW w:type="dxa" w:w="1474"/>
          </w:tcPr>
          <w:p>
            <w:pPr>
              <w:spacing w:after="40" w:line="240" w:lineRule="auto"/>
              <w:jc w:val="left"/>
            </w:pPr>
            <w:r/>
            <w:r>
              <w:rPr>
                <w:rFonts w:ascii="Cambria" w:hAnsi="Cambria"/>
                <w:b w:val="0"/>
                <w:sz w:val="17"/>
              </w:rPr>
              <w:t>Basics of Thermodynamics</w:t>
            </w:r>
          </w:p>
        </w:tc>
        <w:tc>
          <w:tcPr>
            <w:tcW w:type="dxa" w:w="907"/>
          </w:tcPr>
          <w:p>
            <w:pPr>
              <w:spacing w:after="40" w:line="240" w:lineRule="auto"/>
              <w:jc w:val="left"/>
            </w:pPr>
            <w:r/>
            <w:r>
              <w:rPr>
                <w:rFonts w:ascii="Cambria" w:hAnsi="Cambria"/>
                <w:b w:val="0"/>
                <w:sz w:val="17"/>
              </w:rPr>
              <w:t>2nd Yr ME</w:t>
            </w:r>
          </w:p>
        </w:tc>
        <w:tc>
          <w:tcPr>
            <w:tcW w:type="dxa" w:w="1134"/>
          </w:tcPr>
          <w:p>
            <w:pPr>
              <w:spacing w:after="40" w:line="240" w:lineRule="auto"/>
              <w:jc w:val="left"/>
            </w:pPr>
            <w:r/>
            <w:r>
              <w:rPr>
                <w:rFonts w:ascii="Cambria" w:hAnsi="Cambria"/>
                <w:b w:val="0"/>
                <w:sz w:val="17"/>
              </w:rPr>
              <w:t>Guest: Prof. Gupta</w:t>
            </w:r>
          </w:p>
        </w:tc>
        <w:tc>
          <w:tcPr>
            <w:tcW w:type="dxa" w:w="794"/>
          </w:tcPr>
          <w:p>
            <w:pPr>
              <w:spacing w:after="40" w:line="240" w:lineRule="auto"/>
              <w:jc w:val="left"/>
            </w:pPr>
            <w:r/>
            <w:r>
              <w:rPr>
                <w:rFonts w:ascii="Cambria" w:hAnsi="Cambria"/>
                <w:b w:val="0"/>
                <w:sz w:val="17"/>
              </w:rPr>
              <w:t>ME Dept.</w:t>
            </w:r>
          </w:p>
        </w:tc>
        <w:tc>
          <w:tcPr>
            <w:tcW w:type="dxa" w:w="907"/>
          </w:tcPr>
          <w:p>
            <w:pPr>
              <w:spacing w:after="40" w:line="240" w:lineRule="auto"/>
              <w:jc w:val="left"/>
            </w:pPr>
            <w:r/>
            <w:r>
              <w:rPr>
                <w:rFonts w:ascii="Cambria" w:hAnsi="Cambria"/>
                <w:b w:val="0"/>
                <w:sz w:val="17"/>
              </w:rPr>
              <w:t>40 students</w:t>
            </w:r>
          </w:p>
        </w:tc>
        <w:tc>
          <w:tcPr>
            <w:tcW w:type="dxa" w:w="1191"/>
          </w:tcPr>
          <w:p>
            <w:pPr>
              <w:spacing w:after="40" w:line="240" w:lineRule="auto"/>
              <w:jc w:val="left"/>
            </w:pPr>
            <w:r/>
            <w:r>
              <w:rPr>
                <w:rFonts w:ascii="Cambria" w:hAnsi="Cambria"/>
                <w:b w:val="0"/>
                <w:sz w:val="17"/>
              </w:rPr>
              <w:t>Syllabus copy, bridge exam results</w:t>
            </w:r>
          </w:p>
        </w:tc>
        <w:tc>
          <w:tcPr>
            <w:tcW w:type="dxa" w:w="1191"/>
          </w:tcPr>
          <w:p>
            <w:pPr>
              <w:spacing w:after="40" w:line="240" w:lineRule="auto"/>
              <w:jc w:val="left"/>
            </w:pPr>
            <w:r/>
            <w:r>
              <w:rPr>
                <w:rFonts w:ascii="Cambria" w:hAnsi="Cambria"/>
                <w:b w:val="0"/>
                <w:sz w:val="17"/>
              </w:rPr>
              <w:t>Failure rate reduced from 15% → 5%</w:t>
            </w:r>
          </w:p>
        </w:tc>
      </w:tr>
      <w:tr>
        <w:tc>
          <w:tcPr>
            <w:tcW w:type="dxa" w:w="1020"/>
            <w:shd w:val="clear" w:color="auto" w:fill="F2F2F2"/>
          </w:tcPr>
          <w:p>
            <w:pPr>
              <w:spacing w:after="40" w:line="240" w:lineRule="auto"/>
              <w:jc w:val="left"/>
            </w:pPr>
            <w:r/>
            <w:r>
              <w:rPr>
                <w:rFonts w:ascii="Cambria" w:hAnsi="Cambria"/>
                <w:b w:val="0"/>
                <w:sz w:val="17"/>
              </w:rPr>
              <w:t>FDP</w:t>
            </w:r>
          </w:p>
        </w:tc>
        <w:tc>
          <w:tcPr>
            <w:tcW w:type="dxa" w:w="1134"/>
            <w:shd w:val="clear" w:color="auto" w:fill="F2F2F2"/>
          </w:tcPr>
          <w:p>
            <w:pPr>
              <w:spacing w:after="40" w:line="240" w:lineRule="auto"/>
              <w:jc w:val="left"/>
            </w:pPr>
            <w:r/>
            <w:r>
              <w:rPr>
                <w:rFonts w:ascii="Cambria" w:hAnsi="Cambria"/>
                <w:b w:val="0"/>
                <w:sz w:val="17"/>
              </w:rPr>
              <w:t>05-11-2024 to 09-11-2024</w:t>
            </w:r>
          </w:p>
        </w:tc>
        <w:tc>
          <w:tcPr>
            <w:tcW w:type="dxa" w:w="1474"/>
            <w:shd w:val="clear" w:color="auto" w:fill="F2F2F2"/>
          </w:tcPr>
          <w:p>
            <w:pPr>
              <w:spacing w:after="40" w:line="240" w:lineRule="auto"/>
              <w:jc w:val="left"/>
            </w:pPr>
            <w:r/>
            <w:r>
              <w:rPr>
                <w:rFonts w:ascii="Cambria" w:hAnsi="Cambria"/>
                <w:b w:val="0"/>
                <w:sz w:val="17"/>
              </w:rPr>
              <w:t>Outcome-Based Pedagogy</w:t>
            </w:r>
          </w:p>
        </w:tc>
        <w:tc>
          <w:tcPr>
            <w:tcW w:type="dxa" w:w="907"/>
            <w:shd w:val="clear" w:color="auto" w:fill="F2F2F2"/>
          </w:tcPr>
          <w:p>
            <w:pPr>
              <w:spacing w:after="40" w:line="240" w:lineRule="auto"/>
              <w:jc w:val="left"/>
            </w:pPr>
            <w:r/>
            <w:r>
              <w:rPr>
                <w:rFonts w:ascii="Cambria" w:hAnsi="Cambria"/>
                <w:b w:val="0"/>
                <w:sz w:val="17"/>
              </w:rPr>
              <w:t>Faculty Members</w:t>
            </w:r>
          </w:p>
        </w:tc>
        <w:tc>
          <w:tcPr>
            <w:tcW w:type="dxa" w:w="1134"/>
            <w:shd w:val="clear" w:color="auto" w:fill="F2F2F2"/>
          </w:tcPr>
          <w:p>
            <w:pPr>
              <w:spacing w:after="40" w:line="240" w:lineRule="auto"/>
              <w:jc w:val="left"/>
            </w:pPr>
            <w:r/>
            <w:r>
              <w:rPr>
                <w:rFonts w:ascii="Cambria" w:hAnsi="Cambria"/>
                <w:b w:val="0"/>
                <w:sz w:val="17"/>
              </w:rPr>
              <w:t>NITTTR Chennai</w:t>
            </w:r>
          </w:p>
        </w:tc>
        <w:tc>
          <w:tcPr>
            <w:tcW w:type="dxa" w:w="794"/>
            <w:shd w:val="clear" w:color="auto" w:fill="F2F2F2"/>
          </w:tcPr>
          <w:p>
            <w:pPr>
              <w:spacing w:after="40" w:line="240" w:lineRule="auto"/>
              <w:jc w:val="left"/>
            </w:pPr>
            <w:r/>
            <w:r>
              <w:rPr>
                <w:rFonts w:ascii="Cambria" w:hAnsi="Cambria"/>
                <w:b w:val="0"/>
                <w:sz w:val="17"/>
              </w:rPr>
              <w:t>IQAC</w:t>
            </w:r>
          </w:p>
        </w:tc>
        <w:tc>
          <w:tcPr>
            <w:tcW w:type="dxa" w:w="907"/>
            <w:shd w:val="clear" w:color="auto" w:fill="F2F2F2"/>
          </w:tcPr>
          <w:p>
            <w:pPr>
              <w:spacing w:after="40" w:line="240" w:lineRule="auto"/>
              <w:jc w:val="left"/>
            </w:pPr>
            <w:r/>
            <w:r>
              <w:rPr>
                <w:rFonts w:ascii="Cambria" w:hAnsi="Cambria"/>
                <w:b w:val="0"/>
                <w:sz w:val="17"/>
              </w:rPr>
              <w:t>20 faculty</w:t>
            </w:r>
          </w:p>
        </w:tc>
        <w:tc>
          <w:tcPr>
            <w:tcW w:type="dxa" w:w="1191"/>
            <w:shd w:val="clear" w:color="auto" w:fill="F2F2F2"/>
          </w:tcPr>
          <w:p>
            <w:pPr>
              <w:spacing w:after="40" w:line="240" w:lineRule="auto"/>
              <w:jc w:val="left"/>
            </w:pPr>
            <w:r/>
            <w:r>
              <w:rPr>
                <w:rFonts w:ascii="Cambria" w:hAnsi="Cambria"/>
                <w:b w:val="0"/>
                <w:sz w:val="17"/>
              </w:rPr>
              <w:t>FDP certificates, feedback forms</w:t>
            </w:r>
          </w:p>
        </w:tc>
        <w:tc>
          <w:tcPr>
            <w:tcW w:type="dxa" w:w="1191"/>
            <w:shd w:val="clear" w:color="auto" w:fill="F2F2F2"/>
          </w:tcPr>
          <w:p>
            <w:pPr>
              <w:spacing w:after="40" w:line="240" w:lineRule="auto"/>
              <w:jc w:val="left"/>
            </w:pPr>
            <w:r/>
            <w:r>
              <w:rPr>
                <w:rFonts w:ascii="Cambria" w:hAnsi="Cambria"/>
                <w:b w:val="0"/>
                <w:sz w:val="17"/>
              </w:rPr>
              <w:t>Improved teaching quality, ICT adoption</w:t>
            </w:r>
          </w:p>
        </w:tc>
      </w:tr>
    </w:tbl>
    <w:p>
      <w:pPr>
        <w:spacing w:after="40"/>
      </w:pPr>
    </w:p>
    <w:p>
      <w:pPr>
        <w:pStyle w:val="Heading3"/>
      </w:pPr>
      <w:r>
        <w:rPr>
          <w:rFonts w:ascii="Cambria" w:hAnsi="Cambria"/>
          <w:b/>
          <w:color w:val="1F3A5F"/>
          <w:sz w:val="26"/>
        </w:rPr>
        <w:t>4. Documentation Practices</w:t>
      </w:r>
    </w:p>
    <w:p>
      <w:pPr>
        <w:pStyle w:val="ListBullet"/>
        <w:spacing w:after="80" w:line="276" w:lineRule="auto"/>
      </w:pPr>
      <w:r>
        <w:rPr>
          <w:rFonts w:ascii="Cambria" w:hAnsi="Cambria"/>
          <w:b w:val="0"/>
          <w:i w:val="0"/>
          <w:sz w:val="22"/>
        </w:rPr>
        <w:t>Keep signed hard copies (attendance, MoM, circulars).</w:t>
      </w:r>
    </w:p>
    <w:p>
      <w:pPr>
        <w:pStyle w:val="ListBullet"/>
        <w:spacing w:after="80" w:line="276" w:lineRule="auto"/>
      </w:pPr>
      <w:r>
        <w:rPr>
          <w:rFonts w:ascii="Cambria" w:hAnsi="Cambria"/>
          <w:b w:val="0"/>
          <w:i w:val="0"/>
          <w:sz w:val="22"/>
        </w:rPr>
        <w:t>Maintain scanned copies / PDF links in a central evidence folder.</w:t>
      </w:r>
    </w:p>
    <w:p>
      <w:pPr>
        <w:pStyle w:val="ListBullet"/>
        <w:spacing w:after="80" w:line="276" w:lineRule="auto"/>
      </w:pPr>
      <w:r>
        <w:rPr>
          <w:rFonts w:ascii="Cambria" w:hAnsi="Cambria"/>
          <w:b w:val="0"/>
          <w:i w:val="0"/>
          <w:sz w:val="22"/>
        </w:rPr>
        <w:t>Use a unique record number for each activity (e.g., RMD2024-01, FDP2024-02).</w:t>
      </w:r>
    </w:p>
    <w:p>
      <w:pPr>
        <w:pStyle w:val="ListBullet"/>
        <w:spacing w:after="80" w:line="276" w:lineRule="auto"/>
      </w:pPr>
      <w:r>
        <w:rPr>
          <w:rFonts w:ascii="Cambria" w:hAnsi="Cambria"/>
          <w:b w:val="0"/>
          <w:i w:val="0"/>
          <w:sz w:val="22"/>
        </w:rPr>
        <w:t>Link these records with ATR (Action Taken Reports) and CO attainment charts.</w:t>
      </w:r>
    </w:p>
    <w:p>
      <w:pPr>
        <w:pStyle w:val="Heading3"/>
      </w:pPr>
      <w:r>
        <w:rPr>
          <w:rFonts w:ascii="Cambria" w:hAnsi="Cambria"/>
          <w:b/>
          <w:color w:val="1F3A5F"/>
          <w:sz w:val="26"/>
        </w:rPr>
        <w:t>5. NBA Presentation</w:t>
      </w:r>
    </w:p>
    <w:p>
      <w:pPr>
        <w:pStyle w:val="ListBullet"/>
        <w:spacing w:after="80" w:line="276" w:lineRule="auto"/>
      </w:pPr>
      <w:r>
        <w:rPr>
          <w:rFonts w:ascii="Cambria" w:hAnsi="Cambria"/>
          <w:b w:val="0"/>
          <w:i w:val="0"/>
          <w:sz w:val="22"/>
        </w:rPr>
        <w:t>Present Excel tracker + a few scanned evidence samples.</w:t>
      </w:r>
    </w:p>
    <w:p>
      <w:pPr>
        <w:pStyle w:val="ListBullet"/>
        <w:spacing w:after="80" w:line="276" w:lineRule="auto"/>
      </w:pPr>
      <w:r>
        <w:rPr>
          <w:rFonts w:ascii="Cambria" w:hAnsi="Cambria"/>
          <w:b w:val="0"/>
          <w:i w:val="0"/>
          <w:sz w:val="22"/>
        </w:rPr>
        <w:t>Highlight Before vs. After attainment improvement linked to each remedial/workshop/bridge/FDP.</w:t>
      </w:r>
    </w:p>
    <w:p>
      <w:pPr>
        <w:pStyle w:val="ListBullet"/>
        <w:spacing w:after="80" w:line="276" w:lineRule="auto"/>
      </w:pPr>
      <w:r>
        <w:rPr>
          <w:rFonts w:ascii="Cambria" w:hAnsi="Cambria"/>
          <w:b w:val="0"/>
          <w:i w:val="0"/>
          <w:sz w:val="22"/>
        </w:rPr>
        <w:t>Show charts of participation vs. impact (number of students vs. attainment improvement).</w:t>
      </w:r>
    </w:p>
    <w:p>
      <w:r>
        <w:br w:type="page"/>
      </w:r>
    </w:p>
    <w:p>
      <w:pPr>
        <w:pStyle w:val="Heading1"/>
      </w:pPr>
      <w:r>
        <w:rPr>
          <w:rFonts w:ascii="Cambria" w:hAnsi="Cambria"/>
          <w:b/>
          <w:color w:val="1F3A5F"/>
          <w:sz w:val="36"/>
        </w:rPr>
        <w:t>8. CO Attainment Reports (course-wise, year-wise)</w:t>
      </w:r>
    </w:p>
    <w:p>
      <w:pPr>
        <w:pStyle w:val="Heading3"/>
      </w:pPr>
      <w:r>
        <w:rPr>
          <w:rFonts w:ascii="Cambria" w:hAnsi="Cambria"/>
          <w:b/>
          <w:color w:val="1F3A5F"/>
          <w:sz w:val="26"/>
        </w:rPr>
        <w:t>1. Structure of CO Attainment Reports</w:t>
      </w:r>
    </w:p>
    <w:p>
      <w:pPr>
        <w:pStyle w:val="ListBullet"/>
        <w:spacing w:after="80" w:line="276" w:lineRule="auto"/>
      </w:pPr>
      <w:r>
        <w:rPr>
          <w:rFonts w:ascii="Cambria" w:hAnsi="Cambria"/>
          <w:b/>
          <w:i w:val="0"/>
          <w:sz w:val="22"/>
        </w:rPr>
        <w:t>Cover Information</w:t>
      </w:r>
    </w:p>
    <w:p>
      <w:pPr>
        <w:pStyle w:val="ListBullet2"/>
        <w:spacing w:after="80" w:line="276" w:lineRule="auto"/>
      </w:pPr>
      <w:r>
        <w:rPr>
          <w:rFonts w:ascii="Cambria" w:hAnsi="Cambria"/>
          <w:b w:val="0"/>
          <w:i w:val="0"/>
          <w:sz w:val="22"/>
        </w:rPr>
        <w:t>Course Code &amp; Title</w:t>
      </w:r>
    </w:p>
    <w:p>
      <w:pPr>
        <w:pStyle w:val="ListBullet2"/>
        <w:spacing w:after="80" w:line="276" w:lineRule="auto"/>
      </w:pPr>
      <w:r>
        <w:rPr>
          <w:rFonts w:ascii="Cambria" w:hAnsi="Cambria"/>
          <w:b w:val="0"/>
          <w:i w:val="0"/>
          <w:sz w:val="22"/>
        </w:rPr>
        <w:t>Semester / Academic Year (CAY, CAYm1, CAYm2…)</w:t>
      </w:r>
    </w:p>
    <w:p>
      <w:pPr>
        <w:pStyle w:val="ListBullet2"/>
        <w:spacing w:after="80" w:line="276" w:lineRule="auto"/>
      </w:pPr>
      <w:r>
        <w:rPr>
          <w:rFonts w:ascii="Cambria" w:hAnsi="Cambria"/>
          <w:b w:val="0"/>
          <w:i w:val="0"/>
          <w:sz w:val="22"/>
        </w:rPr>
        <w:t>Faculty Name &amp; Department</w:t>
      </w:r>
    </w:p>
    <w:p>
      <w:pPr>
        <w:pStyle w:val="ListBullet2"/>
        <w:spacing w:after="80" w:line="276" w:lineRule="auto"/>
      </w:pPr>
      <w:r>
        <w:rPr>
          <w:rFonts w:ascii="Cambria" w:hAnsi="Cambria"/>
          <w:b w:val="0"/>
          <w:i w:val="0"/>
          <w:sz w:val="22"/>
        </w:rPr>
        <w:t>Number of Students Registered &amp; Appeared</w:t>
      </w:r>
    </w:p>
    <w:p>
      <w:pPr>
        <w:pStyle w:val="ListBullet"/>
        <w:spacing w:after="80" w:line="276" w:lineRule="auto"/>
      </w:pPr>
      <w:r>
        <w:rPr>
          <w:rFonts w:ascii="Cambria" w:hAnsi="Cambria"/>
          <w:b/>
          <w:i w:val="0"/>
          <w:sz w:val="22"/>
        </w:rPr>
        <w:t>Course Outcomes (COs)</w:t>
      </w:r>
    </w:p>
    <w:p>
      <w:pPr>
        <w:pStyle w:val="ListBullet2"/>
        <w:spacing w:after="80" w:line="276" w:lineRule="auto"/>
      </w:pPr>
      <w:r>
        <w:rPr>
          <w:rFonts w:ascii="Cambria" w:hAnsi="Cambria"/>
          <w:b w:val="0"/>
          <w:i w:val="0"/>
          <w:sz w:val="22"/>
        </w:rPr>
        <w:t>List of COs (CO1, CO2, CO3, …) with description.</w:t>
      </w:r>
    </w:p>
    <w:p>
      <w:pPr>
        <w:pStyle w:val="ListBullet2"/>
        <w:spacing w:after="80" w:line="276" w:lineRule="auto"/>
      </w:pPr>
      <w:r>
        <w:rPr>
          <w:rFonts w:ascii="Cambria" w:hAnsi="Cambria"/>
          <w:b w:val="0"/>
          <w:i w:val="0"/>
          <w:sz w:val="22"/>
        </w:rPr>
        <w:t>Mapping of COs to Program Outcomes (POs) and Program Specific Outcomes (PSOs).</w:t>
      </w:r>
    </w:p>
    <w:p>
      <w:pPr>
        <w:pStyle w:val="Heading3"/>
      </w:pPr>
      <w:r>
        <w:rPr>
          <w:rFonts w:ascii="Cambria" w:hAnsi="Cambria"/>
          <w:b/>
          <w:color w:val="1F3A5F"/>
          <w:sz w:val="26"/>
        </w:rPr>
        <w:t>2. Attainment Calculation</w:t>
      </w:r>
    </w:p>
    <w:p>
      <w:pPr>
        <w:pStyle w:val="ListBullet"/>
        <w:spacing w:after="80" w:line="276" w:lineRule="auto"/>
      </w:pPr>
      <w:r>
        <w:rPr>
          <w:rFonts w:ascii="Cambria" w:hAnsi="Cambria"/>
          <w:b/>
          <w:i w:val="0"/>
          <w:sz w:val="22"/>
        </w:rPr>
        <w:t>Direct Attainment</w:t>
      </w:r>
    </w:p>
    <w:p>
      <w:pPr>
        <w:pStyle w:val="ListBullet2"/>
        <w:spacing w:after="80" w:line="276" w:lineRule="auto"/>
      </w:pPr>
      <w:r>
        <w:rPr>
          <w:rFonts w:ascii="Cambria" w:hAnsi="Cambria"/>
          <w:b w:val="0"/>
          <w:i w:val="0"/>
          <w:sz w:val="22"/>
        </w:rPr>
        <w:t>Internal Assessment: Average of mid-term exams, quizzes, assignments.</w:t>
      </w:r>
    </w:p>
    <w:p>
      <w:pPr>
        <w:pStyle w:val="ListBullet2"/>
        <w:spacing w:after="80" w:line="276" w:lineRule="auto"/>
      </w:pPr>
      <w:r>
        <w:rPr>
          <w:rFonts w:ascii="Cambria" w:hAnsi="Cambria"/>
          <w:b w:val="0"/>
          <w:i w:val="0"/>
          <w:sz w:val="22"/>
        </w:rPr>
        <w:t>End-Semester Exams: University/Institute results mapped to COs.</w:t>
      </w:r>
    </w:p>
    <w:p>
      <w:pPr>
        <w:pStyle w:val="ListBullet2"/>
        <w:spacing w:after="80" w:line="276" w:lineRule="auto"/>
      </w:pPr>
      <w:r>
        <w:rPr>
          <w:rFonts w:ascii="Cambria" w:hAnsi="Cambria"/>
          <w:b w:val="0"/>
          <w:i w:val="0"/>
          <w:sz w:val="22"/>
        </w:rPr>
        <w:t>Practical/Projects: Lab marks, project viva, mini-projects.</w:t>
      </w:r>
    </w:p>
    <w:p>
      <w:pPr>
        <w:pStyle w:val="ListBullet"/>
        <w:spacing w:after="80" w:line="276" w:lineRule="auto"/>
      </w:pPr>
      <w:r>
        <w:rPr>
          <w:rFonts w:ascii="Cambria" w:hAnsi="Cambria"/>
          <w:b/>
          <w:i w:val="0"/>
          <w:sz w:val="22"/>
        </w:rPr>
        <w:t>Indirect Attainment</w:t>
      </w:r>
    </w:p>
    <w:p>
      <w:pPr>
        <w:pStyle w:val="ListBullet2"/>
        <w:spacing w:after="80" w:line="276" w:lineRule="auto"/>
      </w:pPr>
      <w:r>
        <w:rPr>
          <w:rFonts w:ascii="Cambria" w:hAnsi="Cambria"/>
          <w:b w:val="0"/>
          <w:i w:val="0"/>
          <w:sz w:val="22"/>
        </w:rPr>
        <w:t>Student feedback, exit survey, alumni input.</w:t>
      </w:r>
    </w:p>
    <w:p>
      <w:pPr>
        <w:pStyle w:val="ListBullet2"/>
        <w:spacing w:after="80" w:line="276" w:lineRule="auto"/>
      </w:pPr>
      <w:r>
        <w:rPr>
          <w:rFonts w:ascii="Cambria" w:hAnsi="Cambria"/>
          <w:b w:val="0"/>
          <w:i w:val="0"/>
          <w:sz w:val="22"/>
        </w:rPr>
        <w:t>Employer/Industry feedback (if available).</w:t>
      </w:r>
    </w:p>
    <w:p>
      <w:pPr>
        <w:pStyle w:val="ListBullet"/>
        <w:spacing w:after="80" w:line="276" w:lineRule="auto"/>
      </w:pPr>
      <w:r>
        <w:rPr>
          <w:rFonts w:ascii="Cambria" w:hAnsi="Cambria"/>
          <w:b/>
          <w:i w:val="0"/>
          <w:sz w:val="22"/>
        </w:rPr>
        <w:t>Overall Attainment Formula</w:t>
      </w:r>
    </w:p>
    <w:p>
      <w:pPr>
        <w:pStyle w:val="ListBullet2"/>
        <w:spacing w:after="80" w:line="276" w:lineRule="auto"/>
      </w:pPr>
      <w:r>
        <w:rPr>
          <w:rFonts w:ascii="Cambria" w:hAnsi="Cambria"/>
          <w:b w:val="0"/>
          <w:i w:val="0"/>
          <w:sz w:val="22"/>
        </w:rPr>
        <w:t>Weighted average of direct + indirect attainment (e.g., 80% direct + 20% indirect).</w:t>
      </w:r>
    </w:p>
    <w:p>
      <w:pPr>
        <w:pStyle w:val="Heading3"/>
      </w:pPr>
      <w:r>
        <w:rPr>
          <w:rFonts w:ascii="Cambria" w:hAnsi="Cambria"/>
          <w:b/>
          <w:color w:val="1F3A5F"/>
          <w:sz w:val="26"/>
        </w:rPr>
        <w:t>3. Report Format (Course-wise Table Example)</w:t>
      </w:r>
    </w:p>
    <w:tbl>
      <w:tblPr>
        <w:tblStyle w:val="TableGrid"/>
        <w:tblW w:type="auto" w:w="0"/>
        <w:jc w:val="center"/>
        <w:tblLayout w:type="fixed"/>
        <w:tblLook w:firstColumn="1" w:firstRow="1" w:lastColumn="0" w:lastRow="0" w:noHBand="0" w:noVBand="1" w:val="04A0"/>
        <w:tblLayout w:type="fixed"/>
      </w:tblPr>
      <w:tblGrid>
        <w:gridCol w:w="1701"/>
        <w:gridCol w:w="907"/>
        <w:gridCol w:w="567"/>
        <w:gridCol w:w="624"/>
        <w:gridCol w:w="907"/>
        <w:gridCol w:w="907"/>
        <w:gridCol w:w="907"/>
        <w:gridCol w:w="567"/>
        <w:gridCol w:w="1304"/>
      </w:tblGrid>
      <w:tr>
        <w:tc>
          <w:tcPr>
            <w:tcW w:type="dxa" w:w="1701"/>
            <w:shd w:val="clear" w:color="auto" w:fill="1F3A5F"/>
          </w:tcPr>
          <w:p>
            <w:pPr>
              <w:spacing w:after="40" w:line="240" w:lineRule="auto"/>
              <w:jc w:val="center"/>
            </w:pPr>
            <w:r/>
            <w:r>
              <w:rPr>
                <w:rFonts w:ascii="Cambria" w:hAnsi="Cambria"/>
                <w:b/>
                <w:color w:val="FFFFFF"/>
                <w:sz w:val="18"/>
              </w:rPr>
              <w:t>Course Code &amp; Title</w:t>
            </w:r>
          </w:p>
        </w:tc>
        <w:tc>
          <w:tcPr>
            <w:tcW w:type="dxa" w:w="907"/>
            <w:shd w:val="clear" w:color="auto" w:fill="1F3A5F"/>
          </w:tcPr>
          <w:p>
            <w:pPr>
              <w:spacing w:after="40" w:line="240" w:lineRule="auto"/>
              <w:jc w:val="center"/>
            </w:pPr>
            <w:r/>
            <w:r>
              <w:rPr>
                <w:rFonts w:ascii="Cambria" w:hAnsi="Cambria"/>
                <w:b/>
                <w:color w:val="FFFFFF"/>
                <w:sz w:val="18"/>
              </w:rPr>
              <w:t>Academic</w:t>
              <w:br/>
              <w:t>Year</w:t>
            </w:r>
          </w:p>
        </w:tc>
        <w:tc>
          <w:tcPr>
            <w:tcW w:type="dxa" w:w="567"/>
            <w:shd w:val="clear" w:color="auto" w:fill="1F3A5F"/>
          </w:tcPr>
          <w:p>
            <w:pPr>
              <w:spacing w:after="40" w:line="240" w:lineRule="auto"/>
              <w:jc w:val="center"/>
            </w:pPr>
            <w:r/>
            <w:r>
              <w:rPr>
                <w:rFonts w:ascii="Cambria" w:hAnsi="Cambria"/>
                <w:b/>
                <w:color w:val="FFFFFF"/>
                <w:sz w:val="18"/>
              </w:rPr>
              <w:t>CO</w:t>
              <w:br/>
              <w:t>No.</w:t>
            </w:r>
          </w:p>
        </w:tc>
        <w:tc>
          <w:tcPr>
            <w:tcW w:type="dxa" w:w="624"/>
            <w:shd w:val="clear" w:color="auto" w:fill="1F3A5F"/>
          </w:tcPr>
          <w:p>
            <w:pPr>
              <w:spacing w:after="40" w:line="240" w:lineRule="auto"/>
              <w:jc w:val="center"/>
            </w:pPr>
            <w:r/>
            <w:r>
              <w:rPr>
                <w:rFonts w:ascii="Cambria" w:hAnsi="Cambria"/>
                <w:b/>
                <w:color w:val="FFFFFF"/>
                <w:sz w:val="18"/>
              </w:rPr>
              <w:t>Target</w:t>
              <w:br/>
              <w:t>(%)</w:t>
            </w:r>
          </w:p>
        </w:tc>
        <w:tc>
          <w:tcPr>
            <w:tcW w:type="dxa" w:w="907"/>
            <w:shd w:val="clear" w:color="auto" w:fill="1F3A5F"/>
          </w:tcPr>
          <w:p>
            <w:pPr>
              <w:spacing w:after="40" w:line="240" w:lineRule="auto"/>
              <w:jc w:val="center"/>
            </w:pPr>
            <w:r/>
            <w:r>
              <w:rPr>
                <w:rFonts w:ascii="Cambria" w:hAnsi="Cambria"/>
                <w:b/>
                <w:color w:val="FFFFFF"/>
                <w:sz w:val="18"/>
              </w:rPr>
              <w:t>Direct</w:t>
              <w:br/>
              <w:t>Attainment</w:t>
              <w:br/>
              <w:t>(%)</w:t>
            </w:r>
          </w:p>
        </w:tc>
        <w:tc>
          <w:tcPr>
            <w:tcW w:type="dxa" w:w="907"/>
            <w:shd w:val="clear" w:color="auto" w:fill="1F3A5F"/>
          </w:tcPr>
          <w:p>
            <w:pPr>
              <w:spacing w:after="40" w:line="240" w:lineRule="auto"/>
              <w:jc w:val="center"/>
            </w:pPr>
            <w:r/>
            <w:r>
              <w:rPr>
                <w:rFonts w:ascii="Cambria" w:hAnsi="Cambria"/>
                <w:b/>
                <w:color w:val="FFFFFF"/>
                <w:sz w:val="18"/>
              </w:rPr>
              <w:t>Indirect</w:t>
              <w:br/>
              <w:t>Attainment</w:t>
              <w:br/>
              <w:t>(%)</w:t>
            </w:r>
          </w:p>
        </w:tc>
        <w:tc>
          <w:tcPr>
            <w:tcW w:type="dxa" w:w="907"/>
            <w:shd w:val="clear" w:color="auto" w:fill="1F3A5F"/>
          </w:tcPr>
          <w:p>
            <w:pPr>
              <w:spacing w:after="40" w:line="240" w:lineRule="auto"/>
              <w:jc w:val="center"/>
            </w:pPr>
            <w:r/>
            <w:r>
              <w:rPr>
                <w:rFonts w:ascii="Cambria" w:hAnsi="Cambria"/>
                <w:b/>
                <w:color w:val="FFFFFF"/>
                <w:sz w:val="18"/>
              </w:rPr>
              <w:t>Overall</w:t>
              <w:br/>
              <w:t>Attainment</w:t>
              <w:br/>
              <w:t>(%)</w:t>
            </w:r>
          </w:p>
        </w:tc>
        <w:tc>
          <w:tcPr>
            <w:tcW w:type="dxa" w:w="567"/>
            <w:shd w:val="clear" w:color="auto" w:fill="1F3A5F"/>
          </w:tcPr>
          <w:p>
            <w:pPr>
              <w:spacing w:after="40" w:line="240" w:lineRule="auto"/>
              <w:jc w:val="center"/>
            </w:pPr>
            <w:r/>
            <w:r>
              <w:rPr>
                <w:rFonts w:ascii="Cambria" w:hAnsi="Cambria"/>
                <w:b/>
                <w:color w:val="FFFFFF"/>
                <w:sz w:val="18"/>
              </w:rPr>
              <w:t>Gap</w:t>
              <w:br/>
              <w:t>(%)</w:t>
            </w:r>
          </w:p>
        </w:tc>
        <w:tc>
          <w:tcPr>
            <w:tcW w:type="dxa" w:w="1304"/>
            <w:shd w:val="clear" w:color="auto" w:fill="1F3A5F"/>
          </w:tcPr>
          <w:p>
            <w:pPr>
              <w:spacing w:after="40" w:line="240" w:lineRule="auto"/>
              <w:jc w:val="center"/>
            </w:pPr>
            <w:r/>
            <w:r>
              <w:rPr>
                <w:rFonts w:ascii="Cambria" w:hAnsi="Cambria"/>
                <w:b/>
                <w:color w:val="FFFFFF"/>
                <w:sz w:val="18"/>
              </w:rPr>
              <w:t>Remarks</w:t>
            </w:r>
          </w:p>
        </w:tc>
      </w:tr>
      <w:tr>
        <w:tc>
          <w:tcPr>
            <w:tcW w:type="dxa" w:w="1701"/>
          </w:tcPr>
          <w:p>
            <w:pPr>
              <w:spacing w:after="40" w:line="240" w:lineRule="auto"/>
              <w:jc w:val="left"/>
            </w:pPr>
            <w:r/>
            <w:r>
              <w:rPr>
                <w:rFonts w:ascii="Cambria" w:hAnsi="Cambria"/>
                <w:b w:val="0"/>
                <w:sz w:val="17"/>
              </w:rPr>
              <w:t>CS301 – Data Structures</w:t>
            </w:r>
          </w:p>
        </w:tc>
        <w:tc>
          <w:tcPr>
            <w:tcW w:type="dxa" w:w="907"/>
          </w:tcPr>
          <w:p>
            <w:pPr>
              <w:spacing w:after="40" w:line="240" w:lineRule="auto"/>
              <w:jc w:val="left"/>
            </w:pPr>
            <w:r/>
            <w:r>
              <w:rPr>
                <w:rFonts w:ascii="Cambria" w:hAnsi="Cambria"/>
                <w:b w:val="0"/>
                <w:sz w:val="17"/>
              </w:rPr>
              <w:t>2023-24</w:t>
            </w:r>
          </w:p>
        </w:tc>
        <w:tc>
          <w:tcPr>
            <w:tcW w:type="dxa" w:w="567"/>
          </w:tcPr>
          <w:p>
            <w:pPr>
              <w:spacing w:after="40" w:line="240" w:lineRule="auto"/>
              <w:jc w:val="left"/>
            </w:pPr>
            <w:r/>
            <w:r>
              <w:rPr>
                <w:rFonts w:ascii="Cambria" w:hAnsi="Cambria"/>
                <w:b w:val="0"/>
                <w:sz w:val="17"/>
              </w:rPr>
              <w:t>CO1</w:t>
            </w:r>
          </w:p>
        </w:tc>
        <w:tc>
          <w:tcPr>
            <w:tcW w:type="dxa" w:w="624"/>
          </w:tcPr>
          <w:p>
            <w:pPr>
              <w:spacing w:after="40" w:line="240" w:lineRule="auto"/>
              <w:jc w:val="left"/>
            </w:pPr>
            <w:r/>
            <w:r>
              <w:rPr>
                <w:rFonts w:ascii="Cambria" w:hAnsi="Cambria"/>
                <w:b w:val="0"/>
                <w:sz w:val="17"/>
              </w:rPr>
              <w:t>70</w:t>
            </w:r>
          </w:p>
        </w:tc>
        <w:tc>
          <w:tcPr>
            <w:tcW w:type="dxa" w:w="907"/>
          </w:tcPr>
          <w:p>
            <w:pPr>
              <w:spacing w:after="40" w:line="240" w:lineRule="auto"/>
              <w:jc w:val="left"/>
            </w:pPr>
            <w:r/>
            <w:r>
              <w:rPr>
                <w:rFonts w:ascii="Cambria" w:hAnsi="Cambria"/>
                <w:b w:val="0"/>
                <w:sz w:val="17"/>
              </w:rPr>
              <w:t>55</w:t>
            </w:r>
          </w:p>
        </w:tc>
        <w:tc>
          <w:tcPr>
            <w:tcW w:type="dxa" w:w="907"/>
          </w:tcPr>
          <w:p>
            <w:pPr>
              <w:spacing w:after="40" w:line="240" w:lineRule="auto"/>
              <w:jc w:val="left"/>
            </w:pPr>
            <w:r/>
            <w:r>
              <w:rPr>
                <w:rFonts w:ascii="Cambria" w:hAnsi="Cambria"/>
                <w:b w:val="0"/>
                <w:sz w:val="17"/>
              </w:rPr>
              <w:t>60</w:t>
            </w:r>
          </w:p>
        </w:tc>
        <w:tc>
          <w:tcPr>
            <w:tcW w:type="dxa" w:w="907"/>
          </w:tcPr>
          <w:p>
            <w:pPr>
              <w:spacing w:after="40" w:line="240" w:lineRule="auto"/>
              <w:jc w:val="left"/>
            </w:pPr>
            <w:r/>
            <w:r>
              <w:rPr>
                <w:rFonts w:ascii="Cambria" w:hAnsi="Cambria"/>
                <w:b w:val="0"/>
                <w:sz w:val="17"/>
              </w:rPr>
              <w:t>56</w:t>
            </w:r>
          </w:p>
        </w:tc>
        <w:tc>
          <w:tcPr>
            <w:tcW w:type="dxa" w:w="567"/>
          </w:tcPr>
          <w:p>
            <w:pPr>
              <w:spacing w:after="40" w:line="240" w:lineRule="auto"/>
              <w:jc w:val="left"/>
            </w:pPr>
            <w:r/>
            <w:r>
              <w:rPr>
                <w:rFonts w:ascii="Cambria" w:hAnsi="Cambria"/>
                <w:b w:val="0"/>
                <w:sz w:val="17"/>
              </w:rPr>
              <w:t>14</w:t>
            </w:r>
          </w:p>
        </w:tc>
        <w:tc>
          <w:tcPr>
            <w:tcW w:type="dxa" w:w="1304"/>
          </w:tcPr>
          <w:p>
            <w:pPr>
              <w:spacing w:after="40" w:line="240" w:lineRule="auto"/>
              <w:jc w:val="left"/>
            </w:pPr>
            <w:r/>
            <w:r>
              <w:rPr>
                <w:rFonts w:ascii="Cambria" w:hAnsi="Cambria"/>
                <w:b w:val="0"/>
                <w:sz w:val="17"/>
              </w:rPr>
              <w:t>Weak in recursion concepts</w:t>
            </w:r>
          </w:p>
        </w:tc>
      </w:tr>
      <w:tr>
        <w:tc>
          <w:tcPr>
            <w:tcW w:type="dxa" w:w="1701"/>
            <w:shd w:val="clear" w:color="auto" w:fill="F2F2F2"/>
          </w:tcPr>
          <w:p>
            <w:pPr>
              <w:spacing w:after="40" w:line="240" w:lineRule="auto"/>
              <w:jc w:val="left"/>
            </w:pPr>
            <w:r/>
            <w:r>
              <w:rPr>
                <w:rFonts w:ascii="Cambria" w:hAnsi="Cambria"/>
                <w:b w:val="0"/>
                <w:sz w:val="17"/>
              </w:rPr>
              <w:t>CS301 – Data Structures</w:t>
            </w:r>
          </w:p>
        </w:tc>
        <w:tc>
          <w:tcPr>
            <w:tcW w:type="dxa" w:w="907"/>
            <w:shd w:val="clear" w:color="auto" w:fill="F2F2F2"/>
          </w:tcPr>
          <w:p>
            <w:pPr>
              <w:spacing w:after="40" w:line="240" w:lineRule="auto"/>
              <w:jc w:val="left"/>
            </w:pPr>
            <w:r/>
            <w:r>
              <w:rPr>
                <w:rFonts w:ascii="Cambria" w:hAnsi="Cambria"/>
                <w:b w:val="0"/>
                <w:sz w:val="17"/>
              </w:rPr>
              <w:t>2023-24</w:t>
            </w:r>
          </w:p>
        </w:tc>
        <w:tc>
          <w:tcPr>
            <w:tcW w:type="dxa" w:w="567"/>
            <w:shd w:val="clear" w:color="auto" w:fill="F2F2F2"/>
          </w:tcPr>
          <w:p>
            <w:pPr>
              <w:spacing w:after="40" w:line="240" w:lineRule="auto"/>
              <w:jc w:val="left"/>
            </w:pPr>
            <w:r/>
            <w:r>
              <w:rPr>
                <w:rFonts w:ascii="Cambria" w:hAnsi="Cambria"/>
                <w:b w:val="0"/>
                <w:sz w:val="17"/>
              </w:rPr>
              <w:t>CO2</w:t>
            </w:r>
          </w:p>
        </w:tc>
        <w:tc>
          <w:tcPr>
            <w:tcW w:type="dxa" w:w="624"/>
            <w:shd w:val="clear" w:color="auto" w:fill="F2F2F2"/>
          </w:tcPr>
          <w:p>
            <w:pPr>
              <w:spacing w:after="40" w:line="240" w:lineRule="auto"/>
              <w:jc w:val="left"/>
            </w:pPr>
            <w:r/>
            <w:r>
              <w:rPr>
                <w:rFonts w:ascii="Cambria" w:hAnsi="Cambria"/>
                <w:b w:val="0"/>
                <w:sz w:val="17"/>
              </w:rPr>
              <w:t>70</w:t>
            </w:r>
          </w:p>
        </w:tc>
        <w:tc>
          <w:tcPr>
            <w:tcW w:type="dxa" w:w="907"/>
            <w:shd w:val="clear" w:color="auto" w:fill="F2F2F2"/>
          </w:tcPr>
          <w:p>
            <w:pPr>
              <w:spacing w:after="40" w:line="240" w:lineRule="auto"/>
              <w:jc w:val="left"/>
            </w:pPr>
            <w:r/>
            <w:r>
              <w:rPr>
                <w:rFonts w:ascii="Cambria" w:hAnsi="Cambria"/>
                <w:b w:val="0"/>
                <w:sz w:val="17"/>
              </w:rPr>
              <w:t>52</w:t>
            </w:r>
          </w:p>
        </w:tc>
        <w:tc>
          <w:tcPr>
            <w:tcW w:type="dxa" w:w="907"/>
            <w:shd w:val="clear" w:color="auto" w:fill="F2F2F2"/>
          </w:tcPr>
          <w:p>
            <w:pPr>
              <w:spacing w:after="40" w:line="240" w:lineRule="auto"/>
              <w:jc w:val="left"/>
            </w:pPr>
            <w:r/>
            <w:r>
              <w:rPr>
                <w:rFonts w:ascii="Cambria" w:hAnsi="Cambria"/>
                <w:b w:val="0"/>
                <w:sz w:val="17"/>
              </w:rPr>
              <w:t>58</w:t>
            </w:r>
          </w:p>
        </w:tc>
        <w:tc>
          <w:tcPr>
            <w:tcW w:type="dxa" w:w="907"/>
            <w:shd w:val="clear" w:color="auto" w:fill="F2F2F2"/>
          </w:tcPr>
          <w:p>
            <w:pPr>
              <w:spacing w:after="40" w:line="240" w:lineRule="auto"/>
              <w:jc w:val="left"/>
            </w:pPr>
            <w:r/>
            <w:r>
              <w:rPr>
                <w:rFonts w:ascii="Cambria" w:hAnsi="Cambria"/>
                <w:b w:val="0"/>
                <w:sz w:val="17"/>
              </w:rPr>
              <w:t>53</w:t>
            </w:r>
          </w:p>
        </w:tc>
        <w:tc>
          <w:tcPr>
            <w:tcW w:type="dxa" w:w="567"/>
            <w:shd w:val="clear" w:color="auto" w:fill="F2F2F2"/>
          </w:tcPr>
          <w:p>
            <w:pPr>
              <w:spacing w:after="40" w:line="240" w:lineRule="auto"/>
              <w:jc w:val="left"/>
            </w:pPr>
            <w:r/>
            <w:r>
              <w:rPr>
                <w:rFonts w:ascii="Cambria" w:hAnsi="Cambria"/>
                <w:b w:val="0"/>
                <w:sz w:val="17"/>
              </w:rPr>
              <w:t>17</w:t>
            </w:r>
          </w:p>
        </w:tc>
        <w:tc>
          <w:tcPr>
            <w:tcW w:type="dxa" w:w="1304"/>
            <w:shd w:val="clear" w:color="auto" w:fill="F2F2F2"/>
          </w:tcPr>
          <w:p>
            <w:pPr>
              <w:spacing w:after="40" w:line="240" w:lineRule="auto"/>
              <w:jc w:val="left"/>
            </w:pPr>
            <w:r/>
            <w:r>
              <w:rPr>
                <w:rFonts w:ascii="Cambria" w:hAnsi="Cambria"/>
                <w:b w:val="0"/>
                <w:sz w:val="17"/>
              </w:rPr>
              <w:t>Need more coding practice</w:t>
            </w:r>
          </w:p>
        </w:tc>
      </w:tr>
      <w:tr>
        <w:tc>
          <w:tcPr>
            <w:tcW w:type="dxa" w:w="1701"/>
          </w:tcPr>
          <w:p>
            <w:pPr>
              <w:spacing w:after="40" w:line="240" w:lineRule="auto"/>
              <w:jc w:val="left"/>
            </w:pPr>
            <w:r/>
            <w:r>
              <w:rPr>
                <w:rFonts w:ascii="Cambria" w:hAnsi="Cambria"/>
                <w:b w:val="0"/>
                <w:sz w:val="17"/>
              </w:rPr>
              <w:t>CS301 – Data Structures</w:t>
            </w:r>
          </w:p>
        </w:tc>
        <w:tc>
          <w:tcPr>
            <w:tcW w:type="dxa" w:w="907"/>
          </w:tcPr>
          <w:p>
            <w:pPr>
              <w:spacing w:after="40" w:line="240" w:lineRule="auto"/>
              <w:jc w:val="left"/>
            </w:pPr>
            <w:r/>
            <w:r>
              <w:rPr>
                <w:rFonts w:ascii="Cambria" w:hAnsi="Cambria"/>
                <w:b w:val="0"/>
                <w:sz w:val="17"/>
              </w:rPr>
              <w:t>2023-24</w:t>
            </w:r>
          </w:p>
        </w:tc>
        <w:tc>
          <w:tcPr>
            <w:tcW w:type="dxa" w:w="567"/>
          </w:tcPr>
          <w:p>
            <w:pPr>
              <w:spacing w:after="40" w:line="240" w:lineRule="auto"/>
              <w:jc w:val="left"/>
            </w:pPr>
            <w:r/>
            <w:r>
              <w:rPr>
                <w:rFonts w:ascii="Cambria" w:hAnsi="Cambria"/>
                <w:b w:val="0"/>
                <w:sz w:val="17"/>
              </w:rPr>
              <w:t>CO3</w:t>
            </w:r>
          </w:p>
        </w:tc>
        <w:tc>
          <w:tcPr>
            <w:tcW w:type="dxa" w:w="624"/>
          </w:tcPr>
          <w:p>
            <w:pPr>
              <w:spacing w:after="40" w:line="240" w:lineRule="auto"/>
              <w:jc w:val="left"/>
            </w:pPr>
            <w:r/>
            <w:r>
              <w:rPr>
                <w:rFonts w:ascii="Cambria" w:hAnsi="Cambria"/>
                <w:b w:val="0"/>
                <w:sz w:val="17"/>
              </w:rPr>
              <w:t>70</w:t>
            </w:r>
          </w:p>
        </w:tc>
        <w:tc>
          <w:tcPr>
            <w:tcW w:type="dxa" w:w="907"/>
          </w:tcPr>
          <w:p>
            <w:pPr>
              <w:spacing w:after="40" w:line="240" w:lineRule="auto"/>
              <w:jc w:val="left"/>
            </w:pPr>
            <w:r/>
            <w:r>
              <w:rPr>
                <w:rFonts w:ascii="Cambria" w:hAnsi="Cambria"/>
                <w:b w:val="0"/>
                <w:sz w:val="17"/>
              </w:rPr>
              <w:t>65</w:t>
            </w:r>
          </w:p>
        </w:tc>
        <w:tc>
          <w:tcPr>
            <w:tcW w:type="dxa" w:w="907"/>
          </w:tcPr>
          <w:p>
            <w:pPr>
              <w:spacing w:after="40" w:line="240" w:lineRule="auto"/>
              <w:jc w:val="left"/>
            </w:pPr>
            <w:r/>
            <w:r>
              <w:rPr>
                <w:rFonts w:ascii="Cambria" w:hAnsi="Cambria"/>
                <w:b w:val="0"/>
                <w:sz w:val="17"/>
              </w:rPr>
              <w:t>62</w:t>
            </w:r>
          </w:p>
        </w:tc>
        <w:tc>
          <w:tcPr>
            <w:tcW w:type="dxa" w:w="907"/>
          </w:tcPr>
          <w:p>
            <w:pPr>
              <w:spacing w:after="40" w:line="240" w:lineRule="auto"/>
              <w:jc w:val="left"/>
            </w:pPr>
            <w:r/>
            <w:r>
              <w:rPr>
                <w:rFonts w:ascii="Cambria" w:hAnsi="Cambria"/>
                <w:b w:val="0"/>
                <w:sz w:val="17"/>
              </w:rPr>
              <w:t>64</w:t>
            </w:r>
          </w:p>
        </w:tc>
        <w:tc>
          <w:tcPr>
            <w:tcW w:type="dxa" w:w="567"/>
          </w:tcPr>
          <w:p>
            <w:pPr>
              <w:spacing w:after="40" w:line="240" w:lineRule="auto"/>
              <w:jc w:val="left"/>
            </w:pPr>
            <w:r/>
            <w:r>
              <w:rPr>
                <w:rFonts w:ascii="Cambria" w:hAnsi="Cambria"/>
                <w:b w:val="0"/>
                <w:sz w:val="17"/>
              </w:rPr>
              <w:t>6</w:t>
            </w:r>
          </w:p>
        </w:tc>
        <w:tc>
          <w:tcPr>
            <w:tcW w:type="dxa" w:w="1304"/>
          </w:tcPr>
          <w:p>
            <w:pPr>
              <w:spacing w:after="40" w:line="240" w:lineRule="auto"/>
              <w:jc w:val="left"/>
            </w:pPr>
            <w:r/>
            <w:r>
              <w:rPr>
                <w:rFonts w:ascii="Cambria" w:hAnsi="Cambria"/>
                <w:b w:val="0"/>
                <w:sz w:val="17"/>
              </w:rPr>
              <w:t>Near target</w:t>
            </w:r>
          </w:p>
        </w:tc>
      </w:tr>
      <w:tr>
        <w:tc>
          <w:tcPr>
            <w:tcW w:type="dxa" w:w="1701"/>
            <w:shd w:val="clear" w:color="auto" w:fill="F2F2F2"/>
          </w:tcPr>
          <w:p>
            <w:pPr>
              <w:spacing w:after="40" w:line="240" w:lineRule="auto"/>
              <w:jc w:val="left"/>
            </w:pPr>
            <w:r/>
            <w:r>
              <w:rPr>
                <w:rFonts w:ascii="Cambria" w:hAnsi="Cambria"/>
                <w:b w:val="0"/>
                <w:sz w:val="17"/>
              </w:rPr>
              <w:t>CS301 – Data Structures</w:t>
            </w:r>
          </w:p>
        </w:tc>
        <w:tc>
          <w:tcPr>
            <w:tcW w:type="dxa" w:w="907"/>
            <w:shd w:val="clear" w:color="auto" w:fill="F2F2F2"/>
          </w:tcPr>
          <w:p>
            <w:pPr>
              <w:spacing w:after="40" w:line="240" w:lineRule="auto"/>
              <w:jc w:val="left"/>
            </w:pPr>
            <w:r/>
            <w:r>
              <w:rPr>
                <w:rFonts w:ascii="Cambria" w:hAnsi="Cambria"/>
                <w:b w:val="0"/>
                <w:sz w:val="17"/>
              </w:rPr>
              <w:t>2023-24</w:t>
            </w:r>
          </w:p>
        </w:tc>
        <w:tc>
          <w:tcPr>
            <w:tcW w:type="dxa" w:w="567"/>
            <w:shd w:val="clear" w:color="auto" w:fill="F2F2F2"/>
          </w:tcPr>
          <w:p>
            <w:pPr>
              <w:spacing w:after="40" w:line="240" w:lineRule="auto"/>
              <w:jc w:val="left"/>
            </w:pPr>
            <w:r/>
            <w:r>
              <w:rPr>
                <w:rFonts w:ascii="Cambria" w:hAnsi="Cambria"/>
                <w:b w:val="0"/>
                <w:sz w:val="17"/>
              </w:rPr>
              <w:t>CO4</w:t>
            </w:r>
          </w:p>
        </w:tc>
        <w:tc>
          <w:tcPr>
            <w:tcW w:type="dxa" w:w="624"/>
            <w:shd w:val="clear" w:color="auto" w:fill="F2F2F2"/>
          </w:tcPr>
          <w:p>
            <w:pPr>
              <w:spacing w:after="40" w:line="240" w:lineRule="auto"/>
              <w:jc w:val="left"/>
            </w:pPr>
            <w:r/>
            <w:r>
              <w:rPr>
                <w:rFonts w:ascii="Cambria" w:hAnsi="Cambria"/>
                <w:b w:val="0"/>
                <w:sz w:val="17"/>
              </w:rPr>
              <w:t>70</w:t>
            </w:r>
          </w:p>
        </w:tc>
        <w:tc>
          <w:tcPr>
            <w:tcW w:type="dxa" w:w="907"/>
            <w:shd w:val="clear" w:color="auto" w:fill="F2F2F2"/>
          </w:tcPr>
          <w:p>
            <w:pPr>
              <w:spacing w:after="40" w:line="240" w:lineRule="auto"/>
              <w:jc w:val="left"/>
            </w:pPr>
            <w:r/>
            <w:r>
              <w:rPr>
                <w:rFonts w:ascii="Cambria" w:hAnsi="Cambria"/>
                <w:b w:val="0"/>
                <w:sz w:val="17"/>
              </w:rPr>
              <w:t>68</w:t>
            </w:r>
          </w:p>
        </w:tc>
        <w:tc>
          <w:tcPr>
            <w:tcW w:type="dxa" w:w="907"/>
            <w:shd w:val="clear" w:color="auto" w:fill="F2F2F2"/>
          </w:tcPr>
          <w:p>
            <w:pPr>
              <w:spacing w:after="40" w:line="240" w:lineRule="auto"/>
              <w:jc w:val="left"/>
            </w:pPr>
            <w:r/>
            <w:r>
              <w:rPr>
                <w:rFonts w:ascii="Cambria" w:hAnsi="Cambria"/>
                <w:b w:val="0"/>
                <w:sz w:val="17"/>
              </w:rPr>
              <w:t>66</w:t>
            </w:r>
          </w:p>
        </w:tc>
        <w:tc>
          <w:tcPr>
            <w:tcW w:type="dxa" w:w="907"/>
            <w:shd w:val="clear" w:color="auto" w:fill="F2F2F2"/>
          </w:tcPr>
          <w:p>
            <w:pPr>
              <w:spacing w:after="40" w:line="240" w:lineRule="auto"/>
              <w:jc w:val="left"/>
            </w:pPr>
            <w:r/>
            <w:r>
              <w:rPr>
                <w:rFonts w:ascii="Cambria" w:hAnsi="Cambria"/>
                <w:b w:val="0"/>
                <w:sz w:val="17"/>
              </w:rPr>
              <w:t>67</w:t>
            </w:r>
          </w:p>
        </w:tc>
        <w:tc>
          <w:tcPr>
            <w:tcW w:type="dxa" w:w="567"/>
            <w:shd w:val="clear" w:color="auto" w:fill="F2F2F2"/>
          </w:tcPr>
          <w:p>
            <w:pPr>
              <w:spacing w:after="40" w:line="240" w:lineRule="auto"/>
              <w:jc w:val="left"/>
            </w:pPr>
            <w:r/>
            <w:r>
              <w:rPr>
                <w:rFonts w:ascii="Cambria" w:hAnsi="Cambria"/>
                <w:b w:val="0"/>
                <w:sz w:val="17"/>
              </w:rPr>
              <w:t>3</w:t>
            </w:r>
          </w:p>
        </w:tc>
        <w:tc>
          <w:tcPr>
            <w:tcW w:type="dxa" w:w="1304"/>
            <w:shd w:val="clear" w:color="auto" w:fill="F2F2F2"/>
          </w:tcPr>
          <w:p>
            <w:pPr>
              <w:spacing w:after="40" w:line="240" w:lineRule="auto"/>
              <w:jc w:val="left"/>
            </w:pPr>
            <w:r/>
            <w:r>
              <w:rPr>
                <w:rFonts w:ascii="Cambria" w:hAnsi="Cambria"/>
                <w:b w:val="0"/>
                <w:sz w:val="17"/>
              </w:rPr>
              <w:t>Achieved</w:t>
            </w:r>
          </w:p>
        </w:tc>
      </w:tr>
    </w:tbl>
    <w:p>
      <w:pPr>
        <w:spacing w:after="40"/>
      </w:pPr>
    </w:p>
    <w:p>
      <w:pPr>
        <w:pStyle w:val="Heading3"/>
      </w:pPr>
      <w:r>
        <w:rPr>
          <w:rFonts w:ascii="Cambria" w:hAnsi="Cambria"/>
          <w:b/>
          <w:color w:val="1F3A5F"/>
          <w:sz w:val="26"/>
        </w:rPr>
        <w:t>4. Year-wise Consolidated Report</w:t>
      </w:r>
    </w:p>
    <w:p>
      <w:pPr>
        <w:pStyle w:val="ListBullet"/>
        <w:spacing w:after="80" w:line="276" w:lineRule="auto"/>
      </w:pPr>
      <w:r>
        <w:rPr>
          <w:rFonts w:ascii="Cambria" w:hAnsi="Cambria"/>
          <w:b w:val="0"/>
          <w:i w:val="0"/>
          <w:sz w:val="22"/>
        </w:rPr>
        <w:t>Aggregate Attainment Trends per Course (3 years)</w:t>
      </w:r>
    </w:p>
    <w:tbl>
      <w:tblPr>
        <w:tblStyle w:val="TableGrid"/>
        <w:tblW w:type="auto" w:w="0"/>
        <w:jc w:val="center"/>
        <w:tblLayout w:type="fixed"/>
        <w:tblLook w:firstColumn="1" w:firstRow="1" w:lastColumn="0" w:lastRow="0" w:noHBand="0" w:noVBand="1" w:val="04A0"/>
        <w:tblLayout w:type="fixed"/>
      </w:tblPr>
      <w:tblGrid>
        <w:gridCol w:w="2041"/>
        <w:gridCol w:w="680"/>
        <w:gridCol w:w="1020"/>
        <w:gridCol w:w="1020"/>
        <w:gridCol w:w="1020"/>
        <w:gridCol w:w="567"/>
        <w:gridCol w:w="1928"/>
      </w:tblGrid>
      <w:tr>
        <w:tc>
          <w:tcPr>
            <w:tcW w:type="dxa" w:w="2041"/>
            <w:shd w:val="clear" w:color="auto" w:fill="1F3A5F"/>
          </w:tcPr>
          <w:p>
            <w:pPr>
              <w:spacing w:after="40" w:line="240" w:lineRule="auto"/>
              <w:jc w:val="center"/>
            </w:pPr>
            <w:r/>
            <w:r>
              <w:rPr>
                <w:rFonts w:ascii="Cambria" w:hAnsi="Cambria"/>
                <w:b/>
                <w:color w:val="FFFFFF"/>
                <w:sz w:val="18"/>
              </w:rPr>
              <w:t>Course Code &amp; Title</w:t>
            </w:r>
          </w:p>
        </w:tc>
        <w:tc>
          <w:tcPr>
            <w:tcW w:type="dxa" w:w="680"/>
            <w:shd w:val="clear" w:color="auto" w:fill="1F3A5F"/>
          </w:tcPr>
          <w:p>
            <w:pPr>
              <w:spacing w:after="40" w:line="240" w:lineRule="auto"/>
              <w:jc w:val="center"/>
            </w:pPr>
            <w:r/>
            <w:r>
              <w:rPr>
                <w:rFonts w:ascii="Cambria" w:hAnsi="Cambria"/>
                <w:b/>
                <w:color w:val="FFFFFF"/>
                <w:sz w:val="18"/>
              </w:rPr>
              <w:t>CO No.</w:t>
            </w:r>
          </w:p>
        </w:tc>
        <w:tc>
          <w:tcPr>
            <w:tcW w:type="dxa" w:w="1020"/>
            <w:shd w:val="clear" w:color="auto" w:fill="1F3A5F"/>
          </w:tcPr>
          <w:p>
            <w:pPr>
              <w:spacing w:after="40" w:line="240" w:lineRule="auto"/>
              <w:jc w:val="center"/>
            </w:pPr>
            <w:r/>
            <w:r>
              <w:rPr>
                <w:rFonts w:ascii="Cambria" w:hAnsi="Cambria"/>
                <w:b/>
                <w:color w:val="FFFFFF"/>
                <w:sz w:val="18"/>
              </w:rPr>
              <w:t>CAY</w:t>
              <w:br/>
              <w:t>(2024-25)</w:t>
            </w:r>
          </w:p>
        </w:tc>
        <w:tc>
          <w:tcPr>
            <w:tcW w:type="dxa" w:w="1020"/>
            <w:shd w:val="clear" w:color="auto" w:fill="1F3A5F"/>
          </w:tcPr>
          <w:p>
            <w:pPr>
              <w:spacing w:after="40" w:line="240" w:lineRule="auto"/>
              <w:jc w:val="center"/>
            </w:pPr>
            <w:r/>
            <w:r>
              <w:rPr>
                <w:rFonts w:ascii="Cambria" w:hAnsi="Cambria"/>
                <w:b/>
                <w:color w:val="FFFFFF"/>
                <w:sz w:val="18"/>
              </w:rPr>
              <w:t>CAYm1</w:t>
              <w:br/>
              <w:t>(2023-24)</w:t>
            </w:r>
          </w:p>
        </w:tc>
        <w:tc>
          <w:tcPr>
            <w:tcW w:type="dxa" w:w="1020"/>
            <w:shd w:val="clear" w:color="auto" w:fill="1F3A5F"/>
          </w:tcPr>
          <w:p>
            <w:pPr>
              <w:spacing w:after="40" w:line="240" w:lineRule="auto"/>
              <w:jc w:val="center"/>
            </w:pPr>
            <w:r/>
            <w:r>
              <w:rPr>
                <w:rFonts w:ascii="Cambria" w:hAnsi="Cambria"/>
                <w:b/>
                <w:color w:val="FFFFFF"/>
                <w:sz w:val="18"/>
              </w:rPr>
              <w:t>CAYm2</w:t>
              <w:br/>
              <w:t>(2022-23)</w:t>
            </w:r>
          </w:p>
        </w:tc>
        <w:tc>
          <w:tcPr>
            <w:tcW w:type="dxa" w:w="567"/>
            <w:shd w:val="clear" w:color="auto" w:fill="1F3A5F"/>
          </w:tcPr>
          <w:p>
            <w:pPr>
              <w:spacing w:after="40" w:line="240" w:lineRule="auto"/>
              <w:jc w:val="center"/>
            </w:pPr>
            <w:r/>
            <w:r>
              <w:rPr>
                <w:rFonts w:ascii="Cambria" w:hAnsi="Cambria"/>
                <w:b/>
                <w:color w:val="FFFFFF"/>
                <w:sz w:val="18"/>
              </w:rPr>
              <w:t>Trend</w:t>
            </w:r>
          </w:p>
        </w:tc>
        <w:tc>
          <w:tcPr>
            <w:tcW w:type="dxa" w:w="1928"/>
            <w:shd w:val="clear" w:color="auto" w:fill="1F3A5F"/>
          </w:tcPr>
          <w:p>
            <w:pPr>
              <w:spacing w:after="40" w:line="240" w:lineRule="auto"/>
              <w:jc w:val="center"/>
            </w:pPr>
            <w:r/>
            <w:r>
              <w:rPr>
                <w:rFonts w:ascii="Cambria" w:hAnsi="Cambria"/>
                <w:b/>
                <w:color w:val="FFFFFF"/>
                <w:sz w:val="18"/>
              </w:rPr>
              <w:t>Remarks</w:t>
            </w:r>
          </w:p>
        </w:tc>
      </w:tr>
      <w:tr>
        <w:tc>
          <w:tcPr>
            <w:tcW w:type="dxa" w:w="2041"/>
          </w:tcPr>
          <w:p>
            <w:pPr>
              <w:spacing w:after="40" w:line="240" w:lineRule="auto"/>
              <w:jc w:val="left"/>
            </w:pPr>
            <w:r/>
            <w:r>
              <w:rPr>
                <w:rFonts w:ascii="Cambria" w:hAnsi="Cambria"/>
                <w:b w:val="0"/>
                <w:sz w:val="17"/>
              </w:rPr>
              <w:t>CS301 – Data Structures</w:t>
            </w:r>
          </w:p>
        </w:tc>
        <w:tc>
          <w:tcPr>
            <w:tcW w:type="dxa" w:w="680"/>
          </w:tcPr>
          <w:p>
            <w:pPr>
              <w:spacing w:after="40" w:line="240" w:lineRule="auto"/>
              <w:jc w:val="left"/>
            </w:pPr>
            <w:r/>
            <w:r>
              <w:rPr>
                <w:rFonts w:ascii="Cambria" w:hAnsi="Cambria"/>
                <w:b w:val="0"/>
                <w:sz w:val="17"/>
              </w:rPr>
              <w:t>CO1</w:t>
            </w:r>
          </w:p>
        </w:tc>
        <w:tc>
          <w:tcPr>
            <w:tcW w:type="dxa" w:w="1020"/>
          </w:tcPr>
          <w:p>
            <w:pPr>
              <w:spacing w:after="40" w:line="240" w:lineRule="auto"/>
              <w:jc w:val="left"/>
            </w:pPr>
            <w:r/>
            <w:r>
              <w:rPr>
                <w:rFonts w:ascii="Cambria" w:hAnsi="Cambria"/>
                <w:b w:val="0"/>
                <w:sz w:val="17"/>
              </w:rPr>
              <w:t>72%</w:t>
            </w:r>
          </w:p>
        </w:tc>
        <w:tc>
          <w:tcPr>
            <w:tcW w:type="dxa" w:w="1020"/>
          </w:tcPr>
          <w:p>
            <w:pPr>
              <w:spacing w:after="40" w:line="240" w:lineRule="auto"/>
              <w:jc w:val="left"/>
            </w:pPr>
            <w:r/>
            <w:r>
              <w:rPr>
                <w:rFonts w:ascii="Cambria" w:hAnsi="Cambria"/>
                <w:b w:val="0"/>
                <w:sz w:val="17"/>
              </w:rPr>
              <w:t>68%</w:t>
            </w:r>
          </w:p>
        </w:tc>
        <w:tc>
          <w:tcPr>
            <w:tcW w:type="dxa" w:w="1020"/>
          </w:tcPr>
          <w:p>
            <w:pPr>
              <w:spacing w:after="40" w:line="240" w:lineRule="auto"/>
              <w:jc w:val="left"/>
            </w:pPr>
            <w:r/>
            <w:r>
              <w:rPr>
                <w:rFonts w:ascii="Cambria" w:hAnsi="Cambria"/>
                <w:b w:val="0"/>
                <w:sz w:val="17"/>
              </w:rPr>
              <w:t>61%</w:t>
            </w:r>
          </w:p>
        </w:tc>
        <w:tc>
          <w:tcPr>
            <w:tcW w:type="dxa" w:w="567"/>
          </w:tcPr>
          <w:p>
            <w:pPr>
              <w:spacing w:after="40" w:line="240" w:lineRule="auto"/>
              <w:jc w:val="left"/>
            </w:pPr>
            <w:r/>
            <w:r>
              <w:rPr>
                <w:rFonts w:ascii="Cambria" w:hAnsi="Cambria"/>
                <w:b w:val="0"/>
                <w:sz w:val="17"/>
              </w:rPr>
              <w:t>↑</w:t>
            </w:r>
          </w:p>
        </w:tc>
        <w:tc>
          <w:tcPr>
            <w:tcW w:type="dxa" w:w="1928"/>
          </w:tcPr>
          <w:p>
            <w:pPr>
              <w:spacing w:after="40" w:line="240" w:lineRule="auto"/>
              <w:jc w:val="left"/>
            </w:pPr>
            <w:r/>
            <w:r>
              <w:rPr>
                <w:rFonts w:ascii="Cambria" w:hAnsi="Cambria"/>
                <w:b w:val="0"/>
                <w:sz w:val="17"/>
              </w:rPr>
              <w:t>Steady improvement</w:t>
            </w:r>
          </w:p>
        </w:tc>
      </w:tr>
      <w:tr>
        <w:tc>
          <w:tcPr>
            <w:tcW w:type="dxa" w:w="2041"/>
            <w:shd w:val="clear" w:color="auto" w:fill="F2F2F2"/>
          </w:tcPr>
          <w:p>
            <w:pPr>
              <w:spacing w:after="40" w:line="240" w:lineRule="auto"/>
              <w:jc w:val="left"/>
            </w:pPr>
            <w:r/>
            <w:r>
              <w:rPr>
                <w:rFonts w:ascii="Cambria" w:hAnsi="Cambria"/>
                <w:b w:val="0"/>
                <w:sz w:val="17"/>
              </w:rPr>
              <w:t>CS301 – Data Structures</w:t>
            </w:r>
          </w:p>
        </w:tc>
        <w:tc>
          <w:tcPr>
            <w:tcW w:type="dxa" w:w="680"/>
            <w:shd w:val="clear" w:color="auto" w:fill="F2F2F2"/>
          </w:tcPr>
          <w:p>
            <w:pPr>
              <w:spacing w:after="40" w:line="240" w:lineRule="auto"/>
              <w:jc w:val="left"/>
            </w:pPr>
            <w:r/>
            <w:r>
              <w:rPr>
                <w:rFonts w:ascii="Cambria" w:hAnsi="Cambria"/>
                <w:b w:val="0"/>
                <w:sz w:val="17"/>
              </w:rPr>
              <w:t>CO2</w:t>
            </w:r>
          </w:p>
        </w:tc>
        <w:tc>
          <w:tcPr>
            <w:tcW w:type="dxa" w:w="1020"/>
            <w:shd w:val="clear" w:color="auto" w:fill="F2F2F2"/>
          </w:tcPr>
          <w:p>
            <w:pPr>
              <w:spacing w:after="40" w:line="240" w:lineRule="auto"/>
              <w:jc w:val="left"/>
            </w:pPr>
            <w:r/>
            <w:r>
              <w:rPr>
                <w:rFonts w:ascii="Cambria" w:hAnsi="Cambria"/>
                <w:b w:val="0"/>
                <w:sz w:val="17"/>
              </w:rPr>
              <w:t>70%</w:t>
            </w:r>
          </w:p>
        </w:tc>
        <w:tc>
          <w:tcPr>
            <w:tcW w:type="dxa" w:w="1020"/>
            <w:shd w:val="clear" w:color="auto" w:fill="F2F2F2"/>
          </w:tcPr>
          <w:p>
            <w:pPr>
              <w:spacing w:after="40" w:line="240" w:lineRule="auto"/>
              <w:jc w:val="left"/>
            </w:pPr>
            <w:r/>
            <w:r>
              <w:rPr>
                <w:rFonts w:ascii="Cambria" w:hAnsi="Cambria"/>
                <w:b w:val="0"/>
                <w:sz w:val="17"/>
              </w:rPr>
              <w:t>53%</w:t>
            </w:r>
          </w:p>
        </w:tc>
        <w:tc>
          <w:tcPr>
            <w:tcW w:type="dxa" w:w="1020"/>
            <w:shd w:val="clear" w:color="auto" w:fill="F2F2F2"/>
          </w:tcPr>
          <w:p>
            <w:pPr>
              <w:spacing w:after="40" w:line="240" w:lineRule="auto"/>
              <w:jc w:val="left"/>
            </w:pPr>
            <w:r/>
            <w:r>
              <w:rPr>
                <w:rFonts w:ascii="Cambria" w:hAnsi="Cambria"/>
                <w:b w:val="0"/>
                <w:sz w:val="17"/>
              </w:rPr>
              <w:t>49%</w:t>
            </w:r>
          </w:p>
        </w:tc>
        <w:tc>
          <w:tcPr>
            <w:tcW w:type="dxa" w:w="567"/>
            <w:shd w:val="clear" w:color="auto" w:fill="F2F2F2"/>
          </w:tcPr>
          <w:p>
            <w:pPr>
              <w:spacing w:after="40" w:line="240" w:lineRule="auto"/>
              <w:jc w:val="left"/>
            </w:pPr>
            <w:r/>
            <w:r>
              <w:rPr>
                <w:rFonts w:ascii="Cambria" w:hAnsi="Cambria"/>
                <w:b w:val="0"/>
                <w:sz w:val="17"/>
              </w:rPr>
              <w:t>↑</w:t>
            </w:r>
          </w:p>
        </w:tc>
        <w:tc>
          <w:tcPr>
            <w:tcW w:type="dxa" w:w="1928"/>
            <w:shd w:val="clear" w:color="auto" w:fill="F2F2F2"/>
          </w:tcPr>
          <w:p>
            <w:pPr>
              <w:spacing w:after="40" w:line="240" w:lineRule="auto"/>
              <w:jc w:val="left"/>
            </w:pPr>
            <w:r/>
            <w:r>
              <w:rPr>
                <w:rFonts w:ascii="Cambria" w:hAnsi="Cambria"/>
                <w:b w:val="0"/>
                <w:sz w:val="17"/>
              </w:rPr>
              <w:t>Improved due to coding practice sessions</w:t>
            </w:r>
          </w:p>
        </w:tc>
      </w:tr>
      <w:tr>
        <w:tc>
          <w:tcPr>
            <w:tcW w:type="dxa" w:w="2041"/>
          </w:tcPr>
          <w:p>
            <w:pPr>
              <w:spacing w:after="40" w:line="240" w:lineRule="auto"/>
              <w:jc w:val="left"/>
            </w:pPr>
            <w:r/>
            <w:r>
              <w:rPr>
                <w:rFonts w:ascii="Cambria" w:hAnsi="Cambria"/>
                <w:b w:val="0"/>
                <w:sz w:val="17"/>
              </w:rPr>
              <w:t>CS301 – Data Structures</w:t>
            </w:r>
          </w:p>
        </w:tc>
        <w:tc>
          <w:tcPr>
            <w:tcW w:type="dxa" w:w="680"/>
          </w:tcPr>
          <w:p>
            <w:pPr>
              <w:spacing w:after="40" w:line="240" w:lineRule="auto"/>
              <w:jc w:val="left"/>
            </w:pPr>
            <w:r/>
            <w:r>
              <w:rPr>
                <w:rFonts w:ascii="Cambria" w:hAnsi="Cambria"/>
                <w:b w:val="0"/>
                <w:sz w:val="17"/>
              </w:rPr>
              <w:t>CO3</w:t>
            </w:r>
          </w:p>
        </w:tc>
        <w:tc>
          <w:tcPr>
            <w:tcW w:type="dxa" w:w="1020"/>
          </w:tcPr>
          <w:p>
            <w:pPr>
              <w:spacing w:after="40" w:line="240" w:lineRule="auto"/>
              <w:jc w:val="left"/>
            </w:pPr>
            <w:r/>
            <w:r>
              <w:rPr>
                <w:rFonts w:ascii="Cambria" w:hAnsi="Cambria"/>
                <w:b w:val="0"/>
                <w:sz w:val="17"/>
              </w:rPr>
              <w:t>75%</w:t>
            </w:r>
          </w:p>
        </w:tc>
        <w:tc>
          <w:tcPr>
            <w:tcW w:type="dxa" w:w="1020"/>
          </w:tcPr>
          <w:p>
            <w:pPr>
              <w:spacing w:after="40" w:line="240" w:lineRule="auto"/>
              <w:jc w:val="left"/>
            </w:pPr>
            <w:r/>
            <w:r>
              <w:rPr>
                <w:rFonts w:ascii="Cambria" w:hAnsi="Cambria"/>
                <w:b w:val="0"/>
                <w:sz w:val="17"/>
              </w:rPr>
              <w:t>64%</w:t>
            </w:r>
          </w:p>
        </w:tc>
        <w:tc>
          <w:tcPr>
            <w:tcW w:type="dxa" w:w="1020"/>
          </w:tcPr>
          <w:p>
            <w:pPr>
              <w:spacing w:after="40" w:line="240" w:lineRule="auto"/>
              <w:jc w:val="left"/>
            </w:pPr>
            <w:r/>
            <w:r>
              <w:rPr>
                <w:rFonts w:ascii="Cambria" w:hAnsi="Cambria"/>
                <w:b w:val="0"/>
                <w:sz w:val="17"/>
              </w:rPr>
              <w:t>58%</w:t>
            </w:r>
          </w:p>
        </w:tc>
        <w:tc>
          <w:tcPr>
            <w:tcW w:type="dxa" w:w="567"/>
          </w:tcPr>
          <w:p>
            <w:pPr>
              <w:spacing w:after="40" w:line="240" w:lineRule="auto"/>
              <w:jc w:val="left"/>
            </w:pPr>
            <w:r/>
            <w:r>
              <w:rPr>
                <w:rFonts w:ascii="Cambria" w:hAnsi="Cambria"/>
                <w:b w:val="0"/>
                <w:sz w:val="17"/>
              </w:rPr>
              <w:t>↑</w:t>
            </w:r>
          </w:p>
        </w:tc>
        <w:tc>
          <w:tcPr>
            <w:tcW w:type="dxa" w:w="1928"/>
          </w:tcPr>
          <w:p>
            <w:pPr>
              <w:spacing w:after="40" w:line="240" w:lineRule="auto"/>
              <w:jc w:val="left"/>
            </w:pPr>
            <w:r/>
            <w:r>
              <w:rPr>
                <w:rFonts w:ascii="Cambria" w:hAnsi="Cambria"/>
                <w:b w:val="0"/>
                <w:sz w:val="17"/>
              </w:rPr>
              <w:t>Significant growth</w:t>
            </w:r>
          </w:p>
        </w:tc>
      </w:tr>
      <w:tr>
        <w:tc>
          <w:tcPr>
            <w:tcW w:type="dxa" w:w="2041"/>
            <w:shd w:val="clear" w:color="auto" w:fill="F2F2F2"/>
          </w:tcPr>
          <w:p>
            <w:pPr>
              <w:spacing w:after="40" w:line="240" w:lineRule="auto"/>
              <w:jc w:val="left"/>
            </w:pPr>
            <w:r/>
            <w:r>
              <w:rPr>
                <w:rFonts w:ascii="Cambria" w:hAnsi="Cambria"/>
                <w:b w:val="0"/>
                <w:sz w:val="17"/>
              </w:rPr>
              <w:t>CS301 – Data Structures</w:t>
            </w:r>
          </w:p>
        </w:tc>
        <w:tc>
          <w:tcPr>
            <w:tcW w:type="dxa" w:w="680"/>
            <w:shd w:val="clear" w:color="auto" w:fill="F2F2F2"/>
          </w:tcPr>
          <w:p>
            <w:pPr>
              <w:spacing w:after="40" w:line="240" w:lineRule="auto"/>
              <w:jc w:val="left"/>
            </w:pPr>
            <w:r/>
            <w:r>
              <w:rPr>
                <w:rFonts w:ascii="Cambria" w:hAnsi="Cambria"/>
                <w:b w:val="0"/>
                <w:sz w:val="17"/>
              </w:rPr>
              <w:t>CO4</w:t>
            </w:r>
          </w:p>
        </w:tc>
        <w:tc>
          <w:tcPr>
            <w:tcW w:type="dxa" w:w="1020"/>
            <w:shd w:val="clear" w:color="auto" w:fill="F2F2F2"/>
          </w:tcPr>
          <w:p>
            <w:pPr>
              <w:spacing w:after="40" w:line="240" w:lineRule="auto"/>
              <w:jc w:val="left"/>
            </w:pPr>
            <w:r/>
            <w:r>
              <w:rPr>
                <w:rFonts w:ascii="Cambria" w:hAnsi="Cambria"/>
                <w:b w:val="0"/>
                <w:sz w:val="17"/>
              </w:rPr>
              <w:t>73%</w:t>
            </w:r>
          </w:p>
        </w:tc>
        <w:tc>
          <w:tcPr>
            <w:tcW w:type="dxa" w:w="1020"/>
            <w:shd w:val="clear" w:color="auto" w:fill="F2F2F2"/>
          </w:tcPr>
          <w:p>
            <w:pPr>
              <w:spacing w:after="40" w:line="240" w:lineRule="auto"/>
              <w:jc w:val="left"/>
            </w:pPr>
            <w:r/>
            <w:r>
              <w:rPr>
                <w:rFonts w:ascii="Cambria" w:hAnsi="Cambria"/>
                <w:b w:val="0"/>
                <w:sz w:val="17"/>
              </w:rPr>
              <w:t>67%</w:t>
            </w:r>
          </w:p>
        </w:tc>
        <w:tc>
          <w:tcPr>
            <w:tcW w:type="dxa" w:w="1020"/>
            <w:shd w:val="clear" w:color="auto" w:fill="F2F2F2"/>
          </w:tcPr>
          <w:p>
            <w:pPr>
              <w:spacing w:after="40" w:line="240" w:lineRule="auto"/>
              <w:jc w:val="left"/>
            </w:pPr>
            <w:r/>
            <w:r>
              <w:rPr>
                <w:rFonts w:ascii="Cambria" w:hAnsi="Cambria"/>
                <w:b w:val="0"/>
                <w:sz w:val="17"/>
              </w:rPr>
              <w:t>62%</w:t>
            </w:r>
          </w:p>
        </w:tc>
        <w:tc>
          <w:tcPr>
            <w:tcW w:type="dxa" w:w="567"/>
            <w:shd w:val="clear" w:color="auto" w:fill="F2F2F2"/>
          </w:tcPr>
          <w:p>
            <w:pPr>
              <w:spacing w:after="40" w:line="240" w:lineRule="auto"/>
              <w:jc w:val="left"/>
            </w:pPr>
            <w:r/>
            <w:r>
              <w:rPr>
                <w:rFonts w:ascii="Cambria" w:hAnsi="Cambria"/>
                <w:b w:val="0"/>
                <w:sz w:val="17"/>
              </w:rPr>
              <w:t>↑</w:t>
            </w:r>
          </w:p>
        </w:tc>
        <w:tc>
          <w:tcPr>
            <w:tcW w:type="dxa" w:w="1928"/>
            <w:shd w:val="clear" w:color="auto" w:fill="F2F2F2"/>
          </w:tcPr>
          <w:p>
            <w:pPr>
              <w:spacing w:after="40" w:line="240" w:lineRule="auto"/>
              <w:jc w:val="left"/>
            </w:pPr>
            <w:r/>
            <w:r>
              <w:rPr>
                <w:rFonts w:ascii="Cambria" w:hAnsi="Cambria"/>
                <w:b w:val="0"/>
                <w:sz w:val="17"/>
              </w:rPr>
              <w:t>Near target consistently</w:t>
            </w:r>
          </w:p>
        </w:tc>
      </w:tr>
    </w:tbl>
    <w:p>
      <w:pPr>
        <w:spacing w:after="40"/>
      </w:pPr>
    </w:p>
    <w:p>
      <w:pPr>
        <w:pStyle w:val="Heading3"/>
      </w:pPr>
      <w:r>
        <w:rPr>
          <w:rFonts w:ascii="Cambria" w:hAnsi="Cambria"/>
          <w:b/>
          <w:color w:val="1F3A5F"/>
          <w:sz w:val="26"/>
        </w:rPr>
        <w:t>5. Documentation &amp; Evidence</w:t>
      </w:r>
    </w:p>
    <w:p>
      <w:pPr>
        <w:pStyle w:val="ListBullet"/>
        <w:spacing w:after="80" w:line="276" w:lineRule="auto"/>
      </w:pPr>
      <w:r>
        <w:rPr>
          <w:rFonts w:ascii="Cambria" w:hAnsi="Cambria"/>
          <w:b w:val="0"/>
          <w:i w:val="0"/>
          <w:sz w:val="22"/>
        </w:rPr>
        <w:t>CO attainment calculation sheets (with raw marks).</w:t>
      </w:r>
    </w:p>
    <w:p>
      <w:pPr>
        <w:pStyle w:val="ListBullet"/>
        <w:spacing w:after="80" w:line="276" w:lineRule="auto"/>
      </w:pPr>
      <w:r>
        <w:rPr>
          <w:rFonts w:ascii="Cambria" w:hAnsi="Cambria"/>
          <w:b w:val="0"/>
          <w:i w:val="0"/>
          <w:sz w:val="22"/>
        </w:rPr>
        <w:t>Meeting minutes (DAB, BoS) discussing gaps and actions.</w:t>
      </w:r>
    </w:p>
    <w:p>
      <w:pPr>
        <w:pStyle w:val="ListBullet"/>
        <w:spacing w:after="80" w:line="276" w:lineRule="auto"/>
      </w:pPr>
      <w:r>
        <w:rPr>
          <w:rFonts w:ascii="Cambria" w:hAnsi="Cambria"/>
          <w:b w:val="0"/>
          <w:i w:val="0"/>
          <w:sz w:val="22"/>
        </w:rPr>
        <w:t>Evidence of remedial measures taken (remedial class schedules, FDPs, bridge courses).</w:t>
      </w:r>
    </w:p>
    <w:p>
      <w:pPr>
        <w:pStyle w:val="ListBullet"/>
        <w:spacing w:after="80" w:line="276" w:lineRule="auto"/>
      </w:pPr>
      <w:r>
        <w:rPr>
          <w:rFonts w:ascii="Cambria" w:hAnsi="Cambria"/>
          <w:b w:val="0"/>
          <w:i w:val="0"/>
          <w:sz w:val="22"/>
        </w:rPr>
        <w:t>Year-on-year trend charts (line/bar graphs).</w:t>
      </w:r>
    </w:p>
    <w:p>
      <w:pPr>
        <w:pStyle w:val="ListBullet"/>
        <w:spacing w:after="80" w:line="276" w:lineRule="auto"/>
      </w:pPr>
      <w:r>
        <w:rPr>
          <w:rFonts w:ascii="Cambria" w:hAnsi="Cambria"/>
          <w:b w:val="0"/>
          <w:i w:val="0"/>
          <w:sz w:val="22"/>
        </w:rPr>
        <w:t>Stakeholder feedback survey results.</w:t>
      </w:r>
    </w:p>
    <w:p>
      <w:pPr>
        <w:pStyle w:val="Heading3"/>
      </w:pPr>
      <w:r>
        <w:rPr>
          <w:rFonts w:ascii="Cambria" w:hAnsi="Cambria"/>
          <w:b/>
          <w:color w:val="1F3A5F"/>
          <w:sz w:val="26"/>
        </w:rPr>
        <w:t>6. Impact Highlighting</w:t>
      </w:r>
    </w:p>
    <w:p>
      <w:pPr>
        <w:pStyle w:val="ListBullet"/>
        <w:spacing w:after="80" w:line="276" w:lineRule="auto"/>
      </w:pPr>
      <w:r>
        <w:rPr>
          <w:rFonts w:ascii="Cambria" w:hAnsi="Cambria"/>
          <w:b w:val="0"/>
          <w:i w:val="0"/>
          <w:sz w:val="22"/>
        </w:rPr>
        <w:t>Show improvements in CO attainment over years.</w:t>
      </w:r>
    </w:p>
    <w:p>
      <w:pPr>
        <w:pStyle w:val="ListBullet"/>
        <w:spacing w:after="80" w:line="276" w:lineRule="auto"/>
      </w:pPr>
      <w:r>
        <w:rPr>
          <w:rFonts w:ascii="Cambria" w:hAnsi="Cambria"/>
          <w:b w:val="0"/>
          <w:i w:val="0"/>
          <w:sz w:val="22"/>
        </w:rPr>
        <w:t>Demonstrate closing the loop (weakness identified → action taken → improvement achieved).</w:t>
      </w:r>
    </w:p>
    <w:p>
      <w:pPr>
        <w:pStyle w:val="ListBullet"/>
        <w:spacing w:after="80" w:line="276" w:lineRule="auto"/>
      </w:pPr>
      <w:r>
        <w:rPr>
          <w:rFonts w:ascii="Cambria" w:hAnsi="Cambria"/>
          <w:b w:val="0"/>
          <w:i w:val="0"/>
          <w:sz w:val="22"/>
        </w:rPr>
        <w:t>Provide graphical representations (Excel/Power BI dashboards) for clarity in NBA presentation.</w:t>
      </w:r>
    </w:p>
    <w:p>
      <w:r>
        <w:br w:type="page"/>
      </w:r>
    </w:p>
    <w:p>
      <w:pPr>
        <w:pStyle w:val="Heading1"/>
      </w:pPr>
      <w:r>
        <w:rPr>
          <w:rFonts w:ascii="Cambria" w:hAnsi="Cambria"/>
          <w:b/>
          <w:color w:val="1F3A5F"/>
          <w:sz w:val="36"/>
        </w:rPr>
        <w:t>9. Actions Taken Based on the Results of Evaluation of the POs/PSOs Attainment</w:t>
      </w:r>
    </w:p>
    <w:p>
      <w:pPr>
        <w:pStyle w:val="Heading3"/>
      </w:pPr>
      <w:r>
        <w:rPr>
          <w:rFonts w:ascii="Cambria" w:hAnsi="Cambria"/>
          <w:b/>
          <w:color w:val="1F3A5F"/>
          <w:sz w:val="26"/>
        </w:rPr>
        <w:t>1. Context &amp; Purpose</w:t>
      </w:r>
    </w:p>
    <w:p>
      <w:pPr>
        <w:pStyle w:val="ListBullet"/>
        <w:spacing w:after="80" w:line="276" w:lineRule="auto"/>
      </w:pPr>
      <w:r>
        <w:rPr>
          <w:rFonts w:ascii="Cambria" w:hAnsi="Cambria"/>
          <w:b w:val="0"/>
          <w:i w:val="0"/>
          <w:sz w:val="22"/>
        </w:rPr>
        <w:t>Program Outcomes (POs) and Program Specific Outcomes (PSOs) are broader competencies (knowledge, skills, attitudes) expected from graduates.</w:t>
      </w:r>
    </w:p>
    <w:p>
      <w:pPr>
        <w:pStyle w:val="ListBullet"/>
        <w:spacing w:after="80" w:line="276" w:lineRule="auto"/>
      </w:pPr>
      <w:r>
        <w:rPr>
          <w:rFonts w:ascii="Cambria" w:hAnsi="Cambria"/>
          <w:b w:val="0"/>
          <w:i w:val="0"/>
          <w:sz w:val="22"/>
        </w:rPr>
        <w:t>NBA requires institutions to evaluate attainment levels of POs/PSOs and take corrective actions if gaps exist.</w:t>
      </w:r>
    </w:p>
    <w:p>
      <w:pPr>
        <w:pStyle w:val="ListBullet"/>
        <w:spacing w:after="80" w:line="276" w:lineRule="auto"/>
      </w:pPr>
      <w:r>
        <w:rPr>
          <w:rFonts w:ascii="Cambria" w:hAnsi="Cambria"/>
          <w:b w:val="0"/>
          <w:i w:val="0"/>
          <w:sz w:val="22"/>
        </w:rPr>
        <w:t>This criterion evaluates the closing-the-loop mechanism at the program level, focusing on continuous improvement over two years.</w:t>
      </w:r>
    </w:p>
    <w:p>
      <w:pPr>
        <w:pStyle w:val="Heading3"/>
      </w:pPr>
      <w:r>
        <w:rPr>
          <w:rFonts w:ascii="Cambria" w:hAnsi="Cambria"/>
          <w:b/>
          <w:color w:val="1F3A5F"/>
          <w:sz w:val="26"/>
        </w:rPr>
        <w:t>2. Evaluation Process of POs/PSOs</w:t>
      </w:r>
    </w:p>
    <w:p>
      <w:pPr>
        <w:pStyle w:val="ListBullet"/>
        <w:spacing w:after="80" w:line="276" w:lineRule="auto"/>
      </w:pPr>
      <w:r>
        <w:rPr>
          <w:rFonts w:ascii="Cambria" w:hAnsi="Cambria"/>
          <w:b/>
          <w:i w:val="0"/>
          <w:sz w:val="22"/>
        </w:rPr>
        <w:t>Direct Assessment:</w:t>
      </w:r>
    </w:p>
    <w:p>
      <w:pPr>
        <w:pStyle w:val="ListBullet2"/>
        <w:spacing w:after="80" w:line="276" w:lineRule="auto"/>
      </w:pPr>
      <w:r>
        <w:rPr>
          <w:rFonts w:ascii="Cambria" w:hAnsi="Cambria"/>
          <w:b w:val="0"/>
          <w:i w:val="0"/>
          <w:sz w:val="22"/>
        </w:rPr>
        <w:t>Aggregated CO attainment mapped to relevant POs/PSOs.</w:t>
      </w:r>
    </w:p>
    <w:p>
      <w:pPr>
        <w:pStyle w:val="ListBullet2"/>
        <w:spacing w:after="80" w:line="276" w:lineRule="auto"/>
      </w:pPr>
      <w:r>
        <w:rPr>
          <w:rFonts w:ascii="Cambria" w:hAnsi="Cambria"/>
          <w:b w:val="0"/>
          <w:i w:val="0"/>
          <w:sz w:val="22"/>
        </w:rPr>
        <w:t>Capstone projects, internships, labs, and design-oriented activities.</w:t>
      </w:r>
    </w:p>
    <w:p>
      <w:pPr>
        <w:pStyle w:val="ListBullet"/>
        <w:spacing w:after="80" w:line="276" w:lineRule="auto"/>
      </w:pPr>
      <w:r>
        <w:rPr>
          <w:rFonts w:ascii="Cambria" w:hAnsi="Cambria"/>
          <w:b/>
          <w:i w:val="0"/>
          <w:sz w:val="22"/>
        </w:rPr>
        <w:t>Indirect Assessment:</w:t>
      </w:r>
    </w:p>
    <w:p>
      <w:pPr>
        <w:pStyle w:val="ListBullet2"/>
        <w:spacing w:after="80" w:line="276" w:lineRule="auto"/>
      </w:pPr>
      <w:r>
        <w:rPr>
          <w:rFonts w:ascii="Cambria" w:hAnsi="Cambria"/>
          <w:b w:val="0"/>
          <w:i w:val="0"/>
          <w:sz w:val="22"/>
        </w:rPr>
        <w:t>Exit surveys, alumni feedback, employer surveys, placement statistics, higher studies.</w:t>
      </w:r>
    </w:p>
    <w:p>
      <w:pPr>
        <w:pStyle w:val="ListBullet"/>
        <w:spacing w:after="80" w:line="276" w:lineRule="auto"/>
      </w:pPr>
      <w:r>
        <w:rPr>
          <w:rFonts w:ascii="Cambria" w:hAnsi="Cambria"/>
          <w:b/>
          <w:i w:val="0"/>
          <w:sz w:val="22"/>
        </w:rPr>
        <w:t>Benchmarking &amp; Gap Analysis:</w:t>
      </w:r>
    </w:p>
    <w:p>
      <w:pPr>
        <w:pStyle w:val="ListBullet2"/>
        <w:spacing w:after="80" w:line="276" w:lineRule="auto"/>
      </w:pPr>
      <w:r>
        <w:rPr>
          <w:rFonts w:ascii="Cambria" w:hAnsi="Cambria"/>
          <w:b w:val="0"/>
          <w:i w:val="0"/>
          <w:sz w:val="22"/>
        </w:rPr>
        <w:t>Targets set (e.g., 70%).</w:t>
      </w:r>
    </w:p>
    <w:p>
      <w:pPr>
        <w:pStyle w:val="ListBullet2"/>
        <w:spacing w:after="80" w:line="276" w:lineRule="auto"/>
      </w:pPr>
      <w:r>
        <w:rPr>
          <w:rFonts w:ascii="Cambria" w:hAnsi="Cambria"/>
          <w:b w:val="0"/>
          <w:i w:val="0"/>
          <w:sz w:val="22"/>
        </w:rPr>
        <w:t>Actual attainment calculated.</w:t>
      </w:r>
    </w:p>
    <w:p>
      <w:pPr>
        <w:pStyle w:val="ListBullet2"/>
        <w:spacing w:after="80" w:line="276" w:lineRule="auto"/>
      </w:pPr>
      <w:r>
        <w:rPr>
          <w:rFonts w:ascii="Cambria" w:hAnsi="Cambria"/>
          <w:b w:val="0"/>
          <w:i w:val="0"/>
          <w:sz w:val="22"/>
        </w:rPr>
        <w:t>Identify gaps (e.g., PO4 “Conducting Investigations” attained at 55% vs. target 70%).</w:t>
      </w:r>
    </w:p>
    <w:p>
      <w:pPr>
        <w:pStyle w:val="Heading3"/>
      </w:pPr>
      <w:r>
        <w:rPr>
          <w:rFonts w:ascii="Cambria" w:hAnsi="Cambria"/>
          <w:b/>
          <w:color w:val="1F3A5F"/>
          <w:sz w:val="26"/>
        </w:rPr>
        <w:t>3. Areas of Weakness Typically Identified</w:t>
      </w:r>
    </w:p>
    <w:p>
      <w:pPr>
        <w:pStyle w:val="ListNumber"/>
        <w:spacing w:after="80" w:line="276" w:lineRule="auto"/>
      </w:pPr>
      <w:r>
        <w:rPr>
          <w:rFonts w:ascii="Cambria" w:hAnsi="Cambria"/>
          <w:b/>
          <w:i w:val="0"/>
          <w:sz w:val="22"/>
        </w:rPr>
        <w:t>Technical/Problem-Solving Skills (PO2, PO3, PO4, PO5):</w:t>
      </w:r>
    </w:p>
    <w:p>
      <w:pPr>
        <w:pStyle w:val="ListBullet2"/>
        <w:spacing w:after="80" w:line="276" w:lineRule="auto"/>
      </w:pPr>
      <w:r>
        <w:rPr>
          <w:rFonts w:ascii="Cambria" w:hAnsi="Cambria"/>
          <w:b w:val="0"/>
          <w:i w:val="0"/>
          <w:sz w:val="22"/>
        </w:rPr>
        <w:t>Students struggle with analytical/problem-solving tasks.</w:t>
      </w:r>
    </w:p>
    <w:p>
      <w:pPr>
        <w:pStyle w:val="ListNumber"/>
        <w:spacing w:after="80" w:line="276" w:lineRule="auto"/>
      </w:pPr>
      <w:r>
        <w:rPr>
          <w:rFonts w:ascii="Cambria" w:hAnsi="Cambria"/>
          <w:b/>
          <w:i w:val="0"/>
          <w:sz w:val="22"/>
        </w:rPr>
        <w:t>Research Orientation &amp; Lifelong Learning (PO4, PO12):</w:t>
      </w:r>
    </w:p>
    <w:p>
      <w:pPr>
        <w:pStyle w:val="ListBullet2"/>
        <w:spacing w:after="80" w:line="276" w:lineRule="auto"/>
      </w:pPr>
      <w:r>
        <w:rPr>
          <w:rFonts w:ascii="Cambria" w:hAnsi="Cambria"/>
          <w:b w:val="0"/>
          <w:i w:val="0"/>
          <w:sz w:val="22"/>
        </w:rPr>
        <w:t>Limited exposure to open-ended investigations or self-directed learning.</w:t>
      </w:r>
    </w:p>
    <w:p>
      <w:pPr>
        <w:pStyle w:val="ListNumber"/>
        <w:spacing w:after="80" w:line="276" w:lineRule="auto"/>
      </w:pPr>
      <w:r>
        <w:rPr>
          <w:rFonts w:ascii="Cambria" w:hAnsi="Cambria"/>
          <w:b/>
          <w:i w:val="0"/>
          <w:sz w:val="22"/>
        </w:rPr>
        <w:t>Communication &amp; Teamwork (PO9, PO10):</w:t>
      </w:r>
    </w:p>
    <w:p>
      <w:pPr>
        <w:pStyle w:val="ListBullet2"/>
        <w:spacing w:after="80" w:line="276" w:lineRule="auto"/>
      </w:pPr>
      <w:r>
        <w:rPr>
          <w:rFonts w:ascii="Cambria" w:hAnsi="Cambria"/>
          <w:b w:val="0"/>
          <w:i w:val="0"/>
          <w:sz w:val="22"/>
        </w:rPr>
        <w:t>Weak presentation, report writing, and team collaboration skills.</w:t>
      </w:r>
    </w:p>
    <w:p>
      <w:pPr>
        <w:pStyle w:val="ListNumber"/>
        <w:spacing w:after="80" w:line="276" w:lineRule="auto"/>
      </w:pPr>
      <w:r>
        <w:rPr>
          <w:rFonts w:ascii="Cambria" w:hAnsi="Cambria"/>
          <w:b/>
          <w:i w:val="0"/>
          <w:sz w:val="22"/>
        </w:rPr>
        <w:t>Ethics &amp; Professional Responsibility (PO8):</w:t>
      </w:r>
    </w:p>
    <w:p>
      <w:pPr>
        <w:pStyle w:val="ListBullet2"/>
        <w:spacing w:after="80" w:line="276" w:lineRule="auto"/>
      </w:pPr>
      <w:r>
        <w:rPr>
          <w:rFonts w:ascii="Cambria" w:hAnsi="Cambria"/>
          <w:b w:val="0"/>
          <w:i w:val="0"/>
          <w:sz w:val="22"/>
        </w:rPr>
        <w:t>Need reinforcement of professional ethics and sustainability practices.</w:t>
      </w:r>
    </w:p>
    <w:p>
      <w:pPr>
        <w:pStyle w:val="ListNumber"/>
        <w:spacing w:after="80" w:line="276" w:lineRule="auto"/>
      </w:pPr>
      <w:r>
        <w:rPr>
          <w:rFonts w:ascii="Cambria" w:hAnsi="Cambria"/>
          <w:b/>
          <w:i w:val="0"/>
          <w:sz w:val="22"/>
        </w:rPr>
        <w:t>Program-Specific Outcomes (PSOs):</w:t>
      </w:r>
    </w:p>
    <w:p>
      <w:pPr>
        <w:pStyle w:val="ListBullet2"/>
        <w:spacing w:after="80" w:line="276" w:lineRule="auto"/>
      </w:pPr>
      <w:r>
        <w:rPr>
          <w:rFonts w:ascii="Cambria" w:hAnsi="Cambria"/>
          <w:b w:val="0"/>
          <w:i w:val="0"/>
          <w:sz w:val="22"/>
        </w:rPr>
        <w:t>Lack of industry-grade software/tools.</w:t>
      </w:r>
    </w:p>
    <w:p>
      <w:pPr>
        <w:pStyle w:val="ListBullet2"/>
        <w:spacing w:after="80" w:line="276" w:lineRule="auto"/>
      </w:pPr>
      <w:r>
        <w:rPr>
          <w:rFonts w:ascii="Cambria" w:hAnsi="Cambria"/>
          <w:b w:val="0"/>
          <w:i w:val="0"/>
          <w:sz w:val="22"/>
        </w:rPr>
        <w:t>Limited exposure to latest domain technologies.</w:t>
      </w:r>
    </w:p>
    <w:p>
      <w:pPr>
        <w:pStyle w:val="Heading3"/>
      </w:pPr>
      <w:r>
        <w:rPr>
          <w:rFonts w:ascii="Cambria" w:hAnsi="Cambria"/>
          <w:b/>
          <w:color w:val="1F3A5F"/>
          <w:sz w:val="26"/>
        </w:rPr>
        <w:t>4. Measures Identified and Implemented (Two Years)</w:t>
      </w:r>
    </w:p>
    <w:p>
      <w:pPr>
        <w:pStyle w:val="ListNumber"/>
        <w:spacing w:after="80" w:line="276" w:lineRule="auto"/>
      </w:pPr>
      <w:r>
        <w:rPr>
          <w:rFonts w:ascii="Cambria" w:hAnsi="Cambria"/>
          <w:b/>
          <w:i w:val="0"/>
          <w:sz w:val="22"/>
        </w:rPr>
        <w:t>Curriculum Interventions</w:t>
      </w:r>
    </w:p>
    <w:p>
      <w:pPr>
        <w:pStyle w:val="ListBullet2"/>
        <w:spacing w:after="80" w:line="276" w:lineRule="auto"/>
      </w:pPr>
      <w:r>
        <w:rPr>
          <w:rFonts w:ascii="Cambria" w:hAnsi="Cambria"/>
          <w:b w:val="0"/>
          <w:i w:val="0"/>
          <w:sz w:val="22"/>
        </w:rPr>
        <w:t>Introduced electives on emerging technologies (AI/ML, IoT, Sustainability).</w:t>
      </w:r>
    </w:p>
    <w:p>
      <w:pPr>
        <w:pStyle w:val="ListBullet2"/>
        <w:spacing w:after="80" w:line="276" w:lineRule="auto"/>
      </w:pPr>
      <w:r>
        <w:rPr>
          <w:rFonts w:ascii="Cambria" w:hAnsi="Cambria"/>
          <w:b w:val="0"/>
          <w:i w:val="0"/>
          <w:sz w:val="22"/>
        </w:rPr>
        <w:t>Revision of lab manuals to include industry-oriented experiments.</w:t>
      </w:r>
    </w:p>
    <w:p>
      <w:pPr>
        <w:pStyle w:val="ListBullet2"/>
        <w:spacing w:after="80" w:line="276" w:lineRule="auto"/>
      </w:pPr>
      <w:r>
        <w:rPr>
          <w:rFonts w:ascii="Cambria" w:hAnsi="Cambria"/>
          <w:b w:val="0"/>
          <w:i w:val="0"/>
          <w:sz w:val="22"/>
        </w:rPr>
        <w:t>Integration of mini-projects &amp; case studies into courses.</w:t>
      </w:r>
    </w:p>
    <w:p>
      <w:pPr>
        <w:pStyle w:val="ListBullet2"/>
        <w:spacing w:after="80" w:line="276" w:lineRule="auto"/>
      </w:pPr>
      <w:r>
        <w:rPr>
          <w:rFonts w:ascii="Cambria" w:hAnsi="Cambria"/>
          <w:b w:val="0"/>
          <w:i w:val="0"/>
          <w:sz w:val="22"/>
        </w:rPr>
        <w:t>Inclusion of multidisciplinary and open electives.</w:t>
      </w:r>
    </w:p>
    <w:p>
      <w:pPr>
        <w:pStyle w:val="ListNumber"/>
        <w:spacing w:after="80" w:line="276" w:lineRule="auto"/>
      </w:pPr>
      <w:r>
        <w:rPr>
          <w:rFonts w:ascii="Cambria" w:hAnsi="Cambria"/>
          <w:b/>
          <w:i w:val="0"/>
          <w:sz w:val="22"/>
        </w:rPr>
        <w:t>Pedagogical Initiatives</w:t>
      </w:r>
    </w:p>
    <w:p>
      <w:pPr>
        <w:pStyle w:val="ListBullet2"/>
        <w:spacing w:after="80" w:line="276" w:lineRule="auto"/>
      </w:pPr>
      <w:r>
        <w:rPr>
          <w:rFonts w:ascii="Cambria" w:hAnsi="Cambria"/>
          <w:b w:val="0"/>
          <w:i w:val="0"/>
          <w:sz w:val="22"/>
        </w:rPr>
        <w:t>Shift from lecture-based to active learning (flipped classroom, problem-based learning).</w:t>
      </w:r>
    </w:p>
    <w:p>
      <w:pPr>
        <w:pStyle w:val="ListBullet2"/>
        <w:spacing w:after="80" w:line="276" w:lineRule="auto"/>
      </w:pPr>
      <w:r>
        <w:rPr>
          <w:rFonts w:ascii="Cambria" w:hAnsi="Cambria"/>
          <w:b w:val="0"/>
          <w:i w:val="0"/>
          <w:sz w:val="22"/>
        </w:rPr>
        <w:t>Adoption of ICT tools (Moodle, virtual labs, coding platforms, simulation software).</w:t>
      </w:r>
    </w:p>
    <w:p>
      <w:pPr>
        <w:pStyle w:val="ListBullet2"/>
        <w:spacing w:after="80" w:line="276" w:lineRule="auto"/>
      </w:pPr>
      <w:r>
        <w:rPr>
          <w:rFonts w:ascii="Cambria" w:hAnsi="Cambria"/>
          <w:b w:val="0"/>
          <w:i w:val="0"/>
          <w:sz w:val="22"/>
        </w:rPr>
        <w:t>Rubrics-based assessment to measure teamwork, ethics, and communication.</w:t>
      </w:r>
    </w:p>
    <w:p>
      <w:pPr>
        <w:pStyle w:val="ListBullet2"/>
        <w:spacing w:after="80" w:line="276" w:lineRule="auto"/>
      </w:pPr>
      <w:r>
        <w:rPr>
          <w:rFonts w:ascii="Cambria" w:hAnsi="Cambria"/>
          <w:b w:val="0"/>
          <w:i w:val="0"/>
          <w:sz w:val="22"/>
        </w:rPr>
        <w:t>Guest lectures and expert talks linked to specific POs/PSOs.</w:t>
      </w:r>
    </w:p>
    <w:p>
      <w:pPr>
        <w:pStyle w:val="ListNumber"/>
        <w:spacing w:after="80" w:line="276" w:lineRule="auto"/>
      </w:pPr>
      <w:r>
        <w:rPr>
          <w:rFonts w:ascii="Cambria" w:hAnsi="Cambria"/>
          <w:b/>
          <w:i w:val="0"/>
          <w:sz w:val="22"/>
        </w:rPr>
        <w:t>Support System Improvements</w:t>
      </w:r>
    </w:p>
    <w:p>
      <w:pPr>
        <w:pStyle w:val="ListBullet2"/>
        <w:spacing w:after="80" w:line="276" w:lineRule="auto"/>
      </w:pPr>
      <w:r>
        <w:rPr>
          <w:rFonts w:ascii="Cambria" w:hAnsi="Cambria"/>
          <w:b w:val="0"/>
          <w:i w:val="0"/>
          <w:sz w:val="22"/>
        </w:rPr>
        <w:t>Remedial classes and bridge courses for weak students.</w:t>
      </w:r>
    </w:p>
    <w:p>
      <w:pPr>
        <w:pStyle w:val="ListBullet2"/>
        <w:spacing w:after="80" w:line="276" w:lineRule="auto"/>
      </w:pPr>
      <w:r>
        <w:rPr>
          <w:rFonts w:ascii="Cambria" w:hAnsi="Cambria"/>
          <w:b w:val="0"/>
          <w:i w:val="0"/>
          <w:sz w:val="22"/>
        </w:rPr>
        <w:t>Peer-assisted learning groups and mentoring system.</w:t>
      </w:r>
    </w:p>
    <w:p>
      <w:pPr>
        <w:pStyle w:val="ListBullet2"/>
        <w:spacing w:after="80" w:line="276" w:lineRule="auto"/>
      </w:pPr>
      <w:r>
        <w:rPr>
          <w:rFonts w:ascii="Cambria" w:hAnsi="Cambria"/>
          <w:b w:val="0"/>
          <w:i w:val="0"/>
          <w:sz w:val="22"/>
        </w:rPr>
        <w:t>Soft-skills and communication training modules.</w:t>
      </w:r>
    </w:p>
    <w:p>
      <w:pPr>
        <w:pStyle w:val="ListBullet2"/>
        <w:spacing w:after="80" w:line="276" w:lineRule="auto"/>
      </w:pPr>
      <w:r>
        <w:rPr>
          <w:rFonts w:ascii="Cambria" w:hAnsi="Cambria"/>
          <w:b w:val="0"/>
          <w:i w:val="0"/>
          <w:sz w:val="22"/>
        </w:rPr>
        <w:t>Career guidance and placement support for industry-readiness.</w:t>
      </w:r>
    </w:p>
    <w:p>
      <w:pPr>
        <w:pStyle w:val="ListNumber"/>
        <w:spacing w:after="80" w:line="276" w:lineRule="auto"/>
      </w:pPr>
      <w:r>
        <w:rPr>
          <w:rFonts w:ascii="Cambria" w:hAnsi="Cambria"/>
          <w:b/>
          <w:i w:val="0"/>
          <w:sz w:val="22"/>
        </w:rPr>
        <w:t>Faculty Development</w:t>
      </w:r>
    </w:p>
    <w:p>
      <w:pPr>
        <w:pStyle w:val="ListBullet2"/>
        <w:spacing w:after="80" w:line="276" w:lineRule="auto"/>
      </w:pPr>
      <w:r>
        <w:rPr>
          <w:rFonts w:ascii="Cambria" w:hAnsi="Cambria"/>
          <w:b w:val="0"/>
          <w:i w:val="0"/>
          <w:sz w:val="22"/>
        </w:rPr>
        <w:t>FDPs on Outcome-Based Education and new pedagogies.</w:t>
      </w:r>
    </w:p>
    <w:p>
      <w:pPr>
        <w:pStyle w:val="ListBullet2"/>
        <w:spacing w:after="80" w:line="276" w:lineRule="auto"/>
      </w:pPr>
      <w:r>
        <w:rPr>
          <w:rFonts w:ascii="Cambria" w:hAnsi="Cambria"/>
          <w:b w:val="0"/>
          <w:i w:val="0"/>
          <w:sz w:val="22"/>
        </w:rPr>
        <w:t>Industry training for faculty to align teaching with real-world practices.</w:t>
      </w:r>
    </w:p>
    <w:p>
      <w:pPr>
        <w:pStyle w:val="ListBullet2"/>
        <w:spacing w:after="80" w:line="276" w:lineRule="auto"/>
      </w:pPr>
      <w:r>
        <w:rPr>
          <w:rFonts w:ascii="Cambria" w:hAnsi="Cambria"/>
          <w:b w:val="0"/>
          <w:i w:val="0"/>
          <w:sz w:val="22"/>
        </w:rPr>
        <w:t>Internal workshops on assessment of higher-level POs (ethics, lifelong learning).</w:t>
      </w:r>
    </w:p>
    <w:p>
      <w:pPr>
        <w:pStyle w:val="ListNumber"/>
        <w:spacing w:after="80" w:line="276" w:lineRule="auto"/>
      </w:pPr>
      <w:r>
        <w:rPr>
          <w:rFonts w:ascii="Cambria" w:hAnsi="Cambria"/>
          <w:b/>
          <w:i w:val="0"/>
          <w:sz w:val="22"/>
        </w:rPr>
        <w:t>Industry &amp; Research Linkages</w:t>
      </w:r>
    </w:p>
    <w:p>
      <w:pPr>
        <w:pStyle w:val="ListBullet2"/>
        <w:spacing w:after="80" w:line="276" w:lineRule="auto"/>
      </w:pPr>
      <w:r>
        <w:rPr>
          <w:rFonts w:ascii="Cambria" w:hAnsi="Cambria"/>
          <w:b w:val="0"/>
          <w:i w:val="0"/>
          <w:sz w:val="22"/>
        </w:rPr>
        <w:t>MoUs with industries for internships and live projects.</w:t>
      </w:r>
    </w:p>
    <w:p>
      <w:pPr>
        <w:pStyle w:val="ListBullet2"/>
        <w:spacing w:after="80" w:line="276" w:lineRule="auto"/>
      </w:pPr>
      <w:r>
        <w:rPr>
          <w:rFonts w:ascii="Cambria" w:hAnsi="Cambria"/>
          <w:b w:val="0"/>
          <w:i w:val="0"/>
          <w:sz w:val="22"/>
        </w:rPr>
        <w:t>Hackathons, ideation camps, and innovation challenges aligned with POs.</w:t>
      </w:r>
    </w:p>
    <w:p>
      <w:pPr>
        <w:pStyle w:val="ListBullet2"/>
        <w:spacing w:after="80" w:line="276" w:lineRule="auto"/>
      </w:pPr>
      <w:r>
        <w:rPr>
          <w:rFonts w:ascii="Cambria" w:hAnsi="Cambria"/>
          <w:b w:val="0"/>
          <w:i w:val="0"/>
          <w:sz w:val="22"/>
        </w:rPr>
        <w:t>Encouraging student research publications and conference participation.</w:t>
      </w:r>
    </w:p>
    <w:p>
      <w:pPr>
        <w:pStyle w:val="Heading3"/>
      </w:pPr>
      <w:r>
        <w:rPr>
          <w:rFonts w:ascii="Cambria" w:hAnsi="Cambria"/>
          <w:b/>
          <w:color w:val="1F3A5F"/>
          <w:sz w:val="26"/>
        </w:rPr>
        <w:t>5. Documentation and Evidence</w:t>
      </w:r>
    </w:p>
    <w:p>
      <w:pPr>
        <w:pStyle w:val="ListBullet"/>
        <w:spacing w:after="80" w:line="276" w:lineRule="auto"/>
      </w:pPr>
      <w:r>
        <w:rPr>
          <w:rFonts w:ascii="Cambria" w:hAnsi="Cambria"/>
          <w:b w:val="0"/>
          <w:i w:val="0"/>
          <w:sz w:val="22"/>
        </w:rPr>
        <w:t>PO/PSO Attainment Analysis Reports (year-wise).</w:t>
      </w:r>
    </w:p>
    <w:p>
      <w:pPr>
        <w:pStyle w:val="ListBullet"/>
        <w:spacing w:after="80" w:line="276" w:lineRule="auto"/>
      </w:pPr>
      <w:r>
        <w:rPr>
          <w:rFonts w:ascii="Cambria" w:hAnsi="Cambria"/>
          <w:b w:val="0"/>
          <w:i w:val="0"/>
          <w:sz w:val="22"/>
        </w:rPr>
        <w:t>Action Taken Reports (ATR) from Department Advisory Board (DAB), BoS, Academic Council.</w:t>
      </w:r>
    </w:p>
    <w:p>
      <w:pPr>
        <w:pStyle w:val="ListBullet"/>
        <w:spacing w:after="80" w:line="276" w:lineRule="auto"/>
      </w:pPr>
      <w:r>
        <w:rPr>
          <w:rFonts w:ascii="Cambria" w:hAnsi="Cambria"/>
          <w:b/>
          <w:i w:val="0"/>
          <w:sz w:val="22"/>
        </w:rPr>
        <w:t>Evidence of interventions:</w:t>
      </w:r>
    </w:p>
    <w:p>
      <w:pPr>
        <w:pStyle w:val="ListBullet2"/>
        <w:spacing w:after="80" w:line="276" w:lineRule="auto"/>
      </w:pPr>
      <w:r>
        <w:rPr>
          <w:rFonts w:ascii="Cambria" w:hAnsi="Cambria"/>
          <w:b w:val="0"/>
          <w:i w:val="0"/>
          <w:sz w:val="22"/>
        </w:rPr>
        <w:t>Remedial/bridge course attendance.</w:t>
      </w:r>
    </w:p>
    <w:p>
      <w:pPr>
        <w:pStyle w:val="ListBullet2"/>
        <w:spacing w:after="80" w:line="276" w:lineRule="auto"/>
      </w:pPr>
      <w:r>
        <w:rPr>
          <w:rFonts w:ascii="Cambria" w:hAnsi="Cambria"/>
          <w:b w:val="0"/>
          <w:i w:val="0"/>
          <w:sz w:val="22"/>
        </w:rPr>
        <w:t>FDP/workshop circulars &amp; reports.</w:t>
      </w:r>
    </w:p>
    <w:p>
      <w:pPr>
        <w:pStyle w:val="ListBullet2"/>
        <w:spacing w:after="80" w:line="276" w:lineRule="auto"/>
      </w:pPr>
      <w:r>
        <w:rPr>
          <w:rFonts w:ascii="Cambria" w:hAnsi="Cambria"/>
          <w:b w:val="0"/>
          <w:i w:val="0"/>
          <w:sz w:val="22"/>
        </w:rPr>
        <w:t>Internship/project completion reports.</w:t>
      </w:r>
    </w:p>
    <w:p>
      <w:pPr>
        <w:pStyle w:val="ListBullet2"/>
        <w:spacing w:after="80" w:line="276" w:lineRule="auto"/>
      </w:pPr>
      <w:r>
        <w:rPr>
          <w:rFonts w:ascii="Cambria" w:hAnsi="Cambria"/>
          <w:b w:val="0"/>
          <w:i w:val="0"/>
          <w:sz w:val="22"/>
        </w:rPr>
        <w:t>Student/alumni/employer feedback forms.</w:t>
      </w:r>
    </w:p>
    <w:p>
      <w:pPr>
        <w:pStyle w:val="ListBullet"/>
        <w:spacing w:after="80" w:line="276" w:lineRule="auto"/>
      </w:pPr>
      <w:r>
        <w:rPr>
          <w:rFonts w:ascii="Cambria" w:hAnsi="Cambria"/>
          <w:b w:val="0"/>
          <w:i w:val="0"/>
          <w:sz w:val="22"/>
        </w:rPr>
        <w:t>Improvement Charts: PO/PSO attainment before vs. after interventions (CAYm2 → CAYm1 → CAY).</w:t>
      </w:r>
    </w:p>
    <w:p>
      <w:pPr>
        <w:pStyle w:val="Heading3"/>
      </w:pPr>
      <w:r>
        <w:rPr>
          <w:rFonts w:ascii="Cambria" w:hAnsi="Cambria"/>
          <w:b/>
          <w:color w:val="1F3A5F"/>
          <w:sz w:val="26"/>
        </w:rPr>
        <w:t>6. Impact &amp; Continuous Improvement</w:t>
      </w:r>
    </w:p>
    <w:p>
      <w:pPr>
        <w:pStyle w:val="ListBullet"/>
        <w:spacing w:after="80" w:line="276" w:lineRule="auto"/>
      </w:pPr>
      <w:r>
        <w:rPr>
          <w:rFonts w:ascii="Cambria" w:hAnsi="Cambria"/>
          <w:b/>
          <w:i w:val="0"/>
          <w:sz w:val="22"/>
        </w:rPr>
        <w:t>Demonstrated Improvements:</w:t>
      </w:r>
    </w:p>
    <w:p>
      <w:pPr>
        <w:pStyle w:val="ListBullet2"/>
        <w:spacing w:after="80" w:line="276" w:lineRule="auto"/>
      </w:pPr>
      <w:r>
        <w:rPr>
          <w:rFonts w:ascii="Cambria" w:hAnsi="Cambria"/>
          <w:b w:val="0"/>
          <w:i w:val="0"/>
          <w:sz w:val="22"/>
        </w:rPr>
        <w:t>Example: PO4 (Investigation of problems) improved from 55% → 68% over two years due to simulation labs &amp; projects.</w:t>
      </w:r>
    </w:p>
    <w:p>
      <w:pPr>
        <w:pStyle w:val="ListBullet2"/>
        <w:spacing w:after="80" w:line="276" w:lineRule="auto"/>
      </w:pPr>
      <w:r>
        <w:rPr>
          <w:rFonts w:ascii="Cambria" w:hAnsi="Cambria"/>
          <w:b w:val="0"/>
          <w:i w:val="0"/>
          <w:sz w:val="22"/>
        </w:rPr>
        <w:t>PO9 (Communication) improved due to seminar courses &amp; presentation rubrics.</w:t>
      </w:r>
    </w:p>
    <w:p>
      <w:pPr>
        <w:pStyle w:val="ListBullet2"/>
        <w:spacing w:after="80" w:line="276" w:lineRule="auto"/>
      </w:pPr>
      <w:r>
        <w:rPr>
          <w:rFonts w:ascii="Cambria" w:hAnsi="Cambria"/>
          <w:b w:val="0"/>
          <w:i w:val="0"/>
          <w:sz w:val="22"/>
        </w:rPr>
        <w:t>PSO1 (Domain-specific tools) improved after industry tie-ups &amp; new lab installations.</w:t>
      </w:r>
    </w:p>
    <w:p>
      <w:pPr>
        <w:pStyle w:val="ListBullet"/>
        <w:spacing w:after="80" w:line="276" w:lineRule="auto"/>
      </w:pPr>
      <w:r>
        <w:rPr>
          <w:rFonts w:ascii="Cambria" w:hAnsi="Cambria"/>
          <w:b/>
          <w:i w:val="0"/>
          <w:sz w:val="22"/>
        </w:rPr>
        <w:t>Closing the Loop:</w:t>
      </w:r>
    </w:p>
    <w:p>
      <w:pPr>
        <w:pStyle w:val="ListBullet2"/>
        <w:spacing w:after="80" w:line="276" w:lineRule="auto"/>
      </w:pPr>
      <w:r>
        <w:rPr>
          <w:rFonts w:ascii="Cambria" w:hAnsi="Cambria"/>
          <w:b w:val="0"/>
          <w:i w:val="0"/>
          <w:sz w:val="22"/>
        </w:rPr>
        <w:t>Actions → Implementation → Evidence → Measurable improvement → Reviewed in next cycle.</w:t>
      </w:r>
    </w:p>
    <w:p>
      <w:pPr>
        <w:pStyle w:val="Heading3"/>
      </w:pPr>
      <w:r>
        <w:rPr>
          <w:rFonts w:ascii="Cambria" w:hAnsi="Cambria"/>
          <w:b/>
          <w:color w:val="1F3A5F"/>
          <w:sz w:val="26"/>
        </w:rPr>
        <w:t>7. Marking Scheme (20 Marks)</w:t>
      </w:r>
    </w:p>
    <w:p>
      <w:pPr>
        <w:pStyle w:val="ListBullet"/>
        <w:spacing w:after="80" w:line="276" w:lineRule="auto"/>
      </w:pPr>
      <w:r>
        <w:rPr>
          <w:rFonts w:ascii="Cambria" w:hAnsi="Cambria"/>
          <w:b w:val="0"/>
          <w:i w:val="0"/>
          <w:sz w:val="22"/>
        </w:rPr>
        <w:t>Identification of weaknesses (based on PO/PSO evaluation) → 5 Marks.</w:t>
      </w:r>
    </w:p>
    <w:p>
      <w:pPr>
        <w:pStyle w:val="ListBullet"/>
        <w:spacing w:after="80" w:line="276" w:lineRule="auto"/>
      </w:pPr>
      <w:r>
        <w:rPr>
          <w:rFonts w:ascii="Cambria" w:hAnsi="Cambria"/>
          <w:b w:val="0"/>
          <w:i w:val="0"/>
          <w:sz w:val="22"/>
        </w:rPr>
        <w:t>Corrective actions &amp; implementation across two years → 5 Marks.</w:t>
      </w:r>
    </w:p>
    <w:p>
      <w:pPr>
        <w:pStyle w:val="ListBullet"/>
        <w:spacing w:after="80" w:line="276" w:lineRule="auto"/>
      </w:pPr>
      <w:r>
        <w:rPr>
          <w:rFonts w:ascii="Cambria" w:hAnsi="Cambria"/>
          <w:b w:val="0"/>
          <w:i w:val="0"/>
          <w:sz w:val="22"/>
        </w:rPr>
        <w:t>Documentation &amp; evidence (ATRs, remedial/workshop records, FDPs) → 5 Marks.</w:t>
      </w:r>
    </w:p>
    <w:p>
      <w:pPr>
        <w:pStyle w:val="ListBullet"/>
        <w:spacing w:after="80" w:line="276" w:lineRule="auto"/>
      </w:pPr>
      <w:r>
        <w:rPr>
          <w:rFonts w:ascii="Cambria" w:hAnsi="Cambria"/>
          <w:b w:val="0"/>
          <w:i w:val="0"/>
          <w:sz w:val="22"/>
        </w:rPr>
        <w:t>Demonstrated impact with improved attainment levels → 5 Marks.</w:t>
      </w:r>
    </w:p>
    <w:p>
      <w:r>
        <w:br w:type="page"/>
      </w:r>
    </w:p>
    <w:p>
      <w:pPr>
        <w:pStyle w:val="Heading1"/>
      </w:pPr>
      <w:r>
        <w:rPr>
          <w:rFonts w:ascii="Cambria" w:hAnsi="Cambria"/>
          <w:b/>
          <w:color w:val="1F3A5F"/>
          <w:sz w:val="36"/>
        </w:rPr>
        <w:t>10. PO/PSO Attainment Analysis Reports (year-wise)</w:t>
      </w:r>
    </w:p>
    <w:p>
      <w:pPr>
        <w:pStyle w:val="Heading3"/>
      </w:pPr>
      <w:r>
        <w:rPr>
          <w:rFonts w:ascii="Cambria" w:hAnsi="Cambria"/>
          <w:b/>
          <w:color w:val="1F3A5F"/>
          <w:sz w:val="26"/>
        </w:rPr>
        <w:t>1. Purpose</w:t>
      </w:r>
    </w:p>
    <w:p>
      <w:pPr>
        <w:pStyle w:val="ListBullet"/>
        <w:spacing w:after="80" w:line="276" w:lineRule="auto"/>
      </w:pPr>
      <w:r>
        <w:rPr>
          <w:rFonts w:ascii="Cambria" w:hAnsi="Cambria"/>
          <w:b w:val="0"/>
          <w:i w:val="0"/>
          <w:sz w:val="22"/>
        </w:rPr>
        <w:t>To quantify and demonstrate attainment of Program Outcomes (POs) and Program Specific Outcomes (PSOs) across different academic years.</w:t>
      </w:r>
    </w:p>
    <w:p>
      <w:pPr>
        <w:pStyle w:val="ListBullet"/>
        <w:spacing w:after="80" w:line="276" w:lineRule="auto"/>
      </w:pPr>
      <w:r>
        <w:rPr>
          <w:rFonts w:ascii="Cambria" w:hAnsi="Cambria"/>
          <w:b w:val="0"/>
          <w:i w:val="0"/>
          <w:sz w:val="22"/>
        </w:rPr>
        <w:t>Helps identify gaps in program-level competencies (technical skills, problem-solving, teamwork, ethics, domain knowledge, etc.).</w:t>
      </w:r>
    </w:p>
    <w:p>
      <w:pPr>
        <w:pStyle w:val="ListBullet"/>
        <w:spacing w:after="80" w:line="276" w:lineRule="auto"/>
      </w:pPr>
      <w:r>
        <w:rPr>
          <w:rFonts w:ascii="Cambria" w:hAnsi="Cambria"/>
          <w:b w:val="0"/>
          <w:i w:val="0"/>
          <w:sz w:val="22"/>
        </w:rPr>
        <w:t>Provides a trend analysis (CAY, CAYm1, CAYm2) showing continuous improvement.</w:t>
      </w:r>
    </w:p>
    <w:p>
      <w:pPr>
        <w:pStyle w:val="Heading3"/>
      </w:pPr>
      <w:r>
        <w:rPr>
          <w:rFonts w:ascii="Cambria" w:hAnsi="Cambria"/>
          <w:b/>
          <w:color w:val="1F3A5F"/>
          <w:sz w:val="26"/>
        </w:rPr>
        <w:t>2. Process of Attainment Calculation</w:t>
      </w:r>
    </w:p>
    <w:p>
      <w:pPr>
        <w:pStyle w:val="ListBullet"/>
        <w:spacing w:after="80" w:line="276" w:lineRule="auto"/>
      </w:pPr>
      <w:r>
        <w:rPr>
          <w:rFonts w:ascii="Cambria" w:hAnsi="Cambria"/>
          <w:b/>
          <w:i w:val="0"/>
          <w:sz w:val="22"/>
        </w:rPr>
        <w:t>Step 1: Mapping COs → POs/PSOs</w:t>
      </w:r>
    </w:p>
    <w:p>
      <w:pPr>
        <w:pStyle w:val="ListBullet2"/>
        <w:spacing w:after="80" w:line="276" w:lineRule="auto"/>
      </w:pPr>
      <w:r>
        <w:rPr>
          <w:rFonts w:ascii="Cambria" w:hAnsi="Cambria"/>
          <w:b w:val="0"/>
          <w:i w:val="0"/>
          <w:sz w:val="22"/>
        </w:rPr>
        <w:t>Each course outcome contributes to relevant POs/PSOs at Low/Medium/High levels.</w:t>
      </w:r>
    </w:p>
    <w:p>
      <w:pPr>
        <w:pStyle w:val="ListBullet"/>
        <w:spacing w:after="80" w:line="276" w:lineRule="auto"/>
      </w:pPr>
      <w:r>
        <w:rPr>
          <w:rFonts w:ascii="Cambria" w:hAnsi="Cambria"/>
          <w:b/>
          <w:i w:val="0"/>
          <w:sz w:val="22"/>
        </w:rPr>
        <w:t>Step 2: Direct Attainment</w:t>
      </w:r>
    </w:p>
    <w:p>
      <w:pPr>
        <w:pStyle w:val="ListBullet2"/>
        <w:spacing w:after="80" w:line="276" w:lineRule="auto"/>
      </w:pPr>
      <w:r>
        <w:rPr>
          <w:rFonts w:ascii="Cambria" w:hAnsi="Cambria"/>
          <w:b w:val="0"/>
          <w:i w:val="0"/>
          <w:sz w:val="22"/>
        </w:rPr>
        <w:t>Derived from course-wise attainment (COs mapped to POs/PSOs).</w:t>
      </w:r>
    </w:p>
    <w:p>
      <w:pPr>
        <w:pStyle w:val="ListBullet2"/>
        <w:spacing w:after="80" w:line="276" w:lineRule="auto"/>
      </w:pPr>
      <w:r>
        <w:rPr>
          <w:rFonts w:ascii="Cambria" w:hAnsi="Cambria"/>
          <w:b w:val="0"/>
          <w:i w:val="0"/>
          <w:sz w:val="22"/>
        </w:rPr>
        <w:t>Includes lab projects, mini-projects, final year capstone projects, internships.</w:t>
      </w:r>
    </w:p>
    <w:p>
      <w:pPr>
        <w:pStyle w:val="ListBullet"/>
        <w:spacing w:after="80" w:line="276" w:lineRule="auto"/>
      </w:pPr>
      <w:r>
        <w:rPr>
          <w:rFonts w:ascii="Cambria" w:hAnsi="Cambria"/>
          <w:b/>
          <w:i w:val="0"/>
          <w:sz w:val="22"/>
        </w:rPr>
        <w:t>Step 3: Indirect Attainment</w:t>
      </w:r>
    </w:p>
    <w:p>
      <w:pPr>
        <w:pStyle w:val="ListBullet2"/>
        <w:spacing w:after="80" w:line="276" w:lineRule="auto"/>
      </w:pPr>
      <w:r>
        <w:rPr>
          <w:rFonts w:ascii="Cambria" w:hAnsi="Cambria"/>
          <w:b w:val="0"/>
          <w:i w:val="0"/>
          <w:sz w:val="22"/>
        </w:rPr>
        <w:t>From exit surveys, alumni feedback, employer feedback.</w:t>
      </w:r>
    </w:p>
    <w:p>
      <w:pPr>
        <w:pStyle w:val="ListBullet"/>
        <w:spacing w:after="80" w:line="276" w:lineRule="auto"/>
      </w:pPr>
      <w:r>
        <w:rPr>
          <w:rFonts w:ascii="Cambria" w:hAnsi="Cambria"/>
          <w:b/>
          <w:i w:val="0"/>
          <w:sz w:val="22"/>
        </w:rPr>
        <w:t>Step 4: Weightage Formula</w:t>
      </w:r>
    </w:p>
    <w:p>
      <w:pPr>
        <w:pStyle w:val="ListBullet2"/>
        <w:spacing w:after="80" w:line="276" w:lineRule="auto"/>
      </w:pPr>
      <w:r>
        <w:rPr>
          <w:rFonts w:ascii="Cambria" w:hAnsi="Cambria"/>
          <w:b w:val="0"/>
          <w:i w:val="0"/>
          <w:sz w:val="22"/>
        </w:rPr>
        <w:t>Example: PO attainment = (80% Direct + 20% Indirect).</w:t>
      </w:r>
    </w:p>
    <w:p>
      <w:pPr>
        <w:pStyle w:val="Heading3"/>
      </w:pPr>
      <w:r>
        <w:rPr>
          <w:rFonts w:ascii="Cambria" w:hAnsi="Cambria"/>
          <w:b/>
          <w:color w:val="1F3A5F"/>
          <w:sz w:val="26"/>
        </w:rPr>
        <w:t>3. Format of Year-wise PO/PSO Attainment Report</w:t>
      </w:r>
    </w:p>
    <w:tbl>
      <w:tblPr>
        <w:tblStyle w:val="TableGrid"/>
        <w:tblW w:type="auto" w:w="0"/>
        <w:jc w:val="center"/>
        <w:tblLayout w:type="fixed"/>
        <w:tblLook w:firstColumn="1" w:firstRow="1" w:lastColumn="0" w:lastRow="0" w:noHBand="0" w:noVBand="1" w:val="04A0"/>
        <w:tblLayout w:type="fixed"/>
      </w:tblPr>
      <w:tblGrid>
        <w:gridCol w:w="1587"/>
        <w:gridCol w:w="907"/>
        <w:gridCol w:w="794"/>
        <w:gridCol w:w="794"/>
        <w:gridCol w:w="794"/>
        <w:gridCol w:w="1587"/>
        <w:gridCol w:w="1587"/>
        <w:gridCol w:w="1474"/>
      </w:tblGrid>
      <w:tr>
        <w:tc>
          <w:tcPr>
            <w:tcW w:type="dxa" w:w="1587"/>
            <w:shd w:val="clear" w:color="auto" w:fill="1F3A5F"/>
          </w:tcPr>
          <w:p>
            <w:pPr>
              <w:spacing w:after="40" w:line="240" w:lineRule="auto"/>
              <w:jc w:val="center"/>
            </w:pPr>
            <w:r/>
            <w:r>
              <w:rPr>
                <w:rFonts w:ascii="Cambria" w:hAnsi="Cambria"/>
                <w:b/>
                <w:color w:val="FFFFFF"/>
                <w:sz w:val="18"/>
              </w:rPr>
              <w:t>PO/PSO Code</w:t>
            </w:r>
          </w:p>
        </w:tc>
        <w:tc>
          <w:tcPr>
            <w:tcW w:type="dxa" w:w="907"/>
            <w:shd w:val="clear" w:color="auto" w:fill="1F3A5F"/>
          </w:tcPr>
          <w:p>
            <w:pPr>
              <w:spacing w:after="40" w:line="240" w:lineRule="auto"/>
              <w:jc w:val="center"/>
            </w:pPr>
            <w:r/>
            <w:r>
              <w:rPr>
                <w:rFonts w:ascii="Cambria" w:hAnsi="Cambria"/>
                <w:b/>
                <w:color w:val="FFFFFF"/>
                <w:sz w:val="18"/>
              </w:rPr>
              <w:t>Target</w:t>
              <w:br/>
              <w:t>Attainment</w:t>
              <w:br/>
              <w:t>(%)</w:t>
            </w:r>
          </w:p>
        </w:tc>
        <w:tc>
          <w:tcPr>
            <w:tcW w:type="dxa" w:w="794"/>
            <w:shd w:val="clear" w:color="auto" w:fill="1F3A5F"/>
          </w:tcPr>
          <w:p>
            <w:pPr>
              <w:spacing w:after="40" w:line="240" w:lineRule="auto"/>
              <w:jc w:val="center"/>
            </w:pPr>
            <w:r/>
            <w:r>
              <w:rPr>
                <w:rFonts w:ascii="Cambria" w:hAnsi="Cambria"/>
                <w:b/>
                <w:color w:val="FFFFFF"/>
                <w:sz w:val="18"/>
              </w:rPr>
              <w:t>CAY</w:t>
              <w:br/>
              <w:t>(2024-25)</w:t>
            </w:r>
          </w:p>
        </w:tc>
        <w:tc>
          <w:tcPr>
            <w:tcW w:type="dxa" w:w="794"/>
            <w:shd w:val="clear" w:color="auto" w:fill="1F3A5F"/>
          </w:tcPr>
          <w:p>
            <w:pPr>
              <w:spacing w:after="40" w:line="240" w:lineRule="auto"/>
              <w:jc w:val="center"/>
            </w:pPr>
            <w:r/>
            <w:r>
              <w:rPr>
                <w:rFonts w:ascii="Cambria" w:hAnsi="Cambria"/>
                <w:b/>
                <w:color w:val="FFFFFF"/>
                <w:sz w:val="18"/>
              </w:rPr>
              <w:t>CAYm1</w:t>
              <w:br/>
              <w:t>(2023-24)</w:t>
            </w:r>
          </w:p>
        </w:tc>
        <w:tc>
          <w:tcPr>
            <w:tcW w:type="dxa" w:w="794"/>
            <w:shd w:val="clear" w:color="auto" w:fill="1F3A5F"/>
          </w:tcPr>
          <w:p>
            <w:pPr>
              <w:spacing w:after="40" w:line="240" w:lineRule="auto"/>
              <w:jc w:val="center"/>
            </w:pPr>
            <w:r/>
            <w:r>
              <w:rPr>
                <w:rFonts w:ascii="Cambria" w:hAnsi="Cambria"/>
                <w:b/>
                <w:color w:val="FFFFFF"/>
                <w:sz w:val="18"/>
              </w:rPr>
              <w:t>CAYm2</w:t>
              <w:br/>
              <w:t>(2022-23)</w:t>
            </w:r>
          </w:p>
        </w:tc>
        <w:tc>
          <w:tcPr>
            <w:tcW w:type="dxa" w:w="1587"/>
            <w:shd w:val="clear" w:color="auto" w:fill="1F3A5F"/>
          </w:tcPr>
          <w:p>
            <w:pPr>
              <w:spacing w:after="40" w:line="240" w:lineRule="auto"/>
              <w:jc w:val="center"/>
            </w:pPr>
            <w:r/>
            <w:r>
              <w:rPr>
                <w:rFonts w:ascii="Cambria" w:hAnsi="Cambria"/>
                <w:b/>
                <w:color w:val="FFFFFF"/>
                <w:sz w:val="18"/>
              </w:rPr>
              <w:t>Weakness</w:t>
              <w:br/>
              <w:t>Identified</w:t>
            </w:r>
          </w:p>
        </w:tc>
        <w:tc>
          <w:tcPr>
            <w:tcW w:type="dxa" w:w="1587"/>
            <w:shd w:val="clear" w:color="auto" w:fill="1F3A5F"/>
          </w:tcPr>
          <w:p>
            <w:pPr>
              <w:spacing w:after="40" w:line="240" w:lineRule="auto"/>
              <w:jc w:val="center"/>
            </w:pPr>
            <w:r/>
            <w:r>
              <w:rPr>
                <w:rFonts w:ascii="Cambria" w:hAnsi="Cambria"/>
                <w:b/>
                <w:color w:val="FFFFFF"/>
                <w:sz w:val="18"/>
              </w:rPr>
              <w:t>Actions Taken</w:t>
            </w:r>
          </w:p>
        </w:tc>
        <w:tc>
          <w:tcPr>
            <w:tcW w:type="dxa" w:w="1474"/>
            <w:shd w:val="clear" w:color="auto" w:fill="1F3A5F"/>
          </w:tcPr>
          <w:p>
            <w:pPr>
              <w:spacing w:after="40" w:line="240" w:lineRule="auto"/>
              <w:jc w:val="center"/>
            </w:pPr>
            <w:r/>
            <w:r>
              <w:rPr>
                <w:rFonts w:ascii="Cambria" w:hAnsi="Cambria"/>
                <w:b/>
                <w:color w:val="FFFFFF"/>
                <w:sz w:val="18"/>
              </w:rPr>
              <w:t>Impact/</w:t>
              <w:br/>
              <w:t>Improvement</w:t>
            </w:r>
          </w:p>
        </w:tc>
      </w:tr>
      <w:tr>
        <w:tc>
          <w:tcPr>
            <w:tcW w:type="dxa" w:w="1587"/>
          </w:tcPr>
          <w:p>
            <w:pPr>
              <w:spacing w:after="40" w:line="240" w:lineRule="auto"/>
              <w:jc w:val="left"/>
            </w:pPr>
            <w:r/>
            <w:r>
              <w:rPr>
                <w:rFonts w:ascii="Cambria" w:hAnsi="Cambria"/>
                <w:b w:val="0"/>
                <w:sz w:val="17"/>
              </w:rPr>
              <w:t>PO4 – Investigation</w:t>
            </w:r>
          </w:p>
        </w:tc>
        <w:tc>
          <w:tcPr>
            <w:tcW w:type="dxa" w:w="907"/>
          </w:tcPr>
          <w:p>
            <w:pPr>
              <w:spacing w:after="40" w:line="240" w:lineRule="auto"/>
              <w:jc w:val="left"/>
            </w:pPr>
            <w:r/>
            <w:r>
              <w:rPr>
                <w:rFonts w:ascii="Cambria" w:hAnsi="Cambria"/>
                <w:b w:val="0"/>
                <w:sz w:val="17"/>
              </w:rPr>
              <w:t>70</w:t>
            </w:r>
          </w:p>
        </w:tc>
        <w:tc>
          <w:tcPr>
            <w:tcW w:type="dxa" w:w="794"/>
          </w:tcPr>
          <w:p>
            <w:pPr>
              <w:spacing w:after="40" w:line="240" w:lineRule="auto"/>
              <w:jc w:val="left"/>
            </w:pPr>
            <w:r/>
            <w:r>
              <w:rPr>
                <w:rFonts w:ascii="Cambria" w:hAnsi="Cambria"/>
                <w:b w:val="0"/>
                <w:sz w:val="17"/>
              </w:rPr>
              <w:t>68</w:t>
            </w:r>
          </w:p>
        </w:tc>
        <w:tc>
          <w:tcPr>
            <w:tcW w:type="dxa" w:w="794"/>
          </w:tcPr>
          <w:p>
            <w:pPr>
              <w:spacing w:after="40" w:line="240" w:lineRule="auto"/>
              <w:jc w:val="left"/>
            </w:pPr>
            <w:r/>
            <w:r>
              <w:rPr>
                <w:rFonts w:ascii="Cambria" w:hAnsi="Cambria"/>
                <w:b w:val="0"/>
                <w:sz w:val="17"/>
              </w:rPr>
              <w:t>61</w:t>
            </w:r>
          </w:p>
        </w:tc>
        <w:tc>
          <w:tcPr>
            <w:tcW w:type="dxa" w:w="794"/>
          </w:tcPr>
          <w:p>
            <w:pPr>
              <w:spacing w:after="40" w:line="240" w:lineRule="auto"/>
              <w:jc w:val="left"/>
            </w:pPr>
            <w:r/>
            <w:r>
              <w:rPr>
                <w:rFonts w:ascii="Cambria" w:hAnsi="Cambria"/>
                <w:b w:val="0"/>
                <w:sz w:val="17"/>
              </w:rPr>
              <w:t>55</w:t>
            </w:r>
          </w:p>
        </w:tc>
        <w:tc>
          <w:tcPr>
            <w:tcW w:type="dxa" w:w="1587"/>
          </w:tcPr>
          <w:p>
            <w:pPr>
              <w:spacing w:after="40" w:line="240" w:lineRule="auto"/>
              <w:jc w:val="left"/>
            </w:pPr>
            <w:r/>
            <w:r>
              <w:rPr>
                <w:rFonts w:ascii="Cambria" w:hAnsi="Cambria"/>
                <w:b w:val="0"/>
                <w:sz w:val="17"/>
              </w:rPr>
              <w:t>Weak in analytical &amp; investigation skills</w:t>
            </w:r>
          </w:p>
        </w:tc>
        <w:tc>
          <w:tcPr>
            <w:tcW w:type="dxa" w:w="1587"/>
          </w:tcPr>
          <w:p>
            <w:pPr>
              <w:spacing w:after="40" w:line="240" w:lineRule="auto"/>
              <w:jc w:val="left"/>
            </w:pPr>
            <w:r/>
            <w:r>
              <w:rPr>
                <w:rFonts w:ascii="Cambria" w:hAnsi="Cambria"/>
                <w:b w:val="0"/>
                <w:sz w:val="17"/>
              </w:rPr>
              <w:t>Simulation-based labs, mini-projects</w:t>
            </w:r>
          </w:p>
        </w:tc>
        <w:tc>
          <w:tcPr>
            <w:tcW w:type="dxa" w:w="1474"/>
          </w:tcPr>
          <w:p>
            <w:pPr>
              <w:spacing w:after="40" w:line="240" w:lineRule="auto"/>
              <w:jc w:val="left"/>
            </w:pPr>
            <w:r/>
            <w:r>
              <w:rPr>
                <w:rFonts w:ascii="Cambria" w:hAnsi="Cambria"/>
                <w:b w:val="0"/>
                <w:sz w:val="17"/>
              </w:rPr>
              <w:t>Improved from 55% → 68%</w:t>
            </w:r>
          </w:p>
        </w:tc>
      </w:tr>
      <w:tr>
        <w:tc>
          <w:tcPr>
            <w:tcW w:type="dxa" w:w="1587"/>
            <w:shd w:val="clear" w:color="auto" w:fill="F2F2F2"/>
          </w:tcPr>
          <w:p>
            <w:pPr>
              <w:spacing w:after="40" w:line="240" w:lineRule="auto"/>
              <w:jc w:val="left"/>
            </w:pPr>
            <w:r/>
            <w:r>
              <w:rPr>
                <w:rFonts w:ascii="Cambria" w:hAnsi="Cambria"/>
                <w:b w:val="0"/>
                <w:sz w:val="17"/>
              </w:rPr>
              <w:t>PO9 – Communication</w:t>
            </w:r>
          </w:p>
        </w:tc>
        <w:tc>
          <w:tcPr>
            <w:tcW w:type="dxa" w:w="907"/>
            <w:shd w:val="clear" w:color="auto" w:fill="F2F2F2"/>
          </w:tcPr>
          <w:p>
            <w:pPr>
              <w:spacing w:after="40" w:line="240" w:lineRule="auto"/>
              <w:jc w:val="left"/>
            </w:pPr>
            <w:r/>
            <w:r>
              <w:rPr>
                <w:rFonts w:ascii="Cambria" w:hAnsi="Cambria"/>
                <w:b w:val="0"/>
                <w:sz w:val="17"/>
              </w:rPr>
              <w:t>75</w:t>
            </w:r>
          </w:p>
        </w:tc>
        <w:tc>
          <w:tcPr>
            <w:tcW w:type="dxa" w:w="794"/>
            <w:shd w:val="clear" w:color="auto" w:fill="F2F2F2"/>
          </w:tcPr>
          <w:p>
            <w:pPr>
              <w:spacing w:after="40" w:line="240" w:lineRule="auto"/>
              <w:jc w:val="left"/>
            </w:pPr>
            <w:r/>
            <w:r>
              <w:rPr>
                <w:rFonts w:ascii="Cambria" w:hAnsi="Cambria"/>
                <w:b w:val="0"/>
                <w:sz w:val="17"/>
              </w:rPr>
              <w:t>72</w:t>
            </w:r>
          </w:p>
        </w:tc>
        <w:tc>
          <w:tcPr>
            <w:tcW w:type="dxa" w:w="794"/>
            <w:shd w:val="clear" w:color="auto" w:fill="F2F2F2"/>
          </w:tcPr>
          <w:p>
            <w:pPr>
              <w:spacing w:after="40" w:line="240" w:lineRule="auto"/>
              <w:jc w:val="left"/>
            </w:pPr>
            <w:r/>
            <w:r>
              <w:rPr>
                <w:rFonts w:ascii="Cambria" w:hAnsi="Cambria"/>
                <w:b w:val="0"/>
                <w:sz w:val="17"/>
              </w:rPr>
              <w:t>66</w:t>
            </w:r>
          </w:p>
        </w:tc>
        <w:tc>
          <w:tcPr>
            <w:tcW w:type="dxa" w:w="794"/>
            <w:shd w:val="clear" w:color="auto" w:fill="F2F2F2"/>
          </w:tcPr>
          <w:p>
            <w:pPr>
              <w:spacing w:after="40" w:line="240" w:lineRule="auto"/>
              <w:jc w:val="left"/>
            </w:pPr>
            <w:r/>
            <w:r>
              <w:rPr>
                <w:rFonts w:ascii="Cambria" w:hAnsi="Cambria"/>
                <w:b w:val="0"/>
                <w:sz w:val="17"/>
              </w:rPr>
              <w:t>60</w:t>
            </w:r>
          </w:p>
        </w:tc>
        <w:tc>
          <w:tcPr>
            <w:tcW w:type="dxa" w:w="1587"/>
            <w:shd w:val="clear" w:color="auto" w:fill="F2F2F2"/>
          </w:tcPr>
          <w:p>
            <w:pPr>
              <w:spacing w:after="40" w:line="240" w:lineRule="auto"/>
              <w:jc w:val="left"/>
            </w:pPr>
            <w:r/>
            <w:r>
              <w:rPr>
                <w:rFonts w:ascii="Cambria" w:hAnsi="Cambria"/>
                <w:b w:val="0"/>
                <w:sz w:val="17"/>
              </w:rPr>
              <w:t>Poor presentation &amp; writing skills</w:t>
            </w:r>
          </w:p>
        </w:tc>
        <w:tc>
          <w:tcPr>
            <w:tcW w:type="dxa" w:w="1587"/>
            <w:shd w:val="clear" w:color="auto" w:fill="F2F2F2"/>
          </w:tcPr>
          <w:p>
            <w:pPr>
              <w:spacing w:after="40" w:line="240" w:lineRule="auto"/>
              <w:jc w:val="left"/>
            </w:pPr>
            <w:r/>
            <w:r>
              <w:rPr>
                <w:rFonts w:ascii="Cambria" w:hAnsi="Cambria"/>
                <w:b w:val="0"/>
                <w:sz w:val="17"/>
              </w:rPr>
              <w:t>Seminar course, rubrics, peer reviews</w:t>
            </w:r>
          </w:p>
        </w:tc>
        <w:tc>
          <w:tcPr>
            <w:tcW w:type="dxa" w:w="1474"/>
            <w:shd w:val="clear" w:color="auto" w:fill="F2F2F2"/>
          </w:tcPr>
          <w:p>
            <w:pPr>
              <w:spacing w:after="40" w:line="240" w:lineRule="auto"/>
              <w:jc w:val="left"/>
            </w:pPr>
            <w:r/>
            <w:r>
              <w:rPr>
                <w:rFonts w:ascii="Cambria" w:hAnsi="Cambria"/>
                <w:b w:val="0"/>
                <w:sz w:val="17"/>
              </w:rPr>
              <w:t>Communication attainment ↑12%</w:t>
            </w:r>
          </w:p>
        </w:tc>
      </w:tr>
      <w:tr>
        <w:tc>
          <w:tcPr>
            <w:tcW w:type="dxa" w:w="1587"/>
          </w:tcPr>
          <w:p>
            <w:pPr>
              <w:spacing w:after="40" w:line="240" w:lineRule="auto"/>
              <w:jc w:val="left"/>
            </w:pPr>
            <w:r/>
            <w:r>
              <w:rPr>
                <w:rFonts w:ascii="Cambria" w:hAnsi="Cambria"/>
                <w:b w:val="0"/>
                <w:sz w:val="17"/>
              </w:rPr>
              <w:t>PO12 – Lifelong Learning</w:t>
            </w:r>
          </w:p>
        </w:tc>
        <w:tc>
          <w:tcPr>
            <w:tcW w:type="dxa" w:w="907"/>
          </w:tcPr>
          <w:p>
            <w:pPr>
              <w:spacing w:after="40" w:line="240" w:lineRule="auto"/>
              <w:jc w:val="left"/>
            </w:pPr>
            <w:r/>
            <w:r>
              <w:rPr>
                <w:rFonts w:ascii="Cambria" w:hAnsi="Cambria"/>
                <w:b w:val="0"/>
                <w:sz w:val="17"/>
              </w:rPr>
              <w:t>70</w:t>
            </w:r>
          </w:p>
        </w:tc>
        <w:tc>
          <w:tcPr>
            <w:tcW w:type="dxa" w:w="794"/>
          </w:tcPr>
          <w:p>
            <w:pPr>
              <w:spacing w:after="40" w:line="240" w:lineRule="auto"/>
              <w:jc w:val="left"/>
            </w:pPr>
            <w:r/>
            <w:r>
              <w:rPr>
                <w:rFonts w:ascii="Cambria" w:hAnsi="Cambria"/>
                <w:b w:val="0"/>
                <w:sz w:val="17"/>
              </w:rPr>
              <w:t>71</w:t>
            </w:r>
          </w:p>
        </w:tc>
        <w:tc>
          <w:tcPr>
            <w:tcW w:type="dxa" w:w="794"/>
          </w:tcPr>
          <w:p>
            <w:pPr>
              <w:spacing w:after="40" w:line="240" w:lineRule="auto"/>
              <w:jc w:val="left"/>
            </w:pPr>
            <w:r/>
            <w:r>
              <w:rPr>
                <w:rFonts w:ascii="Cambria" w:hAnsi="Cambria"/>
                <w:b w:val="0"/>
                <w:sz w:val="17"/>
              </w:rPr>
              <w:t>63</w:t>
            </w:r>
          </w:p>
        </w:tc>
        <w:tc>
          <w:tcPr>
            <w:tcW w:type="dxa" w:w="794"/>
          </w:tcPr>
          <w:p>
            <w:pPr>
              <w:spacing w:after="40" w:line="240" w:lineRule="auto"/>
              <w:jc w:val="left"/>
            </w:pPr>
            <w:r/>
            <w:r>
              <w:rPr>
                <w:rFonts w:ascii="Cambria" w:hAnsi="Cambria"/>
                <w:b w:val="0"/>
                <w:sz w:val="17"/>
              </w:rPr>
              <w:t>58</w:t>
            </w:r>
          </w:p>
        </w:tc>
        <w:tc>
          <w:tcPr>
            <w:tcW w:type="dxa" w:w="1587"/>
          </w:tcPr>
          <w:p>
            <w:pPr>
              <w:spacing w:after="40" w:line="240" w:lineRule="auto"/>
              <w:jc w:val="left"/>
            </w:pPr>
            <w:r/>
            <w:r>
              <w:rPr>
                <w:rFonts w:ascii="Cambria" w:hAnsi="Cambria"/>
                <w:b w:val="0"/>
                <w:sz w:val="17"/>
              </w:rPr>
              <w:t>Lack of self-learning initiatives</w:t>
            </w:r>
          </w:p>
        </w:tc>
        <w:tc>
          <w:tcPr>
            <w:tcW w:type="dxa" w:w="1587"/>
          </w:tcPr>
          <w:p>
            <w:pPr>
              <w:spacing w:after="40" w:line="240" w:lineRule="auto"/>
              <w:jc w:val="left"/>
            </w:pPr>
            <w:r/>
            <w:r>
              <w:rPr>
                <w:rFonts w:ascii="Cambria" w:hAnsi="Cambria"/>
                <w:b w:val="0"/>
                <w:sz w:val="17"/>
              </w:rPr>
              <w:t>MOOC credits, NPTEL/Coursera</w:t>
            </w:r>
          </w:p>
        </w:tc>
        <w:tc>
          <w:tcPr>
            <w:tcW w:type="dxa" w:w="1474"/>
          </w:tcPr>
          <w:p>
            <w:pPr>
              <w:spacing w:after="40" w:line="240" w:lineRule="auto"/>
              <w:jc w:val="left"/>
            </w:pPr>
            <w:r/>
            <w:r>
              <w:rPr>
                <w:rFonts w:ascii="Cambria" w:hAnsi="Cambria"/>
                <w:b w:val="0"/>
                <w:sz w:val="17"/>
              </w:rPr>
              <w:t>80% students completed MOOCs</w:t>
            </w:r>
          </w:p>
        </w:tc>
      </w:tr>
      <w:tr>
        <w:tc>
          <w:tcPr>
            <w:tcW w:type="dxa" w:w="1587"/>
            <w:shd w:val="clear" w:color="auto" w:fill="F2F2F2"/>
          </w:tcPr>
          <w:p>
            <w:pPr>
              <w:spacing w:after="40" w:line="240" w:lineRule="auto"/>
              <w:jc w:val="left"/>
            </w:pPr>
            <w:r/>
            <w:r>
              <w:rPr>
                <w:rFonts w:ascii="Cambria" w:hAnsi="Cambria"/>
                <w:b w:val="0"/>
                <w:sz w:val="17"/>
              </w:rPr>
              <w:t>PSO1 – Domain Tools</w:t>
            </w:r>
          </w:p>
        </w:tc>
        <w:tc>
          <w:tcPr>
            <w:tcW w:type="dxa" w:w="907"/>
            <w:shd w:val="clear" w:color="auto" w:fill="F2F2F2"/>
          </w:tcPr>
          <w:p>
            <w:pPr>
              <w:spacing w:after="40" w:line="240" w:lineRule="auto"/>
              <w:jc w:val="left"/>
            </w:pPr>
            <w:r/>
            <w:r>
              <w:rPr>
                <w:rFonts w:ascii="Cambria" w:hAnsi="Cambria"/>
                <w:b w:val="0"/>
                <w:sz w:val="17"/>
              </w:rPr>
              <w:t>70</w:t>
            </w:r>
          </w:p>
        </w:tc>
        <w:tc>
          <w:tcPr>
            <w:tcW w:type="dxa" w:w="794"/>
            <w:shd w:val="clear" w:color="auto" w:fill="F2F2F2"/>
          </w:tcPr>
          <w:p>
            <w:pPr>
              <w:spacing w:after="40" w:line="240" w:lineRule="auto"/>
              <w:jc w:val="left"/>
            </w:pPr>
            <w:r/>
            <w:r>
              <w:rPr>
                <w:rFonts w:ascii="Cambria" w:hAnsi="Cambria"/>
                <w:b w:val="0"/>
                <w:sz w:val="17"/>
              </w:rPr>
              <w:t>66</w:t>
            </w:r>
          </w:p>
        </w:tc>
        <w:tc>
          <w:tcPr>
            <w:tcW w:type="dxa" w:w="794"/>
            <w:shd w:val="clear" w:color="auto" w:fill="F2F2F2"/>
          </w:tcPr>
          <w:p>
            <w:pPr>
              <w:spacing w:after="40" w:line="240" w:lineRule="auto"/>
              <w:jc w:val="left"/>
            </w:pPr>
            <w:r/>
            <w:r>
              <w:rPr>
                <w:rFonts w:ascii="Cambria" w:hAnsi="Cambria"/>
                <w:b w:val="0"/>
                <w:sz w:val="17"/>
              </w:rPr>
              <w:t>60</w:t>
            </w:r>
          </w:p>
        </w:tc>
        <w:tc>
          <w:tcPr>
            <w:tcW w:type="dxa" w:w="794"/>
            <w:shd w:val="clear" w:color="auto" w:fill="F2F2F2"/>
          </w:tcPr>
          <w:p>
            <w:pPr>
              <w:spacing w:after="40" w:line="240" w:lineRule="auto"/>
              <w:jc w:val="left"/>
            </w:pPr>
            <w:r/>
            <w:r>
              <w:rPr>
                <w:rFonts w:ascii="Cambria" w:hAnsi="Cambria"/>
                <w:b w:val="0"/>
                <w:sz w:val="17"/>
              </w:rPr>
              <w:t>52</w:t>
            </w:r>
          </w:p>
        </w:tc>
        <w:tc>
          <w:tcPr>
            <w:tcW w:type="dxa" w:w="1587"/>
            <w:shd w:val="clear" w:color="auto" w:fill="F2F2F2"/>
          </w:tcPr>
          <w:p>
            <w:pPr>
              <w:spacing w:after="40" w:line="240" w:lineRule="auto"/>
              <w:jc w:val="left"/>
            </w:pPr>
            <w:r/>
            <w:r>
              <w:rPr>
                <w:rFonts w:ascii="Cambria" w:hAnsi="Cambria"/>
                <w:b w:val="0"/>
                <w:sz w:val="17"/>
              </w:rPr>
              <w:t>Limited exposure to industry tools</w:t>
            </w:r>
          </w:p>
        </w:tc>
        <w:tc>
          <w:tcPr>
            <w:tcW w:type="dxa" w:w="1587"/>
            <w:shd w:val="clear" w:color="auto" w:fill="F2F2F2"/>
          </w:tcPr>
          <w:p>
            <w:pPr>
              <w:spacing w:after="40" w:line="240" w:lineRule="auto"/>
              <w:jc w:val="left"/>
            </w:pPr>
            <w:r/>
            <w:r>
              <w:rPr>
                <w:rFonts w:ascii="Cambria" w:hAnsi="Cambria"/>
                <w:b w:val="0"/>
                <w:sz w:val="17"/>
              </w:rPr>
              <w:t>Installed software, training sessions</w:t>
            </w:r>
          </w:p>
        </w:tc>
        <w:tc>
          <w:tcPr>
            <w:tcW w:type="dxa" w:w="1474"/>
            <w:shd w:val="clear" w:color="auto" w:fill="F2F2F2"/>
          </w:tcPr>
          <w:p>
            <w:pPr>
              <w:spacing w:after="40" w:line="240" w:lineRule="auto"/>
              <w:jc w:val="left"/>
            </w:pPr>
            <w:r/>
            <w:r>
              <w:rPr>
                <w:rFonts w:ascii="Cambria" w:hAnsi="Cambria"/>
                <w:b w:val="0"/>
                <w:sz w:val="17"/>
              </w:rPr>
              <w:t>Attainment gap reduced by 14%</w:t>
            </w:r>
          </w:p>
        </w:tc>
      </w:tr>
    </w:tbl>
    <w:p>
      <w:pPr>
        <w:spacing w:after="40"/>
      </w:pPr>
    </w:p>
    <w:p>
      <w:pPr>
        <w:pStyle w:val="Heading3"/>
      </w:pPr>
      <w:r>
        <w:rPr>
          <w:rFonts w:ascii="Cambria" w:hAnsi="Cambria"/>
          <w:b/>
          <w:color w:val="1F3A5F"/>
          <w:sz w:val="26"/>
        </w:rPr>
        <w:t>4. Graphical Representation</w:t>
      </w:r>
    </w:p>
    <w:p>
      <w:pPr>
        <w:pStyle w:val="ListBullet"/>
        <w:spacing w:after="80" w:line="276" w:lineRule="auto"/>
      </w:pPr>
      <w:r>
        <w:rPr>
          <w:rFonts w:ascii="Cambria" w:hAnsi="Cambria"/>
          <w:b/>
          <w:i w:val="0"/>
          <w:sz w:val="22"/>
        </w:rPr>
        <w:t xml:space="preserve">Bar Chart: </w:t>
      </w:r>
      <w:r>
        <w:rPr>
          <w:rFonts w:ascii="Cambria" w:hAnsi="Cambria"/>
          <w:b w:val="0"/>
          <w:i w:val="0"/>
          <w:sz w:val="22"/>
        </w:rPr>
        <w:t>Attainment levels of each PO/PSO across years.</w:t>
      </w:r>
    </w:p>
    <w:p>
      <w:pPr>
        <w:pStyle w:val="ListBullet"/>
        <w:spacing w:after="80" w:line="276" w:lineRule="auto"/>
      </w:pPr>
      <w:r>
        <w:rPr>
          <w:rFonts w:ascii="Cambria" w:hAnsi="Cambria"/>
          <w:b/>
          <w:i w:val="0"/>
          <w:sz w:val="22"/>
        </w:rPr>
        <w:t xml:space="preserve">Line Chart (Trend): </w:t>
      </w:r>
      <w:r>
        <w:rPr>
          <w:rFonts w:ascii="Cambria" w:hAnsi="Cambria"/>
          <w:b w:val="0"/>
          <w:i w:val="0"/>
          <w:sz w:val="22"/>
        </w:rPr>
        <w:t>Year-wise progression for each PO/PSO.</w:t>
      </w:r>
    </w:p>
    <w:p>
      <w:pPr>
        <w:pStyle w:val="ListBullet"/>
        <w:spacing w:after="80" w:line="276" w:lineRule="auto"/>
      </w:pPr>
      <w:r>
        <w:rPr>
          <w:rFonts w:ascii="Cambria" w:hAnsi="Cambria"/>
          <w:b/>
          <w:i w:val="0"/>
          <w:sz w:val="22"/>
        </w:rPr>
        <w:t xml:space="preserve">Stacked Chart: </w:t>
      </w:r>
      <w:r>
        <w:rPr>
          <w:rFonts w:ascii="Cambria" w:hAnsi="Cambria"/>
          <w:b w:val="0"/>
          <w:i w:val="0"/>
          <w:sz w:val="22"/>
        </w:rPr>
        <w:t>Contribution of Direct vs. Indirect attainment.</w:t>
      </w:r>
    </w:p>
    <w:p>
      <w:pPr>
        <w:pStyle w:val="Heading3"/>
      </w:pPr>
      <w:r>
        <w:rPr>
          <w:rFonts w:ascii="Cambria" w:hAnsi="Cambria"/>
          <w:b/>
          <w:color w:val="1F3A5F"/>
          <w:sz w:val="26"/>
        </w:rPr>
        <w:t>5. Documentation &amp; Evidence</w:t>
      </w:r>
    </w:p>
    <w:p>
      <w:pPr>
        <w:pStyle w:val="ListBullet"/>
        <w:spacing w:after="80" w:line="276" w:lineRule="auto"/>
      </w:pPr>
      <w:r>
        <w:rPr>
          <w:rFonts w:ascii="Cambria" w:hAnsi="Cambria"/>
          <w:b w:val="0"/>
          <w:i w:val="0"/>
          <w:sz w:val="22"/>
        </w:rPr>
        <w:t>Year-wise PO/PSO attainment sheets (raw &amp; consolidated).</w:t>
      </w:r>
    </w:p>
    <w:p>
      <w:pPr>
        <w:pStyle w:val="ListBullet"/>
        <w:spacing w:after="80" w:line="276" w:lineRule="auto"/>
      </w:pPr>
      <w:r>
        <w:rPr>
          <w:rFonts w:ascii="Cambria" w:hAnsi="Cambria"/>
          <w:b w:val="0"/>
          <w:i w:val="0"/>
          <w:sz w:val="22"/>
        </w:rPr>
        <w:t>Minutes of DAB/BoS meetings where analysis and actions were discussed.</w:t>
      </w:r>
    </w:p>
    <w:p>
      <w:pPr>
        <w:pStyle w:val="ListBullet"/>
        <w:spacing w:after="80" w:line="276" w:lineRule="auto"/>
      </w:pPr>
      <w:r>
        <w:rPr>
          <w:rFonts w:ascii="Cambria" w:hAnsi="Cambria"/>
          <w:b w:val="0"/>
          <w:i w:val="0"/>
          <w:sz w:val="22"/>
        </w:rPr>
        <w:t>Records of remedial measures (bridge courses, FDPs, industry sessions).</w:t>
      </w:r>
    </w:p>
    <w:p>
      <w:pPr>
        <w:pStyle w:val="ListBullet"/>
        <w:spacing w:after="80" w:line="276" w:lineRule="auto"/>
      </w:pPr>
      <w:r>
        <w:rPr>
          <w:rFonts w:ascii="Cambria" w:hAnsi="Cambria"/>
          <w:b w:val="0"/>
          <w:i w:val="0"/>
          <w:sz w:val="22"/>
        </w:rPr>
        <w:t>Improvement charts (before vs. after action implementation).</w:t>
      </w:r>
    </w:p>
    <w:p>
      <w:pPr>
        <w:pStyle w:val="Heading3"/>
      </w:pPr>
      <w:r>
        <w:rPr>
          <w:rFonts w:ascii="Cambria" w:hAnsi="Cambria"/>
          <w:b/>
          <w:color w:val="1F3A5F"/>
          <w:sz w:val="26"/>
        </w:rPr>
        <w:t>6. NBA Scoring Connection</w:t>
      </w:r>
    </w:p>
    <w:p>
      <w:pPr>
        <w:pStyle w:val="ListBullet"/>
        <w:spacing w:after="80" w:line="276" w:lineRule="auto"/>
      </w:pPr>
      <w:r>
        <w:rPr>
          <w:rFonts w:ascii="Cambria" w:hAnsi="Cambria"/>
          <w:b w:val="0"/>
          <w:i w:val="0"/>
          <w:sz w:val="22"/>
        </w:rPr>
        <w:t>NBA looks for systematic analysis (data + evidence).</w:t>
      </w:r>
    </w:p>
    <w:p>
      <w:pPr>
        <w:pStyle w:val="ListBullet"/>
        <w:spacing w:after="80" w:line="276" w:lineRule="auto"/>
      </w:pPr>
      <w:r>
        <w:rPr>
          <w:rFonts w:ascii="Cambria" w:hAnsi="Cambria"/>
          <w:b/>
          <w:i w:val="0"/>
          <w:sz w:val="22"/>
        </w:rPr>
        <w:t>More marks if:</w:t>
      </w:r>
    </w:p>
    <w:p>
      <w:pPr>
        <w:pStyle w:val="ListBullet2"/>
        <w:spacing w:after="80" w:line="276" w:lineRule="auto"/>
      </w:pPr>
      <w:r>
        <w:rPr>
          <w:rFonts w:ascii="Cambria" w:hAnsi="Cambria"/>
          <w:b w:val="0"/>
          <w:i w:val="0"/>
          <w:sz w:val="22"/>
        </w:rPr>
        <w:t>Weaknesses are clearly identified.</w:t>
      </w:r>
    </w:p>
    <w:p>
      <w:pPr>
        <w:pStyle w:val="ListBullet2"/>
        <w:spacing w:after="80" w:line="276" w:lineRule="auto"/>
      </w:pPr>
      <w:r>
        <w:rPr>
          <w:rFonts w:ascii="Cambria" w:hAnsi="Cambria"/>
          <w:b w:val="0"/>
          <w:i w:val="0"/>
          <w:sz w:val="22"/>
        </w:rPr>
        <w:t>Corrective actions are mapped.</w:t>
      </w:r>
    </w:p>
    <w:p>
      <w:pPr>
        <w:pStyle w:val="ListBullet2"/>
        <w:spacing w:after="80" w:line="276" w:lineRule="auto"/>
      </w:pPr>
      <w:r>
        <w:rPr>
          <w:rFonts w:ascii="Cambria" w:hAnsi="Cambria"/>
          <w:b w:val="0"/>
          <w:i w:val="0"/>
          <w:sz w:val="22"/>
        </w:rPr>
        <w:t>Demonstrated improvement is shown in subsequent cycles.</w:t>
      </w:r>
    </w:p>
    <w:p>
      <w:r>
        <w:br w:type="page"/>
      </w:r>
    </w:p>
    <w:p>
      <w:pPr>
        <w:pStyle w:val="Heading1"/>
      </w:pPr>
      <w:r>
        <w:rPr>
          <w:rFonts w:ascii="Cambria" w:hAnsi="Cambria"/>
          <w:b/>
          <w:color w:val="1F3A5F"/>
          <w:sz w:val="36"/>
        </w:rPr>
        <w:t>11. Improvement Charts: PO/PSO Attainment Before vs. After Interventions (CAYm2 → CAYm1 → CAY)</w:t>
      </w:r>
    </w:p>
    <w:p>
      <w:pPr>
        <w:pStyle w:val="Heading3"/>
      </w:pPr>
      <w:r>
        <w:rPr>
          <w:rFonts w:ascii="Cambria" w:hAnsi="Cambria"/>
          <w:b/>
          <w:color w:val="1F3A5F"/>
          <w:sz w:val="26"/>
        </w:rPr>
        <w:t>1. Purpose</w:t>
      </w:r>
    </w:p>
    <w:p>
      <w:pPr>
        <w:pStyle w:val="ListBullet"/>
        <w:spacing w:after="80" w:line="276" w:lineRule="auto"/>
      </w:pPr>
      <w:r>
        <w:rPr>
          <w:rFonts w:ascii="Cambria" w:hAnsi="Cambria"/>
          <w:b w:val="0"/>
          <w:i w:val="0"/>
          <w:sz w:val="22"/>
        </w:rPr>
        <w:t>To visually demonstrate how corrective actions (remedial classes, workshops, FDPs, curriculum/pedagogy changes) improved Program Outcomes (POs) and Program Specific Outcomes (PSOs).</w:t>
      </w:r>
    </w:p>
    <w:p>
      <w:pPr>
        <w:pStyle w:val="ListBullet"/>
        <w:spacing w:after="80" w:line="276" w:lineRule="auto"/>
      </w:pPr>
      <w:r>
        <w:rPr>
          <w:rFonts w:ascii="Cambria" w:hAnsi="Cambria"/>
          <w:b w:val="0"/>
          <w:i w:val="0"/>
          <w:sz w:val="22"/>
        </w:rPr>
        <w:t>Shows the closing of the OBE loop: evaluation → action → impact.</w:t>
      </w:r>
    </w:p>
    <w:p>
      <w:pPr>
        <w:pStyle w:val="ListBullet"/>
        <w:spacing w:after="80" w:line="276" w:lineRule="auto"/>
      </w:pPr>
      <w:r>
        <w:rPr>
          <w:rFonts w:ascii="Cambria" w:hAnsi="Cambria"/>
          <w:b w:val="0"/>
          <w:i w:val="0"/>
          <w:sz w:val="22"/>
        </w:rPr>
        <w:t>Acts as strong evidence during peer team visits.</w:t>
      </w:r>
    </w:p>
    <w:p>
      <w:pPr>
        <w:pStyle w:val="Heading3"/>
      </w:pPr>
      <w:r>
        <w:rPr>
          <w:rFonts w:ascii="Cambria" w:hAnsi="Cambria"/>
          <w:b/>
          <w:color w:val="1F3A5F"/>
          <w:sz w:val="26"/>
        </w:rPr>
        <w:t>2. Chart Types to Use (NBA-Ready)</w:t>
      </w:r>
    </w:p>
    <w:p>
      <w:pPr>
        <w:pStyle w:val="ListNumber"/>
        <w:spacing w:after="80" w:line="276" w:lineRule="auto"/>
      </w:pPr>
      <w:r>
        <w:rPr>
          <w:rFonts w:ascii="Cambria" w:hAnsi="Cambria"/>
          <w:b/>
          <w:i w:val="0"/>
          <w:sz w:val="22"/>
        </w:rPr>
        <w:t>Line Chart (Trend)</w:t>
      </w:r>
    </w:p>
    <w:p>
      <w:pPr>
        <w:pStyle w:val="ListBullet2"/>
        <w:spacing w:after="80" w:line="276" w:lineRule="auto"/>
      </w:pPr>
      <w:r>
        <w:rPr>
          <w:rFonts w:ascii="Cambria" w:hAnsi="Cambria"/>
          <w:b w:val="0"/>
          <w:i w:val="0"/>
          <w:sz w:val="22"/>
        </w:rPr>
        <w:t>X-axis: Academic Years (CAYm2, CAYm1, CAY)</w:t>
      </w:r>
    </w:p>
    <w:p>
      <w:pPr>
        <w:pStyle w:val="ListBullet2"/>
        <w:spacing w:after="80" w:line="276" w:lineRule="auto"/>
      </w:pPr>
      <w:r>
        <w:rPr>
          <w:rFonts w:ascii="Cambria" w:hAnsi="Cambria"/>
          <w:b w:val="0"/>
          <w:i w:val="0"/>
          <w:sz w:val="22"/>
        </w:rPr>
        <w:t>Y-axis: Attainment %</w:t>
      </w:r>
    </w:p>
    <w:p>
      <w:pPr>
        <w:pStyle w:val="ListBullet2"/>
        <w:spacing w:after="80" w:line="276" w:lineRule="auto"/>
      </w:pPr>
      <w:r>
        <w:rPr>
          <w:rFonts w:ascii="Cambria" w:hAnsi="Cambria"/>
          <w:b w:val="0"/>
          <w:i w:val="0"/>
          <w:sz w:val="22"/>
        </w:rPr>
        <w:t>Lines: Each PO/PSO</w:t>
      </w:r>
    </w:p>
    <w:p>
      <w:pPr>
        <w:pStyle w:val="ListBullet2"/>
        <w:spacing w:after="80" w:line="276" w:lineRule="auto"/>
      </w:pPr>
      <w:r>
        <w:rPr>
          <w:rFonts w:ascii="Cambria" w:hAnsi="Cambria"/>
          <w:b w:val="0"/>
          <w:i w:val="0"/>
          <w:sz w:val="22"/>
        </w:rPr>
        <w:t>Shows progressive improvement over years.</w:t>
      </w:r>
    </w:p>
    <w:p>
      <w:pPr>
        <w:pStyle w:val="ListNumber"/>
        <w:spacing w:after="80" w:line="276" w:lineRule="auto"/>
      </w:pPr>
      <w:r>
        <w:rPr>
          <w:rFonts w:ascii="Cambria" w:hAnsi="Cambria"/>
          <w:b/>
          <w:i w:val="0"/>
          <w:sz w:val="22"/>
        </w:rPr>
        <w:t>Clustered Bar Chart (Before vs. After)</w:t>
      </w:r>
    </w:p>
    <w:p>
      <w:pPr>
        <w:pStyle w:val="ListBullet2"/>
        <w:spacing w:after="80" w:line="276" w:lineRule="auto"/>
      </w:pPr>
      <w:r>
        <w:rPr>
          <w:rFonts w:ascii="Cambria" w:hAnsi="Cambria"/>
          <w:b w:val="0"/>
          <w:i w:val="0"/>
          <w:sz w:val="22"/>
        </w:rPr>
        <w:t>X-axis: PO/PSO codes</w:t>
      </w:r>
    </w:p>
    <w:p>
      <w:pPr>
        <w:pStyle w:val="ListBullet2"/>
        <w:spacing w:after="80" w:line="276" w:lineRule="auto"/>
      </w:pPr>
      <w:r>
        <w:rPr>
          <w:rFonts w:ascii="Cambria" w:hAnsi="Cambria"/>
          <w:b w:val="0"/>
          <w:i w:val="0"/>
          <w:sz w:val="22"/>
        </w:rPr>
        <w:t>Y-axis: Attainment %</w:t>
      </w:r>
    </w:p>
    <w:p>
      <w:pPr>
        <w:pStyle w:val="ListBullet2"/>
        <w:spacing w:after="80" w:line="276" w:lineRule="auto"/>
      </w:pPr>
      <w:r>
        <w:rPr>
          <w:rFonts w:ascii="Cambria" w:hAnsi="Cambria"/>
          <w:b w:val="0"/>
          <w:i w:val="0"/>
          <w:sz w:val="22"/>
        </w:rPr>
        <w:t>Bars: CAYm2, CAYm1, CAY</w:t>
      </w:r>
    </w:p>
    <w:p>
      <w:pPr>
        <w:pStyle w:val="ListBullet2"/>
        <w:spacing w:after="80" w:line="276" w:lineRule="auto"/>
      </w:pPr>
      <w:r>
        <w:rPr>
          <w:rFonts w:ascii="Cambria" w:hAnsi="Cambria"/>
          <w:b w:val="0"/>
          <w:i w:val="0"/>
          <w:sz w:val="22"/>
        </w:rPr>
        <w:t>Best for comparing before vs. after interventions side-by-side.</w:t>
      </w:r>
    </w:p>
    <w:p>
      <w:pPr>
        <w:pStyle w:val="ListNumber"/>
        <w:spacing w:after="80" w:line="276" w:lineRule="auto"/>
      </w:pPr>
      <w:r>
        <w:rPr>
          <w:rFonts w:ascii="Cambria" w:hAnsi="Cambria"/>
          <w:b w:val="0"/>
          <w:i w:val="0"/>
          <w:sz w:val="22"/>
        </w:rPr>
        <w:t xml:space="preserve">Stacked Column Chart (Direct vs. Indirect) </w:t>
      </w:r>
    </w:p>
    <w:p>
      <w:pPr>
        <w:pStyle w:val="ListBullet2"/>
        <w:spacing w:after="80" w:line="276" w:lineRule="auto"/>
      </w:pPr>
      <w:r>
        <w:rPr>
          <w:rFonts w:ascii="Cambria" w:hAnsi="Cambria"/>
          <w:b w:val="0"/>
          <w:i w:val="0"/>
          <w:sz w:val="22"/>
        </w:rPr>
        <w:t>Breaks down direct attainment (CO mapping, projects) vs. indirect attainment (surveys, feedback).</w:t>
      </w:r>
    </w:p>
    <w:p>
      <w:pPr>
        <w:pStyle w:val="ListBullet2"/>
        <w:spacing w:after="80" w:line="276" w:lineRule="auto"/>
      </w:pPr>
      <w:r>
        <w:rPr>
          <w:rFonts w:ascii="Cambria" w:hAnsi="Cambria"/>
          <w:b w:val="0"/>
          <w:i w:val="0"/>
          <w:sz w:val="22"/>
        </w:rPr>
        <w:t>Useful to show balanced improvement.</w:t>
      </w:r>
    </w:p>
    <w:p>
      <w:pPr>
        <w:pStyle w:val="Heading3"/>
      </w:pPr>
      <w:r>
        <w:rPr>
          <w:rFonts w:ascii="Cambria" w:hAnsi="Cambria"/>
          <w:b/>
          <w:color w:val="1F3A5F"/>
          <w:sz w:val="26"/>
        </w:rPr>
        <w:t>3. Sample Data Table</w:t>
      </w:r>
    </w:p>
    <w:tbl>
      <w:tblPr>
        <w:tblStyle w:val="TableGrid"/>
        <w:tblW w:type="auto" w:w="0"/>
        <w:jc w:val="center"/>
        <w:tblLayout w:type="fixed"/>
        <w:tblLook w:firstColumn="1" w:firstRow="1" w:lastColumn="0" w:lastRow="0" w:noHBand="0" w:noVBand="1" w:val="04A0"/>
        <w:tblLayout w:type="fixed"/>
      </w:tblPr>
      <w:tblGrid>
        <w:gridCol w:w="1587"/>
        <w:gridCol w:w="794"/>
        <w:gridCol w:w="1020"/>
        <w:gridCol w:w="1020"/>
        <w:gridCol w:w="1020"/>
        <w:gridCol w:w="1020"/>
        <w:gridCol w:w="2324"/>
      </w:tblGrid>
      <w:tr>
        <w:tc>
          <w:tcPr>
            <w:tcW w:type="dxa" w:w="1587"/>
            <w:shd w:val="clear" w:color="auto" w:fill="1F3A5F"/>
          </w:tcPr>
          <w:p>
            <w:pPr>
              <w:spacing w:after="40" w:line="240" w:lineRule="auto"/>
              <w:jc w:val="center"/>
            </w:pPr>
            <w:r/>
            <w:r>
              <w:rPr>
                <w:rFonts w:ascii="Cambria" w:hAnsi="Cambria"/>
                <w:b/>
                <w:color w:val="FFFFFF"/>
                <w:sz w:val="18"/>
              </w:rPr>
              <w:t>PO/PSO Code</w:t>
            </w:r>
          </w:p>
        </w:tc>
        <w:tc>
          <w:tcPr>
            <w:tcW w:type="dxa" w:w="794"/>
            <w:shd w:val="clear" w:color="auto" w:fill="1F3A5F"/>
          </w:tcPr>
          <w:p>
            <w:pPr>
              <w:spacing w:after="40" w:line="240" w:lineRule="auto"/>
              <w:jc w:val="center"/>
            </w:pPr>
            <w:r/>
            <w:r>
              <w:rPr>
                <w:rFonts w:ascii="Cambria" w:hAnsi="Cambria"/>
                <w:b/>
                <w:color w:val="FFFFFF"/>
                <w:sz w:val="18"/>
              </w:rPr>
              <w:t>Target (%)</w:t>
            </w:r>
          </w:p>
        </w:tc>
        <w:tc>
          <w:tcPr>
            <w:tcW w:type="dxa" w:w="1020"/>
            <w:shd w:val="clear" w:color="auto" w:fill="1F3A5F"/>
          </w:tcPr>
          <w:p>
            <w:pPr>
              <w:spacing w:after="40" w:line="240" w:lineRule="auto"/>
              <w:jc w:val="center"/>
            </w:pPr>
            <w:r/>
            <w:r>
              <w:rPr>
                <w:rFonts w:ascii="Cambria" w:hAnsi="Cambria"/>
                <w:b/>
                <w:color w:val="FFFFFF"/>
                <w:sz w:val="18"/>
              </w:rPr>
              <w:t>CAYm2</w:t>
              <w:br/>
              <w:t>(2022-23)</w:t>
            </w:r>
          </w:p>
        </w:tc>
        <w:tc>
          <w:tcPr>
            <w:tcW w:type="dxa" w:w="1020"/>
            <w:shd w:val="clear" w:color="auto" w:fill="1F3A5F"/>
          </w:tcPr>
          <w:p>
            <w:pPr>
              <w:spacing w:after="40" w:line="240" w:lineRule="auto"/>
              <w:jc w:val="center"/>
            </w:pPr>
            <w:r/>
            <w:r>
              <w:rPr>
                <w:rFonts w:ascii="Cambria" w:hAnsi="Cambria"/>
                <w:b/>
                <w:color w:val="FFFFFF"/>
                <w:sz w:val="18"/>
              </w:rPr>
              <w:t>CAYm1</w:t>
              <w:br/>
              <w:t>(2023-24)</w:t>
            </w:r>
          </w:p>
        </w:tc>
        <w:tc>
          <w:tcPr>
            <w:tcW w:type="dxa" w:w="1020"/>
            <w:shd w:val="clear" w:color="auto" w:fill="1F3A5F"/>
          </w:tcPr>
          <w:p>
            <w:pPr>
              <w:spacing w:after="40" w:line="240" w:lineRule="auto"/>
              <w:jc w:val="center"/>
            </w:pPr>
            <w:r/>
            <w:r>
              <w:rPr>
                <w:rFonts w:ascii="Cambria" w:hAnsi="Cambria"/>
                <w:b/>
                <w:color w:val="FFFFFF"/>
                <w:sz w:val="18"/>
              </w:rPr>
              <w:t>CAY</w:t>
              <w:br/>
              <w:t>(2024-25)</w:t>
            </w:r>
          </w:p>
        </w:tc>
        <w:tc>
          <w:tcPr>
            <w:tcW w:type="dxa" w:w="1020"/>
            <w:shd w:val="clear" w:color="auto" w:fill="1F3A5F"/>
          </w:tcPr>
          <w:p>
            <w:pPr>
              <w:spacing w:after="40" w:line="240" w:lineRule="auto"/>
              <w:jc w:val="center"/>
            </w:pPr>
            <w:r/>
            <w:r>
              <w:rPr>
                <w:rFonts w:ascii="Cambria" w:hAnsi="Cambria"/>
                <w:b/>
                <w:color w:val="FFFFFF"/>
                <w:sz w:val="18"/>
              </w:rPr>
              <w:t>Improvement</w:t>
              <w:br/>
              <w:t>(%)</w:t>
            </w:r>
          </w:p>
        </w:tc>
        <w:tc>
          <w:tcPr>
            <w:tcW w:type="dxa" w:w="2324"/>
            <w:shd w:val="clear" w:color="auto" w:fill="1F3A5F"/>
          </w:tcPr>
          <w:p>
            <w:pPr>
              <w:spacing w:after="40" w:line="240" w:lineRule="auto"/>
              <w:jc w:val="center"/>
            </w:pPr>
            <w:r/>
            <w:r>
              <w:rPr>
                <w:rFonts w:ascii="Cambria" w:hAnsi="Cambria"/>
                <w:b/>
                <w:color w:val="FFFFFF"/>
                <w:sz w:val="18"/>
              </w:rPr>
              <w:t>Key Actions Taken</w:t>
            </w:r>
          </w:p>
        </w:tc>
      </w:tr>
      <w:tr>
        <w:tc>
          <w:tcPr>
            <w:tcW w:type="dxa" w:w="1587"/>
          </w:tcPr>
          <w:p>
            <w:pPr>
              <w:spacing w:after="40" w:line="240" w:lineRule="auto"/>
              <w:jc w:val="left"/>
            </w:pPr>
            <w:r/>
            <w:r>
              <w:rPr>
                <w:rFonts w:ascii="Cambria" w:hAnsi="Cambria"/>
                <w:b w:val="0"/>
                <w:sz w:val="17"/>
              </w:rPr>
              <w:t>PO4 – Investigation</w:t>
            </w:r>
          </w:p>
        </w:tc>
        <w:tc>
          <w:tcPr>
            <w:tcW w:type="dxa" w:w="794"/>
          </w:tcPr>
          <w:p>
            <w:pPr>
              <w:spacing w:after="40" w:line="240" w:lineRule="auto"/>
              <w:jc w:val="left"/>
            </w:pPr>
            <w:r/>
            <w:r>
              <w:rPr>
                <w:rFonts w:ascii="Cambria" w:hAnsi="Cambria"/>
                <w:b w:val="0"/>
                <w:sz w:val="17"/>
              </w:rPr>
              <w:t>70</w:t>
            </w:r>
          </w:p>
        </w:tc>
        <w:tc>
          <w:tcPr>
            <w:tcW w:type="dxa" w:w="1020"/>
          </w:tcPr>
          <w:p>
            <w:pPr>
              <w:spacing w:after="40" w:line="240" w:lineRule="auto"/>
              <w:jc w:val="left"/>
            </w:pPr>
            <w:r/>
            <w:r>
              <w:rPr>
                <w:rFonts w:ascii="Cambria" w:hAnsi="Cambria"/>
                <w:b w:val="0"/>
                <w:sz w:val="17"/>
              </w:rPr>
              <w:t>55</w:t>
            </w:r>
          </w:p>
        </w:tc>
        <w:tc>
          <w:tcPr>
            <w:tcW w:type="dxa" w:w="1020"/>
          </w:tcPr>
          <w:p>
            <w:pPr>
              <w:spacing w:after="40" w:line="240" w:lineRule="auto"/>
              <w:jc w:val="left"/>
            </w:pPr>
            <w:r/>
            <w:r>
              <w:rPr>
                <w:rFonts w:ascii="Cambria" w:hAnsi="Cambria"/>
                <w:b w:val="0"/>
                <w:sz w:val="17"/>
              </w:rPr>
              <w:t>61</w:t>
            </w:r>
          </w:p>
        </w:tc>
        <w:tc>
          <w:tcPr>
            <w:tcW w:type="dxa" w:w="1020"/>
          </w:tcPr>
          <w:p>
            <w:pPr>
              <w:spacing w:after="40" w:line="240" w:lineRule="auto"/>
              <w:jc w:val="left"/>
            </w:pPr>
            <w:r/>
            <w:r>
              <w:rPr>
                <w:rFonts w:ascii="Cambria" w:hAnsi="Cambria"/>
                <w:b w:val="0"/>
                <w:sz w:val="17"/>
              </w:rPr>
              <w:t>68</w:t>
            </w:r>
          </w:p>
        </w:tc>
        <w:tc>
          <w:tcPr>
            <w:tcW w:type="dxa" w:w="1020"/>
          </w:tcPr>
          <w:p>
            <w:pPr>
              <w:spacing w:after="40" w:line="240" w:lineRule="auto"/>
              <w:jc w:val="left"/>
            </w:pPr>
            <w:r/>
            <w:r>
              <w:rPr>
                <w:rFonts w:ascii="Cambria" w:hAnsi="Cambria"/>
                <w:b w:val="0"/>
                <w:sz w:val="17"/>
              </w:rPr>
              <w:t>+13</w:t>
            </w:r>
          </w:p>
        </w:tc>
        <w:tc>
          <w:tcPr>
            <w:tcW w:type="dxa" w:w="2324"/>
          </w:tcPr>
          <w:p>
            <w:pPr>
              <w:spacing w:after="40" w:line="240" w:lineRule="auto"/>
              <w:jc w:val="left"/>
            </w:pPr>
            <w:r/>
            <w:r>
              <w:rPr>
                <w:rFonts w:ascii="Cambria" w:hAnsi="Cambria"/>
                <w:b w:val="0"/>
                <w:sz w:val="17"/>
              </w:rPr>
              <w:t>Introduced simulation labs &amp; mini-projects</w:t>
            </w:r>
          </w:p>
        </w:tc>
      </w:tr>
      <w:tr>
        <w:tc>
          <w:tcPr>
            <w:tcW w:type="dxa" w:w="1587"/>
            <w:shd w:val="clear" w:color="auto" w:fill="F2F2F2"/>
          </w:tcPr>
          <w:p>
            <w:pPr>
              <w:spacing w:after="40" w:line="240" w:lineRule="auto"/>
              <w:jc w:val="left"/>
            </w:pPr>
            <w:r/>
            <w:r>
              <w:rPr>
                <w:rFonts w:ascii="Cambria" w:hAnsi="Cambria"/>
                <w:b w:val="0"/>
                <w:sz w:val="17"/>
              </w:rPr>
              <w:t>PO9 – Communication</w:t>
            </w:r>
          </w:p>
        </w:tc>
        <w:tc>
          <w:tcPr>
            <w:tcW w:type="dxa" w:w="794"/>
            <w:shd w:val="clear" w:color="auto" w:fill="F2F2F2"/>
          </w:tcPr>
          <w:p>
            <w:pPr>
              <w:spacing w:after="40" w:line="240" w:lineRule="auto"/>
              <w:jc w:val="left"/>
            </w:pPr>
            <w:r/>
            <w:r>
              <w:rPr>
                <w:rFonts w:ascii="Cambria" w:hAnsi="Cambria"/>
                <w:b w:val="0"/>
                <w:sz w:val="17"/>
              </w:rPr>
              <w:t>75</w:t>
            </w:r>
          </w:p>
        </w:tc>
        <w:tc>
          <w:tcPr>
            <w:tcW w:type="dxa" w:w="1020"/>
            <w:shd w:val="clear" w:color="auto" w:fill="F2F2F2"/>
          </w:tcPr>
          <w:p>
            <w:pPr>
              <w:spacing w:after="40" w:line="240" w:lineRule="auto"/>
              <w:jc w:val="left"/>
            </w:pPr>
            <w:r/>
            <w:r>
              <w:rPr>
                <w:rFonts w:ascii="Cambria" w:hAnsi="Cambria"/>
                <w:b w:val="0"/>
                <w:sz w:val="17"/>
              </w:rPr>
              <w:t>60</w:t>
            </w:r>
          </w:p>
        </w:tc>
        <w:tc>
          <w:tcPr>
            <w:tcW w:type="dxa" w:w="1020"/>
            <w:shd w:val="clear" w:color="auto" w:fill="F2F2F2"/>
          </w:tcPr>
          <w:p>
            <w:pPr>
              <w:spacing w:after="40" w:line="240" w:lineRule="auto"/>
              <w:jc w:val="left"/>
            </w:pPr>
            <w:r/>
            <w:r>
              <w:rPr>
                <w:rFonts w:ascii="Cambria" w:hAnsi="Cambria"/>
                <w:b w:val="0"/>
                <w:sz w:val="17"/>
              </w:rPr>
              <w:t>66</w:t>
            </w:r>
          </w:p>
        </w:tc>
        <w:tc>
          <w:tcPr>
            <w:tcW w:type="dxa" w:w="1020"/>
            <w:shd w:val="clear" w:color="auto" w:fill="F2F2F2"/>
          </w:tcPr>
          <w:p>
            <w:pPr>
              <w:spacing w:after="40" w:line="240" w:lineRule="auto"/>
              <w:jc w:val="left"/>
            </w:pPr>
            <w:r/>
            <w:r>
              <w:rPr>
                <w:rFonts w:ascii="Cambria" w:hAnsi="Cambria"/>
                <w:b w:val="0"/>
                <w:sz w:val="17"/>
              </w:rPr>
              <w:t>72</w:t>
            </w:r>
          </w:p>
        </w:tc>
        <w:tc>
          <w:tcPr>
            <w:tcW w:type="dxa" w:w="1020"/>
            <w:shd w:val="clear" w:color="auto" w:fill="F2F2F2"/>
          </w:tcPr>
          <w:p>
            <w:pPr>
              <w:spacing w:after="40" w:line="240" w:lineRule="auto"/>
              <w:jc w:val="left"/>
            </w:pPr>
            <w:r/>
            <w:r>
              <w:rPr>
                <w:rFonts w:ascii="Cambria" w:hAnsi="Cambria"/>
                <w:b w:val="0"/>
                <w:sz w:val="17"/>
              </w:rPr>
              <w:t>+12</w:t>
            </w:r>
          </w:p>
        </w:tc>
        <w:tc>
          <w:tcPr>
            <w:tcW w:type="dxa" w:w="2324"/>
            <w:shd w:val="clear" w:color="auto" w:fill="F2F2F2"/>
          </w:tcPr>
          <w:p>
            <w:pPr>
              <w:spacing w:after="40" w:line="240" w:lineRule="auto"/>
              <w:jc w:val="left"/>
            </w:pPr>
            <w:r/>
            <w:r>
              <w:rPr>
                <w:rFonts w:ascii="Cambria" w:hAnsi="Cambria"/>
                <w:b w:val="0"/>
                <w:sz w:val="17"/>
              </w:rPr>
              <w:t>Seminar course, rubrics for presentations</w:t>
            </w:r>
          </w:p>
        </w:tc>
      </w:tr>
      <w:tr>
        <w:tc>
          <w:tcPr>
            <w:tcW w:type="dxa" w:w="1587"/>
          </w:tcPr>
          <w:p>
            <w:pPr>
              <w:spacing w:after="40" w:line="240" w:lineRule="auto"/>
              <w:jc w:val="left"/>
            </w:pPr>
            <w:r/>
            <w:r>
              <w:rPr>
                <w:rFonts w:ascii="Cambria" w:hAnsi="Cambria"/>
                <w:b w:val="0"/>
                <w:sz w:val="17"/>
              </w:rPr>
              <w:t>PO12 – Lifelong Learning</w:t>
            </w:r>
          </w:p>
        </w:tc>
        <w:tc>
          <w:tcPr>
            <w:tcW w:type="dxa" w:w="794"/>
          </w:tcPr>
          <w:p>
            <w:pPr>
              <w:spacing w:after="40" w:line="240" w:lineRule="auto"/>
              <w:jc w:val="left"/>
            </w:pPr>
            <w:r/>
            <w:r>
              <w:rPr>
                <w:rFonts w:ascii="Cambria" w:hAnsi="Cambria"/>
                <w:b w:val="0"/>
                <w:sz w:val="17"/>
              </w:rPr>
              <w:t>70</w:t>
            </w:r>
          </w:p>
        </w:tc>
        <w:tc>
          <w:tcPr>
            <w:tcW w:type="dxa" w:w="1020"/>
          </w:tcPr>
          <w:p>
            <w:pPr>
              <w:spacing w:after="40" w:line="240" w:lineRule="auto"/>
              <w:jc w:val="left"/>
            </w:pPr>
            <w:r/>
            <w:r>
              <w:rPr>
                <w:rFonts w:ascii="Cambria" w:hAnsi="Cambria"/>
                <w:b w:val="0"/>
                <w:sz w:val="17"/>
              </w:rPr>
              <w:t>58</w:t>
            </w:r>
          </w:p>
        </w:tc>
        <w:tc>
          <w:tcPr>
            <w:tcW w:type="dxa" w:w="1020"/>
          </w:tcPr>
          <w:p>
            <w:pPr>
              <w:spacing w:after="40" w:line="240" w:lineRule="auto"/>
              <w:jc w:val="left"/>
            </w:pPr>
            <w:r/>
            <w:r>
              <w:rPr>
                <w:rFonts w:ascii="Cambria" w:hAnsi="Cambria"/>
                <w:b w:val="0"/>
                <w:sz w:val="17"/>
              </w:rPr>
              <w:t>63</w:t>
            </w:r>
          </w:p>
        </w:tc>
        <w:tc>
          <w:tcPr>
            <w:tcW w:type="dxa" w:w="1020"/>
          </w:tcPr>
          <w:p>
            <w:pPr>
              <w:spacing w:after="40" w:line="240" w:lineRule="auto"/>
              <w:jc w:val="left"/>
            </w:pPr>
            <w:r/>
            <w:r>
              <w:rPr>
                <w:rFonts w:ascii="Cambria" w:hAnsi="Cambria"/>
                <w:b w:val="0"/>
                <w:sz w:val="17"/>
              </w:rPr>
              <w:t>71</w:t>
            </w:r>
          </w:p>
        </w:tc>
        <w:tc>
          <w:tcPr>
            <w:tcW w:type="dxa" w:w="1020"/>
          </w:tcPr>
          <w:p>
            <w:pPr>
              <w:spacing w:after="40" w:line="240" w:lineRule="auto"/>
              <w:jc w:val="left"/>
            </w:pPr>
            <w:r/>
            <w:r>
              <w:rPr>
                <w:rFonts w:ascii="Cambria" w:hAnsi="Cambria"/>
                <w:b w:val="0"/>
                <w:sz w:val="17"/>
              </w:rPr>
              <w:t>+13</w:t>
            </w:r>
          </w:p>
        </w:tc>
        <w:tc>
          <w:tcPr>
            <w:tcW w:type="dxa" w:w="2324"/>
          </w:tcPr>
          <w:p>
            <w:pPr>
              <w:spacing w:after="40" w:line="240" w:lineRule="auto"/>
              <w:jc w:val="left"/>
            </w:pPr>
            <w:r/>
            <w:r>
              <w:rPr>
                <w:rFonts w:ascii="Cambria" w:hAnsi="Cambria"/>
                <w:b w:val="0"/>
                <w:sz w:val="17"/>
              </w:rPr>
              <w:t>Encouraged MOOCs &amp; self-learning credits</w:t>
            </w:r>
          </w:p>
        </w:tc>
      </w:tr>
      <w:tr>
        <w:tc>
          <w:tcPr>
            <w:tcW w:type="dxa" w:w="1587"/>
            <w:shd w:val="clear" w:color="auto" w:fill="F2F2F2"/>
          </w:tcPr>
          <w:p>
            <w:pPr>
              <w:spacing w:after="40" w:line="240" w:lineRule="auto"/>
              <w:jc w:val="left"/>
            </w:pPr>
            <w:r/>
            <w:r>
              <w:rPr>
                <w:rFonts w:ascii="Cambria" w:hAnsi="Cambria"/>
                <w:b w:val="0"/>
                <w:sz w:val="17"/>
              </w:rPr>
              <w:t>PSO1 – Domain Tools</w:t>
            </w:r>
          </w:p>
        </w:tc>
        <w:tc>
          <w:tcPr>
            <w:tcW w:type="dxa" w:w="794"/>
            <w:shd w:val="clear" w:color="auto" w:fill="F2F2F2"/>
          </w:tcPr>
          <w:p>
            <w:pPr>
              <w:spacing w:after="40" w:line="240" w:lineRule="auto"/>
              <w:jc w:val="left"/>
            </w:pPr>
            <w:r/>
            <w:r>
              <w:rPr>
                <w:rFonts w:ascii="Cambria" w:hAnsi="Cambria"/>
                <w:b w:val="0"/>
                <w:sz w:val="17"/>
              </w:rPr>
              <w:t>70</w:t>
            </w:r>
          </w:p>
        </w:tc>
        <w:tc>
          <w:tcPr>
            <w:tcW w:type="dxa" w:w="1020"/>
            <w:shd w:val="clear" w:color="auto" w:fill="F2F2F2"/>
          </w:tcPr>
          <w:p>
            <w:pPr>
              <w:spacing w:after="40" w:line="240" w:lineRule="auto"/>
              <w:jc w:val="left"/>
            </w:pPr>
            <w:r/>
            <w:r>
              <w:rPr>
                <w:rFonts w:ascii="Cambria" w:hAnsi="Cambria"/>
                <w:b w:val="0"/>
                <w:sz w:val="17"/>
              </w:rPr>
              <w:t>52</w:t>
            </w:r>
          </w:p>
        </w:tc>
        <w:tc>
          <w:tcPr>
            <w:tcW w:type="dxa" w:w="1020"/>
            <w:shd w:val="clear" w:color="auto" w:fill="F2F2F2"/>
          </w:tcPr>
          <w:p>
            <w:pPr>
              <w:spacing w:after="40" w:line="240" w:lineRule="auto"/>
              <w:jc w:val="left"/>
            </w:pPr>
            <w:r/>
            <w:r>
              <w:rPr>
                <w:rFonts w:ascii="Cambria" w:hAnsi="Cambria"/>
                <w:b w:val="0"/>
                <w:sz w:val="17"/>
              </w:rPr>
              <w:t>60</w:t>
            </w:r>
          </w:p>
        </w:tc>
        <w:tc>
          <w:tcPr>
            <w:tcW w:type="dxa" w:w="1020"/>
            <w:shd w:val="clear" w:color="auto" w:fill="F2F2F2"/>
          </w:tcPr>
          <w:p>
            <w:pPr>
              <w:spacing w:after="40" w:line="240" w:lineRule="auto"/>
              <w:jc w:val="left"/>
            </w:pPr>
            <w:r/>
            <w:r>
              <w:rPr>
                <w:rFonts w:ascii="Cambria" w:hAnsi="Cambria"/>
                <w:b w:val="0"/>
                <w:sz w:val="17"/>
              </w:rPr>
              <w:t>66</w:t>
            </w:r>
          </w:p>
        </w:tc>
        <w:tc>
          <w:tcPr>
            <w:tcW w:type="dxa" w:w="1020"/>
            <w:shd w:val="clear" w:color="auto" w:fill="F2F2F2"/>
          </w:tcPr>
          <w:p>
            <w:pPr>
              <w:spacing w:after="40" w:line="240" w:lineRule="auto"/>
              <w:jc w:val="left"/>
            </w:pPr>
            <w:r/>
            <w:r>
              <w:rPr>
                <w:rFonts w:ascii="Cambria" w:hAnsi="Cambria"/>
                <w:b w:val="0"/>
                <w:sz w:val="17"/>
              </w:rPr>
              <w:t>+14</w:t>
            </w:r>
          </w:p>
        </w:tc>
        <w:tc>
          <w:tcPr>
            <w:tcW w:type="dxa" w:w="2324"/>
            <w:shd w:val="clear" w:color="auto" w:fill="F2F2F2"/>
          </w:tcPr>
          <w:p>
            <w:pPr>
              <w:spacing w:after="40" w:line="240" w:lineRule="auto"/>
              <w:jc w:val="left"/>
            </w:pPr>
            <w:r/>
            <w:r>
              <w:rPr>
                <w:rFonts w:ascii="Cambria" w:hAnsi="Cambria"/>
                <w:b w:val="0"/>
                <w:sz w:val="17"/>
              </w:rPr>
              <w:t>Installed domain software, workshops</w:t>
            </w:r>
          </w:p>
        </w:tc>
      </w:tr>
    </w:tbl>
    <w:p>
      <w:pPr>
        <w:spacing w:after="40"/>
      </w:pPr>
    </w:p>
    <w:p>
      <w:pPr>
        <w:pStyle w:val="Heading3"/>
      </w:pPr>
      <w:r>
        <w:rPr>
          <w:rFonts w:ascii="Cambria" w:hAnsi="Cambria"/>
          <w:b/>
          <w:color w:val="1F3A5F"/>
          <w:sz w:val="26"/>
        </w:rPr>
        <w:t>4. Documentation Practices</w:t>
      </w:r>
    </w:p>
    <w:p>
      <w:pPr>
        <w:pStyle w:val="ListBullet"/>
        <w:spacing w:after="80" w:line="276" w:lineRule="auto"/>
      </w:pPr>
      <w:r>
        <w:rPr>
          <w:rFonts w:ascii="Cambria" w:hAnsi="Cambria"/>
          <w:b w:val="0"/>
          <w:i w:val="0"/>
          <w:sz w:val="22"/>
        </w:rPr>
        <w:t>Attach charts in SAR (Self-Assessment Report) Annexures.</w:t>
      </w:r>
    </w:p>
    <w:p>
      <w:pPr>
        <w:pStyle w:val="ListBullet"/>
        <w:spacing w:after="80" w:line="276" w:lineRule="auto"/>
      </w:pPr>
      <w:r>
        <w:rPr>
          <w:rFonts w:ascii="Cambria" w:hAnsi="Cambria"/>
          <w:b w:val="0"/>
          <w:i w:val="0"/>
          <w:sz w:val="22"/>
        </w:rPr>
        <w:t>Maintain Excel sheets with raw data and formulas (Gap = Target – Attainment).</w:t>
      </w:r>
    </w:p>
    <w:p>
      <w:pPr>
        <w:pStyle w:val="ListBullet"/>
        <w:spacing w:after="80" w:line="276" w:lineRule="auto"/>
      </w:pPr>
      <w:r>
        <w:rPr>
          <w:rFonts w:ascii="Cambria" w:hAnsi="Cambria"/>
          <w:b w:val="0"/>
          <w:i w:val="0"/>
          <w:sz w:val="22"/>
        </w:rPr>
        <w:t>In faculty/DAB ATRs → show link between action taken and improvement in chart.</w:t>
      </w:r>
    </w:p>
    <w:p>
      <w:pPr>
        <w:pStyle w:val="Heading3"/>
      </w:pPr>
      <w:r>
        <w:rPr>
          <w:rFonts w:ascii="Cambria" w:hAnsi="Cambria"/>
          <w:b/>
          <w:color w:val="1F3A5F"/>
          <w:sz w:val="26"/>
        </w:rPr>
        <w:t>5. NBA Presentation</w:t>
      </w:r>
    </w:p>
    <w:p>
      <w:pPr>
        <w:pStyle w:val="ListBullet"/>
        <w:spacing w:after="80" w:line="276" w:lineRule="auto"/>
      </w:pPr>
      <w:r>
        <w:rPr>
          <w:rFonts w:ascii="Cambria" w:hAnsi="Cambria"/>
          <w:b w:val="0"/>
          <w:i w:val="0"/>
          <w:sz w:val="22"/>
        </w:rPr>
        <w:t>Use color-coded lines or bars (e.g., Blue = CAYm2, Orange = CAYm1, Green = CAY).</w:t>
      </w:r>
    </w:p>
    <w:p>
      <w:pPr>
        <w:pStyle w:val="ListBullet"/>
        <w:spacing w:after="80" w:line="276" w:lineRule="auto"/>
      </w:pPr>
      <w:r>
        <w:rPr>
          <w:rFonts w:ascii="Cambria" w:hAnsi="Cambria"/>
          <w:b w:val="0"/>
          <w:i w:val="0"/>
          <w:sz w:val="22"/>
        </w:rPr>
        <w:t xml:space="preserve">Add callouts (e.g., </w:t>
      </w:r>
      <w:r>
        <w:rPr>
          <w:rFonts w:ascii="Cambria" w:hAnsi="Cambria"/>
          <w:b w:val="0"/>
          <w:i/>
          <w:sz w:val="22"/>
        </w:rPr>
        <w:t>“Improved by 17% after coding workshops”</w:t>
      </w:r>
      <w:r>
        <w:rPr>
          <w:rFonts w:ascii="Cambria" w:hAnsi="Cambria"/>
          <w:b w:val="0"/>
          <w:i w:val="0"/>
          <w:sz w:val="22"/>
        </w:rPr>
        <w:t>).</w:t>
      </w:r>
    </w:p>
    <w:p>
      <w:pPr>
        <w:pStyle w:val="ListBullet"/>
        <w:spacing w:after="80" w:line="276" w:lineRule="auto"/>
      </w:pPr>
      <w:r>
        <w:rPr>
          <w:rFonts w:ascii="Cambria" w:hAnsi="Cambria"/>
          <w:b w:val="0"/>
          <w:i w:val="0"/>
          <w:sz w:val="22"/>
        </w:rPr>
        <w:t>Keep charts simple and focused (avoid clutter).</w:t>
      </w:r>
    </w:p>
    <w:p>
      <w:r>
        <w:br w:type="page"/>
      </w:r>
    </w:p>
    <w:p>
      <w:pPr>
        <w:pStyle w:val="Heading1"/>
      </w:pPr>
      <w:r>
        <w:rPr>
          <w:rFonts w:ascii="Cambria" w:hAnsi="Cambria"/>
          <w:b/>
          <w:color w:val="1F3A5F"/>
          <w:sz w:val="36"/>
        </w:rPr>
        <w:t>12. Identification of GAPS in CO, PO, and PSO attainment</w:t>
      </w:r>
    </w:p>
    <w:p>
      <w:pPr>
        <w:pStyle w:val="Heading3"/>
      </w:pPr>
      <w:r>
        <w:rPr>
          <w:rFonts w:ascii="Cambria" w:hAnsi="Cambria"/>
          <w:b/>
          <w:color w:val="1F3A5F"/>
          <w:sz w:val="26"/>
        </w:rPr>
        <w:t>1. Define Benchmarks / Targets</w:t>
      </w:r>
    </w:p>
    <w:p>
      <w:pPr>
        <w:pStyle w:val="ListBullet"/>
        <w:spacing w:after="80" w:line="276" w:lineRule="auto"/>
      </w:pPr>
      <w:r>
        <w:rPr>
          <w:rFonts w:ascii="Cambria" w:hAnsi="Cambria"/>
          <w:b w:val="0"/>
          <w:i w:val="0"/>
          <w:sz w:val="22"/>
        </w:rPr>
        <w:t>Institution fixes target attainment levels for COs, POs, PSOs (commonly 70%).</w:t>
      </w:r>
    </w:p>
    <w:p>
      <w:pPr>
        <w:pStyle w:val="ListBullet"/>
        <w:spacing w:after="80" w:line="276" w:lineRule="auto"/>
      </w:pPr>
      <w:r>
        <w:rPr>
          <w:rFonts w:ascii="Cambria" w:hAnsi="Cambria"/>
          <w:b w:val="0"/>
          <w:i w:val="0"/>
          <w:sz w:val="22"/>
        </w:rPr>
        <w:t>Targets are approved by DAB / BoS / Academic Council.</w:t>
      </w:r>
    </w:p>
    <w:p>
      <w:pPr>
        <w:pStyle w:val="ListBullet"/>
        <w:spacing w:after="80" w:line="276" w:lineRule="auto"/>
      </w:pPr>
      <w:r>
        <w:rPr>
          <w:rFonts w:ascii="Cambria" w:hAnsi="Cambria"/>
          <w:b w:val="0"/>
          <w:i w:val="0"/>
          <w:sz w:val="22"/>
        </w:rPr>
        <w:t xml:space="preserve">Example: </w:t>
      </w:r>
      <w:r>
        <w:rPr>
          <w:rFonts w:ascii="Cambria" w:hAnsi="Cambria"/>
          <w:b w:val="0"/>
          <w:i/>
          <w:sz w:val="22"/>
        </w:rPr>
        <w:t>“At least 70% of students should score ≥ 50% marks in CO1.”</w:t>
      </w:r>
    </w:p>
    <w:p>
      <w:pPr>
        <w:pStyle w:val="Heading3"/>
      </w:pPr>
      <w:r>
        <w:rPr>
          <w:rFonts w:ascii="Cambria" w:hAnsi="Cambria"/>
          <w:b/>
          <w:color w:val="1F3A5F"/>
          <w:sz w:val="26"/>
        </w:rPr>
        <w:t>2. Collect Attainment Data</w:t>
      </w:r>
    </w:p>
    <w:p>
      <w:pPr>
        <w:pStyle w:val="ListBullet"/>
        <w:spacing w:after="80" w:line="276" w:lineRule="auto"/>
      </w:pPr>
      <w:r>
        <w:rPr>
          <w:rFonts w:ascii="Cambria" w:hAnsi="Cambria"/>
          <w:b/>
          <w:i w:val="0"/>
          <w:sz w:val="22"/>
        </w:rPr>
        <w:t>Direct Assessment</w:t>
      </w:r>
    </w:p>
    <w:p>
      <w:pPr>
        <w:pStyle w:val="ListBullet2"/>
        <w:spacing w:after="80" w:line="276" w:lineRule="auto"/>
      </w:pPr>
      <w:r>
        <w:rPr>
          <w:rFonts w:ascii="Cambria" w:hAnsi="Cambria"/>
          <w:b w:val="0"/>
          <w:i w:val="0"/>
          <w:sz w:val="22"/>
        </w:rPr>
        <w:t>Internal exams, assignments, lab records, university exams.</w:t>
      </w:r>
    </w:p>
    <w:p>
      <w:pPr>
        <w:pStyle w:val="ListBullet2"/>
        <w:spacing w:after="80" w:line="276" w:lineRule="auto"/>
      </w:pPr>
      <w:r>
        <w:rPr>
          <w:rFonts w:ascii="Cambria" w:hAnsi="Cambria"/>
          <w:b w:val="0"/>
          <w:i w:val="0"/>
          <w:sz w:val="22"/>
        </w:rPr>
        <w:t>Project evaluations, viva, capstone projects.</w:t>
      </w:r>
    </w:p>
    <w:p>
      <w:pPr>
        <w:pStyle w:val="ListBullet"/>
        <w:spacing w:after="80" w:line="276" w:lineRule="auto"/>
      </w:pPr>
      <w:r>
        <w:rPr>
          <w:rFonts w:ascii="Cambria" w:hAnsi="Cambria"/>
          <w:b/>
          <w:i w:val="0"/>
          <w:sz w:val="22"/>
        </w:rPr>
        <w:t>Indirect Assessment</w:t>
      </w:r>
    </w:p>
    <w:p>
      <w:pPr>
        <w:pStyle w:val="ListBullet2"/>
        <w:spacing w:after="80" w:line="276" w:lineRule="auto"/>
      </w:pPr>
      <w:r>
        <w:rPr>
          <w:rFonts w:ascii="Cambria" w:hAnsi="Cambria"/>
          <w:b w:val="0"/>
          <w:i w:val="0"/>
          <w:sz w:val="22"/>
        </w:rPr>
        <w:t>Student exit surveys.</w:t>
      </w:r>
    </w:p>
    <w:p>
      <w:pPr>
        <w:pStyle w:val="ListBullet2"/>
        <w:spacing w:after="80" w:line="276" w:lineRule="auto"/>
      </w:pPr>
      <w:r>
        <w:rPr>
          <w:rFonts w:ascii="Cambria" w:hAnsi="Cambria"/>
          <w:b w:val="0"/>
          <w:i w:val="0"/>
          <w:sz w:val="22"/>
        </w:rPr>
        <w:t>Alumni feedback.</w:t>
      </w:r>
    </w:p>
    <w:p>
      <w:pPr>
        <w:pStyle w:val="ListBullet2"/>
        <w:spacing w:after="80" w:line="276" w:lineRule="auto"/>
      </w:pPr>
      <w:r>
        <w:rPr>
          <w:rFonts w:ascii="Cambria" w:hAnsi="Cambria"/>
          <w:b w:val="0"/>
          <w:i w:val="0"/>
          <w:sz w:val="22"/>
        </w:rPr>
        <w:t>Employer/industry surveys.</w:t>
      </w:r>
    </w:p>
    <w:p>
      <w:pPr>
        <w:pStyle w:val="Heading3"/>
      </w:pPr>
      <w:r>
        <w:rPr>
          <w:rFonts w:ascii="Cambria" w:hAnsi="Cambria"/>
          <w:b/>
          <w:color w:val="1F3A5F"/>
          <w:sz w:val="26"/>
        </w:rPr>
        <w:t>3. Calculate Attainment Levels</w:t>
      </w:r>
    </w:p>
    <w:p>
      <w:pPr>
        <w:pStyle w:val="ListBullet"/>
        <w:spacing w:after="80" w:line="276" w:lineRule="auto"/>
      </w:pPr>
      <w:r>
        <w:rPr>
          <w:rFonts w:ascii="Cambria" w:hAnsi="Cambria"/>
          <w:b/>
          <w:i w:val="0"/>
          <w:sz w:val="22"/>
        </w:rPr>
        <w:t>For each CO:</w:t>
      </w:r>
    </w:p>
    <w:p>
      <w:pPr>
        <w:pStyle w:val="ListBullet2"/>
        <w:spacing w:after="80" w:line="276" w:lineRule="auto"/>
      </w:pPr>
      <w:r>
        <w:rPr>
          <w:rFonts w:ascii="Cambria" w:hAnsi="Cambria"/>
          <w:b w:val="0"/>
          <w:i w:val="0"/>
          <w:sz w:val="22"/>
        </w:rPr>
        <w:t>% of students meeting benchmark.</w:t>
      </w:r>
    </w:p>
    <w:p>
      <w:pPr>
        <w:pStyle w:val="ListBullet"/>
        <w:spacing w:after="80" w:line="276" w:lineRule="auto"/>
      </w:pPr>
      <w:r>
        <w:rPr>
          <w:rFonts w:ascii="Cambria" w:hAnsi="Cambria"/>
          <w:b/>
          <w:i w:val="0"/>
          <w:sz w:val="22"/>
        </w:rPr>
        <w:t>For each PO/PSO:</w:t>
      </w:r>
    </w:p>
    <w:p>
      <w:pPr>
        <w:pStyle w:val="ListBullet2"/>
        <w:spacing w:after="80" w:line="276" w:lineRule="auto"/>
      </w:pPr>
      <w:r>
        <w:rPr>
          <w:rFonts w:ascii="Cambria" w:hAnsi="Cambria"/>
          <w:b w:val="0"/>
          <w:i w:val="0"/>
          <w:sz w:val="22"/>
        </w:rPr>
        <w:t>Weighted aggregation of relevant COs.</w:t>
      </w:r>
    </w:p>
    <w:p>
      <w:pPr>
        <w:pStyle w:val="ListBullet2"/>
        <w:spacing w:after="80" w:line="276" w:lineRule="auto"/>
      </w:pPr>
      <w:r>
        <w:rPr>
          <w:rFonts w:ascii="Cambria" w:hAnsi="Cambria"/>
          <w:b w:val="0"/>
          <w:i w:val="0"/>
          <w:sz w:val="22"/>
        </w:rPr>
        <w:t>Overall attainment = (Direct % × weight) + (Indirect % × weight).</w:t>
      </w:r>
    </w:p>
    <w:p>
      <w:pPr>
        <w:pStyle w:val="Heading3"/>
      </w:pPr>
      <w:r>
        <w:rPr>
          <w:rFonts w:ascii="Cambria" w:hAnsi="Cambria"/>
          <w:b/>
          <w:color w:val="1F3A5F"/>
          <w:sz w:val="26"/>
        </w:rPr>
        <w:t>4. Compare with Targets</w:t>
      </w:r>
    </w:p>
    <w:p>
      <w:pPr>
        <w:pStyle w:val="ListBullet"/>
        <w:spacing w:after="80" w:line="276" w:lineRule="auto"/>
      </w:pPr>
      <w:r>
        <w:rPr>
          <w:rFonts w:ascii="Cambria" w:hAnsi="Cambria"/>
          <w:b w:val="0"/>
          <w:i w:val="0"/>
          <w:sz w:val="22"/>
        </w:rPr>
        <w:t>Formula: Gap = Target – Actual Attainment</w:t>
      </w:r>
    </w:p>
    <w:p>
      <w:pPr>
        <w:pStyle w:val="ListBullet"/>
        <w:spacing w:after="80" w:line="276" w:lineRule="auto"/>
      </w:pPr>
      <w:r>
        <w:rPr>
          <w:rFonts w:ascii="Cambria" w:hAnsi="Cambria"/>
          <w:b/>
          <w:i w:val="0"/>
          <w:sz w:val="22"/>
        </w:rPr>
        <w:t>Example:</w:t>
      </w:r>
    </w:p>
    <w:p>
      <w:pPr>
        <w:pStyle w:val="ListBullet2"/>
        <w:spacing w:after="80" w:line="276" w:lineRule="auto"/>
      </w:pPr>
      <w:r>
        <w:rPr>
          <w:rFonts w:ascii="Cambria" w:hAnsi="Cambria"/>
          <w:b w:val="0"/>
          <w:i w:val="0"/>
          <w:sz w:val="22"/>
        </w:rPr>
        <w:t>Target = 70%, Actual = 55%</w:t>
      </w:r>
    </w:p>
    <w:p>
      <w:pPr>
        <w:pStyle w:val="ListBullet2"/>
        <w:spacing w:after="80" w:line="276" w:lineRule="auto"/>
      </w:pPr>
      <w:r>
        <w:rPr>
          <w:rFonts w:ascii="Cambria" w:hAnsi="Cambria"/>
          <w:b w:val="0"/>
          <w:i w:val="0"/>
          <w:sz w:val="22"/>
        </w:rPr>
        <w:t>Gap = 15%</w:t>
      </w:r>
    </w:p>
    <w:p>
      <w:pPr>
        <w:pStyle w:val="Heading3"/>
      </w:pPr>
      <w:r>
        <w:rPr>
          <w:rFonts w:ascii="Cambria" w:hAnsi="Cambria"/>
          <w:b/>
          <w:color w:val="1F3A5F"/>
          <w:sz w:val="26"/>
        </w:rPr>
        <w:t>5. Identify Weak Areas</w:t>
      </w:r>
    </w:p>
    <w:p>
      <w:pPr>
        <w:pStyle w:val="ListBullet"/>
        <w:spacing w:after="80" w:line="276" w:lineRule="auto"/>
      </w:pPr>
      <w:r>
        <w:rPr>
          <w:rFonts w:ascii="Cambria" w:hAnsi="Cambria"/>
          <w:b/>
          <w:i w:val="0"/>
          <w:sz w:val="22"/>
        </w:rPr>
        <w:t>At CO Level:</w:t>
      </w:r>
    </w:p>
    <w:p>
      <w:pPr>
        <w:pStyle w:val="ListBullet2"/>
        <w:spacing w:after="80" w:line="276" w:lineRule="auto"/>
      </w:pPr>
      <w:r>
        <w:rPr>
          <w:rFonts w:ascii="Cambria" w:hAnsi="Cambria"/>
          <w:b w:val="0"/>
          <w:i w:val="0"/>
          <w:sz w:val="22"/>
        </w:rPr>
        <w:t>Topics where students scored low (e.g., recursion, thermodynamics).</w:t>
      </w:r>
    </w:p>
    <w:p>
      <w:pPr>
        <w:pStyle w:val="ListBullet2"/>
        <w:spacing w:after="80" w:line="276" w:lineRule="auto"/>
      </w:pPr>
      <w:r>
        <w:rPr>
          <w:rFonts w:ascii="Cambria" w:hAnsi="Cambria"/>
          <w:b w:val="0"/>
          <w:i w:val="0"/>
          <w:sz w:val="22"/>
        </w:rPr>
        <w:t>Lab/experiment outcomes with poor attainment.</w:t>
      </w:r>
    </w:p>
    <w:p>
      <w:pPr>
        <w:pStyle w:val="ListBullet"/>
        <w:spacing w:after="80" w:line="276" w:lineRule="auto"/>
      </w:pPr>
      <w:r>
        <w:rPr>
          <w:rFonts w:ascii="Cambria" w:hAnsi="Cambria"/>
          <w:b/>
          <w:i w:val="0"/>
          <w:sz w:val="22"/>
        </w:rPr>
        <w:t>At PO Level:</w:t>
      </w:r>
    </w:p>
    <w:p>
      <w:pPr>
        <w:pStyle w:val="ListBullet2"/>
        <w:spacing w:after="80" w:line="276" w:lineRule="auto"/>
      </w:pPr>
      <w:r>
        <w:rPr>
          <w:rFonts w:ascii="Cambria" w:hAnsi="Cambria"/>
          <w:b w:val="0"/>
          <w:i w:val="0"/>
          <w:sz w:val="22"/>
        </w:rPr>
        <w:t>Low scores in teamwork, communication, investigations, lifelong learning.</w:t>
      </w:r>
    </w:p>
    <w:p>
      <w:pPr>
        <w:pStyle w:val="ListBullet"/>
        <w:spacing w:after="80" w:line="276" w:lineRule="auto"/>
      </w:pPr>
      <w:r>
        <w:rPr>
          <w:rFonts w:ascii="Cambria" w:hAnsi="Cambria"/>
          <w:b/>
          <w:i w:val="0"/>
          <w:sz w:val="22"/>
        </w:rPr>
        <w:t>At PSO Level:</w:t>
      </w:r>
    </w:p>
    <w:p>
      <w:pPr>
        <w:pStyle w:val="ListBullet2"/>
        <w:spacing w:after="80" w:line="276" w:lineRule="auto"/>
      </w:pPr>
      <w:r>
        <w:rPr>
          <w:rFonts w:ascii="Cambria" w:hAnsi="Cambria"/>
          <w:b w:val="0"/>
          <w:i w:val="0"/>
          <w:sz w:val="22"/>
        </w:rPr>
        <w:t>Poor exposure to industry-standard tools/software.</w:t>
      </w:r>
    </w:p>
    <w:p>
      <w:pPr>
        <w:pStyle w:val="ListBullet2"/>
        <w:spacing w:after="80" w:line="276" w:lineRule="auto"/>
      </w:pPr>
      <w:r>
        <w:rPr>
          <w:rFonts w:ascii="Cambria" w:hAnsi="Cambria"/>
          <w:b w:val="0"/>
          <w:i w:val="0"/>
          <w:sz w:val="22"/>
        </w:rPr>
        <w:t>Lack of emerging technology knowledge.</w:t>
      </w:r>
    </w:p>
    <w:p>
      <w:pPr>
        <w:pStyle w:val="Heading3"/>
      </w:pPr>
      <w:r>
        <w:rPr>
          <w:rFonts w:ascii="Cambria" w:hAnsi="Cambria"/>
          <w:b/>
          <w:color w:val="1F3A5F"/>
          <w:sz w:val="26"/>
        </w:rPr>
        <w:t>6. Categorize Gaps</w:t>
      </w:r>
    </w:p>
    <w:p>
      <w:pPr>
        <w:pStyle w:val="ListBullet"/>
        <w:spacing w:after="80" w:line="276" w:lineRule="auto"/>
      </w:pPr>
      <w:r>
        <w:rPr>
          <w:rFonts w:ascii="Cambria" w:hAnsi="Cambria"/>
          <w:b/>
          <w:i w:val="0"/>
          <w:sz w:val="22"/>
        </w:rPr>
        <w:t xml:space="preserve">Knowledge Gaps → </w:t>
      </w:r>
      <w:r>
        <w:rPr>
          <w:rFonts w:ascii="Cambria" w:hAnsi="Cambria"/>
          <w:b w:val="0"/>
          <w:i w:val="0"/>
          <w:sz w:val="22"/>
        </w:rPr>
        <w:t>Lack of conceptual clarity.</w:t>
      </w:r>
    </w:p>
    <w:p>
      <w:pPr>
        <w:pStyle w:val="ListBullet"/>
        <w:spacing w:after="80" w:line="276" w:lineRule="auto"/>
      </w:pPr>
      <w:r>
        <w:rPr>
          <w:rFonts w:ascii="Cambria" w:hAnsi="Cambria"/>
          <w:b/>
          <w:i w:val="0"/>
          <w:sz w:val="22"/>
        </w:rPr>
        <w:t xml:space="preserve">Skill Gaps → </w:t>
      </w:r>
      <w:r>
        <w:rPr>
          <w:rFonts w:ascii="Cambria" w:hAnsi="Cambria"/>
          <w:b w:val="0"/>
          <w:i w:val="0"/>
          <w:sz w:val="22"/>
        </w:rPr>
        <w:t>Inadequate practical/coding/analytical exposure.</w:t>
      </w:r>
    </w:p>
    <w:p>
      <w:pPr>
        <w:pStyle w:val="ListBullet"/>
        <w:spacing w:after="80" w:line="276" w:lineRule="auto"/>
      </w:pPr>
      <w:r>
        <w:rPr>
          <w:rFonts w:ascii="Cambria" w:hAnsi="Cambria"/>
          <w:b/>
          <w:i w:val="0"/>
          <w:sz w:val="22"/>
        </w:rPr>
        <w:t xml:space="preserve">Attitudinal Gaps → </w:t>
      </w:r>
      <w:r>
        <w:rPr>
          <w:rFonts w:ascii="Cambria" w:hAnsi="Cambria"/>
          <w:b w:val="0"/>
          <w:i w:val="0"/>
          <w:sz w:val="22"/>
        </w:rPr>
        <w:t>Weakness in teamwork, ethics, leadership.</w:t>
      </w:r>
    </w:p>
    <w:p>
      <w:pPr>
        <w:pStyle w:val="ListBullet"/>
        <w:spacing w:after="80" w:line="276" w:lineRule="auto"/>
      </w:pPr>
      <w:r>
        <w:rPr>
          <w:rFonts w:ascii="Cambria" w:hAnsi="Cambria"/>
          <w:b/>
          <w:i w:val="0"/>
          <w:sz w:val="22"/>
        </w:rPr>
        <w:t xml:space="preserve">Industry Readiness Gaps → </w:t>
      </w:r>
      <w:r>
        <w:rPr>
          <w:rFonts w:ascii="Cambria" w:hAnsi="Cambria"/>
          <w:b w:val="0"/>
          <w:i w:val="0"/>
          <w:sz w:val="22"/>
        </w:rPr>
        <w:t>Limited internships, outdated labs, poor domain tool usage.</w:t>
      </w:r>
    </w:p>
    <w:p>
      <w:pPr>
        <w:pStyle w:val="Heading3"/>
      </w:pPr>
      <w:r>
        <w:rPr>
          <w:rFonts w:ascii="Cambria" w:hAnsi="Cambria"/>
          <w:b/>
          <w:color w:val="1F3A5F"/>
          <w:sz w:val="26"/>
        </w:rPr>
        <w:t>7. Record Gaps in Excel Tracker</w:t>
      </w:r>
    </w:p>
    <w:tbl>
      <w:tblPr>
        <w:tblStyle w:val="TableGrid"/>
        <w:tblW w:type="auto" w:w="0"/>
        <w:jc w:val="center"/>
        <w:tblLayout w:type="fixed"/>
        <w:tblLook w:firstColumn="1" w:firstRow="1" w:lastColumn="0" w:lastRow="0" w:noHBand="0" w:noVBand="1" w:val="04A0"/>
        <w:tblLayout w:type="fixed"/>
      </w:tblPr>
      <w:tblGrid>
        <w:gridCol w:w="1587"/>
        <w:gridCol w:w="1984"/>
        <w:gridCol w:w="1020"/>
        <w:gridCol w:w="1020"/>
        <w:gridCol w:w="907"/>
        <w:gridCol w:w="2551"/>
      </w:tblGrid>
      <w:tr>
        <w:tc>
          <w:tcPr>
            <w:tcW w:type="dxa" w:w="1587"/>
            <w:shd w:val="clear" w:color="auto" w:fill="1F3A5F"/>
          </w:tcPr>
          <w:p>
            <w:pPr>
              <w:spacing w:after="40" w:line="240" w:lineRule="auto"/>
              <w:jc w:val="center"/>
            </w:pPr>
            <w:r/>
            <w:r>
              <w:rPr>
                <w:rFonts w:ascii="Cambria" w:hAnsi="Cambria"/>
                <w:b/>
                <w:color w:val="FFFFFF"/>
                <w:sz w:val="19"/>
              </w:rPr>
              <w:t>Level (CO/PO/PSO)</w:t>
            </w:r>
          </w:p>
        </w:tc>
        <w:tc>
          <w:tcPr>
            <w:tcW w:type="dxa" w:w="1984"/>
            <w:shd w:val="clear" w:color="auto" w:fill="1F3A5F"/>
          </w:tcPr>
          <w:p>
            <w:pPr>
              <w:spacing w:after="40" w:line="240" w:lineRule="auto"/>
              <w:jc w:val="center"/>
            </w:pPr>
            <w:r/>
            <w:r>
              <w:rPr>
                <w:rFonts w:ascii="Cambria" w:hAnsi="Cambria"/>
                <w:b/>
                <w:color w:val="FFFFFF"/>
                <w:sz w:val="19"/>
              </w:rPr>
              <w:t>Code</w:t>
            </w:r>
          </w:p>
        </w:tc>
        <w:tc>
          <w:tcPr>
            <w:tcW w:type="dxa" w:w="1020"/>
            <w:shd w:val="clear" w:color="auto" w:fill="1F3A5F"/>
          </w:tcPr>
          <w:p>
            <w:pPr>
              <w:spacing w:after="40" w:line="240" w:lineRule="auto"/>
              <w:jc w:val="center"/>
            </w:pPr>
            <w:r/>
            <w:r>
              <w:rPr>
                <w:rFonts w:ascii="Cambria" w:hAnsi="Cambria"/>
                <w:b/>
                <w:color w:val="FFFFFF"/>
                <w:sz w:val="19"/>
              </w:rPr>
              <w:t>Target (%)</w:t>
            </w:r>
          </w:p>
        </w:tc>
        <w:tc>
          <w:tcPr>
            <w:tcW w:type="dxa" w:w="1020"/>
            <w:shd w:val="clear" w:color="auto" w:fill="1F3A5F"/>
          </w:tcPr>
          <w:p>
            <w:pPr>
              <w:spacing w:after="40" w:line="240" w:lineRule="auto"/>
              <w:jc w:val="center"/>
            </w:pPr>
            <w:r/>
            <w:r>
              <w:rPr>
                <w:rFonts w:ascii="Cambria" w:hAnsi="Cambria"/>
                <w:b/>
                <w:color w:val="FFFFFF"/>
                <w:sz w:val="19"/>
              </w:rPr>
              <w:t>Actual (%)</w:t>
            </w:r>
          </w:p>
        </w:tc>
        <w:tc>
          <w:tcPr>
            <w:tcW w:type="dxa" w:w="907"/>
            <w:shd w:val="clear" w:color="auto" w:fill="1F3A5F"/>
          </w:tcPr>
          <w:p>
            <w:pPr>
              <w:spacing w:after="40" w:line="240" w:lineRule="auto"/>
              <w:jc w:val="center"/>
            </w:pPr>
            <w:r/>
            <w:r>
              <w:rPr>
                <w:rFonts w:ascii="Cambria" w:hAnsi="Cambria"/>
                <w:b/>
                <w:color w:val="FFFFFF"/>
                <w:sz w:val="19"/>
              </w:rPr>
              <w:t>Gap (%)</w:t>
            </w:r>
          </w:p>
        </w:tc>
        <w:tc>
          <w:tcPr>
            <w:tcW w:type="dxa" w:w="2551"/>
            <w:shd w:val="clear" w:color="auto" w:fill="1F3A5F"/>
          </w:tcPr>
          <w:p>
            <w:pPr>
              <w:spacing w:after="40" w:line="240" w:lineRule="auto"/>
              <w:jc w:val="center"/>
            </w:pPr>
            <w:r/>
            <w:r>
              <w:rPr>
                <w:rFonts w:ascii="Cambria" w:hAnsi="Cambria"/>
                <w:b/>
                <w:color w:val="FFFFFF"/>
                <w:sz w:val="19"/>
              </w:rPr>
              <w:t>Weakness Identified</w:t>
            </w:r>
          </w:p>
        </w:tc>
      </w:tr>
      <w:tr>
        <w:tc>
          <w:tcPr>
            <w:tcW w:type="dxa" w:w="1587"/>
          </w:tcPr>
          <w:p>
            <w:pPr>
              <w:spacing w:after="40" w:line="240" w:lineRule="auto"/>
              <w:jc w:val="left"/>
            </w:pPr>
            <w:r/>
            <w:r>
              <w:rPr>
                <w:rFonts w:ascii="Cambria" w:hAnsi="Cambria"/>
                <w:b w:val="0"/>
                <w:sz w:val="18"/>
              </w:rPr>
              <w:t>CO</w:t>
            </w:r>
          </w:p>
        </w:tc>
        <w:tc>
          <w:tcPr>
            <w:tcW w:type="dxa" w:w="1984"/>
          </w:tcPr>
          <w:p>
            <w:pPr>
              <w:spacing w:after="40" w:line="240" w:lineRule="auto"/>
              <w:jc w:val="left"/>
            </w:pPr>
            <w:r/>
            <w:r>
              <w:rPr>
                <w:rFonts w:ascii="Cambria" w:hAnsi="Cambria"/>
                <w:b w:val="0"/>
                <w:sz w:val="18"/>
              </w:rPr>
              <w:t>CO2 – Data Structures</w:t>
            </w:r>
          </w:p>
        </w:tc>
        <w:tc>
          <w:tcPr>
            <w:tcW w:type="dxa" w:w="1020"/>
          </w:tcPr>
          <w:p>
            <w:pPr>
              <w:spacing w:after="40" w:line="240" w:lineRule="auto"/>
              <w:jc w:val="left"/>
            </w:pPr>
            <w:r/>
            <w:r>
              <w:rPr>
                <w:rFonts w:ascii="Cambria" w:hAnsi="Cambria"/>
                <w:b w:val="0"/>
                <w:sz w:val="18"/>
              </w:rPr>
              <w:t>70</w:t>
            </w:r>
          </w:p>
        </w:tc>
        <w:tc>
          <w:tcPr>
            <w:tcW w:type="dxa" w:w="1020"/>
          </w:tcPr>
          <w:p>
            <w:pPr>
              <w:spacing w:after="40" w:line="240" w:lineRule="auto"/>
              <w:jc w:val="left"/>
            </w:pPr>
            <w:r/>
            <w:r>
              <w:rPr>
                <w:rFonts w:ascii="Cambria" w:hAnsi="Cambria"/>
                <w:b w:val="0"/>
                <w:sz w:val="18"/>
              </w:rPr>
              <w:t>52</w:t>
            </w:r>
          </w:p>
        </w:tc>
        <w:tc>
          <w:tcPr>
            <w:tcW w:type="dxa" w:w="907"/>
          </w:tcPr>
          <w:p>
            <w:pPr>
              <w:spacing w:after="40" w:line="240" w:lineRule="auto"/>
              <w:jc w:val="left"/>
            </w:pPr>
            <w:r/>
            <w:r>
              <w:rPr>
                <w:rFonts w:ascii="Cambria" w:hAnsi="Cambria"/>
                <w:b w:val="0"/>
                <w:sz w:val="18"/>
              </w:rPr>
              <w:t>18</w:t>
            </w:r>
          </w:p>
        </w:tc>
        <w:tc>
          <w:tcPr>
            <w:tcW w:type="dxa" w:w="2551"/>
          </w:tcPr>
          <w:p>
            <w:pPr>
              <w:spacing w:after="40" w:line="240" w:lineRule="auto"/>
              <w:jc w:val="left"/>
            </w:pPr>
            <w:r/>
            <w:r>
              <w:rPr>
                <w:rFonts w:ascii="Cambria" w:hAnsi="Cambria"/>
                <w:b w:val="0"/>
                <w:sz w:val="18"/>
              </w:rPr>
              <w:t>Lack of coding practice</w:t>
            </w:r>
          </w:p>
        </w:tc>
      </w:tr>
      <w:tr>
        <w:tc>
          <w:tcPr>
            <w:tcW w:type="dxa" w:w="1587"/>
            <w:shd w:val="clear" w:color="auto" w:fill="F2F2F2"/>
          </w:tcPr>
          <w:p>
            <w:pPr>
              <w:spacing w:after="40" w:line="240" w:lineRule="auto"/>
              <w:jc w:val="left"/>
            </w:pPr>
            <w:r/>
            <w:r>
              <w:rPr>
                <w:rFonts w:ascii="Cambria" w:hAnsi="Cambria"/>
                <w:b w:val="0"/>
                <w:sz w:val="18"/>
              </w:rPr>
              <w:t>PO</w:t>
            </w:r>
          </w:p>
        </w:tc>
        <w:tc>
          <w:tcPr>
            <w:tcW w:type="dxa" w:w="1984"/>
            <w:shd w:val="clear" w:color="auto" w:fill="F2F2F2"/>
          </w:tcPr>
          <w:p>
            <w:pPr>
              <w:spacing w:after="40" w:line="240" w:lineRule="auto"/>
              <w:jc w:val="left"/>
            </w:pPr>
            <w:r/>
            <w:r>
              <w:rPr>
                <w:rFonts w:ascii="Cambria" w:hAnsi="Cambria"/>
                <w:b w:val="0"/>
                <w:sz w:val="18"/>
              </w:rPr>
              <w:t>PO4 – Investigations</w:t>
            </w:r>
          </w:p>
        </w:tc>
        <w:tc>
          <w:tcPr>
            <w:tcW w:type="dxa" w:w="1020"/>
            <w:shd w:val="clear" w:color="auto" w:fill="F2F2F2"/>
          </w:tcPr>
          <w:p>
            <w:pPr>
              <w:spacing w:after="40" w:line="240" w:lineRule="auto"/>
              <w:jc w:val="left"/>
            </w:pPr>
            <w:r/>
            <w:r>
              <w:rPr>
                <w:rFonts w:ascii="Cambria" w:hAnsi="Cambria"/>
                <w:b w:val="0"/>
                <w:sz w:val="18"/>
              </w:rPr>
              <w:t>70</w:t>
            </w:r>
          </w:p>
        </w:tc>
        <w:tc>
          <w:tcPr>
            <w:tcW w:type="dxa" w:w="1020"/>
            <w:shd w:val="clear" w:color="auto" w:fill="F2F2F2"/>
          </w:tcPr>
          <w:p>
            <w:pPr>
              <w:spacing w:after="40" w:line="240" w:lineRule="auto"/>
              <w:jc w:val="left"/>
            </w:pPr>
            <w:r/>
            <w:r>
              <w:rPr>
                <w:rFonts w:ascii="Cambria" w:hAnsi="Cambria"/>
                <w:b w:val="0"/>
                <w:sz w:val="18"/>
              </w:rPr>
              <w:t>55</w:t>
            </w:r>
          </w:p>
        </w:tc>
        <w:tc>
          <w:tcPr>
            <w:tcW w:type="dxa" w:w="907"/>
            <w:shd w:val="clear" w:color="auto" w:fill="F2F2F2"/>
          </w:tcPr>
          <w:p>
            <w:pPr>
              <w:spacing w:after="40" w:line="240" w:lineRule="auto"/>
              <w:jc w:val="left"/>
            </w:pPr>
            <w:r/>
            <w:r>
              <w:rPr>
                <w:rFonts w:ascii="Cambria" w:hAnsi="Cambria"/>
                <w:b w:val="0"/>
                <w:sz w:val="18"/>
              </w:rPr>
              <w:t>15</w:t>
            </w:r>
          </w:p>
        </w:tc>
        <w:tc>
          <w:tcPr>
            <w:tcW w:type="dxa" w:w="2551"/>
            <w:shd w:val="clear" w:color="auto" w:fill="F2F2F2"/>
          </w:tcPr>
          <w:p>
            <w:pPr>
              <w:spacing w:after="40" w:line="240" w:lineRule="auto"/>
              <w:jc w:val="left"/>
            </w:pPr>
            <w:r/>
            <w:r>
              <w:rPr>
                <w:rFonts w:ascii="Cambria" w:hAnsi="Cambria"/>
                <w:b w:val="0"/>
                <w:sz w:val="18"/>
              </w:rPr>
              <w:t>Weak in problem analysis &amp; research</w:t>
            </w:r>
          </w:p>
        </w:tc>
      </w:tr>
      <w:tr>
        <w:tc>
          <w:tcPr>
            <w:tcW w:type="dxa" w:w="1587"/>
          </w:tcPr>
          <w:p>
            <w:pPr>
              <w:spacing w:after="40" w:line="240" w:lineRule="auto"/>
              <w:jc w:val="left"/>
            </w:pPr>
            <w:r/>
            <w:r>
              <w:rPr>
                <w:rFonts w:ascii="Cambria" w:hAnsi="Cambria"/>
                <w:b w:val="0"/>
                <w:sz w:val="18"/>
              </w:rPr>
              <w:t>PSO</w:t>
            </w:r>
          </w:p>
        </w:tc>
        <w:tc>
          <w:tcPr>
            <w:tcW w:type="dxa" w:w="1984"/>
          </w:tcPr>
          <w:p>
            <w:pPr>
              <w:spacing w:after="40" w:line="240" w:lineRule="auto"/>
              <w:jc w:val="left"/>
            </w:pPr>
            <w:r/>
            <w:r>
              <w:rPr>
                <w:rFonts w:ascii="Cambria" w:hAnsi="Cambria"/>
                <w:b w:val="0"/>
                <w:sz w:val="18"/>
              </w:rPr>
              <w:t>PSO1 – Domain Tools</w:t>
            </w:r>
          </w:p>
        </w:tc>
        <w:tc>
          <w:tcPr>
            <w:tcW w:type="dxa" w:w="1020"/>
          </w:tcPr>
          <w:p>
            <w:pPr>
              <w:spacing w:after="40" w:line="240" w:lineRule="auto"/>
              <w:jc w:val="left"/>
            </w:pPr>
            <w:r/>
            <w:r>
              <w:rPr>
                <w:rFonts w:ascii="Cambria" w:hAnsi="Cambria"/>
                <w:b w:val="0"/>
                <w:sz w:val="18"/>
              </w:rPr>
              <w:t>70</w:t>
            </w:r>
          </w:p>
        </w:tc>
        <w:tc>
          <w:tcPr>
            <w:tcW w:type="dxa" w:w="1020"/>
          </w:tcPr>
          <w:p>
            <w:pPr>
              <w:spacing w:after="40" w:line="240" w:lineRule="auto"/>
              <w:jc w:val="left"/>
            </w:pPr>
            <w:r/>
            <w:r>
              <w:rPr>
                <w:rFonts w:ascii="Cambria" w:hAnsi="Cambria"/>
                <w:b w:val="0"/>
                <w:sz w:val="18"/>
              </w:rPr>
              <w:t>52</w:t>
            </w:r>
          </w:p>
        </w:tc>
        <w:tc>
          <w:tcPr>
            <w:tcW w:type="dxa" w:w="907"/>
          </w:tcPr>
          <w:p>
            <w:pPr>
              <w:spacing w:after="40" w:line="240" w:lineRule="auto"/>
              <w:jc w:val="left"/>
            </w:pPr>
            <w:r/>
            <w:r>
              <w:rPr>
                <w:rFonts w:ascii="Cambria" w:hAnsi="Cambria"/>
                <w:b w:val="0"/>
                <w:sz w:val="18"/>
              </w:rPr>
              <w:t>18</w:t>
            </w:r>
          </w:p>
        </w:tc>
        <w:tc>
          <w:tcPr>
            <w:tcW w:type="dxa" w:w="2551"/>
          </w:tcPr>
          <w:p>
            <w:pPr>
              <w:spacing w:after="40" w:line="240" w:lineRule="auto"/>
              <w:jc w:val="left"/>
            </w:pPr>
            <w:r/>
            <w:r>
              <w:rPr>
                <w:rFonts w:ascii="Cambria" w:hAnsi="Cambria"/>
                <w:b w:val="0"/>
                <w:sz w:val="18"/>
              </w:rPr>
              <w:t>Limited exposure to software tools</w:t>
            </w:r>
          </w:p>
        </w:tc>
      </w:tr>
    </w:tbl>
    <w:p>
      <w:pPr>
        <w:spacing w:after="40"/>
      </w:pPr>
    </w:p>
    <w:p>
      <w:pPr>
        <w:pStyle w:val="Heading3"/>
      </w:pPr>
      <w:r>
        <w:rPr>
          <w:rFonts w:ascii="Cambria" w:hAnsi="Cambria"/>
          <w:b/>
          <w:color w:val="1F3A5F"/>
          <w:sz w:val="26"/>
        </w:rPr>
        <w:t>8. Verify with Stakeholder Feedback</w:t>
      </w:r>
    </w:p>
    <w:p>
      <w:pPr>
        <w:pStyle w:val="ListBullet"/>
        <w:spacing w:after="80" w:line="276" w:lineRule="auto"/>
      </w:pPr>
      <w:r>
        <w:rPr>
          <w:rFonts w:ascii="Cambria" w:hAnsi="Cambria"/>
          <w:b/>
          <w:i w:val="0"/>
          <w:sz w:val="22"/>
        </w:rPr>
        <w:t xml:space="preserve">Students → </w:t>
      </w:r>
      <w:r>
        <w:rPr>
          <w:rFonts w:ascii="Cambria" w:hAnsi="Cambria"/>
          <w:b w:val="0"/>
          <w:i w:val="0"/>
          <w:sz w:val="22"/>
        </w:rPr>
        <w:t>Did remedial classes help?</w:t>
      </w:r>
    </w:p>
    <w:p>
      <w:pPr>
        <w:pStyle w:val="ListBullet"/>
        <w:spacing w:after="80" w:line="276" w:lineRule="auto"/>
      </w:pPr>
      <w:r>
        <w:rPr>
          <w:rFonts w:ascii="Cambria" w:hAnsi="Cambria"/>
          <w:b/>
          <w:i w:val="0"/>
          <w:sz w:val="22"/>
        </w:rPr>
        <w:t xml:space="preserve">Alumni → </w:t>
      </w:r>
      <w:r>
        <w:rPr>
          <w:rFonts w:ascii="Cambria" w:hAnsi="Cambria"/>
          <w:b w:val="0"/>
          <w:i w:val="0"/>
          <w:sz w:val="22"/>
        </w:rPr>
        <w:t>Was curriculum relevant for jobs/higher studies?</w:t>
      </w:r>
    </w:p>
    <w:p>
      <w:pPr>
        <w:pStyle w:val="ListBullet"/>
        <w:spacing w:after="80" w:line="276" w:lineRule="auto"/>
      </w:pPr>
      <w:r>
        <w:rPr>
          <w:rFonts w:ascii="Cambria" w:hAnsi="Cambria"/>
          <w:b/>
          <w:i w:val="0"/>
          <w:sz w:val="22"/>
        </w:rPr>
        <w:t xml:space="preserve">Employers → </w:t>
      </w:r>
      <w:r>
        <w:rPr>
          <w:rFonts w:ascii="Cambria" w:hAnsi="Cambria"/>
          <w:b w:val="0"/>
          <w:i w:val="0"/>
          <w:sz w:val="22"/>
        </w:rPr>
        <w:t>Are graduates industry-ready?</w:t>
      </w:r>
    </w:p>
    <w:p>
      <w:pPr>
        <w:pStyle w:val="Heading3"/>
      </w:pPr>
      <w:r>
        <w:rPr>
          <w:rFonts w:ascii="Cambria" w:hAnsi="Cambria"/>
          <w:b/>
          <w:color w:val="1F3A5F"/>
          <w:sz w:val="26"/>
        </w:rPr>
        <w:t>9. Finalize Gaps for Action Plan</w:t>
      </w:r>
    </w:p>
    <w:p>
      <w:pPr>
        <w:pStyle w:val="ListBullet"/>
        <w:spacing w:after="80" w:line="276" w:lineRule="auto"/>
      </w:pPr>
      <w:r>
        <w:rPr>
          <w:rFonts w:ascii="Cambria" w:hAnsi="Cambria"/>
          <w:b w:val="0"/>
          <w:i w:val="0"/>
          <w:sz w:val="22"/>
        </w:rPr>
        <w:t>Present gap analysis in faculty meetings, DAB, BoS.</w:t>
      </w:r>
    </w:p>
    <w:p>
      <w:pPr>
        <w:pStyle w:val="ListBullet"/>
        <w:spacing w:after="80" w:line="276" w:lineRule="auto"/>
      </w:pPr>
      <w:r>
        <w:rPr>
          <w:rFonts w:ascii="Cambria" w:hAnsi="Cambria"/>
          <w:b w:val="0"/>
          <w:i w:val="0"/>
          <w:sz w:val="22"/>
        </w:rPr>
        <w:t>Approve corrective measures (remedial, bridge courses, FDPs, industry tie-ups).</w:t>
      </w:r>
    </w:p>
    <w:p>
      <w:r>
        <w:br w:type="page"/>
      </w:r>
    </w:p>
    <w:p>
      <w:pPr>
        <w:pStyle w:val="Heading1"/>
      </w:pPr>
      <w:r>
        <w:rPr>
          <w:rFonts w:ascii="Cambria" w:hAnsi="Cambria"/>
          <w:b/>
          <w:color w:val="1F3A5F"/>
          <w:sz w:val="36"/>
        </w:rPr>
        <w:t>13. Target Attainment Fixing Policy</w:t>
      </w:r>
    </w:p>
    <w:p>
      <w:pPr>
        <w:pStyle w:val="Heading3"/>
      </w:pPr>
      <w:r>
        <w:rPr>
          <w:rFonts w:ascii="Cambria" w:hAnsi="Cambria"/>
          <w:b/>
          <w:color w:val="1F3A5F"/>
          <w:sz w:val="26"/>
        </w:rPr>
        <w:t>1. Objective</w:t>
      </w:r>
    </w:p>
    <w:p>
      <w:pPr>
        <w:pStyle w:val="ListBullet"/>
        <w:spacing w:after="80" w:line="276" w:lineRule="auto"/>
      </w:pPr>
      <w:r>
        <w:rPr>
          <w:rFonts w:ascii="Cambria" w:hAnsi="Cambria"/>
          <w:b w:val="0"/>
          <w:i w:val="0"/>
          <w:sz w:val="22"/>
        </w:rPr>
        <w:t>To establish a transparent and systematic method for fixing attainment targets for Course Outcomes (COs), Program Outcomes (POs), and Program Specific Outcomes (PSOs).</w:t>
      </w:r>
    </w:p>
    <w:p>
      <w:pPr>
        <w:pStyle w:val="ListBullet"/>
        <w:spacing w:after="80" w:line="276" w:lineRule="auto"/>
      </w:pPr>
      <w:r>
        <w:rPr>
          <w:rFonts w:ascii="Cambria" w:hAnsi="Cambria"/>
          <w:b w:val="0"/>
          <w:i w:val="0"/>
          <w:sz w:val="22"/>
        </w:rPr>
        <w:t>To ensure that targets are realistic, measurable, and aligned with the Vision, Mission, Program Educational Objectives (PEOs), and industry requirements.</w:t>
      </w:r>
    </w:p>
    <w:p>
      <w:pPr>
        <w:pStyle w:val="Heading3"/>
      </w:pPr>
      <w:r>
        <w:rPr>
          <w:rFonts w:ascii="Cambria" w:hAnsi="Cambria"/>
          <w:b/>
          <w:color w:val="1F3A5F"/>
          <w:sz w:val="26"/>
        </w:rPr>
        <w:t>2. Scope</w:t>
      </w:r>
    </w:p>
    <w:p>
      <w:pPr>
        <w:pStyle w:val="ListBullet"/>
        <w:spacing w:after="80" w:line="276" w:lineRule="auto"/>
      </w:pPr>
      <w:r>
        <w:rPr>
          <w:rFonts w:ascii="Cambria" w:hAnsi="Cambria"/>
          <w:b w:val="0"/>
          <w:i w:val="0"/>
          <w:sz w:val="22"/>
        </w:rPr>
        <w:t>Applicable to all UG/PG programs of the institution.</w:t>
      </w:r>
    </w:p>
    <w:p>
      <w:pPr>
        <w:pStyle w:val="ListBullet"/>
        <w:spacing w:after="80" w:line="276" w:lineRule="auto"/>
      </w:pPr>
      <w:r>
        <w:rPr>
          <w:rFonts w:ascii="Cambria" w:hAnsi="Cambria"/>
          <w:b w:val="0"/>
          <w:i w:val="0"/>
          <w:sz w:val="22"/>
        </w:rPr>
        <w:t>Covers direct attainment (academic performance) and indirect attainment (surveys/feedback).</w:t>
      </w:r>
    </w:p>
    <w:p>
      <w:pPr>
        <w:pStyle w:val="Heading3"/>
      </w:pPr>
      <w:r>
        <w:rPr>
          <w:rFonts w:ascii="Cambria" w:hAnsi="Cambria"/>
          <w:b/>
          <w:color w:val="1F3A5F"/>
          <w:sz w:val="26"/>
        </w:rPr>
        <w:t>3. Principles of Target Setting</w:t>
      </w:r>
    </w:p>
    <w:p>
      <w:pPr>
        <w:pStyle w:val="ListNumber"/>
        <w:spacing w:after="80" w:line="276" w:lineRule="auto"/>
      </w:pPr>
      <w:r>
        <w:rPr>
          <w:rFonts w:ascii="Cambria" w:hAnsi="Cambria"/>
          <w:b/>
          <w:i w:val="0"/>
          <w:sz w:val="22"/>
        </w:rPr>
        <w:t xml:space="preserve">Data-Driven: </w:t>
      </w:r>
      <w:r>
        <w:rPr>
          <w:rFonts w:ascii="Cambria" w:hAnsi="Cambria"/>
          <w:b w:val="0"/>
          <w:i w:val="0"/>
          <w:sz w:val="22"/>
        </w:rPr>
        <w:t>Based on past 3–5 years’ performance trends.</w:t>
      </w:r>
    </w:p>
    <w:p>
      <w:pPr>
        <w:pStyle w:val="ListNumber"/>
        <w:spacing w:after="80" w:line="276" w:lineRule="auto"/>
      </w:pPr>
      <w:r>
        <w:rPr>
          <w:rFonts w:ascii="Cambria" w:hAnsi="Cambria"/>
          <w:b/>
          <w:i w:val="0"/>
          <w:sz w:val="22"/>
        </w:rPr>
        <w:t xml:space="preserve">Progressive: </w:t>
      </w:r>
      <w:r>
        <w:rPr>
          <w:rFonts w:ascii="Cambria" w:hAnsi="Cambria"/>
          <w:b w:val="0"/>
          <w:i w:val="0"/>
          <w:sz w:val="22"/>
        </w:rPr>
        <w:t>Targets should encourage continuous improvement (not fixed permanently).</w:t>
      </w:r>
    </w:p>
    <w:p>
      <w:pPr>
        <w:pStyle w:val="ListNumber"/>
        <w:spacing w:after="80" w:line="276" w:lineRule="auto"/>
      </w:pPr>
      <w:r>
        <w:rPr>
          <w:rFonts w:ascii="Cambria" w:hAnsi="Cambria"/>
          <w:b/>
          <w:i w:val="0"/>
          <w:sz w:val="22"/>
        </w:rPr>
        <w:t xml:space="preserve">Inclusive: </w:t>
      </w:r>
      <w:r>
        <w:rPr>
          <w:rFonts w:ascii="Cambria" w:hAnsi="Cambria"/>
          <w:b w:val="0"/>
          <w:i w:val="0"/>
          <w:sz w:val="22"/>
        </w:rPr>
        <w:t>Consider stakeholder feedback (faculty, students, alumni, employers).</w:t>
      </w:r>
    </w:p>
    <w:p>
      <w:pPr>
        <w:pStyle w:val="ListNumber"/>
        <w:spacing w:after="80" w:line="276" w:lineRule="auto"/>
      </w:pPr>
      <w:r>
        <w:rPr>
          <w:rFonts w:ascii="Cambria" w:hAnsi="Cambria"/>
          <w:b/>
          <w:i w:val="0"/>
          <w:sz w:val="22"/>
        </w:rPr>
        <w:t xml:space="preserve">Approved Process: </w:t>
      </w:r>
      <w:r>
        <w:rPr>
          <w:rFonts w:ascii="Cambria" w:hAnsi="Cambria"/>
          <w:b w:val="0"/>
          <w:i w:val="0"/>
          <w:sz w:val="22"/>
        </w:rPr>
        <w:t>Targets finalized only after approval from DAB → BoS → Academic Council.</w:t>
      </w:r>
    </w:p>
    <w:p>
      <w:pPr>
        <w:pStyle w:val="Heading3"/>
      </w:pPr>
      <w:r>
        <w:rPr>
          <w:rFonts w:ascii="Cambria" w:hAnsi="Cambria"/>
          <w:b/>
          <w:color w:val="1F3A5F"/>
          <w:sz w:val="26"/>
        </w:rPr>
        <w:t>4. Methodology</w:t>
      </w:r>
    </w:p>
    <w:p>
      <w:pPr>
        <w:pStyle w:val="ListBullet"/>
        <w:spacing w:after="80" w:line="276" w:lineRule="auto"/>
      </w:pPr>
      <w:r>
        <w:rPr>
          <w:rFonts w:ascii="Cambria" w:hAnsi="Cambria"/>
          <w:b/>
          <w:i w:val="0"/>
          <w:sz w:val="22"/>
        </w:rPr>
        <w:t>Step 1: Historical Data Review</w:t>
      </w:r>
    </w:p>
    <w:p>
      <w:pPr>
        <w:pStyle w:val="ListBullet2"/>
        <w:spacing w:after="80" w:line="276" w:lineRule="auto"/>
      </w:pPr>
      <w:r>
        <w:rPr>
          <w:rFonts w:ascii="Cambria" w:hAnsi="Cambria"/>
          <w:b w:val="0"/>
          <w:i w:val="0"/>
          <w:sz w:val="22"/>
        </w:rPr>
        <w:t>Calculate average attainment (CO/PO/PSO) for the last 3 years.</w:t>
      </w:r>
    </w:p>
    <w:p>
      <w:pPr>
        <w:pStyle w:val="ListBullet2"/>
        <w:spacing w:after="80" w:line="276" w:lineRule="auto"/>
      </w:pPr>
      <w:r>
        <w:rPr>
          <w:rFonts w:ascii="Cambria" w:hAnsi="Cambria"/>
          <w:b w:val="0"/>
          <w:i w:val="0"/>
          <w:sz w:val="22"/>
        </w:rPr>
        <w:t>Identify trends and variation.</w:t>
      </w:r>
    </w:p>
    <w:p>
      <w:pPr>
        <w:pStyle w:val="ListBullet"/>
        <w:spacing w:after="80" w:line="276" w:lineRule="auto"/>
      </w:pPr>
      <w:r>
        <w:rPr>
          <w:rFonts w:ascii="Cambria" w:hAnsi="Cambria"/>
          <w:b/>
          <w:i w:val="0"/>
          <w:sz w:val="22"/>
        </w:rPr>
        <w:t>Step 2: Benchmark Fixing</w:t>
      </w:r>
    </w:p>
    <w:p>
      <w:pPr>
        <w:pStyle w:val="ListBullet2"/>
        <w:spacing w:after="80" w:line="276" w:lineRule="auto"/>
      </w:pPr>
      <w:r>
        <w:rPr>
          <w:rFonts w:ascii="Cambria" w:hAnsi="Cambria"/>
          <w:b w:val="0"/>
          <w:i w:val="0"/>
          <w:sz w:val="22"/>
        </w:rPr>
        <w:t>COs (Direct): % of students scoring ≥ 50% in internal &amp; external exams.</w:t>
      </w:r>
    </w:p>
    <w:p>
      <w:pPr>
        <w:pStyle w:val="ListBullet2"/>
        <w:spacing w:after="80" w:line="276" w:lineRule="auto"/>
      </w:pPr>
      <w:r>
        <w:rPr>
          <w:rFonts w:ascii="Cambria" w:hAnsi="Cambria"/>
          <w:b w:val="0"/>
          <w:i w:val="0"/>
          <w:sz w:val="22"/>
        </w:rPr>
        <w:t>Typical target: 65–75%.</w:t>
      </w:r>
    </w:p>
    <w:p>
      <w:pPr>
        <w:pStyle w:val="ListBullet2"/>
        <w:spacing w:after="80" w:line="276" w:lineRule="auto"/>
      </w:pPr>
      <w:r>
        <w:rPr>
          <w:rFonts w:ascii="Cambria" w:hAnsi="Cambria"/>
          <w:b w:val="0"/>
          <w:i w:val="0"/>
          <w:sz w:val="22"/>
        </w:rPr>
        <w:t>POs &amp; PSOs (Direct): Aggregated attainment from COs + project work.</w:t>
      </w:r>
    </w:p>
    <w:p>
      <w:pPr>
        <w:pStyle w:val="ListBullet2"/>
        <w:spacing w:after="80" w:line="276" w:lineRule="auto"/>
      </w:pPr>
      <w:r>
        <w:rPr>
          <w:rFonts w:ascii="Cambria" w:hAnsi="Cambria"/>
          <w:b w:val="0"/>
          <w:i w:val="0"/>
          <w:sz w:val="22"/>
        </w:rPr>
        <w:t>Typical target: 70%.</w:t>
      </w:r>
    </w:p>
    <w:p>
      <w:pPr>
        <w:pStyle w:val="ListBullet2"/>
        <w:spacing w:after="80" w:line="276" w:lineRule="auto"/>
      </w:pPr>
      <w:r>
        <w:rPr>
          <w:rFonts w:ascii="Cambria" w:hAnsi="Cambria"/>
          <w:b w:val="0"/>
          <w:i w:val="0"/>
          <w:sz w:val="22"/>
        </w:rPr>
        <w:t>Indirect (surveys): Student/alumni/employer surveys on a scale of 1–5.</w:t>
      </w:r>
    </w:p>
    <w:p>
      <w:pPr>
        <w:pStyle w:val="ListBullet2"/>
        <w:spacing w:after="80" w:line="276" w:lineRule="auto"/>
      </w:pPr>
      <w:r>
        <w:rPr>
          <w:rFonts w:ascii="Cambria" w:hAnsi="Cambria"/>
          <w:b w:val="0"/>
          <w:i w:val="0"/>
          <w:sz w:val="22"/>
        </w:rPr>
        <w:t>Typical target: ≥ 3.5 (70%).</w:t>
      </w:r>
    </w:p>
    <w:p>
      <w:pPr>
        <w:pStyle w:val="ListBullet"/>
        <w:spacing w:after="80" w:line="276" w:lineRule="auto"/>
      </w:pPr>
      <w:r>
        <w:rPr>
          <w:rFonts w:ascii="Cambria" w:hAnsi="Cambria"/>
          <w:b/>
          <w:i w:val="0"/>
          <w:sz w:val="22"/>
        </w:rPr>
        <w:t>Step 3: Weightage Fixing</w:t>
      </w:r>
    </w:p>
    <w:p>
      <w:pPr>
        <w:pStyle w:val="ListBullet2"/>
        <w:spacing w:after="80" w:line="276" w:lineRule="auto"/>
      </w:pPr>
      <w:r>
        <w:rPr>
          <w:rFonts w:ascii="Cambria" w:hAnsi="Cambria"/>
          <w:b w:val="0"/>
          <w:i w:val="0"/>
          <w:sz w:val="22"/>
        </w:rPr>
        <w:t>Direct : Indirect = 80 : 20 (default NBA practice).</w:t>
      </w:r>
    </w:p>
    <w:p>
      <w:pPr>
        <w:pStyle w:val="ListBullet2"/>
        <w:spacing w:after="80" w:line="276" w:lineRule="auto"/>
      </w:pPr>
      <w:r>
        <w:rPr>
          <w:rFonts w:ascii="Cambria" w:hAnsi="Cambria"/>
          <w:b w:val="0"/>
          <w:i w:val="0"/>
          <w:sz w:val="22"/>
        </w:rPr>
        <w:t>May vary (e.g., 70:30 for research-based programs).</w:t>
      </w:r>
    </w:p>
    <w:p>
      <w:pPr>
        <w:pStyle w:val="ListBullet"/>
        <w:spacing w:after="80" w:line="276" w:lineRule="auto"/>
      </w:pPr>
      <w:r>
        <w:rPr>
          <w:rFonts w:ascii="Cambria" w:hAnsi="Cambria"/>
          <w:b/>
          <w:i w:val="0"/>
          <w:sz w:val="22"/>
        </w:rPr>
        <w:t>Step 4: Committee Approval</w:t>
      </w:r>
    </w:p>
    <w:p>
      <w:pPr>
        <w:pStyle w:val="ListBullet2"/>
        <w:spacing w:after="80" w:line="276" w:lineRule="auto"/>
      </w:pPr>
      <w:r>
        <w:rPr>
          <w:rFonts w:ascii="Cambria" w:hAnsi="Cambria"/>
          <w:b w:val="0"/>
          <w:i w:val="0"/>
          <w:sz w:val="22"/>
        </w:rPr>
        <w:t>Draft targets → presented to Department Advisory Board (DAB).</w:t>
      </w:r>
    </w:p>
    <w:p>
      <w:pPr>
        <w:pStyle w:val="ListBullet2"/>
        <w:spacing w:after="80" w:line="276" w:lineRule="auto"/>
      </w:pPr>
      <w:r>
        <w:rPr>
          <w:rFonts w:ascii="Cambria" w:hAnsi="Cambria"/>
          <w:b w:val="0"/>
          <w:i w:val="0"/>
          <w:sz w:val="22"/>
        </w:rPr>
        <w:t>Reviewed by Board of Studies (BoS).</w:t>
      </w:r>
    </w:p>
    <w:p>
      <w:pPr>
        <w:pStyle w:val="ListBullet2"/>
        <w:spacing w:after="80" w:line="276" w:lineRule="auto"/>
      </w:pPr>
      <w:r>
        <w:rPr>
          <w:rFonts w:ascii="Cambria" w:hAnsi="Cambria"/>
          <w:b w:val="0"/>
          <w:i w:val="0"/>
          <w:sz w:val="22"/>
        </w:rPr>
        <w:t>Ratified by Academic Council (AC).</w:t>
      </w:r>
    </w:p>
    <w:p>
      <w:pPr>
        <w:pStyle w:val="ListBullet"/>
        <w:spacing w:after="80" w:line="276" w:lineRule="auto"/>
      </w:pPr>
      <w:r>
        <w:rPr>
          <w:rFonts w:ascii="Cambria" w:hAnsi="Cambria"/>
          <w:b/>
          <w:i w:val="0"/>
          <w:sz w:val="22"/>
        </w:rPr>
        <w:t>Step 5: Periodic Review</w:t>
      </w:r>
    </w:p>
    <w:p>
      <w:pPr>
        <w:pStyle w:val="ListBullet2"/>
        <w:spacing w:after="80" w:line="276" w:lineRule="auto"/>
      </w:pPr>
      <w:r>
        <w:rPr>
          <w:rFonts w:ascii="Cambria" w:hAnsi="Cambria"/>
          <w:b w:val="0"/>
          <w:i w:val="0"/>
          <w:sz w:val="22"/>
        </w:rPr>
        <w:t>Annual review for CO targets.</w:t>
      </w:r>
    </w:p>
    <w:p>
      <w:pPr>
        <w:pStyle w:val="ListBullet2"/>
        <w:spacing w:after="80" w:line="276" w:lineRule="auto"/>
      </w:pPr>
      <w:r>
        <w:rPr>
          <w:rFonts w:ascii="Cambria" w:hAnsi="Cambria"/>
          <w:b w:val="0"/>
          <w:i w:val="0"/>
          <w:sz w:val="22"/>
        </w:rPr>
        <w:t>Biennial review for PO/PSO targets.</w:t>
      </w:r>
    </w:p>
    <w:p>
      <w:pPr>
        <w:pStyle w:val="ListBullet2"/>
        <w:spacing w:after="80" w:line="276" w:lineRule="auto"/>
      </w:pPr>
      <w:r>
        <w:rPr>
          <w:rFonts w:ascii="Cambria" w:hAnsi="Cambria"/>
          <w:b w:val="0"/>
          <w:i w:val="0"/>
          <w:sz w:val="22"/>
        </w:rPr>
        <w:t>Targets revised upwards if consistently achieved for 2 consecutive cycles.</w:t>
      </w:r>
    </w:p>
    <w:p>
      <w:pPr>
        <w:pStyle w:val="Heading3"/>
      </w:pPr>
      <w:r>
        <w:rPr>
          <w:rFonts w:ascii="Cambria" w:hAnsi="Cambria"/>
          <w:b/>
          <w:color w:val="1F3A5F"/>
          <w:sz w:val="26"/>
        </w:rPr>
        <w:t>5. Documentation Format (Excel Policy Sheet)</w:t>
      </w:r>
    </w:p>
    <w:tbl>
      <w:tblPr>
        <w:tblStyle w:val="TableGrid"/>
        <w:tblW w:type="auto" w:w="0"/>
        <w:jc w:val="center"/>
        <w:tblLayout w:type="fixed"/>
        <w:tblLook w:firstColumn="1" w:firstRow="1" w:lastColumn="0" w:lastRow="0" w:noHBand="0" w:noVBand="1" w:val="04A0"/>
        <w:tblLayout w:type="fixed"/>
      </w:tblPr>
      <w:tblGrid>
        <w:gridCol w:w="737"/>
        <w:gridCol w:w="1701"/>
        <w:gridCol w:w="907"/>
        <w:gridCol w:w="2381"/>
        <w:gridCol w:w="1191"/>
        <w:gridCol w:w="1247"/>
        <w:gridCol w:w="1020"/>
      </w:tblGrid>
      <w:tr>
        <w:tc>
          <w:tcPr>
            <w:tcW w:type="dxa" w:w="737"/>
            <w:shd w:val="clear" w:color="auto" w:fill="1F3A5F"/>
          </w:tcPr>
          <w:p>
            <w:pPr>
              <w:spacing w:after="40" w:line="240" w:lineRule="auto"/>
              <w:jc w:val="center"/>
            </w:pPr>
            <w:r/>
            <w:r>
              <w:rPr>
                <w:rFonts w:ascii="Cambria" w:hAnsi="Cambria"/>
                <w:b/>
                <w:color w:val="FFFFFF"/>
                <w:sz w:val="18"/>
              </w:rPr>
              <w:t>Level</w:t>
            </w:r>
          </w:p>
        </w:tc>
        <w:tc>
          <w:tcPr>
            <w:tcW w:type="dxa" w:w="1701"/>
            <w:shd w:val="clear" w:color="auto" w:fill="1F3A5F"/>
          </w:tcPr>
          <w:p>
            <w:pPr>
              <w:spacing w:after="40" w:line="240" w:lineRule="auto"/>
              <w:jc w:val="center"/>
            </w:pPr>
            <w:r/>
            <w:r>
              <w:rPr>
                <w:rFonts w:ascii="Cambria" w:hAnsi="Cambria"/>
                <w:b/>
                <w:color w:val="FFFFFF"/>
                <w:sz w:val="18"/>
              </w:rPr>
              <w:t>Code</w:t>
            </w:r>
          </w:p>
        </w:tc>
        <w:tc>
          <w:tcPr>
            <w:tcW w:type="dxa" w:w="907"/>
            <w:shd w:val="clear" w:color="auto" w:fill="1F3A5F"/>
          </w:tcPr>
          <w:p>
            <w:pPr>
              <w:spacing w:after="40" w:line="240" w:lineRule="auto"/>
              <w:jc w:val="center"/>
            </w:pPr>
            <w:r/>
            <w:r>
              <w:rPr>
                <w:rFonts w:ascii="Cambria" w:hAnsi="Cambria"/>
                <w:b/>
                <w:color w:val="FFFFFF"/>
                <w:sz w:val="18"/>
              </w:rPr>
              <w:t>Target</w:t>
              <w:br/>
              <w:t>Attainment</w:t>
              <w:br/>
              <w:t>(%)</w:t>
            </w:r>
          </w:p>
        </w:tc>
        <w:tc>
          <w:tcPr>
            <w:tcW w:type="dxa" w:w="2381"/>
            <w:shd w:val="clear" w:color="auto" w:fill="1F3A5F"/>
          </w:tcPr>
          <w:p>
            <w:pPr>
              <w:spacing w:after="40" w:line="240" w:lineRule="auto"/>
              <w:jc w:val="center"/>
            </w:pPr>
            <w:r/>
            <w:r>
              <w:rPr>
                <w:rFonts w:ascii="Cambria" w:hAnsi="Cambria"/>
                <w:b/>
                <w:color w:val="FFFFFF"/>
                <w:sz w:val="18"/>
              </w:rPr>
              <w:t>Rationale (based on past data/benchmark)</w:t>
            </w:r>
          </w:p>
        </w:tc>
        <w:tc>
          <w:tcPr>
            <w:tcW w:type="dxa" w:w="1191"/>
            <w:shd w:val="clear" w:color="auto" w:fill="1F3A5F"/>
          </w:tcPr>
          <w:p>
            <w:pPr>
              <w:spacing w:after="40" w:line="240" w:lineRule="auto"/>
              <w:jc w:val="center"/>
            </w:pPr>
            <w:r/>
            <w:r>
              <w:rPr>
                <w:rFonts w:ascii="Cambria" w:hAnsi="Cambria"/>
                <w:b/>
                <w:color w:val="FFFFFF"/>
                <w:sz w:val="18"/>
              </w:rPr>
              <w:t>Weightage</w:t>
              <w:br/>
              <w:t>(Direct/Indirect)</w:t>
            </w:r>
          </w:p>
        </w:tc>
        <w:tc>
          <w:tcPr>
            <w:tcW w:type="dxa" w:w="1247"/>
            <w:shd w:val="clear" w:color="auto" w:fill="1F3A5F"/>
          </w:tcPr>
          <w:p>
            <w:pPr>
              <w:spacing w:after="40" w:line="240" w:lineRule="auto"/>
              <w:jc w:val="center"/>
            </w:pPr>
            <w:r/>
            <w:r>
              <w:rPr>
                <w:rFonts w:ascii="Cambria" w:hAnsi="Cambria"/>
                <w:b/>
                <w:color w:val="FFFFFF"/>
                <w:sz w:val="18"/>
              </w:rPr>
              <w:t>Approval</w:t>
              <w:br/>
              <w:t>Authority</w:t>
            </w:r>
          </w:p>
        </w:tc>
        <w:tc>
          <w:tcPr>
            <w:tcW w:type="dxa" w:w="1020"/>
            <w:shd w:val="clear" w:color="auto" w:fill="1F3A5F"/>
          </w:tcPr>
          <w:p>
            <w:pPr>
              <w:spacing w:after="40" w:line="240" w:lineRule="auto"/>
              <w:jc w:val="center"/>
            </w:pPr>
            <w:r/>
            <w:r>
              <w:rPr>
                <w:rFonts w:ascii="Cambria" w:hAnsi="Cambria"/>
                <w:b/>
                <w:color w:val="FFFFFF"/>
                <w:sz w:val="18"/>
              </w:rPr>
              <w:t>Review</w:t>
              <w:br/>
              <w:t>Frequency</w:t>
            </w:r>
          </w:p>
        </w:tc>
      </w:tr>
      <w:tr>
        <w:tc>
          <w:tcPr>
            <w:tcW w:type="dxa" w:w="737"/>
          </w:tcPr>
          <w:p>
            <w:pPr>
              <w:spacing w:after="40" w:line="240" w:lineRule="auto"/>
              <w:jc w:val="left"/>
            </w:pPr>
            <w:r/>
            <w:r>
              <w:rPr>
                <w:rFonts w:ascii="Cambria" w:hAnsi="Cambria"/>
                <w:b w:val="0"/>
                <w:sz w:val="17"/>
              </w:rPr>
              <w:t>CO</w:t>
            </w:r>
          </w:p>
        </w:tc>
        <w:tc>
          <w:tcPr>
            <w:tcW w:type="dxa" w:w="1701"/>
          </w:tcPr>
          <w:p>
            <w:pPr>
              <w:spacing w:after="40" w:line="240" w:lineRule="auto"/>
              <w:jc w:val="left"/>
            </w:pPr>
            <w:r/>
            <w:r>
              <w:rPr>
                <w:rFonts w:ascii="Cambria" w:hAnsi="Cambria"/>
                <w:b w:val="0"/>
                <w:sz w:val="17"/>
              </w:rPr>
              <w:t>CO2 – Data Structures</w:t>
            </w:r>
          </w:p>
        </w:tc>
        <w:tc>
          <w:tcPr>
            <w:tcW w:type="dxa" w:w="907"/>
          </w:tcPr>
          <w:p>
            <w:pPr>
              <w:spacing w:after="40" w:line="240" w:lineRule="auto"/>
              <w:jc w:val="left"/>
            </w:pPr>
            <w:r/>
            <w:r>
              <w:rPr>
                <w:rFonts w:ascii="Cambria" w:hAnsi="Cambria"/>
                <w:b w:val="0"/>
                <w:sz w:val="17"/>
              </w:rPr>
              <w:t>70</w:t>
            </w:r>
          </w:p>
        </w:tc>
        <w:tc>
          <w:tcPr>
            <w:tcW w:type="dxa" w:w="2381"/>
          </w:tcPr>
          <w:p>
            <w:pPr>
              <w:spacing w:after="40" w:line="240" w:lineRule="auto"/>
              <w:jc w:val="left"/>
            </w:pPr>
            <w:r/>
            <w:r>
              <w:rPr>
                <w:rFonts w:ascii="Cambria" w:hAnsi="Cambria"/>
                <w:b w:val="0"/>
                <w:sz w:val="17"/>
              </w:rPr>
              <w:t>Avg. attainment last 3 yrs = 65%, +5% improvement margin</w:t>
            </w:r>
          </w:p>
        </w:tc>
        <w:tc>
          <w:tcPr>
            <w:tcW w:type="dxa" w:w="1191"/>
          </w:tcPr>
          <w:p>
            <w:pPr>
              <w:spacing w:after="40" w:line="240" w:lineRule="auto"/>
              <w:jc w:val="left"/>
            </w:pPr>
            <w:r/>
            <w:r>
              <w:rPr>
                <w:rFonts w:ascii="Cambria" w:hAnsi="Cambria"/>
                <w:b w:val="0"/>
                <w:sz w:val="17"/>
              </w:rPr>
              <w:t>80:20</w:t>
            </w:r>
          </w:p>
        </w:tc>
        <w:tc>
          <w:tcPr>
            <w:tcW w:type="dxa" w:w="1247"/>
          </w:tcPr>
          <w:p>
            <w:pPr>
              <w:spacing w:after="40" w:line="240" w:lineRule="auto"/>
              <w:jc w:val="left"/>
            </w:pPr>
            <w:r/>
            <w:r>
              <w:rPr>
                <w:rFonts w:ascii="Cambria" w:hAnsi="Cambria"/>
                <w:b w:val="0"/>
                <w:sz w:val="17"/>
              </w:rPr>
              <w:t>BoS</w:t>
            </w:r>
          </w:p>
        </w:tc>
        <w:tc>
          <w:tcPr>
            <w:tcW w:type="dxa" w:w="1020"/>
          </w:tcPr>
          <w:p>
            <w:pPr>
              <w:spacing w:after="40" w:line="240" w:lineRule="auto"/>
              <w:jc w:val="left"/>
            </w:pPr>
            <w:r/>
            <w:r>
              <w:rPr>
                <w:rFonts w:ascii="Cambria" w:hAnsi="Cambria"/>
                <w:b w:val="0"/>
                <w:sz w:val="17"/>
              </w:rPr>
              <w:t>Yearly</w:t>
            </w:r>
          </w:p>
        </w:tc>
      </w:tr>
      <w:tr>
        <w:tc>
          <w:tcPr>
            <w:tcW w:type="dxa" w:w="737"/>
            <w:shd w:val="clear" w:color="auto" w:fill="F2F2F2"/>
          </w:tcPr>
          <w:p>
            <w:pPr>
              <w:spacing w:after="40" w:line="240" w:lineRule="auto"/>
              <w:jc w:val="left"/>
            </w:pPr>
            <w:r/>
            <w:r>
              <w:rPr>
                <w:rFonts w:ascii="Cambria" w:hAnsi="Cambria"/>
                <w:b w:val="0"/>
                <w:sz w:val="17"/>
              </w:rPr>
              <w:t>PO</w:t>
            </w:r>
          </w:p>
        </w:tc>
        <w:tc>
          <w:tcPr>
            <w:tcW w:type="dxa" w:w="1701"/>
            <w:shd w:val="clear" w:color="auto" w:fill="F2F2F2"/>
          </w:tcPr>
          <w:p>
            <w:pPr>
              <w:spacing w:after="40" w:line="240" w:lineRule="auto"/>
              <w:jc w:val="left"/>
            </w:pPr>
            <w:r/>
            <w:r>
              <w:rPr>
                <w:rFonts w:ascii="Cambria" w:hAnsi="Cambria"/>
                <w:b w:val="0"/>
                <w:sz w:val="17"/>
              </w:rPr>
              <w:t>PO4 – Investigation</w:t>
            </w:r>
          </w:p>
        </w:tc>
        <w:tc>
          <w:tcPr>
            <w:tcW w:type="dxa" w:w="907"/>
            <w:shd w:val="clear" w:color="auto" w:fill="F2F2F2"/>
          </w:tcPr>
          <w:p>
            <w:pPr>
              <w:spacing w:after="40" w:line="240" w:lineRule="auto"/>
              <w:jc w:val="left"/>
            </w:pPr>
            <w:r/>
            <w:r>
              <w:rPr>
                <w:rFonts w:ascii="Cambria" w:hAnsi="Cambria"/>
                <w:b w:val="0"/>
                <w:sz w:val="17"/>
              </w:rPr>
              <w:t>70</w:t>
            </w:r>
          </w:p>
        </w:tc>
        <w:tc>
          <w:tcPr>
            <w:tcW w:type="dxa" w:w="2381"/>
            <w:shd w:val="clear" w:color="auto" w:fill="F2F2F2"/>
          </w:tcPr>
          <w:p>
            <w:pPr>
              <w:spacing w:after="40" w:line="240" w:lineRule="auto"/>
              <w:jc w:val="left"/>
            </w:pPr>
            <w:r/>
            <w:r>
              <w:rPr>
                <w:rFonts w:ascii="Cambria" w:hAnsi="Cambria"/>
                <w:b w:val="0"/>
                <w:sz w:val="17"/>
              </w:rPr>
              <w:t>Industry expectations + gap analysis</w:t>
            </w:r>
          </w:p>
        </w:tc>
        <w:tc>
          <w:tcPr>
            <w:tcW w:type="dxa" w:w="1191"/>
            <w:shd w:val="clear" w:color="auto" w:fill="F2F2F2"/>
          </w:tcPr>
          <w:p>
            <w:pPr>
              <w:spacing w:after="40" w:line="240" w:lineRule="auto"/>
              <w:jc w:val="left"/>
            </w:pPr>
            <w:r/>
            <w:r>
              <w:rPr>
                <w:rFonts w:ascii="Cambria" w:hAnsi="Cambria"/>
                <w:b w:val="0"/>
                <w:sz w:val="17"/>
              </w:rPr>
              <w:t>80:20</w:t>
            </w:r>
          </w:p>
        </w:tc>
        <w:tc>
          <w:tcPr>
            <w:tcW w:type="dxa" w:w="1247"/>
            <w:shd w:val="clear" w:color="auto" w:fill="F2F2F2"/>
          </w:tcPr>
          <w:p>
            <w:pPr>
              <w:spacing w:after="40" w:line="240" w:lineRule="auto"/>
              <w:jc w:val="left"/>
            </w:pPr>
            <w:r/>
            <w:r>
              <w:rPr>
                <w:rFonts w:ascii="Cambria" w:hAnsi="Cambria"/>
                <w:b w:val="0"/>
                <w:sz w:val="17"/>
              </w:rPr>
              <w:t>DAB/BoS</w:t>
            </w:r>
          </w:p>
        </w:tc>
        <w:tc>
          <w:tcPr>
            <w:tcW w:type="dxa" w:w="1020"/>
            <w:shd w:val="clear" w:color="auto" w:fill="F2F2F2"/>
          </w:tcPr>
          <w:p>
            <w:pPr>
              <w:spacing w:after="40" w:line="240" w:lineRule="auto"/>
              <w:jc w:val="left"/>
            </w:pPr>
            <w:r/>
            <w:r>
              <w:rPr>
                <w:rFonts w:ascii="Cambria" w:hAnsi="Cambria"/>
                <w:b w:val="0"/>
                <w:sz w:val="17"/>
              </w:rPr>
              <w:t>Every 2 years</w:t>
            </w:r>
          </w:p>
        </w:tc>
      </w:tr>
      <w:tr>
        <w:tc>
          <w:tcPr>
            <w:tcW w:type="dxa" w:w="737"/>
          </w:tcPr>
          <w:p>
            <w:pPr>
              <w:spacing w:after="40" w:line="240" w:lineRule="auto"/>
              <w:jc w:val="left"/>
            </w:pPr>
            <w:r/>
            <w:r>
              <w:rPr>
                <w:rFonts w:ascii="Cambria" w:hAnsi="Cambria"/>
                <w:b w:val="0"/>
                <w:sz w:val="17"/>
              </w:rPr>
              <w:t>PSO</w:t>
            </w:r>
          </w:p>
        </w:tc>
        <w:tc>
          <w:tcPr>
            <w:tcW w:type="dxa" w:w="1701"/>
          </w:tcPr>
          <w:p>
            <w:pPr>
              <w:spacing w:after="40" w:line="240" w:lineRule="auto"/>
              <w:jc w:val="left"/>
            </w:pPr>
            <w:r/>
            <w:r>
              <w:rPr>
                <w:rFonts w:ascii="Cambria" w:hAnsi="Cambria"/>
                <w:b w:val="0"/>
                <w:sz w:val="17"/>
              </w:rPr>
              <w:t>PSO1 – Domain Tools</w:t>
            </w:r>
          </w:p>
        </w:tc>
        <w:tc>
          <w:tcPr>
            <w:tcW w:type="dxa" w:w="907"/>
          </w:tcPr>
          <w:p>
            <w:pPr>
              <w:spacing w:after="40" w:line="240" w:lineRule="auto"/>
              <w:jc w:val="left"/>
            </w:pPr>
            <w:r/>
            <w:r>
              <w:rPr>
                <w:rFonts w:ascii="Cambria" w:hAnsi="Cambria"/>
                <w:b w:val="0"/>
                <w:sz w:val="17"/>
              </w:rPr>
              <w:t>75</w:t>
            </w:r>
          </w:p>
        </w:tc>
        <w:tc>
          <w:tcPr>
            <w:tcW w:type="dxa" w:w="2381"/>
          </w:tcPr>
          <w:p>
            <w:pPr>
              <w:spacing w:after="40" w:line="240" w:lineRule="auto"/>
              <w:jc w:val="left"/>
            </w:pPr>
            <w:r/>
            <w:r>
              <w:rPr>
                <w:rFonts w:ascii="Cambria" w:hAnsi="Cambria"/>
                <w:b w:val="0"/>
                <w:sz w:val="17"/>
              </w:rPr>
              <w:t>Industry readiness + alumni feedback</w:t>
            </w:r>
          </w:p>
        </w:tc>
        <w:tc>
          <w:tcPr>
            <w:tcW w:type="dxa" w:w="1191"/>
          </w:tcPr>
          <w:p>
            <w:pPr>
              <w:spacing w:after="40" w:line="240" w:lineRule="auto"/>
              <w:jc w:val="left"/>
            </w:pPr>
            <w:r/>
            <w:r>
              <w:rPr>
                <w:rFonts w:ascii="Cambria" w:hAnsi="Cambria"/>
                <w:b w:val="0"/>
                <w:sz w:val="17"/>
              </w:rPr>
              <w:t>80:20</w:t>
            </w:r>
          </w:p>
        </w:tc>
        <w:tc>
          <w:tcPr>
            <w:tcW w:type="dxa" w:w="1247"/>
          </w:tcPr>
          <w:p>
            <w:pPr>
              <w:spacing w:after="40" w:line="240" w:lineRule="auto"/>
              <w:jc w:val="left"/>
            </w:pPr>
            <w:r/>
            <w:r>
              <w:rPr>
                <w:rFonts w:ascii="Cambria" w:hAnsi="Cambria"/>
                <w:b w:val="0"/>
                <w:sz w:val="17"/>
              </w:rPr>
              <w:t>Academic Council</w:t>
            </w:r>
          </w:p>
        </w:tc>
        <w:tc>
          <w:tcPr>
            <w:tcW w:type="dxa" w:w="1020"/>
          </w:tcPr>
          <w:p>
            <w:pPr>
              <w:spacing w:after="40" w:line="240" w:lineRule="auto"/>
              <w:jc w:val="left"/>
            </w:pPr>
            <w:r/>
            <w:r>
              <w:rPr>
                <w:rFonts w:ascii="Cambria" w:hAnsi="Cambria"/>
                <w:b w:val="0"/>
                <w:sz w:val="17"/>
              </w:rPr>
              <w:t>Every 2 years</w:t>
            </w:r>
          </w:p>
        </w:tc>
      </w:tr>
    </w:tbl>
    <w:p>
      <w:pPr>
        <w:spacing w:after="40"/>
      </w:pPr>
    </w:p>
    <w:p>
      <w:pPr>
        <w:pStyle w:val="Heading3"/>
      </w:pPr>
      <w:r>
        <w:rPr>
          <w:rFonts w:ascii="Cambria" w:hAnsi="Cambria"/>
          <w:b/>
          <w:color w:val="1F3A5F"/>
          <w:sz w:val="26"/>
        </w:rPr>
        <w:t>6. Consider Historical Performance Data</w:t>
      </w:r>
    </w:p>
    <w:p>
      <w:pPr>
        <w:pStyle w:val="ListBullet"/>
        <w:spacing w:after="80" w:line="276" w:lineRule="auto"/>
      </w:pPr>
      <w:r>
        <w:rPr>
          <w:rFonts w:ascii="Cambria" w:hAnsi="Cambria"/>
          <w:b w:val="0"/>
          <w:i w:val="0"/>
          <w:sz w:val="22"/>
        </w:rPr>
        <w:t>Analyze past 3 years’ results (internal exams, end-semester exams, lab results).</w:t>
      </w:r>
    </w:p>
    <w:p>
      <w:pPr>
        <w:pStyle w:val="ListBullet"/>
        <w:spacing w:after="80" w:line="276" w:lineRule="auto"/>
      </w:pPr>
      <w:r>
        <w:rPr>
          <w:rFonts w:ascii="Cambria" w:hAnsi="Cambria"/>
          <w:b w:val="0"/>
          <w:i w:val="0"/>
          <w:sz w:val="22"/>
        </w:rPr>
        <w:t>Example: If average attainment of CO2 over 3 years is ~65%, then set the target at 70%.</w:t>
      </w:r>
    </w:p>
    <w:p>
      <w:pPr>
        <w:pStyle w:val="ListBullet"/>
        <w:spacing w:after="80" w:line="276" w:lineRule="auto"/>
      </w:pPr>
      <w:r>
        <w:rPr>
          <w:rFonts w:ascii="Cambria" w:hAnsi="Cambria"/>
          <w:b w:val="0"/>
          <w:i w:val="0"/>
          <w:sz w:val="22"/>
        </w:rPr>
        <w:t>Use statistical evidence (mean, median, standard deviation) to justify targets.</w:t>
      </w:r>
    </w:p>
    <w:p>
      <w:pPr>
        <w:pStyle w:val="Heading3"/>
      </w:pPr>
      <w:r>
        <w:rPr>
          <w:rFonts w:ascii="Cambria" w:hAnsi="Cambria"/>
          <w:b/>
          <w:color w:val="1F3A5F"/>
          <w:sz w:val="26"/>
        </w:rPr>
        <w:t>7. Communication &amp; Implementation</w:t>
      </w:r>
    </w:p>
    <w:p>
      <w:pPr>
        <w:pStyle w:val="ListBullet"/>
        <w:spacing w:after="80" w:line="276" w:lineRule="auto"/>
      </w:pPr>
      <w:r>
        <w:rPr>
          <w:rFonts w:ascii="Cambria" w:hAnsi="Cambria"/>
          <w:b w:val="0"/>
          <w:i w:val="0"/>
          <w:sz w:val="22"/>
        </w:rPr>
        <w:t>Approved targets are circulated to faculty for course delivery planning.</w:t>
      </w:r>
    </w:p>
    <w:p>
      <w:pPr>
        <w:pStyle w:val="ListBullet"/>
        <w:spacing w:after="80" w:line="276" w:lineRule="auto"/>
      </w:pPr>
      <w:r>
        <w:rPr>
          <w:rFonts w:ascii="Cambria" w:hAnsi="Cambria"/>
          <w:b w:val="0"/>
          <w:i w:val="0"/>
          <w:sz w:val="22"/>
        </w:rPr>
        <w:t>Communicated to students via orientation/handbooks → motivates performance.</w:t>
      </w:r>
    </w:p>
    <w:p>
      <w:pPr>
        <w:pStyle w:val="ListBullet"/>
        <w:spacing w:after="80" w:line="276" w:lineRule="auto"/>
      </w:pPr>
      <w:r>
        <w:rPr>
          <w:rFonts w:ascii="Cambria" w:hAnsi="Cambria"/>
          <w:b w:val="0"/>
          <w:i w:val="0"/>
          <w:sz w:val="22"/>
        </w:rPr>
        <w:t>Incorporated into attainment calculation sheets and NBA reports.</w:t>
      </w:r>
    </w:p>
    <w:p>
      <w:pPr>
        <w:pStyle w:val="Heading3"/>
      </w:pPr>
      <w:r>
        <w:rPr>
          <w:rFonts w:ascii="Cambria" w:hAnsi="Cambria"/>
          <w:b/>
          <w:color w:val="1F3A5F"/>
          <w:sz w:val="26"/>
        </w:rPr>
        <w:t>8. Continuous Improvement</w:t>
      </w:r>
    </w:p>
    <w:p>
      <w:pPr>
        <w:pStyle w:val="ListBullet"/>
        <w:spacing w:after="80" w:line="276" w:lineRule="auto"/>
      </w:pPr>
      <w:r>
        <w:rPr>
          <w:rFonts w:ascii="Cambria" w:hAnsi="Cambria"/>
          <w:b w:val="0"/>
          <w:i w:val="0"/>
          <w:sz w:val="22"/>
        </w:rPr>
        <w:t>If attainment &lt; target → gap analysis → remedial measures.</w:t>
      </w:r>
    </w:p>
    <w:p>
      <w:pPr>
        <w:pStyle w:val="ListBullet"/>
        <w:spacing w:after="80" w:line="276" w:lineRule="auto"/>
      </w:pPr>
      <w:r>
        <w:rPr>
          <w:rFonts w:ascii="Cambria" w:hAnsi="Cambria"/>
          <w:b w:val="0"/>
          <w:i w:val="0"/>
          <w:sz w:val="22"/>
        </w:rPr>
        <w:t>If attainment ≥ target consistently → raise target by 5–10%.</w:t>
      </w:r>
    </w:p>
    <w:p>
      <w:pPr>
        <w:pStyle w:val="ListBullet"/>
        <w:spacing w:after="80" w:line="276" w:lineRule="auto"/>
      </w:pPr>
      <w:r>
        <w:rPr>
          <w:rFonts w:ascii="Cambria" w:hAnsi="Cambria"/>
          <w:b w:val="0"/>
          <w:i w:val="0"/>
          <w:sz w:val="22"/>
        </w:rPr>
        <w:t>Records maintained in Excel → with formulas auto-calculating Gap Closed %.</w:t>
      </w:r>
    </w:p>
    <w:p>
      <w:r>
        <w:br w:type="page"/>
      </w:r>
    </w:p>
    <w:p>
      <w:pPr>
        <w:pStyle w:val="Heading1"/>
      </w:pPr>
      <w:r>
        <w:rPr>
          <w:rFonts w:ascii="Cambria" w:hAnsi="Cambria"/>
          <w:b/>
          <w:color w:val="1F3A5F"/>
          <w:sz w:val="36"/>
        </w:rPr>
        <w:t>14. Academic Audit and Actions Taken Thereof during the Period of Assessment</w:t>
      </w:r>
    </w:p>
    <w:p>
      <w:pPr>
        <w:pStyle w:val="Heading3"/>
      </w:pPr>
      <w:r>
        <w:rPr>
          <w:rFonts w:ascii="Cambria" w:hAnsi="Cambria"/>
          <w:b/>
          <w:color w:val="1F3A5F"/>
          <w:sz w:val="26"/>
        </w:rPr>
        <w:t>1. Concept of Academic Audit in NBA</w:t>
      </w:r>
    </w:p>
    <w:p>
      <w:pPr>
        <w:pStyle w:val="ListBullet"/>
        <w:spacing w:after="80" w:line="276" w:lineRule="auto"/>
      </w:pPr>
      <w:r>
        <w:rPr>
          <w:rFonts w:ascii="Cambria" w:hAnsi="Cambria"/>
          <w:b/>
          <w:i w:val="0"/>
          <w:sz w:val="22"/>
        </w:rPr>
        <w:t xml:space="preserve">Definition: </w:t>
      </w:r>
      <w:r>
        <w:rPr>
          <w:rFonts w:ascii="Cambria" w:hAnsi="Cambria"/>
          <w:b w:val="0"/>
          <w:i w:val="0"/>
          <w:sz w:val="22"/>
        </w:rPr>
        <w:t>Academic Audit is a systematic, structured review of academic processes and practices to evaluate their effectiveness in achieving desired outcomes (COs, POs, PSOs).</w:t>
      </w:r>
    </w:p>
    <w:p>
      <w:pPr>
        <w:pStyle w:val="ListBullet"/>
        <w:spacing w:after="80" w:line="276" w:lineRule="auto"/>
      </w:pPr>
      <w:r>
        <w:rPr>
          <w:rFonts w:ascii="Cambria" w:hAnsi="Cambria"/>
          <w:b/>
          <w:i w:val="0"/>
          <w:sz w:val="22"/>
        </w:rPr>
        <w:t>Purpose:</w:t>
      </w:r>
    </w:p>
    <w:p>
      <w:pPr>
        <w:pStyle w:val="ListBullet2"/>
        <w:spacing w:after="80" w:line="276" w:lineRule="auto"/>
      </w:pPr>
      <w:r>
        <w:rPr>
          <w:rFonts w:ascii="Cambria" w:hAnsi="Cambria"/>
          <w:b w:val="0"/>
          <w:i w:val="0"/>
          <w:sz w:val="22"/>
        </w:rPr>
        <w:t>To ensure compliance with institutional vision/mission and NBA standards.</w:t>
      </w:r>
    </w:p>
    <w:p>
      <w:pPr>
        <w:pStyle w:val="ListBullet2"/>
        <w:spacing w:after="80" w:line="276" w:lineRule="auto"/>
      </w:pPr>
      <w:r>
        <w:rPr>
          <w:rFonts w:ascii="Cambria" w:hAnsi="Cambria"/>
          <w:b w:val="0"/>
          <w:i w:val="0"/>
          <w:sz w:val="22"/>
        </w:rPr>
        <w:t>To measure quality of teaching–learning, curriculum delivery, assessment, research, and student support.</w:t>
      </w:r>
    </w:p>
    <w:p>
      <w:pPr>
        <w:pStyle w:val="ListBullet2"/>
        <w:spacing w:after="80" w:line="276" w:lineRule="auto"/>
      </w:pPr>
      <w:r>
        <w:rPr>
          <w:rFonts w:ascii="Cambria" w:hAnsi="Cambria"/>
          <w:b w:val="0"/>
          <w:i w:val="0"/>
          <w:sz w:val="22"/>
        </w:rPr>
        <w:t>To serve as a feedback-based mechanism for continuous improvement.</w:t>
      </w:r>
    </w:p>
    <w:p>
      <w:pPr>
        <w:pStyle w:val="Heading3"/>
      </w:pPr>
      <w:r>
        <w:rPr>
          <w:rFonts w:ascii="Cambria" w:hAnsi="Cambria"/>
          <w:b/>
          <w:color w:val="1F3A5F"/>
          <w:sz w:val="26"/>
        </w:rPr>
        <w:t>2. Components of Academic Audit</w:t>
      </w:r>
    </w:p>
    <w:p>
      <w:pPr>
        <w:pStyle w:val="ListNumber"/>
        <w:spacing w:after="80" w:line="276" w:lineRule="auto"/>
      </w:pPr>
      <w:r>
        <w:rPr>
          <w:rFonts w:ascii="Cambria" w:hAnsi="Cambria"/>
          <w:b/>
          <w:i w:val="0"/>
          <w:sz w:val="22"/>
        </w:rPr>
        <w:t>Course Delivery Audit</w:t>
      </w:r>
    </w:p>
    <w:p>
      <w:pPr>
        <w:pStyle w:val="ListBullet2"/>
        <w:spacing w:after="80" w:line="276" w:lineRule="auto"/>
      </w:pPr>
      <w:r>
        <w:rPr>
          <w:rFonts w:ascii="Cambria" w:hAnsi="Cambria"/>
          <w:b w:val="0"/>
          <w:i w:val="0"/>
          <w:sz w:val="22"/>
        </w:rPr>
        <w:t>Syllabus coverage, lesson plans, teaching methodologies.</w:t>
      </w:r>
    </w:p>
    <w:p>
      <w:pPr>
        <w:pStyle w:val="ListBullet2"/>
        <w:spacing w:after="80" w:line="276" w:lineRule="auto"/>
      </w:pPr>
      <w:r>
        <w:rPr>
          <w:rFonts w:ascii="Cambria" w:hAnsi="Cambria"/>
          <w:b w:val="0"/>
          <w:i w:val="0"/>
          <w:sz w:val="22"/>
        </w:rPr>
        <w:t>Alignment of COs with curriculum delivery.</w:t>
      </w:r>
    </w:p>
    <w:p>
      <w:pPr>
        <w:pStyle w:val="ListNumber"/>
        <w:spacing w:after="80" w:line="276" w:lineRule="auto"/>
      </w:pPr>
      <w:r>
        <w:rPr>
          <w:rFonts w:ascii="Cambria" w:hAnsi="Cambria"/>
          <w:b/>
          <w:i w:val="0"/>
          <w:sz w:val="22"/>
        </w:rPr>
        <w:t>Assessment Audit</w:t>
      </w:r>
    </w:p>
    <w:p>
      <w:pPr>
        <w:pStyle w:val="ListBullet2"/>
        <w:spacing w:after="80" w:line="276" w:lineRule="auto"/>
      </w:pPr>
      <w:r>
        <w:rPr>
          <w:rFonts w:ascii="Cambria" w:hAnsi="Cambria"/>
          <w:b w:val="0"/>
          <w:i w:val="0"/>
          <w:sz w:val="22"/>
        </w:rPr>
        <w:t>Quality of internal tests, assignments, lab records.</w:t>
      </w:r>
    </w:p>
    <w:p>
      <w:pPr>
        <w:pStyle w:val="ListBullet2"/>
        <w:spacing w:after="80" w:line="276" w:lineRule="auto"/>
      </w:pPr>
      <w:r>
        <w:rPr>
          <w:rFonts w:ascii="Cambria" w:hAnsi="Cambria"/>
          <w:b w:val="0"/>
          <w:i w:val="0"/>
          <w:sz w:val="22"/>
        </w:rPr>
        <w:t>Bloom’s Taxonomy compliance in question papers.</w:t>
      </w:r>
    </w:p>
    <w:p>
      <w:pPr>
        <w:pStyle w:val="ListBullet2"/>
        <w:spacing w:after="80" w:line="276" w:lineRule="auto"/>
      </w:pPr>
      <w:r>
        <w:rPr>
          <w:rFonts w:ascii="Cambria" w:hAnsi="Cambria"/>
          <w:b w:val="0"/>
          <w:i w:val="0"/>
          <w:sz w:val="22"/>
        </w:rPr>
        <w:t>Fairness in evaluation and moderation process.</w:t>
      </w:r>
    </w:p>
    <w:p>
      <w:pPr>
        <w:pStyle w:val="ListNumber"/>
        <w:spacing w:after="80" w:line="276" w:lineRule="auto"/>
      </w:pPr>
      <w:r>
        <w:rPr>
          <w:rFonts w:ascii="Cambria" w:hAnsi="Cambria"/>
          <w:b/>
          <w:i w:val="0"/>
          <w:sz w:val="22"/>
        </w:rPr>
        <w:t>Outcome Attainment Audit</w:t>
      </w:r>
    </w:p>
    <w:p>
      <w:pPr>
        <w:pStyle w:val="ListBullet2"/>
        <w:spacing w:after="80" w:line="276" w:lineRule="auto"/>
      </w:pPr>
      <w:r>
        <w:rPr>
          <w:rFonts w:ascii="Cambria" w:hAnsi="Cambria"/>
          <w:b w:val="0"/>
          <w:i w:val="0"/>
          <w:sz w:val="22"/>
        </w:rPr>
        <w:t>Review of CO, PO, PSO attainment levels.</w:t>
      </w:r>
    </w:p>
    <w:p>
      <w:pPr>
        <w:pStyle w:val="ListBullet2"/>
        <w:spacing w:after="80" w:line="276" w:lineRule="auto"/>
      </w:pPr>
      <w:r>
        <w:rPr>
          <w:rFonts w:ascii="Cambria" w:hAnsi="Cambria"/>
          <w:b w:val="0"/>
          <w:i w:val="0"/>
          <w:sz w:val="22"/>
        </w:rPr>
        <w:t>Validation of direct &amp; indirect assessment methods.</w:t>
      </w:r>
    </w:p>
    <w:p>
      <w:pPr>
        <w:pStyle w:val="ListNumber"/>
        <w:spacing w:after="80" w:line="276" w:lineRule="auto"/>
      </w:pPr>
      <w:r>
        <w:rPr>
          <w:rFonts w:ascii="Cambria" w:hAnsi="Cambria"/>
          <w:b/>
          <w:i w:val="0"/>
          <w:sz w:val="22"/>
        </w:rPr>
        <w:t>Research &amp; Innovation Audit</w:t>
      </w:r>
    </w:p>
    <w:p>
      <w:pPr>
        <w:pStyle w:val="ListBullet2"/>
        <w:spacing w:after="80" w:line="276" w:lineRule="auto"/>
      </w:pPr>
      <w:r>
        <w:rPr>
          <w:rFonts w:ascii="Cambria" w:hAnsi="Cambria"/>
          <w:b w:val="0"/>
          <w:i w:val="0"/>
          <w:sz w:val="22"/>
        </w:rPr>
        <w:t>Student/faculty publications, projects, patents, industry collaborations.</w:t>
      </w:r>
    </w:p>
    <w:p>
      <w:pPr>
        <w:pStyle w:val="ListNumber"/>
        <w:spacing w:after="80" w:line="276" w:lineRule="auto"/>
      </w:pPr>
      <w:r>
        <w:rPr>
          <w:rFonts w:ascii="Cambria" w:hAnsi="Cambria"/>
          <w:b/>
          <w:i w:val="0"/>
          <w:sz w:val="22"/>
        </w:rPr>
        <w:t>Faculty Performance Audit</w:t>
      </w:r>
    </w:p>
    <w:p>
      <w:pPr>
        <w:pStyle w:val="ListBullet2"/>
        <w:spacing w:after="80" w:line="276" w:lineRule="auto"/>
      </w:pPr>
      <w:r>
        <w:rPr>
          <w:rFonts w:ascii="Cambria" w:hAnsi="Cambria"/>
          <w:b w:val="0"/>
          <w:i w:val="0"/>
          <w:sz w:val="22"/>
        </w:rPr>
        <w:t>Teaching effectiveness, FDP participation, research contributions.</w:t>
      </w:r>
    </w:p>
    <w:p>
      <w:pPr>
        <w:pStyle w:val="ListNumber"/>
        <w:spacing w:after="80" w:line="276" w:lineRule="auto"/>
      </w:pPr>
      <w:r>
        <w:rPr>
          <w:rFonts w:ascii="Cambria" w:hAnsi="Cambria"/>
          <w:b/>
          <w:i w:val="0"/>
          <w:sz w:val="22"/>
        </w:rPr>
        <w:t>Student Support Audit</w:t>
      </w:r>
    </w:p>
    <w:p>
      <w:pPr>
        <w:pStyle w:val="ListBullet2"/>
        <w:spacing w:after="80" w:line="276" w:lineRule="auto"/>
      </w:pPr>
      <w:r>
        <w:rPr>
          <w:rFonts w:ascii="Cambria" w:hAnsi="Cambria"/>
          <w:b w:val="0"/>
          <w:i w:val="0"/>
          <w:sz w:val="22"/>
        </w:rPr>
        <w:t>Mentoring, remedial classes, bridge courses, internships, placements.</w:t>
      </w:r>
    </w:p>
    <w:p>
      <w:pPr>
        <w:pStyle w:val="Heading3"/>
      </w:pPr>
      <w:r>
        <w:rPr>
          <w:rFonts w:ascii="Cambria" w:hAnsi="Cambria"/>
          <w:b/>
          <w:color w:val="1F3A5F"/>
          <w:sz w:val="26"/>
        </w:rPr>
        <w:t>3. Process of Academic Audit</w:t>
      </w:r>
    </w:p>
    <w:p>
      <w:pPr>
        <w:pStyle w:val="ListBullet"/>
        <w:spacing w:after="80" w:line="276" w:lineRule="auto"/>
      </w:pPr>
      <w:r>
        <w:rPr>
          <w:rFonts w:ascii="Cambria" w:hAnsi="Cambria"/>
          <w:b/>
          <w:i w:val="0"/>
          <w:sz w:val="22"/>
        </w:rPr>
        <w:t>Step 1: Planning</w:t>
      </w:r>
    </w:p>
    <w:p>
      <w:pPr>
        <w:pStyle w:val="ListBullet2"/>
        <w:spacing w:after="80" w:line="276" w:lineRule="auto"/>
      </w:pPr>
      <w:r>
        <w:rPr>
          <w:rFonts w:ascii="Cambria" w:hAnsi="Cambria"/>
          <w:b w:val="0"/>
          <w:i w:val="0"/>
          <w:sz w:val="22"/>
        </w:rPr>
        <w:t>Academic Council / IQAC prepares academic audit framework.</w:t>
      </w:r>
    </w:p>
    <w:p>
      <w:pPr>
        <w:pStyle w:val="ListBullet"/>
        <w:spacing w:after="80" w:line="276" w:lineRule="auto"/>
      </w:pPr>
      <w:r>
        <w:rPr>
          <w:rFonts w:ascii="Cambria" w:hAnsi="Cambria"/>
          <w:b/>
          <w:i w:val="0"/>
          <w:sz w:val="22"/>
        </w:rPr>
        <w:t>Step 2: Data Collection</w:t>
      </w:r>
    </w:p>
    <w:p>
      <w:pPr>
        <w:pStyle w:val="ListBullet2"/>
        <w:spacing w:after="80" w:line="276" w:lineRule="auto"/>
      </w:pPr>
      <w:r>
        <w:rPr>
          <w:rFonts w:ascii="Cambria" w:hAnsi="Cambria"/>
          <w:b w:val="0"/>
          <w:i w:val="0"/>
          <w:sz w:val="22"/>
        </w:rPr>
        <w:t>Department submits course files, CO–PO mappings, attainment reports, and feedback data.</w:t>
      </w:r>
    </w:p>
    <w:p>
      <w:pPr>
        <w:pStyle w:val="ListBullet"/>
        <w:spacing w:after="80" w:line="276" w:lineRule="auto"/>
      </w:pPr>
      <w:r>
        <w:rPr>
          <w:rFonts w:ascii="Cambria" w:hAnsi="Cambria"/>
          <w:b/>
          <w:i w:val="0"/>
          <w:sz w:val="22"/>
        </w:rPr>
        <w:t>Step 3: Audit Committee Review</w:t>
      </w:r>
    </w:p>
    <w:p>
      <w:pPr>
        <w:pStyle w:val="ListBullet2"/>
        <w:spacing w:after="80" w:line="276" w:lineRule="auto"/>
      </w:pPr>
      <w:r>
        <w:rPr>
          <w:rFonts w:ascii="Cambria" w:hAnsi="Cambria"/>
          <w:b w:val="0"/>
          <w:i w:val="0"/>
          <w:sz w:val="22"/>
        </w:rPr>
        <w:t>Internal committee (HoD, senior faculty, IQAC) and sometimes external experts review processes.</w:t>
      </w:r>
    </w:p>
    <w:p>
      <w:pPr>
        <w:pStyle w:val="ListBullet"/>
        <w:spacing w:after="80" w:line="276" w:lineRule="auto"/>
      </w:pPr>
      <w:r>
        <w:rPr>
          <w:rFonts w:ascii="Cambria" w:hAnsi="Cambria"/>
          <w:b/>
          <w:i w:val="0"/>
          <w:sz w:val="22"/>
        </w:rPr>
        <w:t>Step 4: Identification of Strengths &amp; Weaknesses</w:t>
      </w:r>
    </w:p>
    <w:p>
      <w:pPr>
        <w:pStyle w:val="ListBullet2"/>
        <w:spacing w:after="80" w:line="276" w:lineRule="auto"/>
      </w:pPr>
      <w:r>
        <w:rPr>
          <w:rFonts w:ascii="Cambria" w:hAnsi="Cambria"/>
          <w:b w:val="0"/>
          <w:i/>
          <w:sz w:val="22"/>
        </w:rPr>
        <w:t>“Strength: Strong industry internships; Weakness: Low attainment in PO4 (Investigations).”</w:t>
      </w:r>
    </w:p>
    <w:p>
      <w:pPr>
        <w:pStyle w:val="ListBullet"/>
        <w:spacing w:after="80" w:line="276" w:lineRule="auto"/>
      </w:pPr>
      <w:r>
        <w:rPr>
          <w:rFonts w:ascii="Cambria" w:hAnsi="Cambria"/>
          <w:b/>
          <w:i w:val="0"/>
          <w:sz w:val="22"/>
        </w:rPr>
        <w:t>Step 5: Recommendations &amp; Action Plan</w:t>
      </w:r>
    </w:p>
    <w:p>
      <w:pPr>
        <w:pStyle w:val="ListBullet2"/>
        <w:spacing w:after="80" w:line="276" w:lineRule="auto"/>
      </w:pPr>
      <w:r>
        <w:rPr>
          <w:rFonts w:ascii="Cambria" w:hAnsi="Cambria"/>
          <w:b w:val="0"/>
          <w:i w:val="0"/>
          <w:sz w:val="22"/>
        </w:rPr>
        <w:t>Corrective measures proposed for low attainment areas.</w:t>
      </w:r>
    </w:p>
    <w:p>
      <w:pPr>
        <w:pStyle w:val="ListBullet"/>
        <w:spacing w:after="80" w:line="276" w:lineRule="auto"/>
      </w:pPr>
      <w:r>
        <w:rPr>
          <w:rFonts w:ascii="Cambria" w:hAnsi="Cambria"/>
          <w:b/>
          <w:i w:val="0"/>
          <w:sz w:val="22"/>
        </w:rPr>
        <w:t>Step 6: Implementation &amp; Follow-up</w:t>
      </w:r>
    </w:p>
    <w:p>
      <w:pPr>
        <w:pStyle w:val="ListBullet2"/>
        <w:spacing w:after="80" w:line="276" w:lineRule="auto"/>
      </w:pPr>
      <w:r>
        <w:rPr>
          <w:rFonts w:ascii="Cambria" w:hAnsi="Cambria"/>
          <w:b w:val="0"/>
          <w:i w:val="0"/>
          <w:sz w:val="22"/>
        </w:rPr>
        <w:t>Departments implement actions and present Action Taken Reports (ATR) in the next cycle.</w:t>
      </w:r>
    </w:p>
    <w:p>
      <w:pPr>
        <w:pStyle w:val="Heading3"/>
      </w:pPr>
      <w:r>
        <w:rPr>
          <w:rFonts w:ascii="Cambria" w:hAnsi="Cambria"/>
          <w:b/>
          <w:color w:val="1F3A5F"/>
          <w:sz w:val="26"/>
        </w:rPr>
        <w:t>4. Examples of Actions Taken</w:t>
      </w:r>
    </w:p>
    <w:p>
      <w:pPr>
        <w:pStyle w:val="ListNumber"/>
        <w:spacing w:after="80" w:line="276" w:lineRule="auto"/>
      </w:pPr>
      <w:r>
        <w:rPr>
          <w:rFonts w:ascii="Cambria" w:hAnsi="Cambria"/>
          <w:b/>
          <w:i w:val="0"/>
          <w:sz w:val="22"/>
        </w:rPr>
        <w:t>Curriculum &amp; Pedagogy</w:t>
      </w:r>
    </w:p>
    <w:p>
      <w:pPr>
        <w:pStyle w:val="ListBullet2"/>
        <w:spacing w:after="80" w:line="276" w:lineRule="auto"/>
      </w:pPr>
      <w:r>
        <w:rPr>
          <w:rFonts w:ascii="Cambria" w:hAnsi="Cambria"/>
          <w:b w:val="0"/>
          <w:i w:val="0"/>
          <w:sz w:val="22"/>
        </w:rPr>
        <w:t>Revised course content to include industry-relevant modules.</w:t>
      </w:r>
    </w:p>
    <w:p>
      <w:pPr>
        <w:pStyle w:val="ListBullet2"/>
        <w:spacing w:after="80" w:line="276" w:lineRule="auto"/>
      </w:pPr>
      <w:r>
        <w:rPr>
          <w:rFonts w:ascii="Cambria" w:hAnsi="Cambria"/>
          <w:b w:val="0"/>
          <w:i w:val="0"/>
          <w:sz w:val="22"/>
        </w:rPr>
        <w:t>Adopted flipped classroom and ICT-based teaching.</w:t>
      </w:r>
    </w:p>
    <w:p>
      <w:pPr>
        <w:pStyle w:val="ListNumber"/>
        <w:spacing w:after="80" w:line="276" w:lineRule="auto"/>
      </w:pPr>
      <w:r>
        <w:rPr>
          <w:rFonts w:ascii="Cambria" w:hAnsi="Cambria"/>
          <w:b/>
          <w:i w:val="0"/>
          <w:sz w:val="22"/>
        </w:rPr>
        <w:t>Assessment Reforms</w:t>
      </w:r>
    </w:p>
    <w:p>
      <w:pPr>
        <w:pStyle w:val="ListBullet2"/>
        <w:spacing w:after="80" w:line="276" w:lineRule="auto"/>
      </w:pPr>
      <w:r>
        <w:rPr>
          <w:rFonts w:ascii="Cambria" w:hAnsi="Cambria"/>
          <w:b w:val="0"/>
          <w:i w:val="0"/>
          <w:sz w:val="22"/>
        </w:rPr>
        <w:t>Introduced rubrics for project evaluation.</w:t>
      </w:r>
    </w:p>
    <w:p>
      <w:pPr>
        <w:pStyle w:val="ListBullet2"/>
        <w:spacing w:after="80" w:line="276" w:lineRule="auto"/>
      </w:pPr>
      <w:r>
        <w:rPr>
          <w:rFonts w:ascii="Cambria" w:hAnsi="Cambria"/>
          <w:b w:val="0"/>
          <w:i w:val="0"/>
          <w:sz w:val="22"/>
        </w:rPr>
        <w:t>Improved question paper design to test higher-order skills.</w:t>
      </w:r>
    </w:p>
    <w:p>
      <w:pPr>
        <w:pStyle w:val="ListNumber"/>
        <w:spacing w:after="80" w:line="276" w:lineRule="auto"/>
      </w:pPr>
      <w:r>
        <w:rPr>
          <w:rFonts w:ascii="Cambria" w:hAnsi="Cambria"/>
          <w:b/>
          <w:i w:val="0"/>
          <w:sz w:val="22"/>
        </w:rPr>
        <w:t>Faculty Development</w:t>
      </w:r>
    </w:p>
    <w:p>
      <w:pPr>
        <w:pStyle w:val="ListBullet2"/>
        <w:spacing w:after="80" w:line="276" w:lineRule="auto"/>
      </w:pPr>
      <w:r>
        <w:rPr>
          <w:rFonts w:ascii="Cambria" w:hAnsi="Cambria"/>
          <w:b w:val="0"/>
          <w:i w:val="0"/>
          <w:sz w:val="22"/>
        </w:rPr>
        <w:t>FDPs on outcome-based education and pedagogy.</w:t>
      </w:r>
    </w:p>
    <w:p>
      <w:pPr>
        <w:pStyle w:val="ListBullet2"/>
        <w:spacing w:after="80" w:line="276" w:lineRule="auto"/>
      </w:pPr>
      <w:r>
        <w:rPr>
          <w:rFonts w:ascii="Cambria" w:hAnsi="Cambria"/>
          <w:b w:val="0"/>
          <w:i w:val="0"/>
          <w:sz w:val="22"/>
        </w:rPr>
        <w:t>Training on domain-specific tools/software.</w:t>
      </w:r>
    </w:p>
    <w:p>
      <w:pPr>
        <w:pStyle w:val="ListNumber"/>
        <w:spacing w:after="80" w:line="276" w:lineRule="auto"/>
      </w:pPr>
      <w:r>
        <w:rPr>
          <w:rFonts w:ascii="Cambria" w:hAnsi="Cambria"/>
          <w:b/>
          <w:i w:val="0"/>
          <w:sz w:val="22"/>
        </w:rPr>
        <w:t>Student Support Enhancements</w:t>
      </w:r>
    </w:p>
    <w:p>
      <w:pPr>
        <w:pStyle w:val="ListBullet2"/>
        <w:spacing w:after="80" w:line="276" w:lineRule="auto"/>
      </w:pPr>
      <w:r>
        <w:rPr>
          <w:rFonts w:ascii="Cambria" w:hAnsi="Cambria"/>
          <w:b w:val="0"/>
          <w:i w:val="0"/>
          <w:sz w:val="22"/>
        </w:rPr>
        <w:t>Remedial classes for slow learners.</w:t>
      </w:r>
    </w:p>
    <w:p>
      <w:pPr>
        <w:pStyle w:val="ListBullet2"/>
        <w:spacing w:after="80" w:line="276" w:lineRule="auto"/>
      </w:pPr>
      <w:r>
        <w:rPr>
          <w:rFonts w:ascii="Cambria" w:hAnsi="Cambria"/>
          <w:b w:val="0"/>
          <w:i w:val="0"/>
          <w:sz w:val="22"/>
        </w:rPr>
        <w:t>Peer-assisted learning and mentoring programs.</w:t>
      </w:r>
    </w:p>
    <w:p>
      <w:pPr>
        <w:pStyle w:val="ListBullet2"/>
        <w:spacing w:after="80" w:line="276" w:lineRule="auto"/>
      </w:pPr>
      <w:r>
        <w:rPr>
          <w:rFonts w:ascii="Cambria" w:hAnsi="Cambria"/>
          <w:b w:val="0"/>
          <w:i w:val="0"/>
          <w:sz w:val="22"/>
        </w:rPr>
        <w:t>Bridge courses in math/programming basics.</w:t>
      </w:r>
    </w:p>
    <w:p>
      <w:pPr>
        <w:pStyle w:val="ListNumber"/>
        <w:spacing w:after="80" w:line="276" w:lineRule="auto"/>
      </w:pPr>
      <w:r>
        <w:rPr>
          <w:rFonts w:ascii="Cambria" w:hAnsi="Cambria"/>
          <w:b/>
          <w:i w:val="0"/>
          <w:sz w:val="22"/>
        </w:rPr>
        <w:t>Infrastructure &amp; Industry Linkages</w:t>
      </w:r>
    </w:p>
    <w:p>
      <w:pPr>
        <w:pStyle w:val="ListBullet2"/>
        <w:spacing w:after="80" w:line="276" w:lineRule="auto"/>
      </w:pPr>
      <w:r>
        <w:rPr>
          <w:rFonts w:ascii="Cambria" w:hAnsi="Cambria"/>
          <w:b w:val="0"/>
          <w:i w:val="0"/>
          <w:sz w:val="22"/>
        </w:rPr>
        <w:t>Lab upgradation with modern simulation tools.</w:t>
      </w:r>
    </w:p>
    <w:p>
      <w:pPr>
        <w:pStyle w:val="ListBullet2"/>
        <w:spacing w:after="80" w:line="276" w:lineRule="auto"/>
      </w:pPr>
      <w:r>
        <w:rPr>
          <w:rFonts w:ascii="Cambria" w:hAnsi="Cambria"/>
          <w:b w:val="0"/>
          <w:i w:val="0"/>
          <w:sz w:val="22"/>
        </w:rPr>
        <w:t>MoUs signed for internships and live projects.</w:t>
      </w:r>
    </w:p>
    <w:p>
      <w:pPr>
        <w:pStyle w:val="Heading3"/>
      </w:pPr>
      <w:r>
        <w:rPr>
          <w:rFonts w:ascii="Cambria" w:hAnsi="Cambria"/>
          <w:b/>
          <w:color w:val="1F3A5F"/>
          <w:sz w:val="26"/>
        </w:rPr>
        <w:t>5. Documentation &amp; Evidence</w:t>
      </w:r>
    </w:p>
    <w:p>
      <w:pPr>
        <w:pStyle w:val="ListBullet"/>
        <w:spacing w:after="80" w:line="276" w:lineRule="auto"/>
      </w:pPr>
      <w:r>
        <w:rPr>
          <w:rFonts w:ascii="Cambria" w:hAnsi="Cambria"/>
          <w:b w:val="0"/>
          <w:i w:val="0"/>
          <w:sz w:val="22"/>
        </w:rPr>
        <w:t>Academic Audit Reports (year-wise).</w:t>
      </w:r>
    </w:p>
    <w:p>
      <w:pPr>
        <w:pStyle w:val="ListBullet"/>
        <w:spacing w:after="80" w:line="276" w:lineRule="auto"/>
      </w:pPr>
      <w:r>
        <w:rPr>
          <w:rFonts w:ascii="Cambria" w:hAnsi="Cambria"/>
          <w:b w:val="0"/>
          <w:i w:val="0"/>
          <w:sz w:val="22"/>
        </w:rPr>
        <w:t>Minutes of Academic Audit Meetings with recommendations.</w:t>
      </w:r>
    </w:p>
    <w:p>
      <w:pPr>
        <w:pStyle w:val="ListBullet"/>
        <w:spacing w:after="80" w:line="276" w:lineRule="auto"/>
      </w:pPr>
      <w:r>
        <w:rPr>
          <w:rFonts w:ascii="Cambria" w:hAnsi="Cambria"/>
          <w:b w:val="0"/>
          <w:i w:val="0"/>
          <w:sz w:val="22"/>
        </w:rPr>
        <w:t>Action Taken Reports (ATR) on audit findings.</w:t>
      </w:r>
    </w:p>
    <w:p>
      <w:pPr>
        <w:pStyle w:val="ListBullet"/>
        <w:spacing w:after="80" w:line="276" w:lineRule="auto"/>
      </w:pPr>
      <w:r>
        <w:rPr>
          <w:rFonts w:ascii="Cambria" w:hAnsi="Cambria"/>
          <w:b w:val="0"/>
          <w:i w:val="0"/>
          <w:sz w:val="22"/>
        </w:rPr>
        <w:t>Improved attainment charts after corrective measures.</w:t>
      </w:r>
    </w:p>
    <w:p>
      <w:pPr>
        <w:pStyle w:val="ListBullet"/>
        <w:spacing w:after="80" w:line="276" w:lineRule="auto"/>
      </w:pPr>
      <w:r>
        <w:rPr>
          <w:rFonts w:ascii="Cambria" w:hAnsi="Cambria"/>
          <w:b w:val="0"/>
          <w:i w:val="0"/>
          <w:sz w:val="22"/>
        </w:rPr>
        <w:t>Feedback forms from students, alumni, employers.</w:t>
      </w:r>
    </w:p>
    <w:p>
      <w:pPr>
        <w:pStyle w:val="Heading3"/>
      </w:pPr>
      <w:r>
        <w:rPr>
          <w:rFonts w:ascii="Cambria" w:hAnsi="Cambria"/>
          <w:b/>
          <w:color w:val="1F3A5F"/>
          <w:sz w:val="26"/>
        </w:rPr>
        <w:t>6. Impact of Academic Audits</w:t>
      </w:r>
    </w:p>
    <w:p>
      <w:pPr>
        <w:pStyle w:val="ListBullet"/>
        <w:spacing w:after="80" w:line="276" w:lineRule="auto"/>
      </w:pPr>
      <w:r>
        <w:rPr>
          <w:rFonts w:ascii="Cambria" w:hAnsi="Cambria"/>
          <w:b w:val="0"/>
          <w:i w:val="0"/>
          <w:sz w:val="22"/>
        </w:rPr>
        <w:t>Progressive improvement in attainment levels across COs/POs/PSOs.</w:t>
      </w:r>
    </w:p>
    <w:p>
      <w:pPr>
        <w:pStyle w:val="ListBullet"/>
        <w:spacing w:after="80" w:line="276" w:lineRule="auto"/>
      </w:pPr>
      <w:r>
        <w:rPr>
          <w:rFonts w:ascii="Cambria" w:hAnsi="Cambria"/>
          <w:b w:val="0"/>
          <w:i w:val="0"/>
          <w:sz w:val="22"/>
        </w:rPr>
        <w:t>Better curriculum delivery and assessment practices.</w:t>
      </w:r>
    </w:p>
    <w:p>
      <w:pPr>
        <w:pStyle w:val="ListBullet"/>
        <w:spacing w:after="80" w:line="276" w:lineRule="auto"/>
      </w:pPr>
      <w:r>
        <w:rPr>
          <w:rFonts w:ascii="Cambria" w:hAnsi="Cambria"/>
          <w:b w:val="0"/>
          <w:i w:val="0"/>
          <w:sz w:val="22"/>
        </w:rPr>
        <w:t>Improved student performance, placements, and higher studies.</w:t>
      </w:r>
    </w:p>
    <w:p>
      <w:pPr>
        <w:pStyle w:val="ListBullet"/>
        <w:spacing w:after="80" w:line="276" w:lineRule="auto"/>
      </w:pPr>
      <w:r>
        <w:rPr>
          <w:rFonts w:ascii="Cambria" w:hAnsi="Cambria"/>
          <w:b w:val="0"/>
          <w:i w:val="0"/>
          <w:sz w:val="22"/>
        </w:rPr>
        <w:t>Enhanced faculty competency through FDPs.</w:t>
      </w:r>
    </w:p>
    <w:p>
      <w:pPr>
        <w:pStyle w:val="ListBullet"/>
        <w:spacing w:after="80" w:line="276" w:lineRule="auto"/>
      </w:pPr>
      <w:r>
        <w:rPr>
          <w:rFonts w:ascii="Cambria" w:hAnsi="Cambria"/>
          <w:b w:val="0"/>
          <w:i w:val="0"/>
          <w:sz w:val="22"/>
        </w:rPr>
        <w:t>Increased stakeholder satisfaction (students, parents, employers, alumni).</w:t>
      </w:r>
    </w:p>
    <w:p>
      <w:pPr>
        <w:pStyle w:val="Heading3"/>
      </w:pPr>
      <w:r>
        <w:rPr>
          <w:rFonts w:ascii="Cambria" w:hAnsi="Cambria"/>
          <w:b/>
          <w:color w:val="1F3A5F"/>
          <w:sz w:val="26"/>
        </w:rPr>
        <w:t>7. Marking Scheme (15 Marks)</w:t>
      </w:r>
    </w:p>
    <w:p>
      <w:pPr>
        <w:pStyle w:val="ListBullet"/>
        <w:spacing w:after="80" w:line="276" w:lineRule="auto"/>
      </w:pPr>
      <w:r>
        <w:rPr>
          <w:rFonts w:ascii="Cambria" w:hAnsi="Cambria"/>
          <w:b w:val="0"/>
          <w:i w:val="0"/>
          <w:sz w:val="22"/>
        </w:rPr>
        <w:t>Audit system &amp; process clarity – 5 Marks.</w:t>
      </w:r>
    </w:p>
    <w:p>
      <w:pPr>
        <w:pStyle w:val="ListBullet"/>
        <w:spacing w:after="80" w:line="276" w:lineRule="auto"/>
      </w:pPr>
      <w:r>
        <w:rPr>
          <w:rFonts w:ascii="Cambria" w:hAnsi="Cambria"/>
          <w:b w:val="0"/>
          <w:i w:val="0"/>
          <w:sz w:val="22"/>
        </w:rPr>
        <w:t>Implementation with evidence – 5 Marks.</w:t>
      </w:r>
    </w:p>
    <w:p>
      <w:pPr>
        <w:pStyle w:val="ListBullet"/>
        <w:spacing w:after="80" w:line="276" w:lineRule="auto"/>
      </w:pPr>
      <w:r>
        <w:rPr>
          <w:rFonts w:ascii="Cambria" w:hAnsi="Cambria"/>
          <w:b w:val="0"/>
          <w:i w:val="0"/>
          <w:sz w:val="22"/>
        </w:rPr>
        <w:t>Corrective actions &amp; measurable improvements – 5 Marks.</w:t>
      </w:r>
    </w:p>
    <w:p>
      <w:r>
        <w:br w:type="page"/>
      </w:r>
    </w:p>
    <w:p>
      <w:pPr>
        <w:pStyle w:val="Heading1"/>
      </w:pPr>
      <w:r>
        <w:rPr>
          <w:rFonts w:ascii="Cambria" w:hAnsi="Cambria"/>
          <w:b/>
          <w:color w:val="1F3A5F"/>
          <w:sz w:val="36"/>
        </w:rPr>
        <w:t>15. Academic Audit Reports (year-wise)</w:t>
      </w:r>
    </w:p>
    <w:p>
      <w:pPr>
        <w:pStyle w:val="Heading3"/>
      </w:pPr>
      <w:r>
        <w:rPr>
          <w:rFonts w:ascii="Cambria" w:hAnsi="Cambria"/>
          <w:b/>
          <w:color w:val="1F3A5F"/>
          <w:sz w:val="26"/>
        </w:rPr>
        <w:t>1. Purpose of Year-wise Academic Audit Reports</w:t>
      </w:r>
    </w:p>
    <w:p>
      <w:pPr>
        <w:pStyle w:val="ListBullet"/>
        <w:spacing w:after="80" w:line="276" w:lineRule="auto"/>
      </w:pPr>
      <w:r>
        <w:rPr>
          <w:rFonts w:ascii="Cambria" w:hAnsi="Cambria"/>
          <w:b w:val="0"/>
          <w:i w:val="0"/>
          <w:sz w:val="22"/>
        </w:rPr>
        <w:t>To review, measure, and improve the effectiveness of teaching–learning, assessment, and outcome attainment processes every academic year.</w:t>
      </w:r>
    </w:p>
    <w:p>
      <w:pPr>
        <w:pStyle w:val="ListBullet"/>
        <w:spacing w:after="80" w:line="276" w:lineRule="auto"/>
      </w:pPr>
      <w:r>
        <w:rPr>
          <w:rFonts w:ascii="Cambria" w:hAnsi="Cambria"/>
          <w:b w:val="0"/>
          <w:i w:val="0"/>
          <w:sz w:val="22"/>
        </w:rPr>
        <w:t>Ensures continuous quality improvement (CQI) across COs, POs, PSOs, curriculum, faculty, and student support.</w:t>
      </w:r>
    </w:p>
    <w:p>
      <w:pPr>
        <w:pStyle w:val="ListBullet"/>
        <w:spacing w:after="80" w:line="276" w:lineRule="auto"/>
      </w:pPr>
      <w:r>
        <w:rPr>
          <w:rFonts w:ascii="Cambria" w:hAnsi="Cambria"/>
          <w:b w:val="0"/>
          <w:i w:val="0"/>
          <w:sz w:val="22"/>
        </w:rPr>
        <w:t>Provides evidence for Criterion: Academic Audit and Actions Taken</w:t>
      </w:r>
    </w:p>
    <w:p>
      <w:pPr>
        <w:pStyle w:val="Heading3"/>
      </w:pPr>
      <w:r>
        <w:rPr>
          <w:rFonts w:ascii="Cambria" w:hAnsi="Cambria"/>
          <w:b/>
          <w:color w:val="1F3A5F"/>
          <w:sz w:val="26"/>
        </w:rPr>
        <w:t>2. Structure of Year-wise Academic Audit Report</w:t>
      </w:r>
    </w:p>
    <w:p>
      <w:pPr>
        <w:spacing w:after="120" w:line="276" w:lineRule="auto"/>
      </w:pPr>
      <w:r>
        <w:rPr>
          <w:rFonts w:ascii="Cambria" w:hAnsi="Cambria"/>
          <w:b w:val="0"/>
          <w:i w:val="0"/>
          <w:sz w:val="22"/>
        </w:rPr>
        <w:t>Each year’s report should include the following sections:</w:t>
      </w:r>
    </w:p>
    <w:p>
      <w:pPr>
        <w:spacing w:after="80" w:line="276" w:lineRule="auto"/>
      </w:pPr>
      <w:r>
        <w:rPr>
          <w:rFonts w:ascii="Cambria" w:hAnsi="Cambria"/>
          <w:b/>
          <w:i/>
          <w:sz w:val="22"/>
        </w:rPr>
        <w:t>A. Basic Information</w:t>
      </w:r>
    </w:p>
    <w:p>
      <w:pPr>
        <w:pStyle w:val="ListBullet"/>
        <w:spacing w:after="80" w:line="276" w:lineRule="auto"/>
      </w:pPr>
      <w:r>
        <w:rPr>
          <w:rFonts w:ascii="Cambria" w:hAnsi="Cambria"/>
          <w:b w:val="0"/>
          <w:i w:val="0"/>
          <w:sz w:val="22"/>
        </w:rPr>
        <w:t>Institution &amp; Department Name.</w:t>
      </w:r>
    </w:p>
    <w:p>
      <w:pPr>
        <w:pStyle w:val="ListBullet"/>
        <w:spacing w:after="80" w:line="276" w:lineRule="auto"/>
      </w:pPr>
      <w:r>
        <w:rPr>
          <w:rFonts w:ascii="Cambria" w:hAnsi="Cambria"/>
          <w:b w:val="0"/>
          <w:i w:val="0"/>
          <w:sz w:val="22"/>
        </w:rPr>
        <w:t>Academic Year (CAY, CAYm1, CAYm2).</w:t>
      </w:r>
    </w:p>
    <w:p>
      <w:pPr>
        <w:pStyle w:val="ListBullet"/>
        <w:spacing w:after="80" w:line="276" w:lineRule="auto"/>
      </w:pPr>
      <w:r>
        <w:rPr>
          <w:rFonts w:ascii="Cambria" w:hAnsi="Cambria"/>
          <w:b w:val="0"/>
          <w:i w:val="0"/>
          <w:sz w:val="22"/>
        </w:rPr>
        <w:t>Audit Committee Members (internal + external experts, IQAC).</w:t>
      </w:r>
    </w:p>
    <w:p>
      <w:pPr>
        <w:spacing w:after="80" w:line="276" w:lineRule="auto"/>
      </w:pPr>
      <w:r>
        <w:rPr>
          <w:rFonts w:ascii="Cambria" w:hAnsi="Cambria"/>
          <w:b/>
          <w:i/>
          <w:sz w:val="22"/>
        </w:rPr>
        <w:t>B. Audit Focus Areas</w:t>
      </w:r>
    </w:p>
    <w:p>
      <w:pPr>
        <w:pStyle w:val="ListNumber"/>
        <w:spacing w:after="80" w:line="276" w:lineRule="auto"/>
      </w:pPr>
      <w:r>
        <w:rPr>
          <w:rFonts w:ascii="Cambria" w:hAnsi="Cambria"/>
          <w:b/>
          <w:i w:val="0"/>
          <w:sz w:val="22"/>
        </w:rPr>
        <w:t>Curriculum Delivery</w:t>
      </w:r>
    </w:p>
    <w:p>
      <w:pPr>
        <w:pStyle w:val="ListBullet2"/>
        <w:spacing w:after="80" w:line="276" w:lineRule="auto"/>
      </w:pPr>
      <w:r>
        <w:rPr>
          <w:rFonts w:ascii="Cambria" w:hAnsi="Cambria"/>
          <w:b w:val="0"/>
          <w:i w:val="0"/>
          <w:sz w:val="22"/>
        </w:rPr>
        <w:t>Lesson plans, coverage of syllabus.</w:t>
      </w:r>
    </w:p>
    <w:p>
      <w:pPr>
        <w:pStyle w:val="ListBullet2"/>
        <w:spacing w:after="80" w:line="276" w:lineRule="auto"/>
      </w:pPr>
      <w:r>
        <w:rPr>
          <w:rFonts w:ascii="Cambria" w:hAnsi="Cambria"/>
          <w:b w:val="0"/>
          <w:i w:val="0"/>
          <w:sz w:val="22"/>
        </w:rPr>
        <w:t>Alignment of COs with curriculum.</w:t>
      </w:r>
    </w:p>
    <w:p>
      <w:pPr>
        <w:pStyle w:val="ListNumber"/>
        <w:spacing w:after="80" w:line="276" w:lineRule="auto"/>
      </w:pPr>
      <w:r>
        <w:rPr>
          <w:rFonts w:ascii="Cambria" w:hAnsi="Cambria"/>
          <w:b/>
          <w:i w:val="0"/>
          <w:sz w:val="22"/>
        </w:rPr>
        <w:t>Assessment &amp; Evaluation</w:t>
      </w:r>
    </w:p>
    <w:p>
      <w:pPr>
        <w:pStyle w:val="ListBullet2"/>
        <w:spacing w:after="80" w:line="276" w:lineRule="auto"/>
      </w:pPr>
      <w:r>
        <w:rPr>
          <w:rFonts w:ascii="Cambria" w:hAnsi="Cambria"/>
          <w:b w:val="0"/>
          <w:i w:val="0"/>
          <w:sz w:val="22"/>
        </w:rPr>
        <w:t>Quality of internal exams, assignments, lab records.</w:t>
      </w:r>
    </w:p>
    <w:p>
      <w:pPr>
        <w:pStyle w:val="ListBullet2"/>
        <w:spacing w:after="80" w:line="276" w:lineRule="auto"/>
      </w:pPr>
      <w:r>
        <w:rPr>
          <w:rFonts w:ascii="Cambria" w:hAnsi="Cambria"/>
          <w:b w:val="0"/>
          <w:i w:val="0"/>
          <w:sz w:val="22"/>
        </w:rPr>
        <w:t>Bloom’s Taxonomy compliance.</w:t>
      </w:r>
    </w:p>
    <w:p>
      <w:pPr>
        <w:pStyle w:val="ListNumber"/>
        <w:spacing w:after="80" w:line="276" w:lineRule="auto"/>
      </w:pPr>
      <w:r>
        <w:rPr>
          <w:rFonts w:ascii="Cambria" w:hAnsi="Cambria"/>
          <w:b/>
          <w:i w:val="0"/>
          <w:sz w:val="22"/>
        </w:rPr>
        <w:t>Outcome Attainment</w:t>
      </w:r>
    </w:p>
    <w:p>
      <w:pPr>
        <w:pStyle w:val="ListBullet2"/>
        <w:spacing w:after="80" w:line="276" w:lineRule="auto"/>
      </w:pPr>
      <w:r>
        <w:rPr>
          <w:rFonts w:ascii="Cambria" w:hAnsi="Cambria"/>
          <w:b w:val="0"/>
          <w:i w:val="0"/>
          <w:sz w:val="22"/>
        </w:rPr>
        <w:t>Course-wise CO attainment.</w:t>
      </w:r>
    </w:p>
    <w:p>
      <w:pPr>
        <w:pStyle w:val="ListBullet2"/>
        <w:spacing w:after="80" w:line="276" w:lineRule="auto"/>
      </w:pPr>
      <w:r>
        <w:rPr>
          <w:rFonts w:ascii="Cambria" w:hAnsi="Cambria"/>
          <w:b w:val="0"/>
          <w:i w:val="0"/>
          <w:sz w:val="22"/>
        </w:rPr>
        <w:t>Aggregated PO/PSO attainment.</w:t>
      </w:r>
    </w:p>
    <w:p>
      <w:pPr>
        <w:pStyle w:val="ListNumber"/>
        <w:spacing w:after="80" w:line="276" w:lineRule="auto"/>
      </w:pPr>
      <w:r>
        <w:rPr>
          <w:rFonts w:ascii="Cambria" w:hAnsi="Cambria"/>
          <w:b/>
          <w:i w:val="0"/>
          <w:sz w:val="22"/>
        </w:rPr>
        <w:t>Faculty Performance</w:t>
      </w:r>
    </w:p>
    <w:p>
      <w:pPr>
        <w:pStyle w:val="ListBullet2"/>
        <w:spacing w:after="80" w:line="276" w:lineRule="auto"/>
      </w:pPr>
      <w:r>
        <w:rPr>
          <w:rFonts w:ascii="Cambria" w:hAnsi="Cambria"/>
          <w:b w:val="0"/>
          <w:i w:val="0"/>
          <w:sz w:val="22"/>
        </w:rPr>
        <w:t>Teaching effectiveness, FDP participation, research.</w:t>
      </w:r>
    </w:p>
    <w:p>
      <w:pPr>
        <w:pStyle w:val="ListNumber"/>
        <w:spacing w:after="80" w:line="276" w:lineRule="auto"/>
      </w:pPr>
      <w:r>
        <w:rPr>
          <w:rFonts w:ascii="Cambria" w:hAnsi="Cambria"/>
          <w:b/>
          <w:i w:val="0"/>
          <w:sz w:val="22"/>
        </w:rPr>
        <w:t>Student Support</w:t>
      </w:r>
    </w:p>
    <w:p>
      <w:pPr>
        <w:pStyle w:val="ListBullet2"/>
        <w:spacing w:after="80" w:line="276" w:lineRule="auto"/>
      </w:pPr>
      <w:r>
        <w:rPr>
          <w:rFonts w:ascii="Cambria" w:hAnsi="Cambria"/>
          <w:b w:val="0"/>
          <w:i w:val="0"/>
          <w:sz w:val="22"/>
        </w:rPr>
        <w:t>Mentoring, remedial/bridge courses, workshops.</w:t>
      </w:r>
    </w:p>
    <w:p>
      <w:pPr>
        <w:pStyle w:val="ListNumber"/>
        <w:spacing w:after="80" w:line="276" w:lineRule="auto"/>
      </w:pPr>
      <w:r>
        <w:rPr>
          <w:rFonts w:ascii="Cambria" w:hAnsi="Cambria"/>
          <w:b/>
          <w:i w:val="0"/>
          <w:sz w:val="22"/>
        </w:rPr>
        <w:t>Research &amp; Innovation</w:t>
      </w:r>
    </w:p>
    <w:p>
      <w:pPr>
        <w:pStyle w:val="ListBullet2"/>
        <w:spacing w:after="80" w:line="276" w:lineRule="auto"/>
      </w:pPr>
      <w:r>
        <w:rPr>
          <w:rFonts w:ascii="Cambria" w:hAnsi="Cambria"/>
          <w:b w:val="0"/>
          <w:i w:val="0"/>
          <w:sz w:val="22"/>
        </w:rPr>
        <w:t>Projects, publications, patents, startup activities.</w:t>
      </w:r>
    </w:p>
    <w:p>
      <w:pPr>
        <w:pStyle w:val="ListNumber"/>
        <w:spacing w:after="80" w:line="276" w:lineRule="auto"/>
      </w:pPr>
      <w:r>
        <w:rPr>
          <w:rFonts w:ascii="Cambria" w:hAnsi="Cambria"/>
          <w:b/>
          <w:i w:val="0"/>
          <w:sz w:val="22"/>
        </w:rPr>
        <w:t>Industry Connect</w:t>
      </w:r>
    </w:p>
    <w:p>
      <w:pPr>
        <w:pStyle w:val="ListBullet2"/>
        <w:spacing w:after="80" w:line="276" w:lineRule="auto"/>
      </w:pPr>
      <w:r>
        <w:rPr>
          <w:rFonts w:ascii="Cambria" w:hAnsi="Cambria"/>
          <w:b w:val="0"/>
          <w:i w:val="0"/>
          <w:sz w:val="22"/>
        </w:rPr>
        <w:t>Internships, MoUs, guest lectures.</w:t>
      </w:r>
    </w:p>
    <w:p>
      <w:pPr>
        <w:spacing w:after="80" w:line="276" w:lineRule="auto"/>
      </w:pPr>
      <w:r>
        <w:rPr>
          <w:rFonts w:ascii="Cambria" w:hAnsi="Cambria"/>
          <w:b/>
          <w:i/>
          <w:sz w:val="22"/>
        </w:rPr>
        <w:t>C. Findings</w:t>
      </w:r>
    </w:p>
    <w:p>
      <w:pPr>
        <w:pStyle w:val="ListBullet"/>
        <w:spacing w:after="80" w:line="276" w:lineRule="auto"/>
      </w:pPr>
      <w:r>
        <w:rPr>
          <w:rFonts w:ascii="Cambria" w:hAnsi="Cambria"/>
          <w:b w:val="0"/>
          <w:i w:val="0"/>
          <w:sz w:val="22"/>
        </w:rPr>
        <w:t>Strengths identified.</w:t>
      </w:r>
    </w:p>
    <w:p>
      <w:pPr>
        <w:pStyle w:val="ListBullet"/>
        <w:spacing w:after="80" w:line="276" w:lineRule="auto"/>
      </w:pPr>
      <w:r>
        <w:rPr>
          <w:rFonts w:ascii="Cambria" w:hAnsi="Cambria"/>
          <w:b w:val="0"/>
          <w:i w:val="0"/>
          <w:sz w:val="22"/>
        </w:rPr>
        <w:t>Weaknesses/Gaps observed.</w:t>
      </w:r>
    </w:p>
    <w:p>
      <w:pPr>
        <w:spacing w:after="80" w:line="276" w:lineRule="auto"/>
      </w:pPr>
      <w:r>
        <w:rPr>
          <w:rFonts w:ascii="Cambria" w:hAnsi="Cambria"/>
          <w:b/>
          <w:i/>
          <w:sz w:val="22"/>
        </w:rPr>
        <w:t>D. Recommendations</w:t>
      </w:r>
    </w:p>
    <w:p>
      <w:pPr>
        <w:pStyle w:val="ListBullet"/>
        <w:spacing w:after="80" w:line="276" w:lineRule="auto"/>
      </w:pPr>
      <w:r>
        <w:rPr>
          <w:rFonts w:ascii="Cambria" w:hAnsi="Cambria"/>
          <w:b w:val="0"/>
          <w:i w:val="0"/>
          <w:sz w:val="22"/>
        </w:rPr>
        <w:t>Suggested corrective measures for gaps.</w:t>
      </w:r>
    </w:p>
    <w:p>
      <w:pPr>
        <w:spacing w:after="80" w:line="276" w:lineRule="auto"/>
      </w:pPr>
      <w:r>
        <w:rPr>
          <w:rFonts w:ascii="Cambria" w:hAnsi="Cambria"/>
          <w:b/>
          <w:i/>
          <w:sz w:val="22"/>
        </w:rPr>
        <w:t>E. Action Taken</w:t>
      </w:r>
    </w:p>
    <w:p>
      <w:pPr>
        <w:pStyle w:val="ListBullet"/>
        <w:spacing w:after="80" w:line="276" w:lineRule="auto"/>
      </w:pPr>
      <w:r>
        <w:rPr>
          <w:rFonts w:ascii="Cambria" w:hAnsi="Cambria"/>
          <w:b w:val="0"/>
          <w:i w:val="0"/>
          <w:sz w:val="22"/>
        </w:rPr>
        <w:t>Actions implemented in the following semester/year.</w:t>
      </w:r>
    </w:p>
    <w:p>
      <w:pPr>
        <w:pStyle w:val="ListBullet"/>
        <w:spacing w:after="80" w:line="276" w:lineRule="auto"/>
      </w:pPr>
      <w:r>
        <w:rPr>
          <w:rFonts w:ascii="Cambria" w:hAnsi="Cambria"/>
          <w:b w:val="0"/>
          <w:i w:val="0"/>
          <w:sz w:val="22"/>
        </w:rPr>
        <w:t>Reference to Action Taken Reports (ATR).</w:t>
      </w:r>
    </w:p>
    <w:p>
      <w:pPr>
        <w:spacing w:after="80" w:line="276" w:lineRule="auto"/>
      </w:pPr>
      <w:r>
        <w:rPr>
          <w:rFonts w:ascii="Cambria" w:hAnsi="Cambria"/>
          <w:b/>
          <w:i/>
          <w:sz w:val="22"/>
        </w:rPr>
        <w:t>F. Impact</w:t>
      </w:r>
    </w:p>
    <w:p>
      <w:pPr>
        <w:pStyle w:val="ListBullet"/>
        <w:spacing w:after="80" w:line="276" w:lineRule="auto"/>
      </w:pPr>
      <w:r>
        <w:rPr>
          <w:rFonts w:ascii="Cambria" w:hAnsi="Cambria"/>
          <w:b w:val="0"/>
          <w:i w:val="0"/>
          <w:sz w:val="22"/>
        </w:rPr>
        <w:t>Improvements achieved in CO/PO/PSO attainment.</w:t>
      </w:r>
    </w:p>
    <w:p>
      <w:pPr>
        <w:pStyle w:val="ListBullet"/>
        <w:spacing w:after="80" w:line="276" w:lineRule="auto"/>
      </w:pPr>
      <w:r>
        <w:rPr>
          <w:rFonts w:ascii="Cambria" w:hAnsi="Cambria"/>
          <w:b w:val="0"/>
          <w:i w:val="0"/>
          <w:sz w:val="22"/>
        </w:rPr>
        <w:t>Improved placement, higher studies, research contributions.</w:t>
      </w:r>
    </w:p>
    <w:p>
      <w:pPr>
        <w:pStyle w:val="Heading3"/>
      </w:pPr>
      <w:r>
        <w:rPr>
          <w:rFonts w:ascii="Cambria" w:hAnsi="Cambria"/>
          <w:b/>
          <w:color w:val="1F3A5F"/>
          <w:sz w:val="26"/>
        </w:rPr>
        <w:t>3. Suggested Year-wise Table Format</w:t>
      </w:r>
    </w:p>
    <w:tbl>
      <w:tblPr>
        <w:tblStyle w:val="TableGrid"/>
        <w:tblW w:type="auto" w:w="0"/>
        <w:jc w:val="center"/>
        <w:tblLayout w:type="fixed"/>
        <w:tblLook w:firstColumn="1" w:firstRow="1" w:lastColumn="0" w:lastRow="0" w:noHBand="0" w:noVBand="1" w:val="04A0"/>
        <w:tblLayout w:type="fixed"/>
      </w:tblPr>
      <w:tblGrid>
        <w:gridCol w:w="907"/>
        <w:gridCol w:w="850"/>
        <w:gridCol w:w="1077"/>
        <w:gridCol w:w="1077"/>
        <w:gridCol w:w="1077"/>
        <w:gridCol w:w="1304"/>
        <w:gridCol w:w="907"/>
        <w:gridCol w:w="1417"/>
      </w:tblGrid>
      <w:tr>
        <w:tc>
          <w:tcPr>
            <w:tcW w:type="dxa" w:w="907"/>
            <w:shd w:val="clear" w:color="auto" w:fill="1F3A5F"/>
          </w:tcPr>
          <w:p>
            <w:pPr>
              <w:spacing w:after="40" w:line="240" w:lineRule="auto"/>
              <w:jc w:val="center"/>
            </w:pPr>
            <w:r/>
            <w:r>
              <w:rPr>
                <w:rFonts w:ascii="Cambria" w:hAnsi="Cambria"/>
                <w:b/>
                <w:color w:val="FFFFFF"/>
                <w:sz w:val="17"/>
              </w:rPr>
              <w:t>Academic</w:t>
              <w:br/>
              <w:t>Year</w:t>
            </w:r>
          </w:p>
        </w:tc>
        <w:tc>
          <w:tcPr>
            <w:tcW w:type="dxa" w:w="850"/>
            <w:shd w:val="clear" w:color="auto" w:fill="1F3A5F"/>
          </w:tcPr>
          <w:p>
            <w:pPr>
              <w:spacing w:after="40" w:line="240" w:lineRule="auto"/>
              <w:jc w:val="center"/>
            </w:pPr>
            <w:r/>
            <w:r>
              <w:rPr>
                <w:rFonts w:ascii="Cambria" w:hAnsi="Cambria"/>
                <w:b/>
                <w:color w:val="FFFFFF"/>
                <w:sz w:val="17"/>
              </w:rPr>
              <w:t>Criterion</w:t>
              <w:br/>
              <w:t>Audited</w:t>
            </w:r>
          </w:p>
        </w:tc>
        <w:tc>
          <w:tcPr>
            <w:tcW w:type="dxa" w:w="1077"/>
            <w:shd w:val="clear" w:color="auto" w:fill="1F3A5F"/>
          </w:tcPr>
          <w:p>
            <w:pPr>
              <w:spacing w:after="40" w:line="240" w:lineRule="auto"/>
              <w:jc w:val="center"/>
            </w:pPr>
            <w:r/>
            <w:r>
              <w:rPr>
                <w:rFonts w:ascii="Cambria" w:hAnsi="Cambria"/>
                <w:b/>
                <w:color w:val="FFFFFF"/>
                <w:sz w:val="17"/>
              </w:rPr>
              <w:t>Strengths</w:t>
              <w:br/>
              <w:t>Identified</w:t>
            </w:r>
          </w:p>
        </w:tc>
        <w:tc>
          <w:tcPr>
            <w:tcW w:type="dxa" w:w="1077"/>
            <w:shd w:val="clear" w:color="auto" w:fill="1F3A5F"/>
          </w:tcPr>
          <w:p>
            <w:pPr>
              <w:spacing w:after="40" w:line="240" w:lineRule="auto"/>
              <w:jc w:val="center"/>
            </w:pPr>
            <w:r/>
            <w:r>
              <w:rPr>
                <w:rFonts w:ascii="Cambria" w:hAnsi="Cambria"/>
                <w:b/>
                <w:color w:val="FFFFFF"/>
                <w:sz w:val="17"/>
              </w:rPr>
              <w:t>Gaps/</w:t>
              <w:br/>
              <w:t>Weaknesses</w:t>
            </w:r>
          </w:p>
        </w:tc>
        <w:tc>
          <w:tcPr>
            <w:tcW w:type="dxa" w:w="1077"/>
            <w:shd w:val="clear" w:color="auto" w:fill="1F3A5F"/>
          </w:tcPr>
          <w:p>
            <w:pPr>
              <w:spacing w:after="40" w:line="240" w:lineRule="auto"/>
              <w:jc w:val="center"/>
            </w:pPr>
            <w:r/>
            <w:r>
              <w:rPr>
                <w:rFonts w:ascii="Cambria" w:hAnsi="Cambria"/>
                <w:b/>
                <w:color w:val="FFFFFF"/>
                <w:sz w:val="17"/>
              </w:rPr>
              <w:t>Recommend-</w:t>
              <w:br/>
              <w:t>ations</w:t>
            </w:r>
          </w:p>
        </w:tc>
        <w:tc>
          <w:tcPr>
            <w:tcW w:type="dxa" w:w="1304"/>
            <w:shd w:val="clear" w:color="auto" w:fill="1F3A5F"/>
          </w:tcPr>
          <w:p>
            <w:pPr>
              <w:spacing w:after="40" w:line="240" w:lineRule="auto"/>
              <w:jc w:val="center"/>
            </w:pPr>
            <w:r/>
            <w:r>
              <w:rPr>
                <w:rFonts w:ascii="Cambria" w:hAnsi="Cambria"/>
                <w:b/>
                <w:color w:val="FFFFFF"/>
                <w:sz w:val="17"/>
              </w:rPr>
              <w:t>Action</w:t>
              <w:br/>
              <w:t>Taken</w:t>
            </w:r>
          </w:p>
        </w:tc>
        <w:tc>
          <w:tcPr>
            <w:tcW w:type="dxa" w:w="907"/>
            <w:shd w:val="clear" w:color="auto" w:fill="1F3A5F"/>
          </w:tcPr>
          <w:p>
            <w:pPr>
              <w:spacing w:after="40" w:line="240" w:lineRule="auto"/>
              <w:jc w:val="center"/>
            </w:pPr>
            <w:r/>
            <w:r>
              <w:rPr>
                <w:rFonts w:ascii="Cambria" w:hAnsi="Cambria"/>
                <w:b/>
                <w:color w:val="FFFFFF"/>
                <w:sz w:val="17"/>
              </w:rPr>
              <w:t>Evidence</w:t>
            </w:r>
          </w:p>
        </w:tc>
        <w:tc>
          <w:tcPr>
            <w:tcW w:type="dxa" w:w="1417"/>
            <w:shd w:val="clear" w:color="auto" w:fill="1F3A5F"/>
          </w:tcPr>
          <w:p>
            <w:pPr>
              <w:spacing w:after="40" w:line="240" w:lineRule="auto"/>
              <w:jc w:val="center"/>
            </w:pPr>
            <w:r/>
            <w:r>
              <w:rPr>
                <w:rFonts w:ascii="Cambria" w:hAnsi="Cambria"/>
                <w:b/>
                <w:color w:val="FFFFFF"/>
                <w:sz w:val="17"/>
              </w:rPr>
              <w:t>Impact</w:t>
            </w:r>
          </w:p>
        </w:tc>
      </w:tr>
      <w:tr>
        <w:tc>
          <w:tcPr>
            <w:tcW w:type="dxa" w:w="907"/>
          </w:tcPr>
          <w:p>
            <w:pPr>
              <w:spacing w:after="40" w:line="240" w:lineRule="auto"/>
              <w:jc w:val="left"/>
            </w:pPr>
            <w:r/>
            <w:r>
              <w:rPr>
                <w:rFonts w:ascii="Cambria" w:hAnsi="Cambria"/>
                <w:b w:val="0"/>
                <w:sz w:val="16"/>
              </w:rPr>
              <w:t>2022-23</w:t>
              <w:br/>
              <w:t>(CAYm2)</w:t>
            </w:r>
          </w:p>
        </w:tc>
        <w:tc>
          <w:tcPr>
            <w:tcW w:type="dxa" w:w="850"/>
          </w:tcPr>
          <w:p>
            <w:pPr>
              <w:spacing w:after="40" w:line="240" w:lineRule="auto"/>
              <w:jc w:val="left"/>
            </w:pPr>
            <w:r/>
            <w:r>
              <w:rPr>
                <w:rFonts w:ascii="Cambria" w:hAnsi="Cambria"/>
                <w:b w:val="0"/>
                <w:sz w:val="16"/>
              </w:rPr>
              <w:t>Course Delivery</w:t>
            </w:r>
          </w:p>
        </w:tc>
        <w:tc>
          <w:tcPr>
            <w:tcW w:type="dxa" w:w="1077"/>
          </w:tcPr>
          <w:p>
            <w:pPr>
              <w:spacing w:after="40" w:line="240" w:lineRule="auto"/>
              <w:jc w:val="left"/>
            </w:pPr>
            <w:r/>
            <w:r>
              <w:rPr>
                <w:rFonts w:ascii="Cambria" w:hAnsi="Cambria"/>
                <w:b w:val="0"/>
                <w:sz w:val="16"/>
              </w:rPr>
              <w:t>Syllabus coverage &gt; 95%</w:t>
            </w:r>
          </w:p>
        </w:tc>
        <w:tc>
          <w:tcPr>
            <w:tcW w:type="dxa" w:w="1077"/>
          </w:tcPr>
          <w:p>
            <w:pPr>
              <w:spacing w:after="40" w:line="240" w:lineRule="auto"/>
              <w:jc w:val="left"/>
            </w:pPr>
            <w:r/>
            <w:r>
              <w:rPr>
                <w:rFonts w:ascii="Cambria" w:hAnsi="Cambria"/>
                <w:b w:val="0"/>
                <w:sz w:val="16"/>
              </w:rPr>
              <w:t>Low attainment in CO2</w:t>
            </w:r>
          </w:p>
        </w:tc>
        <w:tc>
          <w:tcPr>
            <w:tcW w:type="dxa" w:w="1077"/>
          </w:tcPr>
          <w:p>
            <w:pPr>
              <w:spacing w:after="40" w:line="240" w:lineRule="auto"/>
              <w:jc w:val="left"/>
            </w:pPr>
            <w:r/>
            <w:r>
              <w:rPr>
                <w:rFonts w:ascii="Cambria" w:hAnsi="Cambria"/>
                <w:b w:val="0"/>
                <w:sz w:val="16"/>
              </w:rPr>
              <w:t>Introduce coding workshops</w:t>
            </w:r>
          </w:p>
        </w:tc>
        <w:tc>
          <w:tcPr>
            <w:tcW w:type="dxa" w:w="1304"/>
          </w:tcPr>
          <w:p>
            <w:pPr>
              <w:spacing w:after="40" w:line="240" w:lineRule="auto"/>
              <w:jc w:val="left"/>
            </w:pPr>
            <w:r/>
            <w:r>
              <w:rPr>
                <w:rFonts w:ascii="Cambria" w:hAnsi="Cambria"/>
                <w:b w:val="0"/>
                <w:sz w:val="16"/>
              </w:rPr>
              <w:t>Weekly coding practice sessions introduced</w:t>
            </w:r>
          </w:p>
        </w:tc>
        <w:tc>
          <w:tcPr>
            <w:tcW w:type="dxa" w:w="907"/>
          </w:tcPr>
          <w:p>
            <w:pPr>
              <w:spacing w:after="40" w:line="240" w:lineRule="auto"/>
              <w:jc w:val="left"/>
            </w:pPr>
            <w:r/>
            <w:r>
              <w:rPr>
                <w:rFonts w:ascii="Cambria" w:hAnsi="Cambria"/>
                <w:b w:val="0"/>
                <w:sz w:val="16"/>
              </w:rPr>
              <w:t>Audit report, attendance</w:t>
            </w:r>
          </w:p>
        </w:tc>
        <w:tc>
          <w:tcPr>
            <w:tcW w:type="dxa" w:w="1417"/>
          </w:tcPr>
          <w:p>
            <w:pPr>
              <w:spacing w:after="40" w:line="240" w:lineRule="auto"/>
              <w:jc w:val="left"/>
            </w:pPr>
            <w:r/>
            <w:r>
              <w:rPr>
                <w:rFonts w:ascii="Cambria" w:hAnsi="Cambria"/>
                <w:b w:val="0"/>
                <w:sz w:val="16"/>
              </w:rPr>
              <w:t>CO2 attainment improved by 12%</w:t>
            </w:r>
          </w:p>
        </w:tc>
      </w:tr>
      <w:tr>
        <w:tc>
          <w:tcPr>
            <w:tcW w:type="dxa" w:w="907"/>
            <w:shd w:val="clear" w:color="auto" w:fill="F2F2F2"/>
          </w:tcPr>
          <w:p>
            <w:pPr>
              <w:spacing w:after="40" w:line="240" w:lineRule="auto"/>
              <w:jc w:val="left"/>
            </w:pPr>
            <w:r/>
            <w:r>
              <w:rPr>
                <w:rFonts w:ascii="Cambria" w:hAnsi="Cambria"/>
                <w:b w:val="0"/>
                <w:sz w:val="16"/>
              </w:rPr>
              <w:t>2023-24</w:t>
              <w:br/>
              <w:t>(CAYm1)</w:t>
            </w:r>
          </w:p>
        </w:tc>
        <w:tc>
          <w:tcPr>
            <w:tcW w:type="dxa" w:w="850"/>
            <w:shd w:val="clear" w:color="auto" w:fill="F2F2F2"/>
          </w:tcPr>
          <w:p>
            <w:pPr>
              <w:spacing w:after="40" w:line="240" w:lineRule="auto"/>
              <w:jc w:val="left"/>
            </w:pPr>
            <w:r/>
            <w:r>
              <w:rPr>
                <w:rFonts w:ascii="Cambria" w:hAnsi="Cambria"/>
                <w:b w:val="0"/>
                <w:sz w:val="16"/>
              </w:rPr>
              <w:t>Assessment</w:t>
            </w:r>
          </w:p>
        </w:tc>
        <w:tc>
          <w:tcPr>
            <w:tcW w:type="dxa" w:w="1077"/>
            <w:shd w:val="clear" w:color="auto" w:fill="F2F2F2"/>
          </w:tcPr>
          <w:p>
            <w:pPr>
              <w:spacing w:after="40" w:line="240" w:lineRule="auto"/>
              <w:jc w:val="left"/>
            </w:pPr>
            <w:r/>
            <w:r>
              <w:rPr>
                <w:rFonts w:ascii="Cambria" w:hAnsi="Cambria"/>
                <w:b w:val="0"/>
                <w:sz w:val="16"/>
              </w:rPr>
              <w:t>Moderate question paper quality</w:t>
            </w:r>
          </w:p>
        </w:tc>
        <w:tc>
          <w:tcPr>
            <w:tcW w:type="dxa" w:w="1077"/>
            <w:shd w:val="clear" w:color="auto" w:fill="F2F2F2"/>
          </w:tcPr>
          <w:p>
            <w:pPr>
              <w:spacing w:after="40" w:line="240" w:lineRule="auto"/>
              <w:jc w:val="left"/>
            </w:pPr>
            <w:r/>
            <w:r>
              <w:rPr>
                <w:rFonts w:ascii="Cambria" w:hAnsi="Cambria"/>
                <w:b w:val="0"/>
                <w:sz w:val="16"/>
              </w:rPr>
              <w:t>Few higher-order Bloom’s questions</w:t>
            </w:r>
          </w:p>
        </w:tc>
        <w:tc>
          <w:tcPr>
            <w:tcW w:type="dxa" w:w="1077"/>
            <w:shd w:val="clear" w:color="auto" w:fill="F2F2F2"/>
          </w:tcPr>
          <w:p>
            <w:pPr>
              <w:spacing w:after="40" w:line="240" w:lineRule="auto"/>
              <w:jc w:val="left"/>
            </w:pPr>
            <w:r/>
            <w:r>
              <w:rPr>
                <w:rFonts w:ascii="Cambria" w:hAnsi="Cambria"/>
                <w:b w:val="0"/>
                <w:sz w:val="16"/>
              </w:rPr>
              <w:t>Train faculty in assessment design</w:t>
            </w:r>
          </w:p>
        </w:tc>
        <w:tc>
          <w:tcPr>
            <w:tcW w:type="dxa" w:w="1304"/>
            <w:shd w:val="clear" w:color="auto" w:fill="F2F2F2"/>
          </w:tcPr>
          <w:p>
            <w:pPr>
              <w:spacing w:after="40" w:line="240" w:lineRule="auto"/>
              <w:jc w:val="left"/>
            </w:pPr>
            <w:r/>
            <w:r>
              <w:rPr>
                <w:rFonts w:ascii="Cambria" w:hAnsi="Cambria"/>
                <w:b w:val="0"/>
                <w:sz w:val="16"/>
              </w:rPr>
              <w:t>FDP on question paper setting conducted</w:t>
            </w:r>
          </w:p>
        </w:tc>
        <w:tc>
          <w:tcPr>
            <w:tcW w:type="dxa" w:w="907"/>
            <w:shd w:val="clear" w:color="auto" w:fill="F2F2F2"/>
          </w:tcPr>
          <w:p>
            <w:pPr>
              <w:spacing w:after="40" w:line="240" w:lineRule="auto"/>
              <w:jc w:val="left"/>
            </w:pPr>
            <w:r/>
            <w:r>
              <w:rPr>
                <w:rFonts w:ascii="Cambria" w:hAnsi="Cambria"/>
                <w:b w:val="0"/>
                <w:sz w:val="16"/>
              </w:rPr>
              <w:t>FDP certificates</w:t>
            </w:r>
          </w:p>
        </w:tc>
        <w:tc>
          <w:tcPr>
            <w:tcW w:type="dxa" w:w="1417"/>
            <w:shd w:val="clear" w:color="auto" w:fill="F2F2F2"/>
          </w:tcPr>
          <w:p>
            <w:pPr>
              <w:spacing w:after="40" w:line="240" w:lineRule="auto"/>
              <w:jc w:val="left"/>
            </w:pPr>
            <w:r/>
            <w:r>
              <w:rPr>
                <w:rFonts w:ascii="Cambria" w:hAnsi="Cambria"/>
                <w:b w:val="0"/>
                <w:sz w:val="16"/>
              </w:rPr>
              <w:t>Increase in higher-order questions to 40%</w:t>
            </w:r>
          </w:p>
        </w:tc>
      </w:tr>
      <w:tr>
        <w:tc>
          <w:tcPr>
            <w:tcW w:type="dxa" w:w="907"/>
          </w:tcPr>
          <w:p>
            <w:pPr>
              <w:spacing w:after="40" w:line="240" w:lineRule="auto"/>
              <w:jc w:val="left"/>
            </w:pPr>
            <w:r/>
            <w:r>
              <w:rPr>
                <w:rFonts w:ascii="Cambria" w:hAnsi="Cambria"/>
                <w:b w:val="0"/>
                <w:sz w:val="16"/>
              </w:rPr>
              <w:t>2024-25</w:t>
              <w:br/>
              <w:t>(CAY)</w:t>
            </w:r>
          </w:p>
        </w:tc>
        <w:tc>
          <w:tcPr>
            <w:tcW w:type="dxa" w:w="850"/>
          </w:tcPr>
          <w:p>
            <w:pPr>
              <w:spacing w:after="40" w:line="240" w:lineRule="auto"/>
              <w:jc w:val="left"/>
            </w:pPr>
            <w:r/>
            <w:r>
              <w:rPr>
                <w:rFonts w:ascii="Cambria" w:hAnsi="Cambria"/>
                <w:b w:val="0"/>
                <w:sz w:val="16"/>
              </w:rPr>
              <w:t>Student Support</w:t>
            </w:r>
          </w:p>
        </w:tc>
        <w:tc>
          <w:tcPr>
            <w:tcW w:type="dxa" w:w="1077"/>
          </w:tcPr>
          <w:p>
            <w:pPr>
              <w:spacing w:after="40" w:line="240" w:lineRule="auto"/>
              <w:jc w:val="left"/>
            </w:pPr>
            <w:r/>
            <w:r>
              <w:rPr>
                <w:rFonts w:ascii="Cambria" w:hAnsi="Cambria"/>
                <w:b w:val="0"/>
                <w:sz w:val="16"/>
              </w:rPr>
              <w:t>Strong mentoring system</w:t>
            </w:r>
          </w:p>
        </w:tc>
        <w:tc>
          <w:tcPr>
            <w:tcW w:type="dxa" w:w="1077"/>
          </w:tcPr>
          <w:p>
            <w:pPr>
              <w:spacing w:after="40" w:line="240" w:lineRule="auto"/>
              <w:jc w:val="left"/>
            </w:pPr>
            <w:r/>
            <w:r>
              <w:rPr>
                <w:rFonts w:ascii="Cambria" w:hAnsi="Cambria"/>
                <w:b w:val="0"/>
                <w:sz w:val="16"/>
              </w:rPr>
              <w:t>Weak in lifelong learning (PO12)</w:t>
            </w:r>
          </w:p>
        </w:tc>
        <w:tc>
          <w:tcPr>
            <w:tcW w:type="dxa" w:w="1077"/>
          </w:tcPr>
          <w:p>
            <w:pPr>
              <w:spacing w:after="40" w:line="240" w:lineRule="auto"/>
              <w:jc w:val="left"/>
            </w:pPr>
            <w:r/>
            <w:r>
              <w:rPr>
                <w:rFonts w:ascii="Cambria" w:hAnsi="Cambria"/>
                <w:b w:val="0"/>
                <w:sz w:val="16"/>
              </w:rPr>
              <w:t>Encourage MOOCs</w:t>
            </w:r>
          </w:p>
        </w:tc>
        <w:tc>
          <w:tcPr>
            <w:tcW w:type="dxa" w:w="1304"/>
          </w:tcPr>
          <w:p>
            <w:pPr>
              <w:spacing w:after="40" w:line="240" w:lineRule="auto"/>
              <w:jc w:val="left"/>
            </w:pPr>
            <w:r/>
            <w:r>
              <w:rPr>
                <w:rFonts w:ascii="Cambria" w:hAnsi="Cambria"/>
                <w:b w:val="0"/>
                <w:sz w:val="16"/>
              </w:rPr>
              <w:t>MOOCs made mandatory with credits</w:t>
            </w:r>
          </w:p>
        </w:tc>
        <w:tc>
          <w:tcPr>
            <w:tcW w:type="dxa" w:w="907"/>
          </w:tcPr>
          <w:p>
            <w:pPr>
              <w:spacing w:after="40" w:line="240" w:lineRule="auto"/>
              <w:jc w:val="left"/>
            </w:pPr>
            <w:r/>
            <w:r>
              <w:rPr>
                <w:rFonts w:ascii="Cambria" w:hAnsi="Cambria"/>
                <w:b w:val="0"/>
                <w:sz w:val="16"/>
              </w:rPr>
              <w:t>Certificates uploaded</w:t>
            </w:r>
          </w:p>
        </w:tc>
        <w:tc>
          <w:tcPr>
            <w:tcW w:type="dxa" w:w="1417"/>
          </w:tcPr>
          <w:p>
            <w:pPr>
              <w:spacing w:after="40" w:line="240" w:lineRule="auto"/>
              <w:jc w:val="left"/>
            </w:pPr>
            <w:r/>
            <w:r>
              <w:rPr>
                <w:rFonts w:ascii="Cambria" w:hAnsi="Cambria"/>
                <w:b w:val="0"/>
                <w:sz w:val="16"/>
              </w:rPr>
              <w:t>PO12 improved from 63% → 71%</w:t>
            </w:r>
          </w:p>
        </w:tc>
      </w:tr>
    </w:tbl>
    <w:p>
      <w:pPr>
        <w:spacing w:after="40"/>
      </w:pPr>
    </w:p>
    <w:p>
      <w:pPr>
        <w:pStyle w:val="Heading3"/>
      </w:pPr>
      <w:r>
        <w:rPr>
          <w:rFonts w:ascii="Cambria" w:hAnsi="Cambria"/>
          <w:b/>
          <w:color w:val="1F3A5F"/>
          <w:sz w:val="26"/>
        </w:rPr>
        <w:t>4. Documentation &amp; Evidence</w:t>
      </w:r>
    </w:p>
    <w:p>
      <w:pPr>
        <w:pStyle w:val="ListBullet"/>
        <w:spacing w:after="80" w:line="276" w:lineRule="auto"/>
      </w:pPr>
      <w:r>
        <w:rPr>
          <w:rFonts w:ascii="Cambria" w:hAnsi="Cambria"/>
          <w:b w:val="0"/>
          <w:i w:val="0"/>
          <w:sz w:val="22"/>
        </w:rPr>
        <w:t>Audit Reports (PDF/Excel) year-wise.</w:t>
      </w:r>
    </w:p>
    <w:p>
      <w:pPr>
        <w:pStyle w:val="ListBullet"/>
        <w:spacing w:after="80" w:line="276" w:lineRule="auto"/>
      </w:pPr>
      <w:r>
        <w:rPr>
          <w:rFonts w:ascii="Cambria" w:hAnsi="Cambria"/>
          <w:b w:val="0"/>
          <w:i w:val="0"/>
          <w:sz w:val="22"/>
        </w:rPr>
        <w:t>Minutes of Audit Committee Meetings.</w:t>
      </w:r>
    </w:p>
    <w:p>
      <w:pPr>
        <w:pStyle w:val="ListBullet"/>
        <w:spacing w:after="80" w:line="276" w:lineRule="auto"/>
      </w:pPr>
      <w:r>
        <w:rPr>
          <w:rFonts w:ascii="Cambria" w:hAnsi="Cambria"/>
          <w:b w:val="0"/>
          <w:i w:val="0"/>
          <w:sz w:val="22"/>
        </w:rPr>
        <w:t>Evidence files/links: lesson plans, FDP reports, remedial timetables, workshop records.</w:t>
      </w:r>
    </w:p>
    <w:p>
      <w:pPr>
        <w:pStyle w:val="ListBullet"/>
        <w:spacing w:after="80" w:line="276" w:lineRule="auto"/>
      </w:pPr>
      <w:r>
        <w:rPr>
          <w:rFonts w:ascii="Cambria" w:hAnsi="Cambria"/>
          <w:b w:val="0"/>
          <w:i w:val="0"/>
          <w:sz w:val="22"/>
        </w:rPr>
        <w:t>Improvement charts: attainment before vs. after actions.</w:t>
      </w:r>
    </w:p>
    <w:p>
      <w:pPr>
        <w:pStyle w:val="Heading3"/>
      </w:pPr>
      <w:r>
        <w:rPr>
          <w:rFonts w:ascii="Cambria" w:hAnsi="Cambria"/>
          <w:b/>
          <w:color w:val="1F3A5F"/>
          <w:sz w:val="26"/>
        </w:rPr>
        <w:t>5. NBA Expectation (15 Marks)</w:t>
      </w:r>
    </w:p>
    <w:p>
      <w:pPr>
        <w:pStyle w:val="ListBullet"/>
        <w:spacing w:after="80" w:line="276" w:lineRule="auto"/>
      </w:pPr>
      <w:r>
        <w:rPr>
          <w:rFonts w:ascii="Cambria" w:hAnsi="Cambria"/>
          <w:b w:val="0"/>
          <w:i w:val="0"/>
          <w:sz w:val="22"/>
        </w:rPr>
        <w:t>Clear audit process/system – 5 Marks.</w:t>
      </w:r>
    </w:p>
    <w:p>
      <w:pPr>
        <w:pStyle w:val="ListBullet"/>
        <w:spacing w:after="80" w:line="276" w:lineRule="auto"/>
      </w:pPr>
      <w:r>
        <w:rPr>
          <w:rFonts w:ascii="Cambria" w:hAnsi="Cambria"/>
          <w:b w:val="0"/>
          <w:i w:val="0"/>
          <w:sz w:val="22"/>
        </w:rPr>
        <w:t>Implementation &amp; ATRs available – 5 Marks.</w:t>
      </w:r>
    </w:p>
    <w:p>
      <w:pPr>
        <w:pStyle w:val="ListBullet"/>
        <w:spacing w:after="80" w:line="276" w:lineRule="auto"/>
      </w:pPr>
      <w:r>
        <w:rPr>
          <w:rFonts w:ascii="Cambria" w:hAnsi="Cambria"/>
          <w:b w:val="0"/>
          <w:i w:val="0"/>
          <w:sz w:val="22"/>
        </w:rPr>
        <w:t>Demonstrated year-wise improvements – 5 Marks.</w:t>
      </w:r>
    </w:p>
    <w:p>
      <w:r>
        <w:br w:type="page"/>
      </w:r>
    </w:p>
    <w:p>
      <w:pPr>
        <w:pStyle w:val="Heading1"/>
      </w:pPr>
      <w:r>
        <w:rPr>
          <w:rFonts w:ascii="Cambria" w:hAnsi="Cambria"/>
          <w:b/>
          <w:color w:val="1F3A5F"/>
          <w:sz w:val="36"/>
        </w:rPr>
        <w:t>16. Minutes of Academic Audit Meetings with Recommendations</w:t>
      </w:r>
    </w:p>
    <w:p>
      <w:pPr>
        <w:pStyle w:val="Heading3"/>
      </w:pPr>
      <w:r>
        <w:rPr>
          <w:rFonts w:ascii="Cambria" w:hAnsi="Cambria"/>
          <w:b/>
          <w:color w:val="1F3A5F"/>
          <w:sz w:val="26"/>
        </w:rPr>
        <w:t>1. Purpose of Minutes of Academic Audit Meetings</w:t>
      </w:r>
    </w:p>
    <w:p>
      <w:pPr>
        <w:pStyle w:val="ListBullet"/>
        <w:spacing w:after="80" w:line="276" w:lineRule="auto"/>
      </w:pPr>
      <w:r>
        <w:rPr>
          <w:rFonts w:ascii="Cambria" w:hAnsi="Cambria"/>
          <w:b w:val="0"/>
          <w:i w:val="0"/>
          <w:sz w:val="22"/>
        </w:rPr>
        <w:t>To record discussion, findings, and decisions from academic audit reviews.</w:t>
      </w:r>
    </w:p>
    <w:p>
      <w:pPr>
        <w:pStyle w:val="ListBullet"/>
        <w:spacing w:after="80" w:line="276" w:lineRule="auto"/>
      </w:pPr>
      <w:r>
        <w:rPr>
          <w:rFonts w:ascii="Cambria" w:hAnsi="Cambria"/>
          <w:b w:val="0"/>
          <w:i w:val="0"/>
          <w:sz w:val="22"/>
        </w:rPr>
        <w:t>Provides evidence of transparency and stakeholder participation.</w:t>
      </w:r>
    </w:p>
    <w:p>
      <w:pPr>
        <w:pStyle w:val="ListBullet"/>
        <w:spacing w:after="80" w:line="276" w:lineRule="auto"/>
      </w:pPr>
      <w:r>
        <w:rPr>
          <w:rFonts w:ascii="Cambria" w:hAnsi="Cambria"/>
          <w:b w:val="0"/>
          <w:i w:val="0"/>
          <w:sz w:val="22"/>
        </w:rPr>
        <w:t>Demonstrates the closing-the-loop process of evaluation → recommendation → action → improvement.</w:t>
      </w:r>
    </w:p>
    <w:p>
      <w:pPr>
        <w:pStyle w:val="Heading3"/>
      </w:pPr>
      <w:r>
        <w:rPr>
          <w:rFonts w:ascii="Cambria" w:hAnsi="Cambria"/>
          <w:b/>
          <w:color w:val="1F3A5F"/>
          <w:sz w:val="26"/>
        </w:rPr>
        <w:t>2. Key Elements in Academic Audit Meeting Minutes</w:t>
      </w:r>
    </w:p>
    <w:p>
      <w:pPr>
        <w:pStyle w:val="ListNumber"/>
        <w:spacing w:after="80" w:line="276" w:lineRule="auto"/>
      </w:pPr>
      <w:r>
        <w:rPr>
          <w:rFonts w:ascii="Cambria" w:hAnsi="Cambria"/>
          <w:b/>
          <w:i w:val="0"/>
          <w:sz w:val="22"/>
        </w:rPr>
        <w:t>Meeting Details</w:t>
      </w:r>
    </w:p>
    <w:p>
      <w:pPr>
        <w:pStyle w:val="ListBullet2"/>
        <w:spacing w:after="80" w:line="276" w:lineRule="auto"/>
      </w:pPr>
      <w:r>
        <w:rPr>
          <w:rFonts w:ascii="Cambria" w:hAnsi="Cambria"/>
          <w:b w:val="0"/>
          <w:i w:val="0"/>
          <w:sz w:val="22"/>
        </w:rPr>
        <w:t>Date, Time, Venue</w:t>
      </w:r>
    </w:p>
    <w:p>
      <w:pPr>
        <w:pStyle w:val="ListBullet2"/>
        <w:spacing w:after="80" w:line="276" w:lineRule="auto"/>
      </w:pPr>
      <w:r>
        <w:rPr>
          <w:rFonts w:ascii="Cambria" w:hAnsi="Cambria"/>
          <w:b w:val="0"/>
          <w:i w:val="0"/>
          <w:sz w:val="22"/>
        </w:rPr>
        <w:t>Chairperson (HoD/Dean/IQAC Head)</w:t>
      </w:r>
    </w:p>
    <w:p>
      <w:pPr>
        <w:pStyle w:val="ListBullet2"/>
        <w:spacing w:after="80" w:line="276" w:lineRule="auto"/>
      </w:pPr>
      <w:r>
        <w:rPr>
          <w:rFonts w:ascii="Cambria" w:hAnsi="Cambria"/>
          <w:b w:val="0"/>
          <w:i w:val="0"/>
          <w:sz w:val="22"/>
        </w:rPr>
        <w:t>Members Present (Faculty, External Expert, Industry/Alumni reps, IQAC)</w:t>
      </w:r>
    </w:p>
    <w:p>
      <w:pPr>
        <w:pStyle w:val="ListNumber"/>
        <w:spacing w:after="80" w:line="276" w:lineRule="auto"/>
      </w:pPr>
      <w:r>
        <w:rPr>
          <w:rFonts w:ascii="Cambria" w:hAnsi="Cambria"/>
          <w:b/>
          <w:i w:val="0"/>
          <w:sz w:val="22"/>
        </w:rPr>
        <w:t>Agenda Items</w:t>
      </w:r>
    </w:p>
    <w:p>
      <w:pPr>
        <w:pStyle w:val="ListBullet2"/>
        <w:spacing w:after="80" w:line="276" w:lineRule="auto"/>
      </w:pPr>
      <w:r>
        <w:rPr>
          <w:rFonts w:ascii="Cambria" w:hAnsi="Cambria"/>
          <w:b w:val="0"/>
          <w:i w:val="0"/>
          <w:sz w:val="22"/>
        </w:rPr>
        <w:t>Review of CO attainment.</w:t>
      </w:r>
    </w:p>
    <w:p>
      <w:pPr>
        <w:pStyle w:val="ListBullet2"/>
        <w:spacing w:after="80" w:line="276" w:lineRule="auto"/>
      </w:pPr>
      <w:r>
        <w:rPr>
          <w:rFonts w:ascii="Cambria" w:hAnsi="Cambria"/>
          <w:b w:val="0"/>
          <w:i w:val="0"/>
          <w:sz w:val="22"/>
        </w:rPr>
        <w:t>Review of PO/PSO attainment.</w:t>
      </w:r>
    </w:p>
    <w:p>
      <w:pPr>
        <w:pStyle w:val="ListBullet2"/>
        <w:spacing w:after="80" w:line="276" w:lineRule="auto"/>
      </w:pPr>
      <w:r>
        <w:rPr>
          <w:rFonts w:ascii="Cambria" w:hAnsi="Cambria"/>
          <w:b w:val="0"/>
          <w:i w:val="0"/>
          <w:sz w:val="22"/>
        </w:rPr>
        <w:t>Audit of curriculum delivery, assessments, faculty, student support.</w:t>
      </w:r>
    </w:p>
    <w:p>
      <w:pPr>
        <w:pStyle w:val="ListNumber"/>
        <w:spacing w:after="80" w:line="276" w:lineRule="auto"/>
      </w:pPr>
      <w:r>
        <w:rPr>
          <w:rFonts w:ascii="Cambria" w:hAnsi="Cambria"/>
          <w:b/>
          <w:i w:val="0"/>
          <w:sz w:val="22"/>
        </w:rPr>
        <w:t>Discussions</w:t>
      </w:r>
    </w:p>
    <w:p>
      <w:pPr>
        <w:pStyle w:val="ListBullet2"/>
        <w:spacing w:after="80" w:line="276" w:lineRule="auto"/>
      </w:pPr>
      <w:r>
        <w:rPr>
          <w:rFonts w:ascii="Cambria" w:hAnsi="Cambria"/>
          <w:b w:val="0"/>
          <w:i w:val="0"/>
          <w:sz w:val="22"/>
        </w:rPr>
        <w:t>Strengths observed.</w:t>
      </w:r>
    </w:p>
    <w:p>
      <w:pPr>
        <w:pStyle w:val="ListBullet2"/>
        <w:spacing w:after="80" w:line="276" w:lineRule="auto"/>
      </w:pPr>
      <w:r>
        <w:rPr>
          <w:rFonts w:ascii="Cambria" w:hAnsi="Cambria"/>
          <w:b w:val="0"/>
          <w:i w:val="0"/>
          <w:sz w:val="22"/>
        </w:rPr>
        <w:t>Weaknesses/gaps identified.</w:t>
      </w:r>
    </w:p>
    <w:p>
      <w:pPr>
        <w:pStyle w:val="ListBullet2"/>
        <w:spacing w:after="80" w:line="276" w:lineRule="auto"/>
      </w:pPr>
      <w:r>
        <w:rPr>
          <w:rFonts w:ascii="Cambria" w:hAnsi="Cambria"/>
          <w:b w:val="0"/>
          <w:i w:val="0"/>
          <w:sz w:val="22"/>
        </w:rPr>
        <w:t>Suggestions from internal and external experts.</w:t>
      </w:r>
    </w:p>
    <w:p>
      <w:pPr>
        <w:pStyle w:val="ListNumber"/>
        <w:spacing w:after="80" w:line="276" w:lineRule="auto"/>
      </w:pPr>
      <w:r>
        <w:rPr>
          <w:rFonts w:ascii="Cambria" w:hAnsi="Cambria"/>
          <w:b/>
          <w:i w:val="0"/>
          <w:sz w:val="22"/>
        </w:rPr>
        <w:t>Recommendations</w:t>
      </w:r>
    </w:p>
    <w:p>
      <w:pPr>
        <w:pStyle w:val="ListBullet2"/>
        <w:spacing w:after="80" w:line="276" w:lineRule="auto"/>
      </w:pPr>
      <w:r>
        <w:rPr>
          <w:rFonts w:ascii="Cambria" w:hAnsi="Cambria"/>
          <w:b w:val="0"/>
          <w:i w:val="0"/>
          <w:sz w:val="22"/>
        </w:rPr>
        <w:t>Curriculum changes, remedial measures, FDPs, industry exposure, lab upgradation.</w:t>
      </w:r>
    </w:p>
    <w:p>
      <w:pPr>
        <w:pStyle w:val="ListNumber"/>
        <w:spacing w:after="80" w:line="276" w:lineRule="auto"/>
      </w:pPr>
      <w:r>
        <w:rPr>
          <w:rFonts w:ascii="Cambria" w:hAnsi="Cambria"/>
          <w:b/>
          <w:i w:val="0"/>
          <w:sz w:val="22"/>
        </w:rPr>
        <w:t>Action Plan &amp; Responsibility</w:t>
      </w:r>
    </w:p>
    <w:p>
      <w:pPr>
        <w:pStyle w:val="ListBullet2"/>
        <w:spacing w:after="80" w:line="276" w:lineRule="auto"/>
      </w:pPr>
      <w:r>
        <w:rPr>
          <w:rFonts w:ascii="Cambria" w:hAnsi="Cambria"/>
          <w:b w:val="0"/>
          <w:i w:val="0"/>
          <w:sz w:val="22"/>
        </w:rPr>
        <w:t>Specific actions with responsible unit/person and timeline.</w:t>
      </w:r>
    </w:p>
    <w:p>
      <w:pPr>
        <w:pStyle w:val="ListNumber"/>
        <w:spacing w:after="80" w:line="276" w:lineRule="auto"/>
      </w:pPr>
      <w:r>
        <w:rPr>
          <w:rFonts w:ascii="Cambria" w:hAnsi="Cambria"/>
          <w:b/>
          <w:i w:val="0"/>
          <w:sz w:val="22"/>
        </w:rPr>
        <w:t>Follow-up</w:t>
      </w:r>
    </w:p>
    <w:p>
      <w:pPr>
        <w:pStyle w:val="ListBullet2"/>
        <w:spacing w:after="80" w:line="276" w:lineRule="auto"/>
      </w:pPr>
      <w:r>
        <w:rPr>
          <w:rFonts w:ascii="Cambria" w:hAnsi="Cambria"/>
          <w:b w:val="0"/>
          <w:i w:val="0"/>
          <w:sz w:val="22"/>
        </w:rPr>
        <w:t>Decisions to be reviewed in next meeting.</w:t>
      </w:r>
    </w:p>
    <w:p>
      <w:pPr>
        <w:pStyle w:val="Heading3"/>
      </w:pPr>
      <w:r>
        <w:rPr>
          <w:rFonts w:ascii="Cambria" w:hAnsi="Cambria"/>
          <w:b/>
          <w:color w:val="1F3A5F"/>
          <w:sz w:val="26"/>
        </w:rPr>
        <w:t>3. Suggested Format for Minutes (Word/Excel Table)</w:t>
      </w:r>
    </w:p>
    <w:tbl>
      <w:tblPr>
        <w:tblStyle w:val="TableGrid"/>
        <w:tblW w:type="auto" w:w="0"/>
        <w:jc w:val="center"/>
        <w:tblLayout w:type="fixed"/>
        <w:tblLook w:firstColumn="1" w:firstRow="1" w:lastColumn="0" w:lastRow="0" w:noHBand="0" w:noVBand="1" w:val="04A0"/>
        <w:tblLayout w:type="fixed"/>
      </w:tblPr>
      <w:tblGrid>
        <w:gridCol w:w="2268"/>
        <w:gridCol w:w="7143"/>
      </w:tblGrid>
      <w:tr>
        <w:tc>
          <w:tcPr>
            <w:tcW w:type="dxa" w:w="2268"/>
            <w:shd w:val="clear" w:color="auto" w:fill="E8EDF7"/>
          </w:tcPr>
          <w:p>
            <w:pPr>
              <w:spacing w:after="40" w:line="240" w:lineRule="auto"/>
              <w:jc w:val="left"/>
            </w:pPr>
            <w:r/>
            <w:r>
              <w:rPr>
                <w:rFonts w:ascii="Cambria" w:hAnsi="Cambria"/>
                <w:b/>
                <w:sz w:val="19"/>
              </w:rPr>
              <w:t>Meeting Title</w:t>
            </w:r>
          </w:p>
        </w:tc>
        <w:tc>
          <w:tcPr>
            <w:tcW w:type="dxa" w:w="7143"/>
          </w:tcPr>
          <w:p>
            <w:pPr>
              <w:spacing w:after="40" w:line="240" w:lineRule="auto"/>
              <w:jc w:val="left"/>
            </w:pPr>
            <w:r/>
            <w:r>
              <w:rPr>
                <w:rFonts w:ascii="Cambria" w:hAnsi="Cambria"/>
                <w:b w:val="0"/>
                <w:sz w:val="19"/>
              </w:rPr>
              <w:t>Academic Audit Review Meeting</w:t>
            </w:r>
          </w:p>
        </w:tc>
      </w:tr>
      <w:tr>
        <w:tc>
          <w:tcPr>
            <w:tcW w:type="dxa" w:w="2268"/>
            <w:shd w:val="clear" w:color="auto" w:fill="E8EDF7"/>
          </w:tcPr>
          <w:p>
            <w:pPr>
              <w:spacing w:after="40" w:line="240" w:lineRule="auto"/>
              <w:jc w:val="left"/>
            </w:pPr>
            <w:r/>
            <w:r>
              <w:rPr>
                <w:rFonts w:ascii="Cambria" w:hAnsi="Cambria"/>
                <w:b/>
                <w:sz w:val="19"/>
              </w:rPr>
              <w:t>Date &amp; Time</w:t>
            </w:r>
          </w:p>
        </w:tc>
        <w:tc>
          <w:tcPr>
            <w:tcW w:type="dxa" w:w="7143"/>
          </w:tcPr>
          <w:p>
            <w:pPr>
              <w:spacing w:after="40" w:line="240" w:lineRule="auto"/>
              <w:jc w:val="left"/>
            </w:pPr>
            <w:r/>
            <w:r>
              <w:rPr>
                <w:rFonts w:ascii="Cambria" w:hAnsi="Cambria"/>
                <w:b w:val="0"/>
                <w:sz w:val="19"/>
              </w:rPr>
              <w:t>12th August 2024, 11:00 AM</w:t>
            </w:r>
          </w:p>
        </w:tc>
      </w:tr>
      <w:tr>
        <w:tc>
          <w:tcPr>
            <w:tcW w:type="dxa" w:w="2268"/>
            <w:shd w:val="clear" w:color="auto" w:fill="E8EDF7"/>
          </w:tcPr>
          <w:p>
            <w:pPr>
              <w:spacing w:after="40" w:line="240" w:lineRule="auto"/>
              <w:jc w:val="left"/>
            </w:pPr>
            <w:r/>
            <w:r>
              <w:rPr>
                <w:rFonts w:ascii="Cambria" w:hAnsi="Cambria"/>
                <w:b/>
                <w:sz w:val="19"/>
              </w:rPr>
              <w:t>Venue</w:t>
            </w:r>
          </w:p>
        </w:tc>
        <w:tc>
          <w:tcPr>
            <w:tcW w:type="dxa" w:w="7143"/>
          </w:tcPr>
          <w:p>
            <w:pPr>
              <w:spacing w:after="40" w:line="240" w:lineRule="auto"/>
              <w:jc w:val="left"/>
            </w:pPr>
            <w:r/>
            <w:r>
              <w:rPr>
                <w:rFonts w:ascii="Cambria" w:hAnsi="Cambria"/>
                <w:b w:val="0"/>
                <w:sz w:val="19"/>
              </w:rPr>
              <w:t>Conference Hall – Dept. of CSE</w:t>
            </w:r>
          </w:p>
        </w:tc>
      </w:tr>
      <w:tr>
        <w:tc>
          <w:tcPr>
            <w:tcW w:type="dxa" w:w="2268"/>
            <w:shd w:val="clear" w:color="auto" w:fill="E8EDF7"/>
          </w:tcPr>
          <w:p>
            <w:pPr>
              <w:spacing w:after="40" w:line="240" w:lineRule="auto"/>
              <w:jc w:val="left"/>
            </w:pPr>
            <w:r/>
            <w:r>
              <w:rPr>
                <w:rFonts w:ascii="Cambria" w:hAnsi="Cambria"/>
                <w:b/>
                <w:sz w:val="19"/>
              </w:rPr>
              <w:t>Chairperson</w:t>
            </w:r>
          </w:p>
        </w:tc>
        <w:tc>
          <w:tcPr>
            <w:tcW w:type="dxa" w:w="7143"/>
          </w:tcPr>
          <w:p>
            <w:pPr>
              <w:spacing w:after="40" w:line="240" w:lineRule="auto"/>
              <w:jc w:val="left"/>
            </w:pPr>
            <w:r/>
            <w:r>
              <w:rPr>
                <w:rFonts w:ascii="Cambria" w:hAnsi="Cambria"/>
                <w:b w:val="0"/>
                <w:sz w:val="19"/>
              </w:rPr>
              <w:t>Dr. A. Sharma (HoD)</w:t>
            </w:r>
          </w:p>
        </w:tc>
      </w:tr>
      <w:tr>
        <w:tc>
          <w:tcPr>
            <w:tcW w:type="dxa" w:w="2268"/>
            <w:shd w:val="clear" w:color="auto" w:fill="E8EDF7"/>
          </w:tcPr>
          <w:p>
            <w:pPr>
              <w:spacing w:after="40" w:line="240" w:lineRule="auto"/>
              <w:jc w:val="left"/>
            </w:pPr>
            <w:r/>
            <w:r>
              <w:rPr>
                <w:rFonts w:ascii="Cambria" w:hAnsi="Cambria"/>
                <w:b/>
                <w:sz w:val="19"/>
              </w:rPr>
              <w:t>Members Present</w:t>
            </w:r>
          </w:p>
        </w:tc>
        <w:tc>
          <w:tcPr>
            <w:tcW w:type="dxa" w:w="7143"/>
          </w:tcPr>
          <w:p>
            <w:pPr>
              <w:spacing w:after="40" w:line="240" w:lineRule="auto"/>
              <w:jc w:val="left"/>
            </w:pPr>
            <w:r/>
            <w:r>
              <w:rPr>
                <w:rFonts w:ascii="Cambria" w:hAnsi="Cambria"/>
                <w:b w:val="0"/>
                <w:sz w:val="19"/>
              </w:rPr>
              <w:t>IQAC Coordinator, 6 Faculty Members, 1 Industry Expert, 1 Alumni Rep</w:t>
            </w:r>
          </w:p>
        </w:tc>
      </w:tr>
      <w:tr>
        <w:tc>
          <w:tcPr>
            <w:tcW w:type="dxa" w:w="2268"/>
            <w:shd w:val="clear" w:color="auto" w:fill="E8EDF7"/>
          </w:tcPr>
          <w:p>
            <w:pPr>
              <w:spacing w:after="40" w:line="240" w:lineRule="auto"/>
              <w:jc w:val="left"/>
            </w:pPr>
            <w:r/>
            <w:r>
              <w:rPr>
                <w:rFonts w:ascii="Cambria" w:hAnsi="Cambria"/>
                <w:b/>
                <w:sz w:val="19"/>
              </w:rPr>
              <w:t>Agenda</w:t>
            </w:r>
          </w:p>
        </w:tc>
        <w:tc>
          <w:tcPr>
            <w:tcW w:type="dxa" w:w="7143"/>
          </w:tcPr>
          <w:p>
            <w:pPr>
              <w:spacing w:after="40" w:line="240" w:lineRule="auto"/>
              <w:jc w:val="left"/>
            </w:pPr>
            <w:r/>
            <w:r>
              <w:rPr>
                <w:rFonts w:ascii="Cambria" w:hAnsi="Cambria"/>
                <w:b w:val="0"/>
                <w:sz w:val="19"/>
              </w:rPr>
              <w:t>1. Review of CO Attainment</w:t>
              <w:br/>
              <w:t>2. Audit of Assessment Methods</w:t>
              <w:br/>
              <w:t>3. PO/PSO Attainment Review</w:t>
              <w:br/>
              <w:t>4. Student Support &amp; FDP Audit</w:t>
            </w:r>
          </w:p>
        </w:tc>
      </w:tr>
    </w:tbl>
    <w:p>
      <w:pPr>
        <w:spacing w:after="40"/>
      </w:pPr>
    </w:p>
    <w:p>
      <w:pPr>
        <w:spacing w:after="80" w:line="276" w:lineRule="auto"/>
      </w:pPr>
      <w:r>
        <w:rPr>
          <w:rFonts w:ascii="Cambria" w:hAnsi="Cambria"/>
          <w:b/>
          <w:i/>
          <w:sz w:val="22"/>
        </w:rPr>
        <w:t>Discussions &amp; Findings</w:t>
      </w:r>
    </w:p>
    <w:p>
      <w:pPr>
        <w:pStyle w:val="ListBullet"/>
        <w:spacing w:after="80" w:line="276" w:lineRule="auto"/>
      </w:pPr>
      <w:r>
        <w:rPr>
          <w:rFonts w:ascii="Cambria" w:hAnsi="Cambria"/>
          <w:b w:val="0"/>
          <w:i w:val="0"/>
          <w:sz w:val="22"/>
        </w:rPr>
        <w:t>Course Delivery: Syllabus coverage satisfactory, but low attainment in CO2 (Data Structures).</w:t>
      </w:r>
    </w:p>
    <w:p>
      <w:pPr>
        <w:pStyle w:val="ListBullet"/>
        <w:spacing w:after="80" w:line="276" w:lineRule="auto"/>
      </w:pPr>
      <w:r>
        <w:rPr>
          <w:rFonts w:ascii="Cambria" w:hAnsi="Cambria"/>
          <w:b w:val="0"/>
          <w:i w:val="0"/>
          <w:sz w:val="22"/>
        </w:rPr>
        <w:t>Assessment: Question papers had limited Bloom’s higher-order questions.</w:t>
      </w:r>
    </w:p>
    <w:p>
      <w:pPr>
        <w:pStyle w:val="ListBullet"/>
        <w:spacing w:after="80" w:line="276" w:lineRule="auto"/>
      </w:pPr>
      <w:r>
        <w:rPr>
          <w:rFonts w:ascii="Cambria" w:hAnsi="Cambria"/>
          <w:b w:val="0"/>
          <w:i w:val="0"/>
          <w:sz w:val="22"/>
        </w:rPr>
        <w:t>PO/PSO: PO4 and PSO1 showed gaps compared to targets.</w:t>
      </w:r>
    </w:p>
    <w:p>
      <w:pPr>
        <w:pStyle w:val="ListBullet"/>
        <w:spacing w:after="80" w:line="276" w:lineRule="auto"/>
      </w:pPr>
      <w:r>
        <w:rPr>
          <w:rFonts w:ascii="Cambria" w:hAnsi="Cambria"/>
          <w:b w:val="0"/>
          <w:i w:val="0"/>
          <w:sz w:val="22"/>
        </w:rPr>
        <w:t>Faculty Development: Need for ICT-enabled teaching workshops.</w:t>
      </w:r>
    </w:p>
    <w:p>
      <w:pPr>
        <w:spacing w:after="80" w:line="276" w:lineRule="auto"/>
      </w:pPr>
      <w:r>
        <w:rPr>
          <w:rFonts w:ascii="Cambria" w:hAnsi="Cambria"/>
          <w:b/>
          <w:i/>
          <w:sz w:val="22"/>
        </w:rPr>
        <w:t>Recommendations</w:t>
      </w:r>
    </w:p>
    <w:p>
      <w:pPr>
        <w:pStyle w:val="ListBullet"/>
        <w:spacing w:after="80" w:line="276" w:lineRule="auto"/>
      </w:pPr>
      <w:r>
        <w:rPr>
          <w:rFonts w:ascii="Cambria" w:hAnsi="Cambria"/>
          <w:b w:val="0"/>
          <w:i w:val="0"/>
          <w:sz w:val="22"/>
        </w:rPr>
        <w:t>Introduce weekly coding practice labs for CO2.</w:t>
      </w:r>
    </w:p>
    <w:p>
      <w:pPr>
        <w:pStyle w:val="ListBullet"/>
        <w:spacing w:after="80" w:line="276" w:lineRule="auto"/>
      </w:pPr>
      <w:r>
        <w:rPr>
          <w:rFonts w:ascii="Cambria" w:hAnsi="Cambria"/>
          <w:b w:val="0"/>
          <w:i w:val="0"/>
          <w:sz w:val="22"/>
        </w:rPr>
        <w:t>Train faculty in Bloom’s Taxonomy-based question paper design.</w:t>
      </w:r>
    </w:p>
    <w:p>
      <w:pPr>
        <w:pStyle w:val="ListBullet"/>
        <w:spacing w:after="80" w:line="276" w:lineRule="auto"/>
      </w:pPr>
      <w:r>
        <w:rPr>
          <w:rFonts w:ascii="Cambria" w:hAnsi="Cambria"/>
          <w:b w:val="0"/>
          <w:i w:val="0"/>
          <w:sz w:val="22"/>
        </w:rPr>
        <w:t>Upgrade labs with simulation software for PSO1.</w:t>
      </w:r>
    </w:p>
    <w:p>
      <w:pPr>
        <w:pStyle w:val="ListBullet"/>
        <w:spacing w:after="80" w:line="276" w:lineRule="auto"/>
      </w:pPr>
      <w:r>
        <w:rPr>
          <w:rFonts w:ascii="Cambria" w:hAnsi="Cambria"/>
          <w:b w:val="0"/>
          <w:i w:val="0"/>
          <w:sz w:val="22"/>
        </w:rPr>
        <w:t>Conduct FDP on ICT-based pedagogy.</w:t>
      </w:r>
    </w:p>
    <w:p>
      <w:pPr>
        <w:spacing w:after="120" w:line="276" w:lineRule="auto"/>
      </w:pPr>
      <w:r>
        <w:rPr>
          <w:rFonts w:ascii="Cambria" w:hAnsi="Cambria"/>
          <w:b/>
          <w:i/>
          <w:sz w:val="22"/>
        </w:rPr>
        <w:t>Action Plan</w:t>
      </w:r>
    </w:p>
    <w:tbl>
      <w:tblPr>
        <w:tblStyle w:val="TableGrid"/>
        <w:tblW w:type="auto" w:w="0"/>
        <w:jc w:val="center"/>
        <w:tblLayout w:type="fixed"/>
        <w:tblLook w:firstColumn="1" w:firstRow="1" w:lastColumn="0" w:lastRow="0" w:noHBand="0" w:noVBand="1" w:val="04A0"/>
        <w:tblLayout w:type="fixed"/>
      </w:tblPr>
      <w:tblGrid>
        <w:gridCol w:w="3175"/>
        <w:gridCol w:w="2608"/>
        <w:gridCol w:w="1587"/>
        <w:gridCol w:w="2041"/>
      </w:tblGrid>
      <w:tr>
        <w:tc>
          <w:tcPr>
            <w:tcW w:type="dxa" w:w="3175"/>
            <w:shd w:val="clear" w:color="auto" w:fill="1F3A5F"/>
          </w:tcPr>
          <w:p>
            <w:pPr>
              <w:spacing w:after="40" w:line="240" w:lineRule="auto"/>
              <w:jc w:val="center"/>
            </w:pPr>
            <w:r/>
            <w:r>
              <w:rPr>
                <w:rFonts w:ascii="Cambria" w:hAnsi="Cambria"/>
                <w:b/>
                <w:color w:val="FFFFFF"/>
                <w:sz w:val="19"/>
              </w:rPr>
              <w:t>Recommendation</w:t>
            </w:r>
          </w:p>
        </w:tc>
        <w:tc>
          <w:tcPr>
            <w:tcW w:type="dxa" w:w="2608"/>
            <w:shd w:val="clear" w:color="auto" w:fill="1F3A5F"/>
          </w:tcPr>
          <w:p>
            <w:pPr>
              <w:spacing w:after="40" w:line="240" w:lineRule="auto"/>
              <w:jc w:val="center"/>
            </w:pPr>
            <w:r/>
            <w:r>
              <w:rPr>
                <w:rFonts w:ascii="Cambria" w:hAnsi="Cambria"/>
                <w:b/>
                <w:color w:val="FFFFFF"/>
                <w:sz w:val="19"/>
              </w:rPr>
              <w:t>Responsible Person/Unit</w:t>
            </w:r>
          </w:p>
        </w:tc>
        <w:tc>
          <w:tcPr>
            <w:tcW w:type="dxa" w:w="1587"/>
            <w:shd w:val="clear" w:color="auto" w:fill="1F3A5F"/>
          </w:tcPr>
          <w:p>
            <w:pPr>
              <w:spacing w:after="40" w:line="240" w:lineRule="auto"/>
              <w:jc w:val="center"/>
            </w:pPr>
            <w:r/>
            <w:r>
              <w:rPr>
                <w:rFonts w:ascii="Cambria" w:hAnsi="Cambria"/>
                <w:b/>
                <w:color w:val="FFFFFF"/>
                <w:sz w:val="19"/>
              </w:rPr>
              <w:t>Timeline</w:t>
            </w:r>
          </w:p>
        </w:tc>
        <w:tc>
          <w:tcPr>
            <w:tcW w:type="dxa" w:w="2041"/>
            <w:shd w:val="clear" w:color="auto" w:fill="1F3A5F"/>
          </w:tcPr>
          <w:p>
            <w:pPr>
              <w:spacing w:after="40" w:line="240" w:lineRule="auto"/>
              <w:jc w:val="center"/>
            </w:pPr>
            <w:r/>
            <w:r>
              <w:rPr>
                <w:rFonts w:ascii="Cambria" w:hAnsi="Cambria"/>
                <w:b/>
                <w:color w:val="FFFFFF"/>
                <w:sz w:val="19"/>
              </w:rPr>
              <w:t>Evidence</w:t>
            </w:r>
          </w:p>
        </w:tc>
      </w:tr>
      <w:tr>
        <w:tc>
          <w:tcPr>
            <w:tcW w:type="dxa" w:w="3175"/>
          </w:tcPr>
          <w:p>
            <w:pPr>
              <w:spacing w:after="40" w:line="240" w:lineRule="auto"/>
              <w:jc w:val="left"/>
            </w:pPr>
            <w:r/>
            <w:r>
              <w:rPr>
                <w:rFonts w:ascii="Cambria" w:hAnsi="Cambria"/>
                <w:b w:val="0"/>
                <w:sz w:val="18"/>
              </w:rPr>
              <w:t>Weekly coding practice labs</w:t>
            </w:r>
          </w:p>
        </w:tc>
        <w:tc>
          <w:tcPr>
            <w:tcW w:type="dxa" w:w="2608"/>
          </w:tcPr>
          <w:p>
            <w:pPr>
              <w:spacing w:after="40" w:line="240" w:lineRule="auto"/>
              <w:jc w:val="left"/>
            </w:pPr>
            <w:r/>
            <w:r>
              <w:rPr>
                <w:rFonts w:ascii="Cambria" w:hAnsi="Cambria"/>
                <w:b w:val="0"/>
                <w:sz w:val="18"/>
              </w:rPr>
              <w:t>Course Coordinator</w:t>
            </w:r>
          </w:p>
        </w:tc>
        <w:tc>
          <w:tcPr>
            <w:tcW w:type="dxa" w:w="1587"/>
          </w:tcPr>
          <w:p>
            <w:pPr>
              <w:spacing w:after="40" w:line="240" w:lineRule="auto"/>
              <w:jc w:val="left"/>
            </w:pPr>
            <w:r/>
            <w:r>
              <w:rPr>
                <w:rFonts w:ascii="Cambria" w:hAnsi="Cambria"/>
                <w:b w:val="0"/>
                <w:sz w:val="18"/>
              </w:rPr>
              <w:t>From Sept 2024</w:t>
            </w:r>
          </w:p>
        </w:tc>
        <w:tc>
          <w:tcPr>
            <w:tcW w:type="dxa" w:w="2041"/>
          </w:tcPr>
          <w:p>
            <w:pPr>
              <w:spacing w:after="40" w:line="240" w:lineRule="auto"/>
              <w:jc w:val="left"/>
            </w:pPr>
            <w:r/>
            <w:r>
              <w:rPr>
                <w:rFonts w:ascii="Cambria" w:hAnsi="Cambria"/>
                <w:b w:val="0"/>
                <w:sz w:val="18"/>
              </w:rPr>
              <w:t>Lab Attendance Records</w:t>
            </w:r>
          </w:p>
        </w:tc>
      </w:tr>
      <w:tr>
        <w:tc>
          <w:tcPr>
            <w:tcW w:type="dxa" w:w="3175"/>
            <w:shd w:val="clear" w:color="auto" w:fill="F2F2F2"/>
          </w:tcPr>
          <w:p>
            <w:pPr>
              <w:spacing w:after="40" w:line="240" w:lineRule="auto"/>
              <w:jc w:val="left"/>
            </w:pPr>
            <w:r/>
            <w:r>
              <w:rPr>
                <w:rFonts w:ascii="Cambria" w:hAnsi="Cambria"/>
                <w:b w:val="0"/>
                <w:sz w:val="18"/>
              </w:rPr>
              <w:t>FDP on question paper setting</w:t>
            </w:r>
          </w:p>
        </w:tc>
        <w:tc>
          <w:tcPr>
            <w:tcW w:type="dxa" w:w="2608"/>
            <w:shd w:val="clear" w:color="auto" w:fill="F2F2F2"/>
          </w:tcPr>
          <w:p>
            <w:pPr>
              <w:spacing w:after="40" w:line="240" w:lineRule="auto"/>
              <w:jc w:val="left"/>
            </w:pPr>
            <w:r/>
            <w:r>
              <w:rPr>
                <w:rFonts w:ascii="Cambria" w:hAnsi="Cambria"/>
                <w:b w:val="0"/>
                <w:sz w:val="18"/>
              </w:rPr>
              <w:t>IQAC &amp; Faculty Dev. Cell</w:t>
            </w:r>
          </w:p>
        </w:tc>
        <w:tc>
          <w:tcPr>
            <w:tcW w:type="dxa" w:w="1587"/>
            <w:shd w:val="clear" w:color="auto" w:fill="F2F2F2"/>
          </w:tcPr>
          <w:p>
            <w:pPr>
              <w:spacing w:after="40" w:line="240" w:lineRule="auto"/>
              <w:jc w:val="left"/>
            </w:pPr>
            <w:r/>
            <w:r>
              <w:rPr>
                <w:rFonts w:ascii="Cambria" w:hAnsi="Cambria"/>
                <w:b w:val="0"/>
                <w:sz w:val="18"/>
              </w:rPr>
              <w:t>Oct 2024</w:t>
            </w:r>
          </w:p>
        </w:tc>
        <w:tc>
          <w:tcPr>
            <w:tcW w:type="dxa" w:w="2041"/>
            <w:shd w:val="clear" w:color="auto" w:fill="F2F2F2"/>
          </w:tcPr>
          <w:p>
            <w:pPr>
              <w:spacing w:after="40" w:line="240" w:lineRule="auto"/>
              <w:jc w:val="left"/>
            </w:pPr>
            <w:r/>
            <w:r>
              <w:rPr>
                <w:rFonts w:ascii="Cambria" w:hAnsi="Cambria"/>
                <w:b w:val="0"/>
                <w:sz w:val="18"/>
              </w:rPr>
              <w:t>FDP Circulars &amp; Certificates</w:t>
            </w:r>
          </w:p>
        </w:tc>
      </w:tr>
      <w:tr>
        <w:tc>
          <w:tcPr>
            <w:tcW w:type="dxa" w:w="3175"/>
          </w:tcPr>
          <w:p>
            <w:pPr>
              <w:spacing w:after="40" w:line="240" w:lineRule="auto"/>
              <w:jc w:val="left"/>
            </w:pPr>
            <w:r/>
            <w:r>
              <w:rPr>
                <w:rFonts w:ascii="Cambria" w:hAnsi="Cambria"/>
                <w:b w:val="0"/>
                <w:sz w:val="18"/>
              </w:rPr>
              <w:t>Simulation lab upgradation</w:t>
            </w:r>
          </w:p>
        </w:tc>
        <w:tc>
          <w:tcPr>
            <w:tcW w:type="dxa" w:w="2608"/>
          </w:tcPr>
          <w:p>
            <w:pPr>
              <w:spacing w:after="40" w:line="240" w:lineRule="auto"/>
              <w:jc w:val="left"/>
            </w:pPr>
            <w:r/>
            <w:r>
              <w:rPr>
                <w:rFonts w:ascii="Cambria" w:hAnsi="Cambria"/>
                <w:b w:val="0"/>
                <w:sz w:val="18"/>
              </w:rPr>
              <w:t>Lab Incharge</w:t>
            </w:r>
          </w:p>
        </w:tc>
        <w:tc>
          <w:tcPr>
            <w:tcW w:type="dxa" w:w="1587"/>
          </w:tcPr>
          <w:p>
            <w:pPr>
              <w:spacing w:after="40" w:line="240" w:lineRule="auto"/>
              <w:jc w:val="left"/>
            </w:pPr>
            <w:r/>
            <w:r>
              <w:rPr>
                <w:rFonts w:ascii="Cambria" w:hAnsi="Cambria"/>
                <w:b w:val="0"/>
                <w:sz w:val="18"/>
              </w:rPr>
              <w:t>Dec 2024</w:t>
            </w:r>
          </w:p>
        </w:tc>
        <w:tc>
          <w:tcPr>
            <w:tcW w:type="dxa" w:w="2041"/>
          </w:tcPr>
          <w:p>
            <w:pPr>
              <w:spacing w:after="40" w:line="240" w:lineRule="auto"/>
              <w:jc w:val="left"/>
            </w:pPr>
            <w:r/>
            <w:r>
              <w:rPr>
                <w:rFonts w:ascii="Cambria" w:hAnsi="Cambria"/>
                <w:b w:val="0"/>
                <w:sz w:val="18"/>
              </w:rPr>
              <w:t>AMC Invoices, Lab Manuals</w:t>
            </w:r>
          </w:p>
        </w:tc>
      </w:tr>
    </w:tbl>
    <w:p>
      <w:pPr>
        <w:spacing w:after="40"/>
      </w:pPr>
    </w:p>
    <w:p>
      <w:pPr>
        <w:pStyle w:val="Heading3"/>
      </w:pPr>
      <w:r>
        <w:rPr>
          <w:rFonts w:ascii="Cambria" w:hAnsi="Cambria"/>
          <w:b/>
          <w:color w:val="1F3A5F"/>
          <w:sz w:val="26"/>
        </w:rPr>
        <w:t>4. Documentation for NBA</w:t>
      </w:r>
    </w:p>
    <w:p>
      <w:pPr>
        <w:pStyle w:val="ListBullet"/>
        <w:spacing w:after="80" w:line="276" w:lineRule="auto"/>
      </w:pPr>
      <w:r>
        <w:rPr>
          <w:rFonts w:ascii="Cambria" w:hAnsi="Cambria"/>
          <w:b w:val="0"/>
          <w:i w:val="0"/>
          <w:sz w:val="22"/>
        </w:rPr>
        <w:t>Signed Minutes of Meetings (MoM).</w:t>
      </w:r>
    </w:p>
    <w:p>
      <w:pPr>
        <w:pStyle w:val="ListBullet"/>
        <w:spacing w:after="80" w:line="276" w:lineRule="auto"/>
      </w:pPr>
      <w:r>
        <w:rPr>
          <w:rFonts w:ascii="Cambria" w:hAnsi="Cambria"/>
          <w:b w:val="0"/>
          <w:i w:val="0"/>
          <w:sz w:val="22"/>
        </w:rPr>
        <w:t>Action Taken Reports (ATR) linked to each recommendation.</w:t>
      </w:r>
    </w:p>
    <w:p>
      <w:pPr>
        <w:pStyle w:val="ListBullet"/>
        <w:spacing w:after="80" w:line="276" w:lineRule="auto"/>
      </w:pPr>
      <w:r>
        <w:rPr>
          <w:rFonts w:ascii="Cambria" w:hAnsi="Cambria"/>
          <w:b w:val="0"/>
          <w:i w:val="0"/>
          <w:sz w:val="22"/>
        </w:rPr>
        <w:t>Supporting evidence (circulars, timetables, invoices, FDP reports).</w:t>
      </w:r>
    </w:p>
    <w:p>
      <w:pPr>
        <w:pStyle w:val="ListBullet"/>
        <w:spacing w:after="80" w:line="276" w:lineRule="auto"/>
      </w:pPr>
      <w:r>
        <w:rPr>
          <w:rFonts w:ascii="Cambria" w:hAnsi="Cambria"/>
          <w:b w:val="0"/>
          <w:i w:val="0"/>
          <w:sz w:val="22"/>
        </w:rPr>
        <w:t>Year-wise MoM archive (CAY, CAYm1, CAYm2).</w:t>
      </w:r>
    </w:p>
    <w:p>
      <w:r>
        <w:br w:type="page"/>
      </w:r>
    </w:p>
    <w:p>
      <w:pPr>
        <w:pStyle w:val="Heading1"/>
      </w:pPr>
      <w:r>
        <w:rPr>
          <w:rFonts w:ascii="Cambria" w:hAnsi="Cambria"/>
          <w:b/>
          <w:color w:val="1F3A5F"/>
          <w:sz w:val="36"/>
        </w:rPr>
        <w:t>17. Action Taken Reports (ATR) on Audit Findings</w:t>
      </w:r>
    </w:p>
    <w:p>
      <w:pPr>
        <w:pStyle w:val="Heading3"/>
      </w:pPr>
      <w:r>
        <w:rPr>
          <w:rFonts w:ascii="Cambria" w:hAnsi="Cambria"/>
          <w:b/>
          <w:color w:val="1F3A5F"/>
          <w:sz w:val="26"/>
        </w:rPr>
        <w:t>1. Purpose of ATR on Audit Findings</w:t>
      </w:r>
    </w:p>
    <w:p>
      <w:pPr>
        <w:pStyle w:val="ListBullet"/>
        <w:spacing w:after="80" w:line="276" w:lineRule="auto"/>
      </w:pPr>
      <w:r>
        <w:rPr>
          <w:rFonts w:ascii="Cambria" w:hAnsi="Cambria"/>
          <w:b w:val="0"/>
          <w:i w:val="0"/>
          <w:sz w:val="22"/>
        </w:rPr>
        <w:t>To document corrective measures taken in response to academic audit observations.</w:t>
      </w:r>
    </w:p>
    <w:p>
      <w:pPr>
        <w:pStyle w:val="ListBullet"/>
        <w:spacing w:after="80" w:line="276" w:lineRule="auto"/>
      </w:pPr>
      <w:r>
        <w:rPr>
          <w:rFonts w:ascii="Cambria" w:hAnsi="Cambria"/>
          <w:b w:val="0"/>
          <w:i w:val="0"/>
          <w:sz w:val="22"/>
        </w:rPr>
        <w:t>Demonstrates the institution’s commitment to continuous improvement.</w:t>
      </w:r>
    </w:p>
    <w:p>
      <w:pPr>
        <w:pStyle w:val="ListBullet"/>
        <w:spacing w:after="80" w:line="276" w:lineRule="auto"/>
      </w:pPr>
      <w:r>
        <w:rPr>
          <w:rFonts w:ascii="Cambria" w:hAnsi="Cambria"/>
          <w:b w:val="0"/>
          <w:i w:val="0"/>
          <w:sz w:val="22"/>
        </w:rPr>
        <w:t>Provides NBA with evidence that audits are not only conducted, but acted upon.</w:t>
      </w:r>
    </w:p>
    <w:p>
      <w:pPr>
        <w:pStyle w:val="Heading3"/>
      </w:pPr>
      <w:r>
        <w:rPr>
          <w:rFonts w:ascii="Cambria" w:hAnsi="Cambria"/>
          <w:b/>
          <w:color w:val="1F3A5F"/>
          <w:sz w:val="26"/>
        </w:rPr>
        <w:t>2. Components of ATR</w:t>
      </w:r>
    </w:p>
    <w:p>
      <w:pPr>
        <w:spacing w:after="80" w:line="276" w:lineRule="auto"/>
      </w:pPr>
      <w:r>
        <w:rPr>
          <w:rFonts w:ascii="Cambria" w:hAnsi="Cambria"/>
          <w:b w:val="0"/>
          <w:i w:val="0"/>
          <w:sz w:val="22"/>
        </w:rPr>
        <w:t>Each ATR should clearly capture:</w:t>
      </w:r>
    </w:p>
    <w:p>
      <w:pPr>
        <w:pStyle w:val="ListNumber"/>
        <w:spacing w:after="80" w:line="276" w:lineRule="auto"/>
      </w:pPr>
      <w:r>
        <w:rPr>
          <w:rFonts w:ascii="Cambria" w:hAnsi="Cambria"/>
          <w:b/>
          <w:i w:val="0"/>
          <w:sz w:val="22"/>
        </w:rPr>
        <w:t xml:space="preserve">Audit Finding (Gap/Weakness) – </w:t>
      </w:r>
      <w:r>
        <w:rPr>
          <w:rFonts w:ascii="Cambria" w:hAnsi="Cambria"/>
          <w:b w:val="0"/>
          <w:i w:val="0"/>
          <w:sz w:val="22"/>
        </w:rPr>
        <w:t>as identified during the audit.</w:t>
      </w:r>
    </w:p>
    <w:p>
      <w:pPr>
        <w:pStyle w:val="ListNumber"/>
        <w:spacing w:after="80" w:line="276" w:lineRule="auto"/>
      </w:pPr>
      <w:r>
        <w:rPr>
          <w:rFonts w:ascii="Cambria" w:hAnsi="Cambria"/>
          <w:b/>
          <w:i w:val="0"/>
          <w:sz w:val="22"/>
        </w:rPr>
        <w:t xml:space="preserve">Recommendation – </w:t>
      </w:r>
      <w:r>
        <w:rPr>
          <w:rFonts w:ascii="Cambria" w:hAnsi="Cambria"/>
          <w:b w:val="0"/>
          <w:i w:val="0"/>
          <w:sz w:val="22"/>
        </w:rPr>
        <w:t>suggested corrective measure.</w:t>
      </w:r>
    </w:p>
    <w:p>
      <w:pPr>
        <w:pStyle w:val="ListNumber"/>
        <w:spacing w:after="80" w:line="276" w:lineRule="auto"/>
      </w:pPr>
      <w:r>
        <w:rPr>
          <w:rFonts w:ascii="Cambria" w:hAnsi="Cambria"/>
          <w:b/>
          <w:i w:val="0"/>
          <w:sz w:val="22"/>
        </w:rPr>
        <w:t xml:space="preserve">Action Taken – </w:t>
      </w:r>
      <w:r>
        <w:rPr>
          <w:rFonts w:ascii="Cambria" w:hAnsi="Cambria"/>
          <w:b w:val="0"/>
          <w:i w:val="0"/>
          <w:sz w:val="22"/>
        </w:rPr>
        <w:t>what was actually implemented.</w:t>
      </w:r>
    </w:p>
    <w:p>
      <w:pPr>
        <w:pStyle w:val="ListNumber"/>
        <w:spacing w:after="80" w:line="276" w:lineRule="auto"/>
      </w:pPr>
      <w:r>
        <w:rPr>
          <w:rFonts w:ascii="Cambria" w:hAnsi="Cambria"/>
          <w:b/>
          <w:i w:val="0"/>
          <w:sz w:val="22"/>
        </w:rPr>
        <w:t xml:space="preserve">Responsible Person/Unit – </w:t>
      </w:r>
      <w:r>
        <w:rPr>
          <w:rFonts w:ascii="Cambria" w:hAnsi="Cambria"/>
          <w:b w:val="0"/>
          <w:i w:val="0"/>
          <w:sz w:val="22"/>
        </w:rPr>
        <w:t>faculty, HoD, IQAC, Lab incharge, Academic Council.</w:t>
      </w:r>
    </w:p>
    <w:p>
      <w:pPr>
        <w:pStyle w:val="ListNumber"/>
        <w:spacing w:after="80" w:line="276" w:lineRule="auto"/>
      </w:pPr>
      <w:r>
        <w:rPr>
          <w:rFonts w:ascii="Cambria" w:hAnsi="Cambria"/>
          <w:b/>
          <w:i w:val="0"/>
          <w:sz w:val="22"/>
        </w:rPr>
        <w:t xml:space="preserve">Evidence – </w:t>
      </w:r>
      <w:r>
        <w:rPr>
          <w:rFonts w:ascii="Cambria" w:hAnsi="Cambria"/>
          <w:b w:val="0"/>
          <w:i w:val="0"/>
          <w:sz w:val="22"/>
        </w:rPr>
        <w:t>links to documents (attendance sheets, circulars, reports).</w:t>
      </w:r>
    </w:p>
    <w:p>
      <w:pPr>
        <w:pStyle w:val="ListNumber"/>
        <w:spacing w:after="80" w:line="276" w:lineRule="auto"/>
      </w:pPr>
      <w:r>
        <w:rPr>
          <w:rFonts w:ascii="Cambria" w:hAnsi="Cambria"/>
          <w:b/>
          <w:i w:val="0"/>
          <w:sz w:val="22"/>
        </w:rPr>
        <w:t xml:space="preserve">Impact – </w:t>
      </w:r>
      <w:r>
        <w:rPr>
          <w:rFonts w:ascii="Cambria" w:hAnsi="Cambria"/>
          <w:b w:val="0"/>
          <w:i w:val="0"/>
          <w:sz w:val="22"/>
        </w:rPr>
        <w:t>measurable improvement in CO/PO/PSO attainment or academic process.</w:t>
      </w:r>
    </w:p>
    <w:p>
      <w:pPr>
        <w:pStyle w:val="Heading3"/>
      </w:pPr>
      <w:r>
        <w:rPr>
          <w:rFonts w:ascii="Cambria" w:hAnsi="Cambria"/>
          <w:b/>
          <w:color w:val="1F3A5F"/>
          <w:sz w:val="26"/>
        </w:rPr>
        <w:t>3. Suggested Format for ATR (Excel/Word Table)</w:t>
      </w:r>
    </w:p>
    <w:tbl>
      <w:tblPr>
        <w:tblStyle w:val="TableGrid"/>
        <w:tblW w:type="auto" w:w="0"/>
        <w:jc w:val="center"/>
        <w:tblLayout w:type="fixed"/>
        <w:tblLook w:firstColumn="1" w:firstRow="1" w:lastColumn="0" w:lastRow="0" w:noHBand="0" w:noVBand="1" w:val="04A0"/>
        <w:tblLayout w:type="fixed"/>
      </w:tblPr>
      <w:tblGrid>
        <w:gridCol w:w="907"/>
        <w:gridCol w:w="1474"/>
        <w:gridCol w:w="1191"/>
        <w:gridCol w:w="1417"/>
        <w:gridCol w:w="1020"/>
        <w:gridCol w:w="1247"/>
        <w:gridCol w:w="1701"/>
      </w:tblGrid>
      <w:tr>
        <w:tc>
          <w:tcPr>
            <w:tcW w:type="dxa" w:w="907"/>
            <w:shd w:val="clear" w:color="auto" w:fill="1F3A5F"/>
          </w:tcPr>
          <w:p>
            <w:pPr>
              <w:spacing w:after="40" w:line="240" w:lineRule="auto"/>
              <w:jc w:val="center"/>
            </w:pPr>
            <w:r/>
            <w:r>
              <w:rPr>
                <w:rFonts w:ascii="Cambria" w:hAnsi="Cambria"/>
                <w:b/>
                <w:color w:val="FFFFFF"/>
                <w:sz w:val="17"/>
              </w:rPr>
              <w:t>Academic</w:t>
              <w:br/>
              <w:t>Year</w:t>
            </w:r>
          </w:p>
        </w:tc>
        <w:tc>
          <w:tcPr>
            <w:tcW w:type="dxa" w:w="1474"/>
            <w:shd w:val="clear" w:color="auto" w:fill="1F3A5F"/>
          </w:tcPr>
          <w:p>
            <w:pPr>
              <w:spacing w:after="40" w:line="240" w:lineRule="auto"/>
              <w:jc w:val="center"/>
            </w:pPr>
            <w:r/>
            <w:r>
              <w:rPr>
                <w:rFonts w:ascii="Cambria" w:hAnsi="Cambria"/>
                <w:b/>
                <w:color w:val="FFFFFF"/>
                <w:sz w:val="17"/>
              </w:rPr>
              <w:t>Audit</w:t>
              <w:br/>
              <w:t>Finding</w:t>
            </w:r>
          </w:p>
        </w:tc>
        <w:tc>
          <w:tcPr>
            <w:tcW w:type="dxa" w:w="1191"/>
            <w:shd w:val="clear" w:color="auto" w:fill="1F3A5F"/>
          </w:tcPr>
          <w:p>
            <w:pPr>
              <w:spacing w:after="40" w:line="240" w:lineRule="auto"/>
              <w:jc w:val="center"/>
            </w:pPr>
            <w:r/>
            <w:r>
              <w:rPr>
                <w:rFonts w:ascii="Cambria" w:hAnsi="Cambria"/>
                <w:b/>
                <w:color w:val="FFFFFF"/>
                <w:sz w:val="17"/>
              </w:rPr>
              <w:t>Recommend-</w:t>
              <w:br/>
              <w:t>ation</w:t>
            </w:r>
          </w:p>
        </w:tc>
        <w:tc>
          <w:tcPr>
            <w:tcW w:type="dxa" w:w="1417"/>
            <w:shd w:val="clear" w:color="auto" w:fill="1F3A5F"/>
          </w:tcPr>
          <w:p>
            <w:pPr>
              <w:spacing w:after="40" w:line="240" w:lineRule="auto"/>
              <w:jc w:val="center"/>
            </w:pPr>
            <w:r/>
            <w:r>
              <w:rPr>
                <w:rFonts w:ascii="Cambria" w:hAnsi="Cambria"/>
                <w:b/>
                <w:color w:val="FFFFFF"/>
                <w:sz w:val="17"/>
              </w:rPr>
              <w:t>Action</w:t>
              <w:br/>
              <w:t>Taken</w:t>
            </w:r>
          </w:p>
        </w:tc>
        <w:tc>
          <w:tcPr>
            <w:tcW w:type="dxa" w:w="1020"/>
            <w:shd w:val="clear" w:color="auto" w:fill="1F3A5F"/>
          </w:tcPr>
          <w:p>
            <w:pPr>
              <w:spacing w:after="40" w:line="240" w:lineRule="auto"/>
              <w:jc w:val="center"/>
            </w:pPr>
            <w:r/>
            <w:r>
              <w:rPr>
                <w:rFonts w:ascii="Cambria" w:hAnsi="Cambria"/>
                <w:b/>
                <w:color w:val="FFFFFF"/>
                <w:sz w:val="17"/>
              </w:rPr>
              <w:t>Responsible</w:t>
              <w:br/>
              <w:t>Unit</w:t>
            </w:r>
          </w:p>
        </w:tc>
        <w:tc>
          <w:tcPr>
            <w:tcW w:type="dxa" w:w="1247"/>
            <w:shd w:val="clear" w:color="auto" w:fill="1F3A5F"/>
          </w:tcPr>
          <w:p>
            <w:pPr>
              <w:spacing w:after="40" w:line="240" w:lineRule="auto"/>
              <w:jc w:val="center"/>
            </w:pPr>
            <w:r/>
            <w:r>
              <w:rPr>
                <w:rFonts w:ascii="Cambria" w:hAnsi="Cambria"/>
                <w:b/>
                <w:color w:val="FFFFFF"/>
                <w:sz w:val="17"/>
              </w:rPr>
              <w:t>Evidence</w:t>
              <w:br/>
              <w:t>Link</w:t>
            </w:r>
          </w:p>
        </w:tc>
        <w:tc>
          <w:tcPr>
            <w:tcW w:type="dxa" w:w="1701"/>
            <w:shd w:val="clear" w:color="auto" w:fill="1F3A5F"/>
          </w:tcPr>
          <w:p>
            <w:pPr>
              <w:spacing w:after="40" w:line="240" w:lineRule="auto"/>
              <w:jc w:val="center"/>
            </w:pPr>
            <w:r/>
            <w:r>
              <w:rPr>
                <w:rFonts w:ascii="Cambria" w:hAnsi="Cambria"/>
                <w:b/>
                <w:color w:val="FFFFFF"/>
                <w:sz w:val="17"/>
              </w:rPr>
              <w:t>Impact/</w:t>
              <w:br/>
              <w:t>Improvement</w:t>
            </w:r>
          </w:p>
        </w:tc>
      </w:tr>
      <w:tr>
        <w:tc>
          <w:tcPr>
            <w:tcW w:type="dxa" w:w="907"/>
          </w:tcPr>
          <w:p>
            <w:pPr>
              <w:spacing w:after="40" w:line="240" w:lineRule="auto"/>
              <w:jc w:val="left"/>
            </w:pPr>
            <w:r/>
            <w:r>
              <w:rPr>
                <w:rFonts w:ascii="Cambria" w:hAnsi="Cambria"/>
                <w:b w:val="0"/>
                <w:sz w:val="16"/>
              </w:rPr>
              <w:t>2022-23</w:t>
              <w:br/>
              <w:t>(CAYm2)</w:t>
            </w:r>
          </w:p>
        </w:tc>
        <w:tc>
          <w:tcPr>
            <w:tcW w:type="dxa" w:w="1474"/>
          </w:tcPr>
          <w:p>
            <w:pPr>
              <w:spacing w:after="40" w:line="240" w:lineRule="auto"/>
              <w:jc w:val="left"/>
            </w:pPr>
            <w:r/>
            <w:r>
              <w:rPr>
                <w:rFonts w:ascii="Cambria" w:hAnsi="Cambria"/>
                <w:b w:val="0"/>
                <w:sz w:val="16"/>
              </w:rPr>
              <w:t>Low attainment in CO2 (Data Structures) – only 52% vs target 70%</w:t>
            </w:r>
          </w:p>
        </w:tc>
        <w:tc>
          <w:tcPr>
            <w:tcW w:type="dxa" w:w="1191"/>
          </w:tcPr>
          <w:p>
            <w:pPr>
              <w:spacing w:after="40" w:line="240" w:lineRule="auto"/>
              <w:jc w:val="left"/>
            </w:pPr>
            <w:r/>
            <w:r>
              <w:rPr>
                <w:rFonts w:ascii="Cambria" w:hAnsi="Cambria"/>
                <w:b w:val="0"/>
                <w:sz w:val="16"/>
              </w:rPr>
              <w:t>Introduce coding bootcamps and lab practice</w:t>
            </w:r>
          </w:p>
        </w:tc>
        <w:tc>
          <w:tcPr>
            <w:tcW w:type="dxa" w:w="1417"/>
          </w:tcPr>
          <w:p>
            <w:pPr>
              <w:spacing w:after="40" w:line="240" w:lineRule="auto"/>
              <w:jc w:val="left"/>
            </w:pPr>
            <w:r/>
            <w:r>
              <w:rPr>
                <w:rFonts w:ascii="Cambria" w:hAnsi="Cambria"/>
                <w:b w:val="0"/>
                <w:sz w:val="16"/>
              </w:rPr>
              <w:t>Weekly coding challenges implemented in labs</w:t>
            </w:r>
          </w:p>
        </w:tc>
        <w:tc>
          <w:tcPr>
            <w:tcW w:type="dxa" w:w="1020"/>
          </w:tcPr>
          <w:p>
            <w:pPr>
              <w:spacing w:after="40" w:line="240" w:lineRule="auto"/>
              <w:jc w:val="left"/>
            </w:pPr>
            <w:r/>
            <w:r>
              <w:rPr>
                <w:rFonts w:ascii="Cambria" w:hAnsi="Cambria"/>
                <w:b w:val="0"/>
                <w:sz w:val="16"/>
              </w:rPr>
              <w:t>Course Coordinator</w:t>
            </w:r>
          </w:p>
        </w:tc>
        <w:tc>
          <w:tcPr>
            <w:tcW w:type="dxa" w:w="1247"/>
          </w:tcPr>
          <w:p>
            <w:pPr>
              <w:spacing w:after="40" w:line="240" w:lineRule="auto"/>
              <w:jc w:val="left"/>
            </w:pPr>
            <w:r/>
            <w:r>
              <w:rPr>
                <w:rFonts w:ascii="Cambria" w:hAnsi="Cambria"/>
                <w:b w:val="0"/>
                <w:sz w:val="16"/>
              </w:rPr>
              <w:t>Coding lab attendance, challenge reports</w:t>
            </w:r>
          </w:p>
        </w:tc>
        <w:tc>
          <w:tcPr>
            <w:tcW w:type="dxa" w:w="1701"/>
          </w:tcPr>
          <w:p>
            <w:pPr>
              <w:spacing w:after="40" w:line="240" w:lineRule="auto"/>
              <w:jc w:val="left"/>
            </w:pPr>
            <w:r/>
            <w:r>
              <w:rPr>
                <w:rFonts w:ascii="Cambria" w:hAnsi="Cambria"/>
                <w:b w:val="0"/>
                <w:sz w:val="16"/>
              </w:rPr>
              <w:t>CO2 attainment improved to 69%</w:t>
            </w:r>
          </w:p>
        </w:tc>
      </w:tr>
      <w:tr>
        <w:tc>
          <w:tcPr>
            <w:tcW w:type="dxa" w:w="907"/>
            <w:shd w:val="clear" w:color="auto" w:fill="F2F2F2"/>
          </w:tcPr>
          <w:p>
            <w:pPr>
              <w:spacing w:after="40" w:line="240" w:lineRule="auto"/>
              <w:jc w:val="left"/>
            </w:pPr>
            <w:r/>
            <w:r>
              <w:rPr>
                <w:rFonts w:ascii="Cambria" w:hAnsi="Cambria"/>
                <w:b w:val="0"/>
                <w:sz w:val="16"/>
              </w:rPr>
              <w:t>2023-24</w:t>
              <w:br/>
              <w:t>(CAYm1)</w:t>
            </w:r>
          </w:p>
        </w:tc>
        <w:tc>
          <w:tcPr>
            <w:tcW w:type="dxa" w:w="1474"/>
            <w:shd w:val="clear" w:color="auto" w:fill="F2F2F2"/>
          </w:tcPr>
          <w:p>
            <w:pPr>
              <w:spacing w:after="40" w:line="240" w:lineRule="auto"/>
              <w:jc w:val="left"/>
            </w:pPr>
            <w:r/>
            <w:r>
              <w:rPr>
                <w:rFonts w:ascii="Cambria" w:hAnsi="Cambria"/>
                <w:b w:val="0"/>
                <w:sz w:val="16"/>
              </w:rPr>
              <w:t>Question papers lacked higher-order Bloom’s questions</w:t>
            </w:r>
          </w:p>
        </w:tc>
        <w:tc>
          <w:tcPr>
            <w:tcW w:type="dxa" w:w="1191"/>
            <w:shd w:val="clear" w:color="auto" w:fill="F2F2F2"/>
          </w:tcPr>
          <w:p>
            <w:pPr>
              <w:spacing w:after="40" w:line="240" w:lineRule="auto"/>
              <w:jc w:val="left"/>
            </w:pPr>
            <w:r/>
            <w:r>
              <w:rPr>
                <w:rFonts w:ascii="Cambria" w:hAnsi="Cambria"/>
                <w:b w:val="0"/>
                <w:sz w:val="16"/>
              </w:rPr>
              <w:t>Faculty training on Bloom’s Taxonomy</w:t>
            </w:r>
          </w:p>
        </w:tc>
        <w:tc>
          <w:tcPr>
            <w:tcW w:type="dxa" w:w="1417"/>
            <w:shd w:val="clear" w:color="auto" w:fill="F2F2F2"/>
          </w:tcPr>
          <w:p>
            <w:pPr>
              <w:spacing w:after="40" w:line="240" w:lineRule="auto"/>
              <w:jc w:val="left"/>
            </w:pPr>
            <w:r/>
            <w:r>
              <w:rPr>
                <w:rFonts w:ascii="Cambria" w:hAnsi="Cambria"/>
                <w:b w:val="0"/>
                <w:sz w:val="16"/>
              </w:rPr>
              <w:t>FDP on “Assessment Design using Bloom’s” conducted</w:t>
            </w:r>
          </w:p>
        </w:tc>
        <w:tc>
          <w:tcPr>
            <w:tcW w:type="dxa" w:w="1020"/>
            <w:shd w:val="clear" w:color="auto" w:fill="F2F2F2"/>
          </w:tcPr>
          <w:p>
            <w:pPr>
              <w:spacing w:after="40" w:line="240" w:lineRule="auto"/>
              <w:jc w:val="left"/>
            </w:pPr>
            <w:r/>
            <w:r>
              <w:rPr>
                <w:rFonts w:ascii="Cambria" w:hAnsi="Cambria"/>
                <w:b w:val="0"/>
                <w:sz w:val="16"/>
              </w:rPr>
              <w:t>IQAC + Faculty Dev. Cell</w:t>
            </w:r>
          </w:p>
        </w:tc>
        <w:tc>
          <w:tcPr>
            <w:tcW w:type="dxa" w:w="1247"/>
            <w:shd w:val="clear" w:color="auto" w:fill="F2F2F2"/>
          </w:tcPr>
          <w:p>
            <w:pPr>
              <w:spacing w:after="40" w:line="240" w:lineRule="auto"/>
              <w:jc w:val="left"/>
            </w:pPr>
            <w:r/>
            <w:r>
              <w:rPr>
                <w:rFonts w:ascii="Cambria" w:hAnsi="Cambria"/>
                <w:b w:val="0"/>
                <w:sz w:val="16"/>
              </w:rPr>
              <w:t>FDP schedule &amp; certificates</w:t>
            </w:r>
          </w:p>
        </w:tc>
        <w:tc>
          <w:tcPr>
            <w:tcW w:type="dxa" w:w="1701"/>
            <w:shd w:val="clear" w:color="auto" w:fill="F2F2F2"/>
          </w:tcPr>
          <w:p>
            <w:pPr>
              <w:spacing w:after="40" w:line="240" w:lineRule="auto"/>
              <w:jc w:val="left"/>
            </w:pPr>
            <w:r/>
            <w:r>
              <w:rPr>
                <w:rFonts w:ascii="Cambria" w:hAnsi="Cambria"/>
                <w:b w:val="0"/>
                <w:sz w:val="16"/>
              </w:rPr>
              <w:t>40% of questions were higher-order in 2024-25</w:t>
            </w:r>
          </w:p>
        </w:tc>
      </w:tr>
      <w:tr>
        <w:tc>
          <w:tcPr>
            <w:tcW w:type="dxa" w:w="907"/>
          </w:tcPr>
          <w:p>
            <w:pPr>
              <w:spacing w:after="40" w:line="240" w:lineRule="auto"/>
              <w:jc w:val="left"/>
            </w:pPr>
            <w:r/>
            <w:r>
              <w:rPr>
                <w:rFonts w:ascii="Cambria" w:hAnsi="Cambria"/>
                <w:b w:val="0"/>
                <w:sz w:val="16"/>
              </w:rPr>
              <w:t>2024-25</w:t>
              <w:br/>
              <w:t>(CAY)</w:t>
            </w:r>
          </w:p>
        </w:tc>
        <w:tc>
          <w:tcPr>
            <w:tcW w:type="dxa" w:w="1474"/>
          </w:tcPr>
          <w:p>
            <w:pPr>
              <w:spacing w:after="40" w:line="240" w:lineRule="auto"/>
              <w:jc w:val="left"/>
            </w:pPr>
            <w:r/>
            <w:r>
              <w:rPr>
                <w:rFonts w:ascii="Cambria" w:hAnsi="Cambria"/>
                <w:b w:val="0"/>
                <w:sz w:val="16"/>
              </w:rPr>
              <w:t>PSO1 (Domain Tools) gap – limited exposure to industry-grade software</w:t>
            </w:r>
          </w:p>
        </w:tc>
        <w:tc>
          <w:tcPr>
            <w:tcW w:type="dxa" w:w="1191"/>
          </w:tcPr>
          <w:p>
            <w:pPr>
              <w:spacing w:after="40" w:line="240" w:lineRule="auto"/>
              <w:jc w:val="left"/>
            </w:pPr>
            <w:r/>
            <w:r>
              <w:rPr>
                <w:rFonts w:ascii="Cambria" w:hAnsi="Cambria"/>
                <w:b w:val="0"/>
                <w:sz w:val="16"/>
              </w:rPr>
              <w:t>Upgrade lab with PSPICE &amp; MATLAB training</w:t>
            </w:r>
          </w:p>
        </w:tc>
        <w:tc>
          <w:tcPr>
            <w:tcW w:type="dxa" w:w="1417"/>
          </w:tcPr>
          <w:p>
            <w:pPr>
              <w:spacing w:after="40" w:line="240" w:lineRule="auto"/>
              <w:jc w:val="left"/>
            </w:pPr>
            <w:r/>
            <w:r>
              <w:rPr>
                <w:rFonts w:ascii="Cambria" w:hAnsi="Cambria"/>
                <w:b w:val="0"/>
                <w:sz w:val="16"/>
              </w:rPr>
              <w:t>Software installed + training sessions held</w:t>
            </w:r>
          </w:p>
        </w:tc>
        <w:tc>
          <w:tcPr>
            <w:tcW w:type="dxa" w:w="1020"/>
          </w:tcPr>
          <w:p>
            <w:pPr>
              <w:spacing w:after="40" w:line="240" w:lineRule="auto"/>
              <w:jc w:val="left"/>
            </w:pPr>
            <w:r/>
            <w:r>
              <w:rPr>
                <w:rFonts w:ascii="Cambria" w:hAnsi="Cambria"/>
                <w:b w:val="0"/>
                <w:sz w:val="16"/>
              </w:rPr>
              <w:t>Lab Incharge &amp; HoD</w:t>
            </w:r>
          </w:p>
        </w:tc>
        <w:tc>
          <w:tcPr>
            <w:tcW w:type="dxa" w:w="1247"/>
          </w:tcPr>
          <w:p>
            <w:pPr>
              <w:spacing w:after="40" w:line="240" w:lineRule="auto"/>
              <w:jc w:val="left"/>
            </w:pPr>
            <w:r/>
            <w:r>
              <w:rPr>
                <w:rFonts w:ascii="Cambria" w:hAnsi="Cambria"/>
                <w:b w:val="0"/>
                <w:sz w:val="16"/>
              </w:rPr>
              <w:t>AMC invoices, training attendance</w:t>
            </w:r>
          </w:p>
        </w:tc>
        <w:tc>
          <w:tcPr>
            <w:tcW w:type="dxa" w:w="1701"/>
          </w:tcPr>
          <w:p>
            <w:pPr>
              <w:spacing w:after="40" w:line="240" w:lineRule="auto"/>
              <w:jc w:val="left"/>
            </w:pPr>
            <w:r/>
            <w:r>
              <w:rPr>
                <w:rFonts w:ascii="Cambria" w:hAnsi="Cambria"/>
                <w:b w:val="0"/>
                <w:sz w:val="16"/>
              </w:rPr>
              <w:t>PSO1 attainment improved from 52% → 66%</w:t>
            </w:r>
          </w:p>
        </w:tc>
      </w:tr>
      <w:tr>
        <w:tc>
          <w:tcPr>
            <w:tcW w:type="dxa" w:w="907"/>
            <w:shd w:val="clear" w:color="auto" w:fill="F2F2F2"/>
          </w:tcPr>
          <w:p>
            <w:pPr>
              <w:spacing w:after="40" w:line="240" w:lineRule="auto"/>
              <w:jc w:val="left"/>
            </w:pPr>
            <w:r/>
            <w:r>
              <w:rPr>
                <w:rFonts w:ascii="Cambria" w:hAnsi="Cambria"/>
                <w:b w:val="0"/>
                <w:sz w:val="16"/>
              </w:rPr>
              <w:t>2024-25</w:t>
              <w:br/>
              <w:t>(CAY)</w:t>
            </w:r>
          </w:p>
        </w:tc>
        <w:tc>
          <w:tcPr>
            <w:tcW w:type="dxa" w:w="1474"/>
            <w:shd w:val="clear" w:color="auto" w:fill="F2F2F2"/>
          </w:tcPr>
          <w:p>
            <w:pPr>
              <w:spacing w:after="40" w:line="240" w:lineRule="auto"/>
              <w:jc w:val="left"/>
            </w:pPr>
            <w:r/>
            <w:r>
              <w:rPr>
                <w:rFonts w:ascii="Cambria" w:hAnsi="Cambria"/>
                <w:b w:val="0"/>
                <w:sz w:val="16"/>
              </w:rPr>
              <w:t>PO12 (Lifelong Learning) weak – low MOOC participation</w:t>
            </w:r>
          </w:p>
        </w:tc>
        <w:tc>
          <w:tcPr>
            <w:tcW w:type="dxa" w:w="1191"/>
            <w:shd w:val="clear" w:color="auto" w:fill="F2F2F2"/>
          </w:tcPr>
          <w:p>
            <w:pPr>
              <w:spacing w:after="40" w:line="240" w:lineRule="auto"/>
              <w:jc w:val="left"/>
            </w:pPr>
            <w:r/>
            <w:r>
              <w:rPr>
                <w:rFonts w:ascii="Cambria" w:hAnsi="Cambria"/>
                <w:b w:val="0"/>
                <w:sz w:val="16"/>
              </w:rPr>
              <w:t>Encourage MOOCs with credits</w:t>
            </w:r>
          </w:p>
        </w:tc>
        <w:tc>
          <w:tcPr>
            <w:tcW w:type="dxa" w:w="1417"/>
            <w:shd w:val="clear" w:color="auto" w:fill="F2F2F2"/>
          </w:tcPr>
          <w:p>
            <w:pPr>
              <w:spacing w:after="40" w:line="240" w:lineRule="auto"/>
              <w:jc w:val="left"/>
            </w:pPr>
            <w:r/>
            <w:r>
              <w:rPr>
                <w:rFonts w:ascii="Cambria" w:hAnsi="Cambria"/>
                <w:b w:val="0"/>
                <w:sz w:val="16"/>
              </w:rPr>
              <w:t>Made one MOOC mandatory for graduation</w:t>
            </w:r>
          </w:p>
        </w:tc>
        <w:tc>
          <w:tcPr>
            <w:tcW w:type="dxa" w:w="1020"/>
            <w:shd w:val="clear" w:color="auto" w:fill="F2F2F2"/>
          </w:tcPr>
          <w:p>
            <w:pPr>
              <w:spacing w:after="40" w:line="240" w:lineRule="auto"/>
              <w:jc w:val="left"/>
            </w:pPr>
            <w:r/>
            <w:r>
              <w:rPr>
                <w:rFonts w:ascii="Cambria" w:hAnsi="Cambria"/>
                <w:b w:val="0"/>
                <w:sz w:val="16"/>
              </w:rPr>
              <w:t>Academic Council</w:t>
            </w:r>
          </w:p>
        </w:tc>
        <w:tc>
          <w:tcPr>
            <w:tcW w:type="dxa" w:w="1247"/>
            <w:shd w:val="clear" w:color="auto" w:fill="F2F2F2"/>
          </w:tcPr>
          <w:p>
            <w:pPr>
              <w:spacing w:after="40" w:line="240" w:lineRule="auto"/>
              <w:jc w:val="left"/>
            </w:pPr>
            <w:r/>
            <w:r>
              <w:rPr>
                <w:rFonts w:ascii="Cambria" w:hAnsi="Cambria"/>
                <w:b w:val="0"/>
                <w:sz w:val="16"/>
              </w:rPr>
              <w:t>MOOC completion certificates</w:t>
            </w:r>
          </w:p>
        </w:tc>
        <w:tc>
          <w:tcPr>
            <w:tcW w:type="dxa" w:w="1701"/>
            <w:shd w:val="clear" w:color="auto" w:fill="F2F2F2"/>
          </w:tcPr>
          <w:p>
            <w:pPr>
              <w:spacing w:after="40" w:line="240" w:lineRule="auto"/>
              <w:jc w:val="left"/>
            </w:pPr>
            <w:r/>
            <w:r>
              <w:rPr>
                <w:rFonts w:ascii="Cambria" w:hAnsi="Cambria"/>
                <w:b w:val="0"/>
                <w:sz w:val="16"/>
              </w:rPr>
              <w:t>80% students completed at least 1 MOOC</w:t>
            </w:r>
          </w:p>
        </w:tc>
      </w:tr>
    </w:tbl>
    <w:p>
      <w:pPr>
        <w:spacing w:after="40"/>
      </w:pPr>
    </w:p>
    <w:p>
      <w:pPr>
        <w:pStyle w:val="Heading3"/>
      </w:pPr>
      <w:r>
        <w:rPr>
          <w:rFonts w:ascii="Cambria" w:hAnsi="Cambria"/>
          <w:b/>
          <w:color w:val="1F3A5F"/>
          <w:sz w:val="26"/>
        </w:rPr>
        <w:t>4. Documentation Practices</w:t>
      </w:r>
    </w:p>
    <w:p>
      <w:pPr>
        <w:pStyle w:val="ListBullet"/>
        <w:spacing w:after="80" w:line="276" w:lineRule="auto"/>
      </w:pPr>
      <w:r>
        <w:rPr>
          <w:rFonts w:ascii="Cambria" w:hAnsi="Cambria"/>
          <w:b w:val="0"/>
          <w:i w:val="0"/>
          <w:sz w:val="22"/>
        </w:rPr>
        <w:t>Maintain year-wise ATRs (CAYm2, CAYm1, CAY).</w:t>
      </w:r>
    </w:p>
    <w:p>
      <w:pPr>
        <w:pStyle w:val="ListBullet"/>
        <w:spacing w:after="80" w:line="276" w:lineRule="auto"/>
      </w:pPr>
      <w:r>
        <w:rPr>
          <w:rFonts w:ascii="Cambria" w:hAnsi="Cambria"/>
          <w:b w:val="0"/>
          <w:i w:val="0"/>
          <w:sz w:val="22"/>
        </w:rPr>
        <w:t>Link each ATR to Audit Minutes of Meeting (MoM).</w:t>
      </w:r>
    </w:p>
    <w:p>
      <w:pPr>
        <w:pStyle w:val="ListBullet"/>
        <w:spacing w:after="80" w:line="276" w:lineRule="auto"/>
      </w:pPr>
      <w:r>
        <w:rPr>
          <w:rFonts w:ascii="Cambria" w:hAnsi="Cambria"/>
          <w:b w:val="0"/>
          <w:i w:val="0"/>
          <w:sz w:val="22"/>
        </w:rPr>
        <w:t>Store supporting evidence files (PDFs, photos, attendance, FDP certificates).</w:t>
      </w:r>
    </w:p>
    <w:p>
      <w:pPr>
        <w:pStyle w:val="ListBullet"/>
        <w:spacing w:after="80" w:line="276" w:lineRule="auto"/>
      </w:pPr>
      <w:r>
        <w:rPr>
          <w:rFonts w:ascii="Cambria" w:hAnsi="Cambria"/>
          <w:b w:val="0"/>
          <w:i w:val="0"/>
          <w:sz w:val="22"/>
        </w:rPr>
        <w:t>Track before vs after attainment charts.</w:t>
      </w:r>
    </w:p>
    <w:p>
      <w:pPr>
        <w:pStyle w:val="Heading3"/>
      </w:pPr>
      <w:r>
        <w:rPr>
          <w:rFonts w:ascii="Cambria" w:hAnsi="Cambria"/>
          <w:b/>
          <w:color w:val="1F3A5F"/>
          <w:sz w:val="26"/>
        </w:rPr>
        <w:t>5. NBA Expectation</w:t>
      </w:r>
    </w:p>
    <w:p>
      <w:pPr>
        <w:pStyle w:val="ListBullet"/>
        <w:spacing w:after="80" w:line="276" w:lineRule="auto"/>
      </w:pPr>
      <w:r>
        <w:rPr>
          <w:rFonts w:ascii="Cambria" w:hAnsi="Cambria"/>
          <w:b/>
          <w:i w:val="0"/>
          <w:sz w:val="22"/>
        </w:rPr>
        <w:t>ATRs should close the loop:</w:t>
      </w:r>
    </w:p>
    <w:p>
      <w:pPr>
        <w:pStyle w:val="ListBullet2"/>
        <w:spacing w:after="80" w:line="276" w:lineRule="auto"/>
      </w:pPr>
      <w:r>
        <w:rPr>
          <w:rFonts w:ascii="Cambria" w:hAnsi="Cambria"/>
          <w:b w:val="0"/>
          <w:i w:val="0"/>
          <w:sz w:val="22"/>
        </w:rPr>
        <w:t>Finding → Recommendation → Action → Evidence → Improvement.</w:t>
      </w:r>
    </w:p>
    <w:p>
      <w:pPr>
        <w:pStyle w:val="ListBullet"/>
        <w:spacing w:after="80" w:line="276" w:lineRule="auto"/>
      </w:pPr>
      <w:r>
        <w:rPr>
          <w:rFonts w:ascii="Cambria" w:hAnsi="Cambria"/>
          <w:b w:val="0"/>
          <w:i w:val="0"/>
          <w:sz w:val="22"/>
        </w:rPr>
        <w:t>Marks are awarded when measurable impact is shown.</w:t>
      </w:r>
    </w:p>
    <w:p>
      <w:r>
        <w:br w:type="page"/>
      </w:r>
    </w:p>
    <w:p>
      <w:pPr>
        <w:pStyle w:val="Heading1"/>
      </w:pPr>
      <w:r>
        <w:rPr>
          <w:rFonts w:ascii="Cambria" w:hAnsi="Cambria"/>
          <w:b/>
          <w:color w:val="1F3A5F"/>
          <w:sz w:val="36"/>
        </w:rPr>
        <w:t>18. Improvement in Faculty Qualification/Contribution</w:t>
      </w:r>
    </w:p>
    <w:p>
      <w:pPr>
        <w:pStyle w:val="Heading3"/>
      </w:pPr>
      <w:r>
        <w:rPr>
          <w:rFonts w:ascii="Cambria" w:hAnsi="Cambria"/>
          <w:b/>
          <w:color w:val="1F3A5F"/>
          <w:sz w:val="26"/>
        </w:rPr>
        <w:t>1. Purpose &amp; Relevance</w:t>
      </w:r>
    </w:p>
    <w:p>
      <w:pPr>
        <w:pStyle w:val="ListBullet"/>
        <w:spacing w:after="80" w:line="276" w:lineRule="auto"/>
      </w:pPr>
      <w:r>
        <w:rPr>
          <w:rFonts w:ascii="Cambria" w:hAnsi="Cambria"/>
          <w:b w:val="0"/>
          <w:i w:val="0"/>
          <w:sz w:val="22"/>
        </w:rPr>
        <w:t>NBA emphasizes not only student outcomes but also the continuous development of faculty.</w:t>
      </w:r>
    </w:p>
    <w:p>
      <w:pPr>
        <w:pStyle w:val="ListBullet"/>
        <w:spacing w:after="80" w:line="276" w:lineRule="auto"/>
      </w:pPr>
      <w:r>
        <w:rPr>
          <w:rFonts w:ascii="Cambria" w:hAnsi="Cambria"/>
          <w:b w:val="0"/>
          <w:i w:val="0"/>
          <w:sz w:val="22"/>
        </w:rPr>
        <w:t>Faculty quality directly impacts teaching–learning, research, and student attainment of COs/POs/PSOs.</w:t>
      </w:r>
    </w:p>
    <w:p>
      <w:pPr>
        <w:pStyle w:val="ListBullet"/>
        <w:spacing w:after="80" w:line="276" w:lineRule="auto"/>
      </w:pPr>
      <w:r>
        <w:rPr>
          <w:rFonts w:ascii="Cambria" w:hAnsi="Cambria"/>
          <w:b w:val="0"/>
          <w:i w:val="0"/>
          <w:sz w:val="22"/>
        </w:rPr>
        <w:t>Hence, 15 marks are allocated to track year-wise improvement in faculty qualifications and contributions.</w:t>
      </w:r>
    </w:p>
    <w:p>
      <w:pPr>
        <w:pStyle w:val="Heading3"/>
      </w:pPr>
      <w:r>
        <w:rPr>
          <w:rFonts w:ascii="Cambria" w:hAnsi="Cambria"/>
          <w:b/>
          <w:color w:val="1F3A5F"/>
          <w:sz w:val="26"/>
        </w:rPr>
        <w:t>2. Areas Considered for Assessment</w:t>
      </w:r>
    </w:p>
    <w:p>
      <w:pPr>
        <w:spacing w:after="80" w:line="276" w:lineRule="auto"/>
      </w:pPr>
      <w:r>
        <w:rPr>
          <w:rFonts w:ascii="Cambria" w:hAnsi="Cambria"/>
          <w:b/>
          <w:i w:val="0"/>
          <w:sz w:val="22"/>
        </w:rPr>
        <w:t>A. Improvement in Qualification</w:t>
      </w:r>
    </w:p>
    <w:p>
      <w:pPr>
        <w:pStyle w:val="ListBullet"/>
        <w:spacing w:after="80" w:line="276" w:lineRule="auto"/>
      </w:pPr>
      <w:r>
        <w:rPr>
          <w:rFonts w:ascii="Cambria" w:hAnsi="Cambria"/>
          <w:b/>
          <w:i w:val="0"/>
          <w:sz w:val="22"/>
        </w:rPr>
        <w:t>Faculty pursuing and completing higher degrees:</w:t>
      </w:r>
    </w:p>
    <w:p>
      <w:pPr>
        <w:pStyle w:val="ListBullet2"/>
        <w:spacing w:after="80" w:line="276" w:lineRule="auto"/>
      </w:pPr>
      <w:r>
        <w:rPr>
          <w:rFonts w:ascii="Cambria" w:hAnsi="Cambria"/>
          <w:b w:val="0"/>
          <w:i w:val="0"/>
          <w:sz w:val="22"/>
        </w:rPr>
        <w:t>M.E./M.Tech → Ph.D.</w:t>
      </w:r>
    </w:p>
    <w:p>
      <w:pPr>
        <w:pStyle w:val="ListBullet2"/>
        <w:spacing w:after="80" w:line="276" w:lineRule="auto"/>
      </w:pPr>
      <w:r>
        <w:rPr>
          <w:rFonts w:ascii="Cambria" w:hAnsi="Cambria"/>
          <w:b w:val="0"/>
          <w:i w:val="0"/>
          <w:sz w:val="22"/>
        </w:rPr>
        <w:t>Ph.D. → Post-Doctoral research.</w:t>
      </w:r>
    </w:p>
    <w:p>
      <w:pPr>
        <w:pStyle w:val="ListBullet"/>
        <w:spacing w:after="80" w:line="276" w:lineRule="auto"/>
      </w:pPr>
      <w:r>
        <w:rPr>
          <w:rFonts w:ascii="Cambria" w:hAnsi="Cambria"/>
          <w:b w:val="0"/>
          <w:i w:val="0"/>
          <w:sz w:val="22"/>
        </w:rPr>
        <w:t>Faculty completing professional certifications (NPTEL, Coursera, AICTE ATAL FDPs, domain-specific certifications).</w:t>
      </w:r>
    </w:p>
    <w:p>
      <w:pPr>
        <w:spacing w:after="80" w:line="276" w:lineRule="auto"/>
      </w:pPr>
      <w:r>
        <w:rPr>
          <w:rFonts w:ascii="Cambria" w:hAnsi="Cambria"/>
          <w:b/>
          <w:i w:val="0"/>
          <w:sz w:val="22"/>
        </w:rPr>
        <w:t>B. Research &amp; Publications</w:t>
      </w:r>
    </w:p>
    <w:p>
      <w:pPr>
        <w:pStyle w:val="ListBullet"/>
        <w:spacing w:after="80" w:line="276" w:lineRule="auto"/>
      </w:pPr>
      <w:r>
        <w:rPr>
          <w:rFonts w:ascii="Cambria" w:hAnsi="Cambria"/>
          <w:b w:val="0"/>
          <w:i w:val="0"/>
          <w:sz w:val="22"/>
        </w:rPr>
        <w:t>Increase in journal/conference publications (Scopus, SCI, WoS indexed).</w:t>
      </w:r>
    </w:p>
    <w:p>
      <w:pPr>
        <w:pStyle w:val="ListBullet"/>
        <w:spacing w:after="80" w:line="276" w:lineRule="auto"/>
      </w:pPr>
      <w:r>
        <w:rPr>
          <w:rFonts w:ascii="Cambria" w:hAnsi="Cambria"/>
          <w:b w:val="0"/>
          <w:i w:val="0"/>
          <w:sz w:val="22"/>
        </w:rPr>
        <w:t>Book chapters, patents filed/granted, copyrights.</w:t>
      </w:r>
    </w:p>
    <w:p>
      <w:pPr>
        <w:pStyle w:val="ListBullet"/>
        <w:spacing w:after="80" w:line="276" w:lineRule="auto"/>
      </w:pPr>
      <w:r>
        <w:rPr>
          <w:rFonts w:ascii="Cambria" w:hAnsi="Cambria"/>
          <w:b w:val="0"/>
          <w:i w:val="0"/>
          <w:sz w:val="22"/>
        </w:rPr>
        <w:t>Participation and presentations in national/international conferences.</w:t>
      </w:r>
    </w:p>
    <w:p>
      <w:pPr>
        <w:spacing w:after="80" w:line="276" w:lineRule="auto"/>
      </w:pPr>
      <w:r>
        <w:rPr>
          <w:rFonts w:ascii="Cambria" w:hAnsi="Cambria"/>
          <w:b/>
          <w:i w:val="0"/>
          <w:sz w:val="22"/>
        </w:rPr>
        <w:t>C. Funded Research &amp; Consultancy</w:t>
      </w:r>
    </w:p>
    <w:p>
      <w:pPr>
        <w:pStyle w:val="ListBullet"/>
        <w:spacing w:after="80" w:line="276" w:lineRule="auto"/>
      </w:pPr>
      <w:r>
        <w:rPr>
          <w:rFonts w:ascii="Cambria" w:hAnsi="Cambria"/>
          <w:b w:val="0"/>
          <w:i w:val="0"/>
          <w:sz w:val="22"/>
        </w:rPr>
        <w:t>Grants received from AICTE, DST, UGC, industries.</w:t>
      </w:r>
    </w:p>
    <w:p>
      <w:pPr>
        <w:pStyle w:val="ListBullet"/>
        <w:spacing w:after="80" w:line="276" w:lineRule="auto"/>
      </w:pPr>
      <w:r>
        <w:rPr>
          <w:rFonts w:ascii="Cambria" w:hAnsi="Cambria"/>
          <w:b w:val="0"/>
          <w:i w:val="0"/>
          <w:sz w:val="22"/>
        </w:rPr>
        <w:t>Industry consultancy projects undertaken.</w:t>
      </w:r>
    </w:p>
    <w:p>
      <w:pPr>
        <w:spacing w:after="80" w:line="276" w:lineRule="auto"/>
      </w:pPr>
      <w:r>
        <w:rPr>
          <w:rFonts w:ascii="Cambria" w:hAnsi="Cambria"/>
          <w:b/>
          <w:i w:val="0"/>
          <w:sz w:val="22"/>
        </w:rPr>
        <w:t>D. Faculty Development &amp; Contributions</w:t>
      </w:r>
    </w:p>
    <w:p>
      <w:pPr>
        <w:pStyle w:val="ListBullet"/>
        <w:spacing w:after="80" w:line="276" w:lineRule="auto"/>
      </w:pPr>
      <w:r>
        <w:rPr>
          <w:rFonts w:ascii="Cambria" w:hAnsi="Cambria"/>
          <w:b w:val="0"/>
          <w:i w:val="0"/>
          <w:sz w:val="22"/>
        </w:rPr>
        <w:t>FDPs, STTPs, MOOCs completed or organized.</w:t>
      </w:r>
    </w:p>
    <w:p>
      <w:pPr>
        <w:pStyle w:val="ListBullet"/>
        <w:spacing w:after="80" w:line="276" w:lineRule="auto"/>
      </w:pPr>
      <w:r>
        <w:rPr>
          <w:rFonts w:ascii="Cambria" w:hAnsi="Cambria"/>
          <w:b w:val="0"/>
          <w:i w:val="0"/>
          <w:sz w:val="22"/>
        </w:rPr>
        <w:t>Guiding UG/PG/Ph.D. students.</w:t>
      </w:r>
    </w:p>
    <w:p>
      <w:pPr>
        <w:pStyle w:val="ListBullet"/>
        <w:spacing w:after="80" w:line="276" w:lineRule="auto"/>
      </w:pPr>
      <w:r>
        <w:rPr>
          <w:rFonts w:ascii="Cambria" w:hAnsi="Cambria"/>
          <w:b w:val="0"/>
          <w:i w:val="0"/>
          <w:sz w:val="22"/>
        </w:rPr>
        <w:t>Memberships in professional bodies (IEEE, ISTE, ACM, ASME).</w:t>
      </w:r>
    </w:p>
    <w:p>
      <w:pPr>
        <w:pStyle w:val="ListBullet"/>
        <w:spacing w:after="80" w:line="276" w:lineRule="auto"/>
      </w:pPr>
      <w:r>
        <w:rPr>
          <w:rFonts w:ascii="Cambria" w:hAnsi="Cambria"/>
          <w:b w:val="0"/>
          <w:i w:val="0"/>
          <w:sz w:val="22"/>
        </w:rPr>
        <w:t>Contribution to curriculum design, academic audits, NBA/NAAC activities.</w:t>
      </w:r>
    </w:p>
    <w:p>
      <w:pPr>
        <w:pStyle w:val="Heading3"/>
      </w:pPr>
      <w:r>
        <w:rPr>
          <w:rFonts w:ascii="Cambria" w:hAnsi="Cambria"/>
          <w:b/>
          <w:color w:val="1F3A5F"/>
          <w:sz w:val="26"/>
        </w:rPr>
        <w:t>3. Process of Evaluation</w:t>
      </w:r>
    </w:p>
    <w:p>
      <w:pPr>
        <w:pStyle w:val="ListBullet"/>
        <w:spacing w:after="80" w:line="276" w:lineRule="auto"/>
      </w:pPr>
      <w:r>
        <w:rPr>
          <w:rFonts w:ascii="Cambria" w:hAnsi="Cambria"/>
          <w:b/>
          <w:i w:val="0"/>
          <w:sz w:val="22"/>
        </w:rPr>
        <w:t xml:space="preserve">Step 1: Baseline Data (CAYm2) – </w:t>
      </w:r>
      <w:r>
        <w:rPr>
          <w:rFonts w:ascii="Cambria" w:hAnsi="Cambria"/>
          <w:b w:val="0"/>
          <w:i w:val="0"/>
          <w:sz w:val="22"/>
        </w:rPr>
        <w:t>Faculty qualifications, publications, research at the start of assessment period.</w:t>
      </w:r>
    </w:p>
    <w:p>
      <w:pPr>
        <w:pStyle w:val="ListBullet"/>
        <w:spacing w:after="80" w:line="276" w:lineRule="auto"/>
      </w:pPr>
      <w:r>
        <w:rPr>
          <w:rFonts w:ascii="Cambria" w:hAnsi="Cambria"/>
          <w:b/>
          <w:i w:val="0"/>
          <w:sz w:val="22"/>
        </w:rPr>
        <w:t xml:space="preserve">Step 2: Year-wise Tracking (CAYm1, CAY) – </w:t>
      </w:r>
      <w:r>
        <w:rPr>
          <w:rFonts w:ascii="Cambria" w:hAnsi="Cambria"/>
          <w:b w:val="0"/>
          <w:i w:val="0"/>
          <w:sz w:val="22"/>
        </w:rPr>
        <w:t>Record newly acquired qualifications, increased publications, FDPs attended, research projects sanctioned.</w:t>
      </w:r>
    </w:p>
    <w:p>
      <w:pPr>
        <w:pStyle w:val="ListBullet"/>
        <w:spacing w:after="80" w:line="276" w:lineRule="auto"/>
      </w:pPr>
      <w:r>
        <w:rPr>
          <w:rFonts w:ascii="Cambria" w:hAnsi="Cambria"/>
          <w:b/>
          <w:i w:val="0"/>
          <w:sz w:val="22"/>
        </w:rPr>
        <w:t xml:space="preserve">Step 3: Comparative Analysis – </w:t>
      </w:r>
      <w:r>
        <w:rPr>
          <w:rFonts w:ascii="Cambria" w:hAnsi="Cambria"/>
          <w:b w:val="0"/>
          <w:i w:val="0"/>
          <w:sz w:val="22"/>
        </w:rPr>
        <w:t>Improvement measured as growth % or numbers.</w:t>
      </w:r>
    </w:p>
    <w:p>
      <w:pPr>
        <w:pStyle w:val="ListBullet"/>
        <w:spacing w:after="80" w:line="276" w:lineRule="auto"/>
      </w:pPr>
      <w:r>
        <w:rPr>
          <w:rFonts w:ascii="Cambria" w:hAnsi="Cambria"/>
          <w:b/>
          <w:i w:val="0"/>
          <w:sz w:val="22"/>
        </w:rPr>
        <w:t xml:space="preserve">Step 4: Evidence Collection – </w:t>
      </w:r>
      <w:r>
        <w:rPr>
          <w:rFonts w:ascii="Cambria" w:hAnsi="Cambria"/>
          <w:b w:val="0"/>
          <w:i w:val="0"/>
          <w:sz w:val="22"/>
        </w:rPr>
        <w:t>Degrees awarded, publication proofs, sanction letters, FDP/Workshop certificates.</w:t>
      </w:r>
    </w:p>
    <w:p>
      <w:pPr>
        <w:pStyle w:val="Heading3"/>
      </w:pPr>
      <w:r>
        <w:rPr>
          <w:rFonts w:ascii="Cambria" w:hAnsi="Cambria"/>
          <w:b/>
          <w:color w:val="1F3A5F"/>
          <w:sz w:val="26"/>
        </w:rPr>
        <w:t>4. Suggested Year-wise Analysis Table</w:t>
      </w:r>
    </w:p>
    <w:tbl>
      <w:tblPr>
        <w:tblStyle w:val="TableGrid"/>
        <w:tblW w:type="auto" w:w="0"/>
        <w:jc w:val="center"/>
        <w:tblLayout w:type="fixed"/>
        <w:tblLook w:firstColumn="1" w:firstRow="1" w:lastColumn="0" w:lastRow="0" w:noHBand="0" w:noVBand="1" w:val="04A0"/>
        <w:tblLayout w:type="fixed"/>
      </w:tblPr>
      <w:tblGrid>
        <w:gridCol w:w="1361"/>
        <w:gridCol w:w="1020"/>
        <w:gridCol w:w="964"/>
        <w:gridCol w:w="1077"/>
        <w:gridCol w:w="1077"/>
        <w:gridCol w:w="1134"/>
        <w:gridCol w:w="1134"/>
        <w:gridCol w:w="1134"/>
      </w:tblGrid>
      <w:tr>
        <w:tc>
          <w:tcPr>
            <w:tcW w:type="dxa" w:w="1361"/>
            <w:shd w:val="clear" w:color="auto" w:fill="1F3A5F"/>
          </w:tcPr>
          <w:p>
            <w:pPr>
              <w:spacing w:after="40" w:line="240" w:lineRule="auto"/>
              <w:jc w:val="center"/>
            </w:pPr>
            <w:r/>
            <w:r>
              <w:rPr>
                <w:rFonts w:ascii="Cambria" w:hAnsi="Cambria"/>
                <w:b/>
                <w:color w:val="FFFFFF"/>
                <w:sz w:val="19"/>
              </w:rPr>
              <w:t>Year</w:t>
            </w:r>
          </w:p>
        </w:tc>
        <w:tc>
          <w:tcPr>
            <w:tcW w:type="dxa" w:w="1020"/>
            <w:shd w:val="clear" w:color="auto" w:fill="1F3A5F"/>
          </w:tcPr>
          <w:p>
            <w:pPr>
              <w:spacing w:after="40" w:line="240" w:lineRule="auto"/>
              <w:jc w:val="center"/>
            </w:pPr>
            <w:r/>
            <w:r>
              <w:rPr>
                <w:rFonts w:ascii="Cambria" w:hAnsi="Cambria"/>
                <w:b/>
                <w:color w:val="FFFFFF"/>
                <w:sz w:val="19"/>
              </w:rPr>
              <w:t>Faculty</w:t>
              <w:br/>
              <w:t>Strength</w:t>
            </w:r>
          </w:p>
        </w:tc>
        <w:tc>
          <w:tcPr>
            <w:tcW w:type="dxa" w:w="964"/>
            <w:shd w:val="clear" w:color="auto" w:fill="1F3A5F"/>
          </w:tcPr>
          <w:p>
            <w:pPr>
              <w:spacing w:after="40" w:line="240" w:lineRule="auto"/>
              <w:jc w:val="center"/>
            </w:pPr>
            <w:r/>
            <w:r>
              <w:rPr>
                <w:rFonts w:ascii="Cambria" w:hAnsi="Cambria"/>
                <w:b/>
                <w:color w:val="FFFFFF"/>
                <w:sz w:val="19"/>
              </w:rPr>
              <w:t>Ph.D.</w:t>
              <w:br/>
              <w:t>Holders</w:t>
            </w:r>
          </w:p>
        </w:tc>
        <w:tc>
          <w:tcPr>
            <w:tcW w:type="dxa" w:w="1077"/>
            <w:shd w:val="clear" w:color="auto" w:fill="1F3A5F"/>
          </w:tcPr>
          <w:p>
            <w:pPr>
              <w:spacing w:after="40" w:line="240" w:lineRule="auto"/>
              <w:jc w:val="center"/>
            </w:pPr>
            <w:r/>
            <w:r>
              <w:rPr>
                <w:rFonts w:ascii="Cambria" w:hAnsi="Cambria"/>
                <w:b/>
                <w:color w:val="FFFFFF"/>
                <w:sz w:val="19"/>
              </w:rPr>
              <w:t>Faculty</w:t>
              <w:br/>
              <w:t>Enrolled</w:t>
              <w:br/>
              <w:t>in Ph.D.</w:t>
            </w:r>
          </w:p>
        </w:tc>
        <w:tc>
          <w:tcPr>
            <w:tcW w:type="dxa" w:w="1077"/>
            <w:shd w:val="clear" w:color="auto" w:fill="1F3A5F"/>
          </w:tcPr>
          <w:p>
            <w:pPr>
              <w:spacing w:after="40" w:line="240" w:lineRule="auto"/>
              <w:jc w:val="center"/>
            </w:pPr>
            <w:r/>
            <w:r>
              <w:rPr>
                <w:rFonts w:ascii="Cambria" w:hAnsi="Cambria"/>
                <w:b/>
                <w:color w:val="FFFFFF"/>
                <w:sz w:val="19"/>
              </w:rPr>
              <w:t>Journal</w:t>
              <w:br/>
              <w:t>Publications</w:t>
            </w:r>
          </w:p>
        </w:tc>
        <w:tc>
          <w:tcPr>
            <w:tcW w:type="dxa" w:w="1134"/>
            <w:shd w:val="clear" w:color="auto" w:fill="1F3A5F"/>
          </w:tcPr>
          <w:p>
            <w:pPr>
              <w:spacing w:after="40" w:line="240" w:lineRule="auto"/>
              <w:jc w:val="center"/>
            </w:pPr>
            <w:r/>
            <w:r>
              <w:rPr>
                <w:rFonts w:ascii="Cambria" w:hAnsi="Cambria"/>
                <w:b/>
                <w:color w:val="FFFFFF"/>
                <w:sz w:val="19"/>
              </w:rPr>
              <w:t>Conference</w:t>
              <w:br/>
              <w:t>Publications</w:t>
            </w:r>
          </w:p>
        </w:tc>
        <w:tc>
          <w:tcPr>
            <w:tcW w:type="dxa" w:w="1134"/>
            <w:shd w:val="clear" w:color="auto" w:fill="1F3A5F"/>
          </w:tcPr>
          <w:p>
            <w:pPr>
              <w:spacing w:after="40" w:line="240" w:lineRule="auto"/>
              <w:jc w:val="center"/>
            </w:pPr>
            <w:r/>
            <w:r>
              <w:rPr>
                <w:rFonts w:ascii="Cambria" w:hAnsi="Cambria"/>
                <w:b/>
                <w:color w:val="FFFFFF"/>
                <w:sz w:val="19"/>
              </w:rPr>
              <w:t>FDPs/STTPs</w:t>
              <w:br/>
              <w:t>Attended</w:t>
            </w:r>
          </w:p>
        </w:tc>
        <w:tc>
          <w:tcPr>
            <w:tcW w:type="dxa" w:w="1134"/>
            <w:shd w:val="clear" w:color="auto" w:fill="1F3A5F"/>
          </w:tcPr>
          <w:p>
            <w:pPr>
              <w:spacing w:after="40" w:line="240" w:lineRule="auto"/>
              <w:jc w:val="center"/>
            </w:pPr>
            <w:r/>
            <w:r>
              <w:rPr>
                <w:rFonts w:ascii="Cambria" w:hAnsi="Cambria"/>
                <w:b/>
                <w:color w:val="FFFFFF"/>
                <w:sz w:val="19"/>
              </w:rPr>
              <w:t>Patents</w:t>
              <w:br/>
              <w:t>Filed/Granted</w:t>
            </w:r>
          </w:p>
        </w:tc>
      </w:tr>
      <w:tr>
        <w:tc>
          <w:tcPr>
            <w:tcW w:type="dxa" w:w="1361"/>
          </w:tcPr>
          <w:p>
            <w:pPr>
              <w:spacing w:after="40" w:line="240" w:lineRule="auto"/>
              <w:jc w:val="left"/>
            </w:pPr>
            <w:r/>
            <w:r>
              <w:rPr>
                <w:rFonts w:ascii="Cambria" w:hAnsi="Cambria"/>
                <w:b w:val="0"/>
                <w:sz w:val="18"/>
              </w:rPr>
              <w:t>CAYm2 (2022-23)</w:t>
            </w:r>
          </w:p>
        </w:tc>
        <w:tc>
          <w:tcPr>
            <w:tcW w:type="dxa" w:w="1020"/>
          </w:tcPr>
          <w:p>
            <w:pPr>
              <w:spacing w:after="40" w:line="240" w:lineRule="auto"/>
              <w:jc w:val="left"/>
            </w:pPr>
            <w:r/>
            <w:r>
              <w:rPr>
                <w:rFonts w:ascii="Cambria" w:hAnsi="Cambria"/>
                <w:b w:val="0"/>
                <w:sz w:val="18"/>
              </w:rPr>
              <w:t>28</w:t>
            </w:r>
          </w:p>
        </w:tc>
        <w:tc>
          <w:tcPr>
            <w:tcW w:type="dxa" w:w="964"/>
          </w:tcPr>
          <w:p>
            <w:pPr>
              <w:spacing w:after="40" w:line="240" w:lineRule="auto"/>
              <w:jc w:val="left"/>
            </w:pPr>
            <w:r/>
            <w:r>
              <w:rPr>
                <w:rFonts w:ascii="Cambria" w:hAnsi="Cambria"/>
                <w:b w:val="0"/>
                <w:sz w:val="18"/>
              </w:rPr>
              <w:t>12</w:t>
            </w:r>
          </w:p>
        </w:tc>
        <w:tc>
          <w:tcPr>
            <w:tcW w:type="dxa" w:w="1077"/>
          </w:tcPr>
          <w:p>
            <w:pPr>
              <w:spacing w:after="40" w:line="240" w:lineRule="auto"/>
              <w:jc w:val="left"/>
            </w:pPr>
            <w:r/>
            <w:r>
              <w:rPr>
                <w:rFonts w:ascii="Cambria" w:hAnsi="Cambria"/>
                <w:b w:val="0"/>
                <w:sz w:val="18"/>
              </w:rPr>
              <w:t>5</w:t>
            </w:r>
          </w:p>
        </w:tc>
        <w:tc>
          <w:tcPr>
            <w:tcW w:type="dxa" w:w="1077"/>
          </w:tcPr>
          <w:p>
            <w:pPr>
              <w:spacing w:after="40" w:line="240" w:lineRule="auto"/>
              <w:jc w:val="left"/>
            </w:pPr>
            <w:r/>
            <w:r>
              <w:rPr>
                <w:rFonts w:ascii="Cambria" w:hAnsi="Cambria"/>
                <w:b w:val="0"/>
                <w:sz w:val="18"/>
              </w:rPr>
              <w:t>18</w:t>
            </w:r>
          </w:p>
        </w:tc>
        <w:tc>
          <w:tcPr>
            <w:tcW w:type="dxa" w:w="1134"/>
          </w:tcPr>
          <w:p>
            <w:pPr>
              <w:spacing w:after="40" w:line="240" w:lineRule="auto"/>
              <w:jc w:val="left"/>
            </w:pPr>
            <w:r/>
            <w:r>
              <w:rPr>
                <w:rFonts w:ascii="Cambria" w:hAnsi="Cambria"/>
                <w:b w:val="0"/>
                <w:sz w:val="18"/>
              </w:rPr>
              <w:t>10</w:t>
            </w:r>
          </w:p>
        </w:tc>
        <w:tc>
          <w:tcPr>
            <w:tcW w:type="dxa" w:w="1134"/>
          </w:tcPr>
          <w:p>
            <w:pPr>
              <w:spacing w:after="40" w:line="240" w:lineRule="auto"/>
              <w:jc w:val="left"/>
            </w:pPr>
            <w:r/>
            <w:r>
              <w:rPr>
                <w:rFonts w:ascii="Cambria" w:hAnsi="Cambria"/>
                <w:b w:val="0"/>
                <w:sz w:val="18"/>
              </w:rPr>
              <w:t>15</w:t>
            </w:r>
          </w:p>
        </w:tc>
        <w:tc>
          <w:tcPr>
            <w:tcW w:type="dxa" w:w="1134"/>
          </w:tcPr>
          <w:p>
            <w:pPr>
              <w:spacing w:after="40" w:line="240" w:lineRule="auto"/>
              <w:jc w:val="left"/>
            </w:pPr>
            <w:r/>
            <w:r>
              <w:rPr>
                <w:rFonts w:ascii="Cambria" w:hAnsi="Cambria"/>
                <w:b w:val="0"/>
                <w:sz w:val="18"/>
              </w:rPr>
              <w:t>2/0</w:t>
            </w:r>
          </w:p>
        </w:tc>
      </w:tr>
      <w:tr>
        <w:tc>
          <w:tcPr>
            <w:tcW w:type="dxa" w:w="1361"/>
            <w:shd w:val="clear" w:color="auto" w:fill="F2F2F2"/>
          </w:tcPr>
          <w:p>
            <w:pPr>
              <w:spacing w:after="40" w:line="240" w:lineRule="auto"/>
              <w:jc w:val="left"/>
            </w:pPr>
            <w:r/>
            <w:r>
              <w:rPr>
                <w:rFonts w:ascii="Cambria" w:hAnsi="Cambria"/>
                <w:b w:val="0"/>
                <w:sz w:val="18"/>
              </w:rPr>
              <w:t>CAYm1 (2023-24)</w:t>
            </w:r>
          </w:p>
        </w:tc>
        <w:tc>
          <w:tcPr>
            <w:tcW w:type="dxa" w:w="1020"/>
            <w:shd w:val="clear" w:color="auto" w:fill="F2F2F2"/>
          </w:tcPr>
          <w:p>
            <w:pPr>
              <w:spacing w:after="40" w:line="240" w:lineRule="auto"/>
              <w:jc w:val="left"/>
            </w:pPr>
            <w:r/>
            <w:r>
              <w:rPr>
                <w:rFonts w:ascii="Cambria" w:hAnsi="Cambria"/>
                <w:b w:val="0"/>
                <w:sz w:val="18"/>
              </w:rPr>
              <w:t>30</w:t>
            </w:r>
          </w:p>
        </w:tc>
        <w:tc>
          <w:tcPr>
            <w:tcW w:type="dxa" w:w="964"/>
            <w:shd w:val="clear" w:color="auto" w:fill="F2F2F2"/>
          </w:tcPr>
          <w:p>
            <w:pPr>
              <w:spacing w:after="40" w:line="240" w:lineRule="auto"/>
              <w:jc w:val="left"/>
            </w:pPr>
            <w:r/>
            <w:r>
              <w:rPr>
                <w:rFonts w:ascii="Cambria" w:hAnsi="Cambria"/>
                <w:b w:val="0"/>
                <w:sz w:val="18"/>
              </w:rPr>
              <w:t>14</w:t>
            </w:r>
          </w:p>
        </w:tc>
        <w:tc>
          <w:tcPr>
            <w:tcW w:type="dxa" w:w="1077"/>
            <w:shd w:val="clear" w:color="auto" w:fill="F2F2F2"/>
          </w:tcPr>
          <w:p>
            <w:pPr>
              <w:spacing w:after="40" w:line="240" w:lineRule="auto"/>
              <w:jc w:val="left"/>
            </w:pPr>
            <w:r/>
            <w:r>
              <w:rPr>
                <w:rFonts w:ascii="Cambria" w:hAnsi="Cambria"/>
                <w:b w:val="0"/>
                <w:sz w:val="18"/>
              </w:rPr>
              <w:t>4</w:t>
            </w:r>
          </w:p>
        </w:tc>
        <w:tc>
          <w:tcPr>
            <w:tcW w:type="dxa" w:w="1077"/>
            <w:shd w:val="clear" w:color="auto" w:fill="F2F2F2"/>
          </w:tcPr>
          <w:p>
            <w:pPr>
              <w:spacing w:after="40" w:line="240" w:lineRule="auto"/>
              <w:jc w:val="left"/>
            </w:pPr>
            <w:r/>
            <w:r>
              <w:rPr>
                <w:rFonts w:ascii="Cambria" w:hAnsi="Cambria"/>
                <w:b w:val="0"/>
                <w:sz w:val="18"/>
              </w:rPr>
              <w:t>25</w:t>
            </w:r>
          </w:p>
        </w:tc>
        <w:tc>
          <w:tcPr>
            <w:tcW w:type="dxa" w:w="1134"/>
            <w:shd w:val="clear" w:color="auto" w:fill="F2F2F2"/>
          </w:tcPr>
          <w:p>
            <w:pPr>
              <w:spacing w:after="40" w:line="240" w:lineRule="auto"/>
              <w:jc w:val="left"/>
            </w:pPr>
            <w:r/>
            <w:r>
              <w:rPr>
                <w:rFonts w:ascii="Cambria" w:hAnsi="Cambria"/>
                <w:b w:val="0"/>
                <w:sz w:val="18"/>
              </w:rPr>
              <w:t>15</w:t>
            </w:r>
          </w:p>
        </w:tc>
        <w:tc>
          <w:tcPr>
            <w:tcW w:type="dxa" w:w="1134"/>
            <w:shd w:val="clear" w:color="auto" w:fill="F2F2F2"/>
          </w:tcPr>
          <w:p>
            <w:pPr>
              <w:spacing w:after="40" w:line="240" w:lineRule="auto"/>
              <w:jc w:val="left"/>
            </w:pPr>
            <w:r/>
            <w:r>
              <w:rPr>
                <w:rFonts w:ascii="Cambria" w:hAnsi="Cambria"/>
                <w:b w:val="0"/>
                <w:sz w:val="18"/>
              </w:rPr>
              <w:t>22</w:t>
            </w:r>
          </w:p>
        </w:tc>
        <w:tc>
          <w:tcPr>
            <w:tcW w:type="dxa" w:w="1134"/>
            <w:shd w:val="clear" w:color="auto" w:fill="F2F2F2"/>
          </w:tcPr>
          <w:p>
            <w:pPr>
              <w:spacing w:after="40" w:line="240" w:lineRule="auto"/>
              <w:jc w:val="left"/>
            </w:pPr>
            <w:r/>
            <w:r>
              <w:rPr>
                <w:rFonts w:ascii="Cambria" w:hAnsi="Cambria"/>
                <w:b w:val="0"/>
                <w:sz w:val="18"/>
              </w:rPr>
              <w:t>3/1</w:t>
            </w:r>
          </w:p>
        </w:tc>
      </w:tr>
      <w:tr>
        <w:tc>
          <w:tcPr>
            <w:tcW w:type="dxa" w:w="1361"/>
          </w:tcPr>
          <w:p>
            <w:pPr>
              <w:spacing w:after="40" w:line="240" w:lineRule="auto"/>
              <w:jc w:val="left"/>
            </w:pPr>
            <w:r/>
            <w:r>
              <w:rPr>
                <w:rFonts w:ascii="Cambria" w:hAnsi="Cambria"/>
                <w:b w:val="0"/>
                <w:sz w:val="18"/>
              </w:rPr>
              <w:t>CAY (2024-25)</w:t>
            </w:r>
          </w:p>
        </w:tc>
        <w:tc>
          <w:tcPr>
            <w:tcW w:type="dxa" w:w="1020"/>
          </w:tcPr>
          <w:p>
            <w:pPr>
              <w:spacing w:after="40" w:line="240" w:lineRule="auto"/>
              <w:jc w:val="left"/>
            </w:pPr>
            <w:r/>
            <w:r>
              <w:rPr>
                <w:rFonts w:ascii="Cambria" w:hAnsi="Cambria"/>
                <w:b w:val="0"/>
                <w:sz w:val="18"/>
              </w:rPr>
              <w:t>31</w:t>
            </w:r>
          </w:p>
        </w:tc>
        <w:tc>
          <w:tcPr>
            <w:tcW w:type="dxa" w:w="964"/>
          </w:tcPr>
          <w:p>
            <w:pPr>
              <w:spacing w:after="40" w:line="240" w:lineRule="auto"/>
              <w:jc w:val="left"/>
            </w:pPr>
            <w:r/>
            <w:r>
              <w:rPr>
                <w:rFonts w:ascii="Cambria" w:hAnsi="Cambria"/>
                <w:b w:val="0"/>
                <w:sz w:val="18"/>
              </w:rPr>
              <w:t>17</w:t>
            </w:r>
          </w:p>
        </w:tc>
        <w:tc>
          <w:tcPr>
            <w:tcW w:type="dxa" w:w="1077"/>
          </w:tcPr>
          <w:p>
            <w:pPr>
              <w:spacing w:after="40" w:line="240" w:lineRule="auto"/>
              <w:jc w:val="left"/>
            </w:pPr>
            <w:r/>
            <w:r>
              <w:rPr>
                <w:rFonts w:ascii="Cambria" w:hAnsi="Cambria"/>
                <w:b w:val="0"/>
                <w:sz w:val="18"/>
              </w:rPr>
              <w:t>3</w:t>
            </w:r>
          </w:p>
        </w:tc>
        <w:tc>
          <w:tcPr>
            <w:tcW w:type="dxa" w:w="1077"/>
          </w:tcPr>
          <w:p>
            <w:pPr>
              <w:spacing w:after="40" w:line="240" w:lineRule="auto"/>
              <w:jc w:val="left"/>
            </w:pPr>
            <w:r/>
            <w:r>
              <w:rPr>
                <w:rFonts w:ascii="Cambria" w:hAnsi="Cambria"/>
                <w:b w:val="0"/>
                <w:sz w:val="18"/>
              </w:rPr>
              <w:t>32</w:t>
            </w:r>
          </w:p>
        </w:tc>
        <w:tc>
          <w:tcPr>
            <w:tcW w:type="dxa" w:w="1134"/>
          </w:tcPr>
          <w:p>
            <w:pPr>
              <w:spacing w:after="40" w:line="240" w:lineRule="auto"/>
              <w:jc w:val="left"/>
            </w:pPr>
            <w:r/>
            <w:r>
              <w:rPr>
                <w:rFonts w:ascii="Cambria" w:hAnsi="Cambria"/>
                <w:b w:val="0"/>
                <w:sz w:val="18"/>
              </w:rPr>
              <w:t>20</w:t>
            </w:r>
          </w:p>
        </w:tc>
        <w:tc>
          <w:tcPr>
            <w:tcW w:type="dxa" w:w="1134"/>
          </w:tcPr>
          <w:p>
            <w:pPr>
              <w:spacing w:after="40" w:line="240" w:lineRule="auto"/>
              <w:jc w:val="left"/>
            </w:pPr>
            <w:r/>
            <w:r>
              <w:rPr>
                <w:rFonts w:ascii="Cambria" w:hAnsi="Cambria"/>
                <w:b w:val="0"/>
                <w:sz w:val="18"/>
              </w:rPr>
              <w:t>30</w:t>
            </w:r>
          </w:p>
        </w:tc>
        <w:tc>
          <w:tcPr>
            <w:tcW w:type="dxa" w:w="1134"/>
          </w:tcPr>
          <w:p>
            <w:pPr>
              <w:spacing w:after="40" w:line="240" w:lineRule="auto"/>
              <w:jc w:val="left"/>
            </w:pPr>
            <w:r/>
            <w:r>
              <w:rPr>
                <w:rFonts w:ascii="Cambria" w:hAnsi="Cambria"/>
                <w:b w:val="0"/>
                <w:sz w:val="18"/>
              </w:rPr>
              <w:t>4/2</w:t>
            </w:r>
          </w:p>
        </w:tc>
      </w:tr>
    </w:tbl>
    <w:p>
      <w:pPr>
        <w:spacing w:after="40"/>
      </w:pPr>
    </w:p>
    <w:p>
      <w:pPr>
        <w:spacing w:after="80" w:line="276" w:lineRule="auto"/>
      </w:pPr>
      <w:r>
        <w:rPr>
          <w:rFonts w:ascii="Cambria" w:hAnsi="Cambria"/>
          <w:b/>
          <w:i w:val="0"/>
          <w:sz w:val="22"/>
        </w:rPr>
        <w:t>Observation:</w:t>
      </w:r>
    </w:p>
    <w:p>
      <w:pPr>
        <w:pStyle w:val="ListBullet"/>
        <w:spacing w:after="80" w:line="276" w:lineRule="auto"/>
      </w:pPr>
      <w:r>
        <w:rPr>
          <w:rFonts w:ascii="Cambria" w:hAnsi="Cambria"/>
          <w:b w:val="0"/>
          <w:i w:val="0"/>
          <w:sz w:val="22"/>
        </w:rPr>
        <w:t>Ph.D. holders increased from 12 → 17 (improvement of 5 faculty).</w:t>
      </w:r>
    </w:p>
    <w:p>
      <w:pPr>
        <w:pStyle w:val="ListBullet"/>
        <w:spacing w:after="80" w:line="276" w:lineRule="auto"/>
      </w:pPr>
      <w:r>
        <w:rPr>
          <w:rFonts w:ascii="Cambria" w:hAnsi="Cambria"/>
          <w:b w:val="0"/>
          <w:i w:val="0"/>
          <w:sz w:val="22"/>
        </w:rPr>
        <w:t>Publications increased from 28 → 52.</w:t>
      </w:r>
    </w:p>
    <w:p>
      <w:pPr>
        <w:pStyle w:val="ListBullet"/>
        <w:spacing w:after="80" w:line="276" w:lineRule="auto"/>
      </w:pPr>
      <w:r>
        <w:rPr>
          <w:rFonts w:ascii="Cambria" w:hAnsi="Cambria"/>
          <w:b w:val="0"/>
          <w:i w:val="0"/>
          <w:sz w:val="22"/>
        </w:rPr>
        <w:t>FDP participation doubled.</w:t>
      </w:r>
    </w:p>
    <w:p>
      <w:pPr>
        <w:pStyle w:val="ListBullet"/>
        <w:spacing w:after="80" w:line="276" w:lineRule="auto"/>
      </w:pPr>
      <w:r>
        <w:rPr>
          <w:rFonts w:ascii="Cambria" w:hAnsi="Cambria"/>
          <w:b w:val="0"/>
          <w:i w:val="0"/>
          <w:sz w:val="22"/>
        </w:rPr>
        <w:t>Patents granted increased (0 → 2).</w:t>
      </w:r>
    </w:p>
    <w:p>
      <w:pPr>
        <w:pStyle w:val="Heading3"/>
      </w:pPr>
      <w:r>
        <w:rPr>
          <w:rFonts w:ascii="Cambria" w:hAnsi="Cambria"/>
          <w:b/>
          <w:color w:val="1F3A5F"/>
          <w:sz w:val="26"/>
        </w:rPr>
        <w:t>5. Documentation &amp; Evidence</w:t>
      </w:r>
    </w:p>
    <w:p>
      <w:pPr>
        <w:pStyle w:val="ListBullet"/>
        <w:spacing w:after="80" w:line="276" w:lineRule="auto"/>
      </w:pPr>
      <w:r>
        <w:rPr>
          <w:rFonts w:ascii="Cambria" w:hAnsi="Cambria"/>
          <w:b w:val="0"/>
          <w:i w:val="0"/>
          <w:sz w:val="22"/>
        </w:rPr>
        <w:t>Ph.D. award letters / registration certificates.</w:t>
      </w:r>
    </w:p>
    <w:p>
      <w:pPr>
        <w:pStyle w:val="ListBullet"/>
        <w:spacing w:after="80" w:line="276" w:lineRule="auto"/>
      </w:pPr>
      <w:r>
        <w:rPr>
          <w:rFonts w:ascii="Cambria" w:hAnsi="Cambria"/>
          <w:b w:val="0"/>
          <w:i w:val="0"/>
          <w:sz w:val="22"/>
        </w:rPr>
        <w:t>Publication proofs (DOI, Scopus/WoS indexing).</w:t>
      </w:r>
    </w:p>
    <w:p>
      <w:pPr>
        <w:pStyle w:val="ListBullet"/>
        <w:spacing w:after="80" w:line="276" w:lineRule="auto"/>
      </w:pPr>
      <w:r>
        <w:rPr>
          <w:rFonts w:ascii="Cambria" w:hAnsi="Cambria"/>
          <w:b w:val="0"/>
          <w:i w:val="0"/>
          <w:sz w:val="22"/>
        </w:rPr>
        <w:t>Certificates of FDP/STTP/MOOCs completed.</w:t>
      </w:r>
    </w:p>
    <w:p>
      <w:pPr>
        <w:pStyle w:val="ListBullet"/>
        <w:spacing w:after="80" w:line="276" w:lineRule="auto"/>
      </w:pPr>
      <w:r>
        <w:rPr>
          <w:rFonts w:ascii="Cambria" w:hAnsi="Cambria"/>
          <w:b w:val="0"/>
          <w:i w:val="0"/>
          <w:sz w:val="22"/>
        </w:rPr>
        <w:t>Grant sanction letters (funded projects/consultancy).</w:t>
      </w:r>
    </w:p>
    <w:p>
      <w:pPr>
        <w:pStyle w:val="ListBullet"/>
        <w:spacing w:after="80" w:line="276" w:lineRule="auto"/>
      </w:pPr>
      <w:r>
        <w:rPr>
          <w:rFonts w:ascii="Cambria" w:hAnsi="Cambria"/>
          <w:b w:val="0"/>
          <w:i w:val="0"/>
          <w:sz w:val="22"/>
        </w:rPr>
        <w:t>Patent certificates filed/granted.</w:t>
      </w:r>
    </w:p>
    <w:p>
      <w:pPr>
        <w:pStyle w:val="Heading3"/>
      </w:pPr>
      <w:r>
        <w:rPr>
          <w:rFonts w:ascii="Cambria" w:hAnsi="Cambria"/>
          <w:b/>
          <w:color w:val="1F3A5F"/>
          <w:sz w:val="26"/>
        </w:rPr>
        <w:t>6. NBA Marking Scheme (15 Marks)</w:t>
      </w:r>
    </w:p>
    <w:p>
      <w:pPr>
        <w:pStyle w:val="ListBullet"/>
        <w:spacing w:after="80" w:line="276" w:lineRule="auto"/>
      </w:pPr>
      <w:r>
        <w:rPr>
          <w:rFonts w:ascii="Cambria" w:hAnsi="Cambria"/>
          <w:b/>
          <w:i w:val="0"/>
          <w:sz w:val="22"/>
        </w:rPr>
        <w:t>Faculty Qualification Improvement → 5 Marks</w:t>
      </w:r>
    </w:p>
    <w:p>
      <w:pPr>
        <w:pStyle w:val="ListBullet2"/>
        <w:spacing w:after="80" w:line="276" w:lineRule="auto"/>
      </w:pPr>
      <w:r>
        <w:rPr>
          <w:rFonts w:ascii="Cambria" w:hAnsi="Cambria"/>
          <w:b w:val="0"/>
          <w:i w:val="0"/>
          <w:sz w:val="22"/>
        </w:rPr>
        <w:t>More faculty acquiring Ph.D./higher degrees.</w:t>
      </w:r>
    </w:p>
    <w:p>
      <w:pPr>
        <w:pStyle w:val="ListBullet"/>
        <w:spacing w:after="80" w:line="276" w:lineRule="auto"/>
      </w:pPr>
      <w:r>
        <w:rPr>
          <w:rFonts w:ascii="Cambria" w:hAnsi="Cambria"/>
          <w:b/>
          <w:i w:val="0"/>
          <w:sz w:val="22"/>
        </w:rPr>
        <w:t>Faculty Publications (Quality &amp; Quantity) → 5 Marks</w:t>
      </w:r>
    </w:p>
    <w:p>
      <w:pPr>
        <w:pStyle w:val="ListBullet2"/>
        <w:spacing w:after="80" w:line="276" w:lineRule="auto"/>
      </w:pPr>
      <w:r>
        <w:rPr>
          <w:rFonts w:ascii="Cambria" w:hAnsi="Cambria"/>
          <w:b w:val="0"/>
          <w:i w:val="0"/>
          <w:sz w:val="22"/>
        </w:rPr>
        <w:t>Indexed journals, patents, books, conferences.</w:t>
      </w:r>
    </w:p>
    <w:p>
      <w:pPr>
        <w:pStyle w:val="ListBullet"/>
        <w:spacing w:after="80" w:line="276" w:lineRule="auto"/>
      </w:pPr>
      <w:r>
        <w:rPr>
          <w:rFonts w:ascii="Cambria" w:hAnsi="Cambria"/>
          <w:b/>
          <w:i w:val="0"/>
          <w:sz w:val="22"/>
        </w:rPr>
        <w:t>Other Contributions (FDPs, funded projects, consultancy, curriculum, professional memberships) → 5 Marks</w:t>
      </w:r>
    </w:p>
    <w:p>
      <w:pPr>
        <w:pStyle w:val="Heading3"/>
      </w:pPr>
      <w:r>
        <w:rPr>
          <w:rFonts w:ascii="Cambria" w:hAnsi="Cambria"/>
          <w:b/>
          <w:color w:val="1F3A5F"/>
          <w:sz w:val="26"/>
        </w:rPr>
        <w:t>7. Impact on Department</w:t>
      </w:r>
    </w:p>
    <w:p>
      <w:pPr>
        <w:pStyle w:val="ListBullet"/>
        <w:spacing w:after="80" w:line="276" w:lineRule="auto"/>
      </w:pPr>
      <w:r>
        <w:rPr>
          <w:rFonts w:ascii="Cambria" w:hAnsi="Cambria"/>
          <w:b w:val="0"/>
          <w:i w:val="0"/>
          <w:sz w:val="22"/>
        </w:rPr>
        <w:t>Strengthened research culture.</w:t>
      </w:r>
    </w:p>
    <w:p>
      <w:pPr>
        <w:pStyle w:val="ListBullet"/>
        <w:spacing w:after="80" w:line="276" w:lineRule="auto"/>
      </w:pPr>
      <w:r>
        <w:rPr>
          <w:rFonts w:ascii="Cambria" w:hAnsi="Cambria"/>
          <w:b w:val="0"/>
          <w:i w:val="0"/>
          <w:sz w:val="22"/>
        </w:rPr>
        <w:t>Enhanced student learning and mentoring (Ph.D. guides supervising UG/PG projects).</w:t>
      </w:r>
    </w:p>
    <w:p>
      <w:pPr>
        <w:pStyle w:val="ListBullet"/>
        <w:spacing w:after="80" w:line="276" w:lineRule="auto"/>
      </w:pPr>
      <w:r>
        <w:rPr>
          <w:rFonts w:ascii="Cambria" w:hAnsi="Cambria"/>
          <w:b w:val="0"/>
          <w:i w:val="0"/>
          <w:sz w:val="22"/>
        </w:rPr>
        <w:t>Improved placements, higher studies, and innovation activities.</w:t>
      </w:r>
    </w:p>
    <w:p>
      <w:pPr>
        <w:pStyle w:val="ListBullet"/>
        <w:spacing w:after="80" w:line="276" w:lineRule="auto"/>
      </w:pPr>
      <w:r>
        <w:rPr>
          <w:rFonts w:ascii="Cambria" w:hAnsi="Cambria"/>
          <w:b w:val="0"/>
          <w:i w:val="0"/>
          <w:sz w:val="22"/>
        </w:rPr>
        <w:t>Better academic reputation of department.</w:t>
      </w:r>
    </w:p>
    <w:p>
      <w:pPr>
        <w:pStyle w:val="Heading3"/>
      </w:pPr>
      <w:r>
        <w:rPr>
          <w:rFonts w:ascii="Cambria" w:hAnsi="Cambria"/>
          <w:b/>
          <w:color w:val="1F3A5F"/>
          <w:sz w:val="26"/>
        </w:rPr>
        <w:t>8. Structure for Documentation</w:t>
      </w:r>
    </w:p>
    <w:p>
      <w:pPr>
        <w:spacing w:after="120" w:line="276" w:lineRule="auto"/>
      </w:pPr>
      <w:r>
        <w:rPr>
          <w:rFonts w:ascii="Cambria" w:hAnsi="Cambria"/>
          <w:b w:val="0"/>
          <w:i w:val="0"/>
          <w:sz w:val="22"/>
        </w:rPr>
        <w:t>A simple tabular format is used in SAR/annexures:</w:t>
      </w:r>
    </w:p>
    <w:tbl>
      <w:tblPr>
        <w:tblStyle w:val="TableGrid"/>
        <w:tblW w:type="auto" w:w="0"/>
        <w:jc w:val="center"/>
        <w:tblLayout w:type="fixed"/>
        <w:tblLook w:firstColumn="1" w:firstRow="1" w:lastColumn="0" w:lastRow="0" w:noHBand="0" w:noVBand="1" w:val="04A0"/>
        <w:tblLayout w:type="fixed"/>
      </w:tblPr>
      <w:tblGrid>
        <w:gridCol w:w="3175"/>
        <w:gridCol w:w="1191"/>
        <w:gridCol w:w="1191"/>
        <w:gridCol w:w="1191"/>
        <w:gridCol w:w="2438"/>
      </w:tblGrid>
      <w:tr>
        <w:tc>
          <w:tcPr>
            <w:tcW w:type="dxa" w:w="3175"/>
            <w:shd w:val="clear" w:color="auto" w:fill="1F3A5F"/>
          </w:tcPr>
          <w:p>
            <w:pPr>
              <w:spacing w:after="40" w:line="240" w:lineRule="auto"/>
              <w:jc w:val="center"/>
            </w:pPr>
            <w:r/>
            <w:r>
              <w:rPr>
                <w:rFonts w:ascii="Cambria" w:hAnsi="Cambria"/>
                <w:b/>
                <w:color w:val="FFFFFF"/>
                <w:sz w:val="19"/>
              </w:rPr>
              <w:t>Item</w:t>
            </w:r>
          </w:p>
        </w:tc>
        <w:tc>
          <w:tcPr>
            <w:tcW w:type="dxa" w:w="1191"/>
            <w:shd w:val="clear" w:color="auto" w:fill="1F3A5F"/>
          </w:tcPr>
          <w:p>
            <w:pPr>
              <w:spacing w:after="40" w:line="240" w:lineRule="auto"/>
              <w:jc w:val="center"/>
            </w:pPr>
            <w:r/>
            <w:r>
              <w:rPr>
                <w:rFonts w:ascii="Cambria" w:hAnsi="Cambria"/>
                <w:b/>
                <w:color w:val="FFFFFF"/>
                <w:sz w:val="19"/>
              </w:rPr>
              <w:t>CAYm1</w:t>
              <w:br/>
              <w:t>(2023-24)</w:t>
            </w:r>
          </w:p>
        </w:tc>
        <w:tc>
          <w:tcPr>
            <w:tcW w:type="dxa" w:w="1191"/>
            <w:shd w:val="clear" w:color="auto" w:fill="1F3A5F"/>
          </w:tcPr>
          <w:p>
            <w:pPr>
              <w:spacing w:after="40" w:line="240" w:lineRule="auto"/>
              <w:jc w:val="center"/>
            </w:pPr>
            <w:r/>
            <w:r>
              <w:rPr>
                <w:rFonts w:ascii="Cambria" w:hAnsi="Cambria"/>
                <w:b/>
                <w:color w:val="FFFFFF"/>
                <w:sz w:val="19"/>
              </w:rPr>
              <w:t>CAYm2</w:t>
              <w:br/>
              <w:t>(2022-23)</w:t>
            </w:r>
          </w:p>
        </w:tc>
        <w:tc>
          <w:tcPr>
            <w:tcW w:type="dxa" w:w="1191"/>
            <w:shd w:val="clear" w:color="auto" w:fill="1F3A5F"/>
          </w:tcPr>
          <w:p>
            <w:pPr>
              <w:spacing w:after="40" w:line="240" w:lineRule="auto"/>
              <w:jc w:val="center"/>
            </w:pPr>
            <w:r/>
            <w:r>
              <w:rPr>
                <w:rFonts w:ascii="Cambria" w:hAnsi="Cambria"/>
                <w:b/>
                <w:color w:val="FFFFFF"/>
                <w:sz w:val="19"/>
              </w:rPr>
              <w:t>CAYm3</w:t>
              <w:br/>
              <w:t>(2021-22)</w:t>
            </w:r>
          </w:p>
        </w:tc>
        <w:tc>
          <w:tcPr>
            <w:tcW w:type="dxa" w:w="2438"/>
            <w:shd w:val="clear" w:color="auto" w:fill="1F3A5F"/>
          </w:tcPr>
          <w:p>
            <w:pPr>
              <w:spacing w:after="40" w:line="240" w:lineRule="auto"/>
              <w:jc w:val="center"/>
            </w:pPr>
            <w:r/>
            <w:r>
              <w:rPr>
                <w:rFonts w:ascii="Cambria" w:hAnsi="Cambria"/>
                <w:b/>
                <w:color w:val="FFFFFF"/>
                <w:sz w:val="19"/>
              </w:rPr>
              <w:t>Observation/Improvement</w:t>
            </w:r>
          </w:p>
        </w:tc>
      </w:tr>
      <w:tr>
        <w:tc>
          <w:tcPr>
            <w:tcW w:type="dxa" w:w="3175"/>
          </w:tcPr>
          <w:p>
            <w:pPr>
              <w:spacing w:after="40" w:line="240" w:lineRule="auto"/>
              <w:jc w:val="left"/>
            </w:pPr>
            <w:r/>
            <w:r>
              <w:rPr>
                <w:rFonts w:ascii="Cambria" w:hAnsi="Cambria"/>
                <w:b w:val="0"/>
                <w:sz w:val="18"/>
              </w:rPr>
              <w:t>No. of faculty members with Ph.D. degree</w:t>
            </w:r>
          </w:p>
        </w:tc>
        <w:tc>
          <w:tcPr>
            <w:tcW w:type="dxa" w:w="1191"/>
          </w:tcPr>
          <w:p>
            <w:pPr>
              <w:spacing w:after="40" w:line="240" w:lineRule="auto"/>
              <w:jc w:val="left"/>
            </w:pPr>
            <w:r/>
            <w:r>
              <w:rPr>
                <w:rFonts w:ascii="Cambria" w:hAnsi="Cambria"/>
                <w:b w:val="0"/>
                <w:sz w:val="18"/>
              </w:rPr>
              <w:t>14</w:t>
            </w:r>
          </w:p>
        </w:tc>
        <w:tc>
          <w:tcPr>
            <w:tcW w:type="dxa" w:w="1191"/>
          </w:tcPr>
          <w:p>
            <w:pPr>
              <w:spacing w:after="40" w:line="240" w:lineRule="auto"/>
              <w:jc w:val="left"/>
            </w:pPr>
            <w:r/>
            <w:r>
              <w:rPr>
                <w:rFonts w:ascii="Cambria" w:hAnsi="Cambria"/>
                <w:b w:val="0"/>
                <w:sz w:val="18"/>
              </w:rPr>
              <w:t>12</w:t>
            </w:r>
          </w:p>
        </w:tc>
        <w:tc>
          <w:tcPr>
            <w:tcW w:type="dxa" w:w="1191"/>
          </w:tcPr>
          <w:p>
            <w:pPr>
              <w:spacing w:after="40" w:line="240" w:lineRule="auto"/>
              <w:jc w:val="left"/>
            </w:pPr>
            <w:r/>
            <w:r>
              <w:rPr>
                <w:rFonts w:ascii="Cambria" w:hAnsi="Cambria"/>
                <w:b w:val="0"/>
                <w:sz w:val="18"/>
              </w:rPr>
              <w:t>10</w:t>
            </w:r>
          </w:p>
        </w:tc>
        <w:tc>
          <w:tcPr>
            <w:tcW w:type="dxa" w:w="2438"/>
          </w:tcPr>
          <w:p>
            <w:pPr>
              <w:spacing w:after="40" w:line="240" w:lineRule="auto"/>
              <w:jc w:val="left"/>
            </w:pPr>
            <w:r/>
            <w:r>
              <w:rPr>
                <w:rFonts w:ascii="Cambria" w:hAnsi="Cambria"/>
                <w:b w:val="0"/>
                <w:sz w:val="18"/>
              </w:rPr>
              <w:t>Increased by 4 (40%) in 3 years</w:t>
            </w:r>
          </w:p>
        </w:tc>
      </w:tr>
      <w:tr>
        <w:tc>
          <w:tcPr>
            <w:tcW w:type="dxa" w:w="3175"/>
            <w:shd w:val="clear" w:color="auto" w:fill="F2F2F2"/>
          </w:tcPr>
          <w:p>
            <w:pPr>
              <w:spacing w:after="40" w:line="240" w:lineRule="auto"/>
              <w:jc w:val="left"/>
            </w:pPr>
            <w:r/>
            <w:r>
              <w:rPr>
                <w:rFonts w:ascii="Cambria" w:hAnsi="Cambria"/>
                <w:b w:val="0"/>
                <w:sz w:val="18"/>
              </w:rPr>
              <w:t>No. of publications in peer-reviewed journals</w:t>
            </w:r>
          </w:p>
        </w:tc>
        <w:tc>
          <w:tcPr>
            <w:tcW w:type="dxa" w:w="1191"/>
            <w:shd w:val="clear" w:color="auto" w:fill="F2F2F2"/>
          </w:tcPr>
          <w:p>
            <w:pPr>
              <w:spacing w:after="40" w:line="240" w:lineRule="auto"/>
              <w:jc w:val="left"/>
            </w:pPr>
            <w:r/>
            <w:r>
              <w:rPr>
                <w:rFonts w:ascii="Cambria" w:hAnsi="Cambria"/>
                <w:b w:val="0"/>
                <w:sz w:val="18"/>
              </w:rPr>
              <w:t>25</w:t>
            </w:r>
          </w:p>
        </w:tc>
        <w:tc>
          <w:tcPr>
            <w:tcW w:type="dxa" w:w="1191"/>
            <w:shd w:val="clear" w:color="auto" w:fill="F2F2F2"/>
          </w:tcPr>
          <w:p>
            <w:pPr>
              <w:spacing w:after="40" w:line="240" w:lineRule="auto"/>
              <w:jc w:val="left"/>
            </w:pPr>
            <w:r/>
            <w:r>
              <w:rPr>
                <w:rFonts w:ascii="Cambria" w:hAnsi="Cambria"/>
                <w:b w:val="0"/>
                <w:sz w:val="18"/>
              </w:rPr>
              <w:t>18</w:t>
            </w:r>
          </w:p>
        </w:tc>
        <w:tc>
          <w:tcPr>
            <w:tcW w:type="dxa" w:w="1191"/>
            <w:shd w:val="clear" w:color="auto" w:fill="F2F2F2"/>
          </w:tcPr>
          <w:p>
            <w:pPr>
              <w:spacing w:after="40" w:line="240" w:lineRule="auto"/>
              <w:jc w:val="left"/>
            </w:pPr>
            <w:r/>
            <w:r>
              <w:rPr>
                <w:rFonts w:ascii="Cambria" w:hAnsi="Cambria"/>
                <w:b w:val="0"/>
                <w:sz w:val="18"/>
              </w:rPr>
              <w:t>15</w:t>
            </w:r>
          </w:p>
        </w:tc>
        <w:tc>
          <w:tcPr>
            <w:tcW w:type="dxa" w:w="2438"/>
            <w:shd w:val="clear" w:color="auto" w:fill="F2F2F2"/>
          </w:tcPr>
          <w:p>
            <w:pPr>
              <w:spacing w:after="40" w:line="240" w:lineRule="auto"/>
              <w:jc w:val="left"/>
            </w:pPr>
            <w:r/>
            <w:r>
              <w:rPr>
                <w:rFonts w:ascii="Cambria" w:hAnsi="Cambria"/>
                <w:b w:val="0"/>
                <w:sz w:val="18"/>
              </w:rPr>
              <w:t>Steady rise due to FDPs &amp; research encouragement</w:t>
            </w:r>
          </w:p>
        </w:tc>
      </w:tr>
      <w:tr>
        <w:tc>
          <w:tcPr>
            <w:tcW w:type="dxa" w:w="3175"/>
          </w:tcPr>
          <w:p>
            <w:pPr>
              <w:spacing w:after="40" w:line="240" w:lineRule="auto"/>
              <w:jc w:val="left"/>
            </w:pPr>
            <w:r/>
            <w:r>
              <w:rPr>
                <w:rFonts w:ascii="Cambria" w:hAnsi="Cambria"/>
                <w:b w:val="0"/>
                <w:sz w:val="18"/>
              </w:rPr>
              <w:t>No. of publications in conferences</w:t>
            </w:r>
          </w:p>
        </w:tc>
        <w:tc>
          <w:tcPr>
            <w:tcW w:type="dxa" w:w="1191"/>
          </w:tcPr>
          <w:p>
            <w:pPr>
              <w:spacing w:after="40" w:line="240" w:lineRule="auto"/>
              <w:jc w:val="left"/>
            </w:pPr>
            <w:r/>
            <w:r>
              <w:rPr>
                <w:rFonts w:ascii="Cambria" w:hAnsi="Cambria"/>
                <w:b w:val="0"/>
                <w:sz w:val="18"/>
              </w:rPr>
              <w:t>15</w:t>
            </w:r>
          </w:p>
        </w:tc>
        <w:tc>
          <w:tcPr>
            <w:tcW w:type="dxa" w:w="1191"/>
          </w:tcPr>
          <w:p>
            <w:pPr>
              <w:spacing w:after="40" w:line="240" w:lineRule="auto"/>
              <w:jc w:val="left"/>
            </w:pPr>
            <w:r/>
            <w:r>
              <w:rPr>
                <w:rFonts w:ascii="Cambria" w:hAnsi="Cambria"/>
                <w:b w:val="0"/>
                <w:sz w:val="18"/>
              </w:rPr>
              <w:t>12</w:t>
            </w:r>
          </w:p>
        </w:tc>
        <w:tc>
          <w:tcPr>
            <w:tcW w:type="dxa" w:w="1191"/>
          </w:tcPr>
          <w:p>
            <w:pPr>
              <w:spacing w:after="40" w:line="240" w:lineRule="auto"/>
              <w:jc w:val="left"/>
            </w:pPr>
            <w:r/>
            <w:r>
              <w:rPr>
                <w:rFonts w:ascii="Cambria" w:hAnsi="Cambria"/>
                <w:b w:val="0"/>
                <w:sz w:val="18"/>
              </w:rPr>
              <w:t>9</w:t>
            </w:r>
          </w:p>
        </w:tc>
        <w:tc>
          <w:tcPr>
            <w:tcW w:type="dxa" w:w="2438"/>
          </w:tcPr>
          <w:p>
            <w:pPr>
              <w:spacing w:after="40" w:line="240" w:lineRule="auto"/>
              <w:jc w:val="left"/>
            </w:pPr>
            <w:r/>
            <w:r>
              <w:rPr>
                <w:rFonts w:ascii="Cambria" w:hAnsi="Cambria"/>
                <w:b w:val="0"/>
                <w:sz w:val="18"/>
              </w:rPr>
              <w:t>Growth trend (+66% in 3 years)</w:t>
            </w:r>
          </w:p>
        </w:tc>
      </w:tr>
    </w:tbl>
    <w:p>
      <w:pPr>
        <w:spacing w:after="40"/>
      </w:pPr>
    </w:p>
    <w:p>
      <w:pPr>
        <w:pStyle w:val="Heading3"/>
      </w:pPr>
      <w:r>
        <w:rPr>
          <w:rFonts w:ascii="Cambria" w:hAnsi="Cambria"/>
          <w:b/>
          <w:color w:val="1F3A5F"/>
          <w:sz w:val="26"/>
        </w:rPr>
        <w:t>9. Explanation for NBA Report</w:t>
      </w:r>
    </w:p>
    <w:p>
      <w:pPr>
        <w:pStyle w:val="ListBullet"/>
        <w:spacing w:after="80" w:line="276" w:lineRule="auto"/>
      </w:pPr>
      <w:r>
        <w:rPr>
          <w:rFonts w:ascii="Cambria" w:hAnsi="Cambria"/>
          <w:b/>
          <w:i w:val="0"/>
          <w:sz w:val="22"/>
        </w:rPr>
        <w:t>Faculty with Ph.D.</w:t>
      </w:r>
    </w:p>
    <w:p>
      <w:pPr>
        <w:pStyle w:val="ListBullet2"/>
        <w:spacing w:after="80" w:line="276" w:lineRule="auto"/>
      </w:pPr>
      <w:r>
        <w:rPr>
          <w:rFonts w:ascii="Cambria" w:hAnsi="Cambria"/>
          <w:b w:val="0"/>
          <w:i w:val="0"/>
          <w:sz w:val="22"/>
        </w:rPr>
        <w:t>Shows continuous improvement in qualification (enrollments, completions).</w:t>
      </w:r>
    </w:p>
    <w:p>
      <w:pPr>
        <w:pStyle w:val="ListBullet2"/>
        <w:spacing w:after="80" w:line="276" w:lineRule="auto"/>
      </w:pPr>
      <w:r>
        <w:rPr>
          <w:rFonts w:ascii="Cambria" w:hAnsi="Cambria"/>
          <w:b w:val="0"/>
          <w:i w:val="0"/>
          <w:sz w:val="22"/>
        </w:rPr>
        <w:t>Demonstrates the department’s growing research capacity.</w:t>
      </w:r>
    </w:p>
    <w:p>
      <w:pPr>
        <w:pStyle w:val="ListBullet"/>
        <w:spacing w:after="80" w:line="276" w:lineRule="auto"/>
      </w:pPr>
      <w:r>
        <w:rPr>
          <w:rFonts w:ascii="Cambria" w:hAnsi="Cambria"/>
          <w:b/>
          <w:i w:val="0"/>
          <w:sz w:val="22"/>
        </w:rPr>
        <w:t>Peer-reviewed Journal Publications</w:t>
      </w:r>
    </w:p>
    <w:p>
      <w:pPr>
        <w:pStyle w:val="ListBullet2"/>
        <w:spacing w:after="80" w:line="276" w:lineRule="auto"/>
      </w:pPr>
      <w:r>
        <w:rPr>
          <w:rFonts w:ascii="Cambria" w:hAnsi="Cambria"/>
          <w:b w:val="0"/>
          <w:i w:val="0"/>
          <w:sz w:val="22"/>
        </w:rPr>
        <w:t>Quality research dissemination in Scopus/WoS/SCI journals.</w:t>
      </w:r>
    </w:p>
    <w:p>
      <w:pPr>
        <w:pStyle w:val="ListBullet2"/>
        <w:spacing w:after="80" w:line="276" w:lineRule="auto"/>
      </w:pPr>
      <w:r>
        <w:rPr>
          <w:rFonts w:ascii="Cambria" w:hAnsi="Cambria"/>
          <w:b w:val="0"/>
          <w:i w:val="0"/>
          <w:sz w:val="22"/>
        </w:rPr>
        <w:t>Evidence of stronger research culture and faculty contributions.</w:t>
      </w:r>
    </w:p>
    <w:p>
      <w:pPr>
        <w:pStyle w:val="ListBullet"/>
        <w:spacing w:after="80" w:line="276" w:lineRule="auto"/>
      </w:pPr>
      <w:r>
        <w:rPr>
          <w:rFonts w:ascii="Cambria" w:hAnsi="Cambria"/>
          <w:b/>
          <w:i w:val="0"/>
          <w:sz w:val="22"/>
        </w:rPr>
        <w:t>Conference Publications</w:t>
      </w:r>
    </w:p>
    <w:p>
      <w:pPr>
        <w:pStyle w:val="ListBullet2"/>
        <w:spacing w:after="80" w:line="276" w:lineRule="auto"/>
      </w:pPr>
      <w:r>
        <w:rPr>
          <w:rFonts w:ascii="Cambria" w:hAnsi="Cambria"/>
          <w:b w:val="0"/>
          <w:i w:val="0"/>
          <w:sz w:val="22"/>
        </w:rPr>
        <w:t>Increased participation in national/international conferences.</w:t>
      </w:r>
    </w:p>
    <w:p>
      <w:pPr>
        <w:pStyle w:val="ListBullet2"/>
        <w:spacing w:after="80" w:line="276" w:lineRule="auto"/>
      </w:pPr>
      <w:r>
        <w:rPr>
          <w:rFonts w:ascii="Cambria" w:hAnsi="Cambria"/>
          <w:b w:val="0"/>
          <w:i w:val="0"/>
          <w:sz w:val="22"/>
        </w:rPr>
        <w:t>Faculty and students presenting papers enhances visibility.</w:t>
      </w:r>
    </w:p>
    <w:p>
      <w:pPr>
        <w:pStyle w:val="Heading3"/>
      </w:pPr>
      <w:r>
        <w:rPr>
          <w:rFonts w:ascii="Cambria" w:hAnsi="Cambria"/>
          <w:b/>
          <w:color w:val="1F3A5F"/>
          <w:sz w:val="26"/>
        </w:rPr>
        <w:t>10. Evidence Required</w:t>
      </w:r>
    </w:p>
    <w:p>
      <w:pPr>
        <w:pStyle w:val="ListBullet"/>
        <w:spacing w:after="80" w:line="276" w:lineRule="auto"/>
      </w:pPr>
      <w:r>
        <w:rPr>
          <w:rFonts w:ascii="Cambria" w:hAnsi="Cambria"/>
          <w:b w:val="0"/>
          <w:i w:val="0"/>
          <w:sz w:val="22"/>
        </w:rPr>
        <w:t>Ph.D. award/registration letters.</w:t>
      </w:r>
    </w:p>
    <w:p>
      <w:pPr>
        <w:pStyle w:val="ListBullet"/>
        <w:spacing w:after="80" w:line="276" w:lineRule="auto"/>
      </w:pPr>
      <w:r>
        <w:rPr>
          <w:rFonts w:ascii="Cambria" w:hAnsi="Cambria"/>
          <w:b w:val="0"/>
          <w:i w:val="0"/>
          <w:sz w:val="22"/>
        </w:rPr>
        <w:t>Publication proofs (DOI, ISSN, indexing).</w:t>
      </w:r>
    </w:p>
    <w:p>
      <w:pPr>
        <w:pStyle w:val="ListBullet"/>
        <w:spacing w:after="80" w:line="276" w:lineRule="auto"/>
      </w:pPr>
      <w:r>
        <w:rPr>
          <w:rFonts w:ascii="Cambria" w:hAnsi="Cambria"/>
          <w:b w:val="0"/>
          <w:i w:val="0"/>
          <w:sz w:val="22"/>
        </w:rPr>
        <w:t>Conference proceedings/acceptance letters.</w:t>
      </w:r>
    </w:p>
    <w:p>
      <w:pPr>
        <w:pStyle w:val="ListBullet"/>
        <w:spacing w:after="80" w:line="276" w:lineRule="auto"/>
      </w:pPr>
      <w:r>
        <w:rPr>
          <w:rFonts w:ascii="Cambria" w:hAnsi="Cambria"/>
          <w:b w:val="0"/>
          <w:i w:val="0"/>
          <w:sz w:val="22"/>
        </w:rPr>
        <w:t>Faculty database with updated qualifications.</w:t>
      </w:r>
    </w:p>
    <w:p>
      <w:pPr>
        <w:pStyle w:val="Heading3"/>
      </w:pPr>
      <w:r>
        <w:rPr>
          <w:rFonts w:ascii="Cambria" w:hAnsi="Cambria"/>
          <w:b/>
          <w:color w:val="1F3A5F"/>
          <w:sz w:val="26"/>
        </w:rPr>
        <w:t>11. NBA Scoring (out of 15 marks)</w:t>
      </w:r>
    </w:p>
    <w:p>
      <w:pPr>
        <w:pStyle w:val="ListBullet"/>
        <w:spacing w:after="80" w:line="276" w:lineRule="auto"/>
      </w:pPr>
      <w:r>
        <w:rPr>
          <w:rFonts w:ascii="Cambria" w:hAnsi="Cambria"/>
          <w:b w:val="0"/>
          <w:i w:val="0"/>
          <w:sz w:val="22"/>
        </w:rPr>
        <w:t>Improvement in faculty qualification (Ph.D. holders) → ~5 marks.</w:t>
      </w:r>
    </w:p>
    <w:p>
      <w:pPr>
        <w:pStyle w:val="ListBullet"/>
        <w:spacing w:after="80" w:line="276" w:lineRule="auto"/>
      </w:pPr>
      <w:r>
        <w:rPr>
          <w:rFonts w:ascii="Cambria" w:hAnsi="Cambria"/>
          <w:b w:val="0"/>
          <w:i w:val="0"/>
          <w:sz w:val="22"/>
        </w:rPr>
        <w:t>Improvement in peer-reviewed journal publications → ~5 marks.</w:t>
      </w:r>
    </w:p>
    <w:p>
      <w:pPr>
        <w:pStyle w:val="ListBullet"/>
        <w:spacing w:after="80" w:line="276" w:lineRule="auto"/>
      </w:pPr>
      <w:r>
        <w:rPr>
          <w:rFonts w:ascii="Cambria" w:hAnsi="Cambria"/>
          <w:b w:val="0"/>
          <w:i w:val="0"/>
          <w:sz w:val="22"/>
        </w:rPr>
        <w:t>Improvement in conference publications → ~5 marks.</w:t>
      </w:r>
    </w:p>
    <w:p>
      <w:r>
        <w:br w:type="page"/>
      </w:r>
    </w:p>
    <w:p>
      <w:pPr>
        <w:pStyle w:val="Heading1"/>
      </w:pPr>
      <w:r>
        <w:rPr>
          <w:rFonts w:ascii="Cambria" w:hAnsi="Cambria"/>
          <w:b/>
          <w:color w:val="1F3A5F"/>
          <w:sz w:val="36"/>
        </w:rPr>
        <w:t>19. Ph.D. award letters / registration certificates</w:t>
      </w:r>
    </w:p>
    <w:p>
      <w:pPr>
        <w:pStyle w:val="Heading3"/>
      </w:pPr>
      <w:r>
        <w:rPr>
          <w:rFonts w:ascii="Cambria" w:hAnsi="Cambria"/>
          <w:b/>
          <w:color w:val="1F3A5F"/>
          <w:sz w:val="26"/>
        </w:rPr>
        <w:t>1. Purpose</w:t>
      </w:r>
    </w:p>
    <w:p>
      <w:pPr>
        <w:pStyle w:val="ListBullet"/>
        <w:spacing w:after="80" w:line="276" w:lineRule="auto"/>
      </w:pPr>
      <w:r>
        <w:rPr>
          <w:rFonts w:ascii="Cambria" w:hAnsi="Cambria"/>
          <w:b w:val="0"/>
          <w:i w:val="0"/>
          <w:sz w:val="22"/>
        </w:rPr>
        <w:t>Acts as primary evidence of faculty qualification improvement.</w:t>
      </w:r>
    </w:p>
    <w:p>
      <w:pPr>
        <w:pStyle w:val="ListBullet"/>
        <w:spacing w:after="80" w:line="276" w:lineRule="auto"/>
      </w:pPr>
      <w:r>
        <w:rPr>
          <w:rFonts w:ascii="Cambria" w:hAnsi="Cambria"/>
          <w:b/>
          <w:i w:val="0"/>
          <w:sz w:val="22"/>
        </w:rPr>
        <w:t>Validates that faculty have either:</w:t>
      </w:r>
    </w:p>
    <w:p>
      <w:pPr>
        <w:pStyle w:val="ListBullet2"/>
        <w:spacing w:after="80" w:line="276" w:lineRule="auto"/>
      </w:pPr>
      <w:r>
        <w:rPr>
          <w:rFonts w:ascii="Cambria" w:hAnsi="Cambria"/>
          <w:b w:val="0"/>
          <w:i w:val="0"/>
          <w:sz w:val="22"/>
        </w:rPr>
        <w:t>Completed Ph.D. (Award Letter).</w:t>
      </w:r>
    </w:p>
    <w:p>
      <w:pPr>
        <w:pStyle w:val="ListBullet2"/>
        <w:spacing w:after="80" w:line="276" w:lineRule="auto"/>
      </w:pPr>
      <w:r>
        <w:rPr>
          <w:rFonts w:ascii="Cambria" w:hAnsi="Cambria"/>
          <w:b w:val="0"/>
          <w:i w:val="0"/>
          <w:sz w:val="22"/>
        </w:rPr>
        <w:t>Enrolled/Registered in Ph.D. (Registration Certificate).</w:t>
      </w:r>
    </w:p>
    <w:p>
      <w:pPr>
        <w:pStyle w:val="ListBullet"/>
        <w:spacing w:after="80" w:line="276" w:lineRule="auto"/>
      </w:pPr>
      <w:r>
        <w:rPr>
          <w:rFonts w:ascii="Cambria" w:hAnsi="Cambria"/>
          <w:b w:val="0"/>
          <w:i w:val="0"/>
          <w:sz w:val="22"/>
        </w:rPr>
        <w:t>Supports year-wise improvement data shown in Faculty Improvement Tracker.</w:t>
      </w:r>
    </w:p>
    <w:p>
      <w:pPr>
        <w:pStyle w:val="Heading3"/>
      </w:pPr>
      <w:r>
        <w:rPr>
          <w:rFonts w:ascii="Cambria" w:hAnsi="Cambria"/>
          <w:b/>
          <w:color w:val="1F3A5F"/>
          <w:sz w:val="26"/>
        </w:rPr>
        <w:t>2. Types of Documents Required</w:t>
      </w:r>
    </w:p>
    <w:p>
      <w:pPr>
        <w:pStyle w:val="ListNumber"/>
        <w:spacing w:after="80" w:line="276" w:lineRule="auto"/>
      </w:pPr>
      <w:r>
        <w:rPr>
          <w:rFonts w:ascii="Cambria" w:hAnsi="Cambria"/>
          <w:b/>
          <w:i w:val="0"/>
          <w:sz w:val="22"/>
        </w:rPr>
        <w:t>Ph.D. Award Letters</w:t>
      </w:r>
    </w:p>
    <w:p>
      <w:pPr>
        <w:pStyle w:val="ListBullet2"/>
        <w:spacing w:after="80" w:line="276" w:lineRule="auto"/>
      </w:pPr>
      <w:r>
        <w:rPr>
          <w:rFonts w:ascii="Cambria" w:hAnsi="Cambria"/>
          <w:b w:val="0"/>
          <w:i w:val="0"/>
          <w:sz w:val="22"/>
        </w:rPr>
        <w:t>Issued by the awarding University.</w:t>
      </w:r>
    </w:p>
    <w:p>
      <w:pPr>
        <w:pStyle w:val="ListBullet2"/>
        <w:spacing w:after="80" w:line="276" w:lineRule="auto"/>
      </w:pPr>
      <w:r>
        <w:rPr>
          <w:rFonts w:ascii="Cambria" w:hAnsi="Cambria"/>
          <w:b w:val="0"/>
          <w:i w:val="0"/>
          <w:sz w:val="22"/>
        </w:rPr>
        <w:t>Must mention faculty name, title of thesis, date of award, awarding authority.</w:t>
      </w:r>
    </w:p>
    <w:p>
      <w:pPr>
        <w:pStyle w:val="ListBullet2"/>
        <w:spacing w:after="80" w:line="276" w:lineRule="auto"/>
      </w:pPr>
      <w:r>
        <w:rPr>
          <w:rFonts w:ascii="Cambria" w:hAnsi="Cambria"/>
          <w:b w:val="0"/>
          <w:i w:val="0"/>
          <w:sz w:val="22"/>
        </w:rPr>
        <w:t>Can be provisional award letters (if degree convocation pending).</w:t>
      </w:r>
    </w:p>
    <w:p>
      <w:pPr>
        <w:pStyle w:val="ListNumber"/>
        <w:spacing w:after="80" w:line="276" w:lineRule="auto"/>
      </w:pPr>
      <w:r>
        <w:rPr>
          <w:rFonts w:ascii="Cambria" w:hAnsi="Cambria"/>
          <w:b/>
          <w:i w:val="0"/>
          <w:sz w:val="22"/>
        </w:rPr>
        <w:t>Ph.D. Registration Certificates</w:t>
      </w:r>
    </w:p>
    <w:p>
      <w:pPr>
        <w:pStyle w:val="ListBullet2"/>
        <w:spacing w:after="80" w:line="276" w:lineRule="auto"/>
      </w:pPr>
      <w:r>
        <w:rPr>
          <w:rFonts w:ascii="Cambria" w:hAnsi="Cambria"/>
          <w:b w:val="0"/>
          <w:i w:val="0"/>
          <w:sz w:val="22"/>
        </w:rPr>
        <w:t>Issued by the admitting university/research center.</w:t>
      </w:r>
    </w:p>
    <w:p>
      <w:pPr>
        <w:pStyle w:val="ListBullet2"/>
        <w:spacing w:after="80" w:line="276" w:lineRule="auto"/>
      </w:pPr>
      <w:r>
        <w:rPr>
          <w:rFonts w:ascii="Cambria" w:hAnsi="Cambria"/>
          <w:b w:val="0"/>
          <w:i w:val="0"/>
          <w:sz w:val="22"/>
        </w:rPr>
        <w:t>Must mention faculty name, research guide, area/topic, registration date, duration.</w:t>
      </w:r>
    </w:p>
    <w:p>
      <w:pPr>
        <w:pStyle w:val="Heading3"/>
      </w:pPr>
      <w:r>
        <w:rPr>
          <w:rFonts w:ascii="Cambria" w:hAnsi="Cambria"/>
          <w:b/>
          <w:color w:val="1F3A5F"/>
          <w:sz w:val="26"/>
        </w:rPr>
        <w:t>3. How to Present in NBA Documentation</w:t>
      </w:r>
    </w:p>
    <w:p>
      <w:pPr>
        <w:pStyle w:val="ListBullet"/>
        <w:spacing w:after="80" w:line="276" w:lineRule="auto"/>
      </w:pPr>
      <w:r>
        <w:rPr>
          <w:rFonts w:ascii="Cambria" w:hAnsi="Cambria"/>
          <w:b/>
          <w:i w:val="0"/>
          <w:sz w:val="22"/>
        </w:rPr>
        <w:t>Faculty-wise folder system (digital/physical):</w:t>
      </w:r>
    </w:p>
    <w:p>
      <w:pPr>
        <w:pStyle w:val="ListBullet2"/>
        <w:spacing w:after="80" w:line="276" w:lineRule="auto"/>
      </w:pPr>
      <w:r>
        <w:rPr>
          <w:rFonts w:ascii="Cambria" w:hAnsi="Cambria"/>
          <w:b w:val="0"/>
          <w:i w:val="0"/>
          <w:sz w:val="22"/>
        </w:rPr>
        <w:t>Folder → Faculty Name → Award Letter.pdf / Registration Certificate.pdf.</w:t>
      </w:r>
    </w:p>
    <w:p>
      <w:pPr>
        <w:pStyle w:val="ListBullet"/>
        <w:spacing w:after="80" w:line="276" w:lineRule="auto"/>
      </w:pPr>
      <w:r>
        <w:rPr>
          <w:rFonts w:ascii="Cambria" w:hAnsi="Cambria"/>
          <w:b/>
          <w:i w:val="0"/>
          <w:sz w:val="22"/>
        </w:rPr>
        <w:t>Consolidated Register/Excel Sheet:</w:t>
      </w:r>
    </w:p>
    <w:p>
      <w:pPr>
        <w:pStyle w:val="ListBullet2"/>
        <w:spacing w:after="80" w:line="276" w:lineRule="auto"/>
      </w:pPr>
      <w:r>
        <w:rPr>
          <w:rFonts w:ascii="Cambria" w:hAnsi="Cambria"/>
          <w:b w:val="0"/>
          <w:i w:val="0"/>
          <w:sz w:val="22"/>
        </w:rPr>
        <w:t>Faculty Name → Department → Qualification Status (Ph.D. Awarded / Registered / Pursuing) → Year of Completion/Registration → Supporting Document Link.</w:t>
      </w:r>
    </w:p>
    <w:p>
      <w:pPr>
        <w:pStyle w:val="ListBullet"/>
        <w:spacing w:after="80" w:line="276" w:lineRule="auto"/>
      </w:pPr>
      <w:r>
        <w:rPr>
          <w:rFonts w:ascii="Cambria" w:hAnsi="Cambria"/>
          <w:b/>
          <w:i w:val="0"/>
          <w:sz w:val="22"/>
        </w:rPr>
        <w:t>Annexures in SAR:</w:t>
      </w:r>
    </w:p>
    <w:p>
      <w:pPr>
        <w:pStyle w:val="ListBullet2"/>
        <w:spacing w:after="80" w:line="276" w:lineRule="auto"/>
      </w:pPr>
      <w:r>
        <w:rPr>
          <w:rFonts w:ascii="Cambria" w:hAnsi="Cambria"/>
          <w:b w:val="0"/>
          <w:i w:val="0"/>
          <w:sz w:val="22"/>
        </w:rPr>
        <w:t>Attach copies of award letters/registration certificates in annexures.</w:t>
      </w:r>
    </w:p>
    <w:p>
      <w:pPr>
        <w:pStyle w:val="ListBullet2"/>
        <w:spacing w:after="80" w:line="276" w:lineRule="auto"/>
      </w:pPr>
      <w:r>
        <w:rPr>
          <w:rFonts w:ascii="Cambria" w:hAnsi="Cambria"/>
          <w:b w:val="0"/>
          <w:i w:val="0"/>
          <w:sz w:val="22"/>
        </w:rPr>
        <w:t>Cross-reference in Faculty Improvement Tracker.</w:t>
      </w:r>
    </w:p>
    <w:p>
      <w:pPr>
        <w:pStyle w:val="Heading3"/>
      </w:pPr>
      <w:r>
        <w:rPr>
          <w:rFonts w:ascii="Cambria" w:hAnsi="Cambria"/>
          <w:b/>
          <w:color w:val="1F3A5F"/>
          <w:sz w:val="26"/>
        </w:rPr>
        <w:t>4. Sample Presentation in Excel Tracker</w:t>
      </w:r>
    </w:p>
    <w:tbl>
      <w:tblPr>
        <w:tblStyle w:val="TableGrid"/>
        <w:tblW w:type="auto" w:w="0"/>
        <w:jc w:val="center"/>
        <w:tblLayout w:type="fixed"/>
        <w:tblLook w:firstColumn="1" w:firstRow="1" w:lastColumn="0" w:lastRow="0" w:noHBand="0" w:noVBand="1" w:val="04A0"/>
        <w:tblLayout w:type="fixed"/>
      </w:tblPr>
      <w:tblGrid>
        <w:gridCol w:w="1587"/>
        <w:gridCol w:w="1361"/>
        <w:gridCol w:w="1474"/>
        <w:gridCol w:w="907"/>
        <w:gridCol w:w="1701"/>
        <w:gridCol w:w="2268"/>
      </w:tblGrid>
      <w:tr>
        <w:tc>
          <w:tcPr>
            <w:tcW w:type="dxa" w:w="1587"/>
            <w:shd w:val="clear" w:color="auto" w:fill="1F3A5F"/>
          </w:tcPr>
          <w:p>
            <w:pPr>
              <w:spacing w:after="40" w:line="240" w:lineRule="auto"/>
              <w:jc w:val="center"/>
            </w:pPr>
            <w:r/>
            <w:r>
              <w:rPr>
                <w:rFonts w:ascii="Cambria" w:hAnsi="Cambria"/>
                <w:b/>
                <w:color w:val="FFFFFF"/>
                <w:sz w:val="19"/>
              </w:rPr>
              <w:t>Faculty Name</w:t>
            </w:r>
          </w:p>
        </w:tc>
        <w:tc>
          <w:tcPr>
            <w:tcW w:type="dxa" w:w="1361"/>
            <w:shd w:val="clear" w:color="auto" w:fill="1F3A5F"/>
          </w:tcPr>
          <w:p>
            <w:pPr>
              <w:spacing w:after="40" w:line="240" w:lineRule="auto"/>
              <w:jc w:val="center"/>
            </w:pPr>
            <w:r/>
            <w:r>
              <w:rPr>
                <w:rFonts w:ascii="Cambria" w:hAnsi="Cambria"/>
                <w:b/>
                <w:color w:val="FFFFFF"/>
                <w:sz w:val="19"/>
              </w:rPr>
              <w:t>Department</w:t>
            </w:r>
          </w:p>
        </w:tc>
        <w:tc>
          <w:tcPr>
            <w:tcW w:type="dxa" w:w="1474"/>
            <w:shd w:val="clear" w:color="auto" w:fill="1F3A5F"/>
          </w:tcPr>
          <w:p>
            <w:pPr>
              <w:spacing w:after="40" w:line="240" w:lineRule="auto"/>
              <w:jc w:val="center"/>
            </w:pPr>
            <w:r/>
            <w:r>
              <w:rPr>
                <w:rFonts w:ascii="Cambria" w:hAnsi="Cambria"/>
                <w:b/>
                <w:color w:val="FFFFFF"/>
                <w:sz w:val="19"/>
              </w:rPr>
              <w:t>Status</w:t>
            </w:r>
          </w:p>
        </w:tc>
        <w:tc>
          <w:tcPr>
            <w:tcW w:type="dxa" w:w="907"/>
            <w:shd w:val="clear" w:color="auto" w:fill="1F3A5F"/>
          </w:tcPr>
          <w:p>
            <w:pPr>
              <w:spacing w:after="40" w:line="240" w:lineRule="auto"/>
              <w:jc w:val="center"/>
            </w:pPr>
            <w:r/>
            <w:r>
              <w:rPr>
                <w:rFonts w:ascii="Cambria" w:hAnsi="Cambria"/>
                <w:b/>
                <w:color w:val="FFFFFF"/>
                <w:sz w:val="19"/>
              </w:rPr>
              <w:t>Year</w:t>
            </w:r>
          </w:p>
        </w:tc>
        <w:tc>
          <w:tcPr>
            <w:tcW w:type="dxa" w:w="1701"/>
            <w:shd w:val="clear" w:color="auto" w:fill="1F3A5F"/>
          </w:tcPr>
          <w:p>
            <w:pPr>
              <w:spacing w:after="40" w:line="240" w:lineRule="auto"/>
              <w:jc w:val="center"/>
            </w:pPr>
            <w:r/>
            <w:r>
              <w:rPr>
                <w:rFonts w:ascii="Cambria" w:hAnsi="Cambria"/>
                <w:b/>
                <w:color w:val="FFFFFF"/>
                <w:sz w:val="19"/>
              </w:rPr>
              <w:t>University</w:t>
            </w:r>
          </w:p>
        </w:tc>
        <w:tc>
          <w:tcPr>
            <w:tcW w:type="dxa" w:w="2268"/>
            <w:shd w:val="clear" w:color="auto" w:fill="1F3A5F"/>
          </w:tcPr>
          <w:p>
            <w:pPr>
              <w:spacing w:after="40" w:line="240" w:lineRule="auto"/>
              <w:jc w:val="center"/>
            </w:pPr>
            <w:r/>
            <w:r>
              <w:rPr>
                <w:rFonts w:ascii="Cambria" w:hAnsi="Cambria"/>
                <w:b/>
                <w:color w:val="FFFFFF"/>
                <w:sz w:val="19"/>
              </w:rPr>
              <w:t>Evidence Link</w:t>
            </w:r>
          </w:p>
        </w:tc>
      </w:tr>
      <w:tr>
        <w:tc>
          <w:tcPr>
            <w:tcW w:type="dxa" w:w="1587"/>
          </w:tcPr>
          <w:p>
            <w:pPr>
              <w:spacing w:after="40" w:line="240" w:lineRule="auto"/>
              <w:jc w:val="left"/>
            </w:pPr>
            <w:r/>
            <w:r>
              <w:rPr>
                <w:rFonts w:ascii="Cambria" w:hAnsi="Cambria"/>
                <w:b w:val="0"/>
                <w:sz w:val="18"/>
              </w:rPr>
              <w:t>Dr. A. Sharma</w:t>
            </w:r>
          </w:p>
        </w:tc>
        <w:tc>
          <w:tcPr>
            <w:tcW w:type="dxa" w:w="1361"/>
          </w:tcPr>
          <w:p>
            <w:pPr>
              <w:spacing w:after="40" w:line="240" w:lineRule="auto"/>
              <w:jc w:val="left"/>
            </w:pPr>
            <w:r/>
            <w:r>
              <w:rPr>
                <w:rFonts w:ascii="Cambria" w:hAnsi="Cambria"/>
                <w:b w:val="0"/>
                <w:sz w:val="18"/>
              </w:rPr>
              <w:t>CSE</w:t>
            </w:r>
          </w:p>
        </w:tc>
        <w:tc>
          <w:tcPr>
            <w:tcW w:type="dxa" w:w="1474"/>
          </w:tcPr>
          <w:p>
            <w:pPr>
              <w:spacing w:after="40" w:line="240" w:lineRule="auto"/>
              <w:jc w:val="left"/>
            </w:pPr>
            <w:r/>
            <w:r>
              <w:rPr>
                <w:rFonts w:ascii="Cambria" w:hAnsi="Cambria"/>
                <w:b w:val="0"/>
                <w:sz w:val="18"/>
              </w:rPr>
              <w:t>Ph.D. Awarded</w:t>
            </w:r>
          </w:p>
        </w:tc>
        <w:tc>
          <w:tcPr>
            <w:tcW w:type="dxa" w:w="907"/>
          </w:tcPr>
          <w:p>
            <w:pPr>
              <w:spacing w:after="40" w:line="240" w:lineRule="auto"/>
              <w:jc w:val="left"/>
            </w:pPr>
            <w:r/>
            <w:r>
              <w:rPr>
                <w:rFonts w:ascii="Cambria" w:hAnsi="Cambria"/>
                <w:b w:val="0"/>
                <w:sz w:val="18"/>
              </w:rPr>
              <w:t>2023</w:t>
            </w:r>
          </w:p>
        </w:tc>
        <w:tc>
          <w:tcPr>
            <w:tcW w:type="dxa" w:w="1701"/>
          </w:tcPr>
          <w:p>
            <w:pPr>
              <w:spacing w:after="40" w:line="240" w:lineRule="auto"/>
              <w:jc w:val="left"/>
            </w:pPr>
            <w:r/>
            <w:r>
              <w:rPr>
                <w:rFonts w:ascii="Cambria" w:hAnsi="Cambria"/>
                <w:b w:val="0"/>
                <w:sz w:val="18"/>
              </w:rPr>
              <w:t>IIT Delhi</w:t>
            </w:r>
          </w:p>
        </w:tc>
        <w:tc>
          <w:tcPr>
            <w:tcW w:type="dxa" w:w="2268"/>
          </w:tcPr>
          <w:p>
            <w:pPr>
              <w:spacing w:after="40" w:line="240" w:lineRule="auto"/>
              <w:jc w:val="left"/>
            </w:pPr>
            <w:r/>
            <w:r>
              <w:rPr>
                <w:rFonts w:ascii="Cambria" w:hAnsi="Cambria"/>
                <w:b w:val="0"/>
                <w:sz w:val="18"/>
              </w:rPr>
              <w:t>[Award Letter PDF]</w:t>
            </w:r>
          </w:p>
        </w:tc>
      </w:tr>
      <w:tr>
        <w:tc>
          <w:tcPr>
            <w:tcW w:type="dxa" w:w="1587"/>
            <w:shd w:val="clear" w:color="auto" w:fill="F2F2F2"/>
          </w:tcPr>
          <w:p>
            <w:pPr>
              <w:spacing w:after="40" w:line="240" w:lineRule="auto"/>
              <w:jc w:val="left"/>
            </w:pPr>
            <w:r/>
            <w:r>
              <w:rPr>
                <w:rFonts w:ascii="Cambria" w:hAnsi="Cambria"/>
                <w:b w:val="0"/>
                <w:sz w:val="18"/>
              </w:rPr>
              <w:t>Prof. B. Kumar</w:t>
            </w:r>
          </w:p>
        </w:tc>
        <w:tc>
          <w:tcPr>
            <w:tcW w:type="dxa" w:w="1361"/>
            <w:shd w:val="clear" w:color="auto" w:fill="F2F2F2"/>
          </w:tcPr>
          <w:p>
            <w:pPr>
              <w:spacing w:after="40" w:line="240" w:lineRule="auto"/>
              <w:jc w:val="left"/>
            </w:pPr>
            <w:r/>
            <w:r>
              <w:rPr>
                <w:rFonts w:ascii="Cambria" w:hAnsi="Cambria"/>
                <w:b w:val="0"/>
                <w:sz w:val="18"/>
              </w:rPr>
              <w:t>EEE</w:t>
            </w:r>
          </w:p>
        </w:tc>
        <w:tc>
          <w:tcPr>
            <w:tcW w:type="dxa" w:w="1474"/>
            <w:shd w:val="clear" w:color="auto" w:fill="F2F2F2"/>
          </w:tcPr>
          <w:p>
            <w:pPr>
              <w:spacing w:after="40" w:line="240" w:lineRule="auto"/>
              <w:jc w:val="left"/>
            </w:pPr>
            <w:r/>
            <w:r>
              <w:rPr>
                <w:rFonts w:ascii="Cambria" w:hAnsi="Cambria"/>
                <w:b w:val="0"/>
                <w:sz w:val="18"/>
              </w:rPr>
              <w:t>Ph.D. Registered</w:t>
            </w:r>
          </w:p>
        </w:tc>
        <w:tc>
          <w:tcPr>
            <w:tcW w:type="dxa" w:w="907"/>
            <w:shd w:val="clear" w:color="auto" w:fill="F2F2F2"/>
          </w:tcPr>
          <w:p>
            <w:pPr>
              <w:spacing w:after="40" w:line="240" w:lineRule="auto"/>
              <w:jc w:val="left"/>
            </w:pPr>
            <w:r/>
            <w:r>
              <w:rPr>
                <w:rFonts w:ascii="Cambria" w:hAnsi="Cambria"/>
                <w:b w:val="0"/>
                <w:sz w:val="18"/>
              </w:rPr>
              <w:t>2022</w:t>
            </w:r>
          </w:p>
        </w:tc>
        <w:tc>
          <w:tcPr>
            <w:tcW w:type="dxa" w:w="1701"/>
            <w:shd w:val="clear" w:color="auto" w:fill="F2F2F2"/>
          </w:tcPr>
          <w:p>
            <w:pPr>
              <w:spacing w:after="40" w:line="240" w:lineRule="auto"/>
              <w:jc w:val="left"/>
            </w:pPr>
            <w:r/>
            <w:r>
              <w:rPr>
                <w:rFonts w:ascii="Cambria" w:hAnsi="Cambria"/>
                <w:b w:val="0"/>
                <w:sz w:val="18"/>
              </w:rPr>
              <w:t>Anna University</w:t>
            </w:r>
          </w:p>
        </w:tc>
        <w:tc>
          <w:tcPr>
            <w:tcW w:type="dxa" w:w="2268"/>
            <w:shd w:val="clear" w:color="auto" w:fill="F2F2F2"/>
          </w:tcPr>
          <w:p>
            <w:pPr>
              <w:spacing w:after="40" w:line="240" w:lineRule="auto"/>
              <w:jc w:val="left"/>
            </w:pPr>
            <w:r/>
            <w:r>
              <w:rPr>
                <w:rFonts w:ascii="Cambria" w:hAnsi="Cambria"/>
                <w:b w:val="0"/>
                <w:sz w:val="18"/>
              </w:rPr>
              <w:t>[Registration Certificate PDF]</w:t>
            </w:r>
          </w:p>
        </w:tc>
      </w:tr>
      <w:tr>
        <w:tc>
          <w:tcPr>
            <w:tcW w:type="dxa" w:w="1587"/>
          </w:tcPr>
          <w:p>
            <w:pPr>
              <w:spacing w:after="40" w:line="240" w:lineRule="auto"/>
              <w:jc w:val="left"/>
            </w:pPr>
            <w:r/>
            <w:r>
              <w:rPr>
                <w:rFonts w:ascii="Cambria" w:hAnsi="Cambria"/>
                <w:b w:val="0"/>
                <w:sz w:val="18"/>
              </w:rPr>
              <w:t>Dr. C. Rao</w:t>
            </w:r>
          </w:p>
        </w:tc>
        <w:tc>
          <w:tcPr>
            <w:tcW w:type="dxa" w:w="1361"/>
          </w:tcPr>
          <w:p>
            <w:pPr>
              <w:spacing w:after="40" w:line="240" w:lineRule="auto"/>
              <w:jc w:val="left"/>
            </w:pPr>
            <w:r/>
            <w:r>
              <w:rPr>
                <w:rFonts w:ascii="Cambria" w:hAnsi="Cambria"/>
                <w:b w:val="0"/>
                <w:sz w:val="18"/>
              </w:rPr>
              <w:t>Mech</w:t>
            </w:r>
          </w:p>
        </w:tc>
        <w:tc>
          <w:tcPr>
            <w:tcW w:type="dxa" w:w="1474"/>
          </w:tcPr>
          <w:p>
            <w:pPr>
              <w:spacing w:after="40" w:line="240" w:lineRule="auto"/>
              <w:jc w:val="left"/>
            </w:pPr>
            <w:r/>
            <w:r>
              <w:rPr>
                <w:rFonts w:ascii="Cambria" w:hAnsi="Cambria"/>
                <w:b w:val="0"/>
                <w:sz w:val="18"/>
              </w:rPr>
              <w:t>Ph.D. Awarded</w:t>
            </w:r>
          </w:p>
        </w:tc>
        <w:tc>
          <w:tcPr>
            <w:tcW w:type="dxa" w:w="907"/>
          </w:tcPr>
          <w:p>
            <w:pPr>
              <w:spacing w:after="40" w:line="240" w:lineRule="auto"/>
              <w:jc w:val="left"/>
            </w:pPr>
            <w:r/>
            <w:r>
              <w:rPr>
                <w:rFonts w:ascii="Cambria" w:hAnsi="Cambria"/>
                <w:b w:val="0"/>
                <w:sz w:val="18"/>
              </w:rPr>
              <w:t>2024</w:t>
            </w:r>
          </w:p>
        </w:tc>
        <w:tc>
          <w:tcPr>
            <w:tcW w:type="dxa" w:w="1701"/>
          </w:tcPr>
          <w:p>
            <w:pPr>
              <w:spacing w:after="40" w:line="240" w:lineRule="auto"/>
              <w:jc w:val="left"/>
            </w:pPr>
            <w:r/>
            <w:r>
              <w:rPr>
                <w:rFonts w:ascii="Cambria" w:hAnsi="Cambria"/>
                <w:b w:val="0"/>
                <w:sz w:val="18"/>
              </w:rPr>
              <w:t>NIT Trichy</w:t>
            </w:r>
          </w:p>
        </w:tc>
        <w:tc>
          <w:tcPr>
            <w:tcW w:type="dxa" w:w="2268"/>
          </w:tcPr>
          <w:p>
            <w:pPr>
              <w:spacing w:after="40" w:line="240" w:lineRule="auto"/>
              <w:jc w:val="left"/>
            </w:pPr>
            <w:r/>
            <w:r>
              <w:rPr>
                <w:rFonts w:ascii="Cambria" w:hAnsi="Cambria"/>
                <w:b w:val="0"/>
                <w:sz w:val="18"/>
              </w:rPr>
              <w:t>[Award Letter PDF]</w:t>
            </w:r>
          </w:p>
        </w:tc>
      </w:tr>
    </w:tbl>
    <w:p>
      <w:pPr>
        <w:spacing w:after="40"/>
      </w:pPr>
    </w:p>
    <w:p>
      <w:pPr>
        <w:pStyle w:val="Heading3"/>
      </w:pPr>
      <w:r>
        <w:rPr>
          <w:rFonts w:ascii="Cambria" w:hAnsi="Cambria"/>
          <w:b/>
          <w:color w:val="1F3A5F"/>
          <w:sz w:val="26"/>
        </w:rPr>
        <w:t>5. NBA Expectation</w:t>
      </w:r>
    </w:p>
    <w:p>
      <w:pPr>
        <w:pStyle w:val="ListBullet"/>
        <w:spacing w:after="80" w:line="276" w:lineRule="auto"/>
      </w:pPr>
      <w:r>
        <w:rPr>
          <w:rFonts w:ascii="Cambria" w:hAnsi="Cambria"/>
          <w:b w:val="0"/>
          <w:i w:val="0"/>
          <w:sz w:val="22"/>
        </w:rPr>
        <w:t>Improvement across CAYm2 → CAYm1 → CAY must be demonstrated.</w:t>
      </w:r>
    </w:p>
    <w:p>
      <w:pPr>
        <w:pStyle w:val="ListBullet"/>
        <w:spacing w:after="80" w:line="276" w:lineRule="auto"/>
      </w:pPr>
      <w:r>
        <w:rPr>
          <w:rFonts w:ascii="Cambria" w:hAnsi="Cambria"/>
          <w:b w:val="0"/>
          <w:i w:val="0"/>
          <w:sz w:val="22"/>
        </w:rPr>
        <w:t xml:space="preserve">Evidence of </w:t>
      </w:r>
      <w:r>
        <w:rPr>
          <w:rFonts w:ascii="Cambria" w:hAnsi="Cambria"/>
          <w:b w:val="0"/>
          <w:i/>
          <w:sz w:val="22"/>
        </w:rPr>
        <w:t>newly awarded Ph.D.s</w:t>
      </w:r>
      <w:r>
        <w:rPr>
          <w:rFonts w:ascii="Cambria" w:hAnsi="Cambria"/>
          <w:b w:val="0"/>
          <w:i w:val="0"/>
          <w:sz w:val="22"/>
        </w:rPr>
        <w:t xml:space="preserve"> and </w:t>
      </w:r>
      <w:r>
        <w:rPr>
          <w:rFonts w:ascii="Cambria" w:hAnsi="Cambria"/>
          <w:b w:val="0"/>
          <w:i/>
          <w:sz w:val="22"/>
        </w:rPr>
        <w:t>registrations</w:t>
      </w:r>
      <w:r>
        <w:rPr>
          <w:rFonts w:ascii="Cambria" w:hAnsi="Cambria"/>
          <w:b w:val="0"/>
          <w:i w:val="0"/>
          <w:sz w:val="22"/>
        </w:rPr>
        <w:t xml:space="preserve"> should be cross-verified with official letters.</w:t>
      </w:r>
    </w:p>
    <w:p>
      <w:pPr>
        <w:pStyle w:val="ListBullet"/>
        <w:spacing w:after="80" w:line="276" w:lineRule="auto"/>
      </w:pPr>
      <w:r>
        <w:rPr>
          <w:rFonts w:ascii="Cambria" w:hAnsi="Cambria"/>
          <w:b w:val="0"/>
          <w:i w:val="0"/>
          <w:sz w:val="22"/>
        </w:rPr>
        <w:t>At least 10–15% growth in Ph.D. holders or ongoing registrations strengthens the score.</w:t>
      </w:r>
    </w:p>
    <w:p>
      <w:r>
        <w:br w:type="page"/>
      </w:r>
    </w:p>
    <w:p>
      <w:pPr>
        <w:pStyle w:val="Heading1"/>
      </w:pPr>
      <w:r>
        <w:rPr>
          <w:rFonts w:ascii="Cambria" w:hAnsi="Cambria"/>
          <w:b/>
          <w:color w:val="1F3A5F"/>
          <w:sz w:val="36"/>
        </w:rPr>
        <w:t>20. Certificates of FDP/STTP/MOOCs</w:t>
      </w:r>
    </w:p>
    <w:p>
      <w:pPr>
        <w:pStyle w:val="Heading3"/>
      </w:pPr>
      <w:r>
        <w:rPr>
          <w:rFonts w:ascii="Cambria" w:hAnsi="Cambria"/>
          <w:b/>
          <w:color w:val="1F3A5F"/>
          <w:sz w:val="26"/>
        </w:rPr>
        <w:t>1. Purpose</w:t>
      </w:r>
    </w:p>
    <w:p>
      <w:pPr>
        <w:pStyle w:val="ListBullet"/>
        <w:spacing w:after="80" w:line="276" w:lineRule="auto"/>
      </w:pPr>
      <w:r>
        <w:rPr>
          <w:rFonts w:ascii="Cambria" w:hAnsi="Cambria"/>
          <w:b w:val="0"/>
          <w:i w:val="0"/>
          <w:sz w:val="22"/>
        </w:rPr>
        <w:t>These certificates serve as evidence of continuous faculty upskilling.</w:t>
      </w:r>
    </w:p>
    <w:p>
      <w:pPr>
        <w:pStyle w:val="ListBullet"/>
        <w:spacing w:after="80" w:line="276" w:lineRule="auto"/>
      </w:pPr>
      <w:r>
        <w:rPr>
          <w:rFonts w:ascii="Cambria" w:hAnsi="Cambria"/>
          <w:b w:val="0"/>
          <w:i w:val="0"/>
          <w:sz w:val="22"/>
        </w:rPr>
        <w:t>Show that faculty are updating themselves in pedagogy, research methods, new technologies, and domain-specific skills.</w:t>
      </w:r>
    </w:p>
    <w:p>
      <w:pPr>
        <w:pStyle w:val="ListBullet"/>
        <w:spacing w:after="80" w:line="276" w:lineRule="auto"/>
      </w:pPr>
      <w:r>
        <w:rPr>
          <w:rFonts w:ascii="Cambria" w:hAnsi="Cambria"/>
          <w:b w:val="0"/>
          <w:i w:val="0"/>
          <w:sz w:val="22"/>
        </w:rPr>
        <w:t>Directly supports NBA’s expectation of continuous quality improvement in faculty contribution.</w:t>
      </w:r>
    </w:p>
    <w:p>
      <w:pPr>
        <w:pStyle w:val="Heading3"/>
      </w:pPr>
      <w:r>
        <w:rPr>
          <w:rFonts w:ascii="Cambria" w:hAnsi="Cambria"/>
          <w:b/>
          <w:color w:val="1F3A5F"/>
          <w:sz w:val="26"/>
        </w:rPr>
        <w:t>2. Types of Certificates Accepted</w:t>
      </w:r>
    </w:p>
    <w:p>
      <w:pPr>
        <w:pStyle w:val="ListNumber"/>
        <w:spacing w:after="80" w:line="276" w:lineRule="auto"/>
      </w:pPr>
      <w:r>
        <w:rPr>
          <w:rFonts w:ascii="Cambria" w:hAnsi="Cambria"/>
          <w:b/>
          <w:i w:val="0"/>
          <w:sz w:val="22"/>
        </w:rPr>
        <w:t>FDPs (Faculty Development Programs)</w:t>
      </w:r>
    </w:p>
    <w:p>
      <w:pPr>
        <w:pStyle w:val="ListBullet2"/>
        <w:spacing w:after="80" w:line="276" w:lineRule="auto"/>
      </w:pPr>
      <w:r>
        <w:rPr>
          <w:rFonts w:ascii="Cambria" w:hAnsi="Cambria"/>
          <w:b w:val="0"/>
          <w:i w:val="0"/>
          <w:sz w:val="22"/>
        </w:rPr>
        <w:t>AICTE/UGC/ISTE-sponsored FDPs (offline/online).</w:t>
      </w:r>
    </w:p>
    <w:p>
      <w:pPr>
        <w:pStyle w:val="ListBullet2"/>
        <w:spacing w:after="80" w:line="276" w:lineRule="auto"/>
      </w:pPr>
      <w:r>
        <w:rPr>
          <w:rFonts w:ascii="Cambria" w:hAnsi="Cambria"/>
          <w:b w:val="0"/>
          <w:i w:val="0"/>
          <w:sz w:val="22"/>
        </w:rPr>
        <w:t>Institution/Industry organized FDPs (ICT tools, pedagogy, domain tools).</w:t>
      </w:r>
    </w:p>
    <w:p>
      <w:pPr>
        <w:pStyle w:val="ListNumber"/>
        <w:spacing w:after="80" w:line="276" w:lineRule="auto"/>
      </w:pPr>
      <w:r>
        <w:rPr>
          <w:rFonts w:ascii="Cambria" w:hAnsi="Cambria"/>
          <w:b/>
          <w:i w:val="0"/>
          <w:sz w:val="22"/>
        </w:rPr>
        <w:t>STTPs (Short Term Training Programs)</w:t>
      </w:r>
    </w:p>
    <w:p>
      <w:pPr>
        <w:pStyle w:val="ListBullet2"/>
        <w:spacing w:after="80" w:line="276" w:lineRule="auto"/>
      </w:pPr>
      <w:r>
        <w:rPr>
          <w:rFonts w:ascii="Cambria" w:hAnsi="Cambria"/>
          <w:b w:val="0"/>
          <w:i w:val="0"/>
          <w:sz w:val="22"/>
        </w:rPr>
        <w:t>Technical training workshops (5–15 days).</w:t>
      </w:r>
    </w:p>
    <w:p>
      <w:pPr>
        <w:pStyle w:val="ListBullet2"/>
        <w:spacing w:after="80" w:line="276" w:lineRule="auto"/>
      </w:pPr>
      <w:r>
        <w:rPr>
          <w:rFonts w:ascii="Cambria" w:hAnsi="Cambria"/>
          <w:b w:val="0"/>
          <w:i w:val="0"/>
          <w:sz w:val="22"/>
        </w:rPr>
        <w:t>Hands-on training in labs, industry, or with simulation software.</w:t>
      </w:r>
    </w:p>
    <w:p>
      <w:pPr>
        <w:pStyle w:val="ListNumber"/>
        <w:spacing w:after="80" w:line="276" w:lineRule="auto"/>
      </w:pPr>
      <w:r>
        <w:rPr>
          <w:rFonts w:ascii="Cambria" w:hAnsi="Cambria"/>
          <w:b/>
          <w:i w:val="0"/>
          <w:sz w:val="22"/>
        </w:rPr>
        <w:t>MOOCs (Massive Open Online Courses)</w:t>
      </w:r>
    </w:p>
    <w:p>
      <w:pPr>
        <w:pStyle w:val="ListBullet2"/>
        <w:spacing w:after="80" w:line="276" w:lineRule="auto"/>
      </w:pPr>
      <w:r>
        <w:rPr>
          <w:rFonts w:ascii="Cambria" w:hAnsi="Cambria"/>
          <w:b w:val="0"/>
          <w:i w:val="0"/>
          <w:sz w:val="22"/>
        </w:rPr>
        <w:t>NPTEL/SWAYAM, Coursera, edX, Udemy.</w:t>
      </w:r>
    </w:p>
    <w:p>
      <w:pPr>
        <w:pStyle w:val="ListBullet2"/>
        <w:spacing w:after="80" w:line="276" w:lineRule="auto"/>
      </w:pPr>
      <w:r>
        <w:rPr>
          <w:rFonts w:ascii="Cambria" w:hAnsi="Cambria"/>
          <w:b w:val="0"/>
          <w:i w:val="0"/>
          <w:sz w:val="22"/>
        </w:rPr>
        <w:t>Must be course completion certificates with grade/score if available.</w:t>
      </w:r>
    </w:p>
    <w:p>
      <w:pPr>
        <w:pStyle w:val="Heading3"/>
      </w:pPr>
      <w:r>
        <w:rPr>
          <w:rFonts w:ascii="Cambria" w:hAnsi="Cambria"/>
          <w:b/>
          <w:color w:val="1F3A5F"/>
          <w:sz w:val="26"/>
        </w:rPr>
        <w:t>3. Documentation Practices</w:t>
      </w:r>
    </w:p>
    <w:p>
      <w:pPr>
        <w:pStyle w:val="ListBullet"/>
        <w:spacing w:after="80" w:line="276" w:lineRule="auto"/>
      </w:pPr>
      <w:r>
        <w:rPr>
          <w:rFonts w:ascii="Cambria" w:hAnsi="Cambria"/>
          <w:b/>
          <w:i w:val="0"/>
          <w:sz w:val="22"/>
        </w:rPr>
        <w:t>Faculty-wise Digital Repository:</w:t>
      </w:r>
    </w:p>
    <w:p>
      <w:pPr>
        <w:pStyle w:val="ListBullet2"/>
        <w:spacing w:after="80" w:line="276" w:lineRule="auto"/>
      </w:pPr>
      <w:r>
        <w:rPr>
          <w:rFonts w:ascii="Cambria" w:hAnsi="Cambria"/>
          <w:b w:val="0"/>
          <w:i w:val="0"/>
          <w:sz w:val="22"/>
        </w:rPr>
        <w:t>Create folders by Faculty Name → Subfolder for FDP/STTP/MOOC → Store scanned certificates (PDF/JPEG).</w:t>
      </w:r>
    </w:p>
    <w:p>
      <w:pPr>
        <w:pStyle w:val="ListBullet"/>
        <w:spacing w:after="80" w:line="276" w:lineRule="auto"/>
      </w:pPr>
      <w:r>
        <w:rPr>
          <w:rFonts w:ascii="Cambria" w:hAnsi="Cambria"/>
          <w:b/>
          <w:i w:val="0"/>
          <w:sz w:val="22"/>
        </w:rPr>
        <w:t>Excel Tracker (Centralized):</w:t>
      </w:r>
    </w:p>
    <w:p>
      <w:pPr>
        <w:pStyle w:val="ListBullet2"/>
        <w:spacing w:after="80" w:line="276" w:lineRule="auto"/>
      </w:pPr>
      <w:r>
        <w:rPr>
          <w:rFonts w:ascii="Cambria" w:hAnsi="Cambria"/>
          <w:b w:val="0"/>
          <w:i w:val="0"/>
          <w:sz w:val="22"/>
        </w:rPr>
        <w:t>Capture metadata for each certificate.</w:t>
      </w:r>
    </w:p>
    <w:p>
      <w:pPr>
        <w:pStyle w:val="Heading3"/>
      </w:pPr>
      <w:r>
        <w:rPr>
          <w:rFonts w:ascii="Cambria" w:hAnsi="Cambria"/>
          <w:b/>
          <w:color w:val="1F3A5F"/>
          <w:sz w:val="26"/>
        </w:rPr>
        <w:t>Sample Tracker Table:</w:t>
      </w:r>
    </w:p>
    <w:tbl>
      <w:tblPr>
        <w:tblStyle w:val="TableGrid"/>
        <w:tblW w:type="auto" w:w="0"/>
        <w:jc w:val="center"/>
        <w:tblLayout w:type="fixed"/>
        <w:tblLook w:firstColumn="1" w:firstRow="1" w:lastColumn="0" w:lastRow="0" w:noHBand="0" w:noVBand="1" w:val="04A0"/>
        <w:tblLayout w:type="fixed"/>
      </w:tblPr>
      <w:tblGrid>
        <w:gridCol w:w="1077"/>
        <w:gridCol w:w="794"/>
        <w:gridCol w:w="1134"/>
        <w:gridCol w:w="1474"/>
        <w:gridCol w:w="907"/>
        <w:gridCol w:w="1020"/>
        <w:gridCol w:w="680"/>
        <w:gridCol w:w="1417"/>
      </w:tblGrid>
      <w:tr>
        <w:tc>
          <w:tcPr>
            <w:tcW w:type="dxa" w:w="1077"/>
            <w:shd w:val="clear" w:color="auto" w:fill="1F3A5F"/>
          </w:tcPr>
          <w:p>
            <w:pPr>
              <w:spacing w:after="40" w:line="240" w:lineRule="auto"/>
              <w:jc w:val="center"/>
            </w:pPr>
            <w:r/>
            <w:r>
              <w:rPr>
                <w:rFonts w:ascii="Cambria" w:hAnsi="Cambria"/>
                <w:b/>
                <w:color w:val="FFFFFF"/>
                <w:sz w:val="18"/>
              </w:rPr>
              <w:t>Faculty</w:t>
              <w:br/>
              <w:t>Name</w:t>
            </w:r>
          </w:p>
        </w:tc>
        <w:tc>
          <w:tcPr>
            <w:tcW w:type="dxa" w:w="794"/>
            <w:shd w:val="clear" w:color="auto" w:fill="1F3A5F"/>
          </w:tcPr>
          <w:p>
            <w:pPr>
              <w:spacing w:after="40" w:line="240" w:lineRule="auto"/>
              <w:jc w:val="center"/>
            </w:pPr>
            <w:r/>
            <w:r>
              <w:rPr>
                <w:rFonts w:ascii="Cambria" w:hAnsi="Cambria"/>
                <w:b/>
                <w:color w:val="FFFFFF"/>
                <w:sz w:val="18"/>
              </w:rPr>
              <w:t>Dept</w:t>
            </w:r>
          </w:p>
        </w:tc>
        <w:tc>
          <w:tcPr>
            <w:tcW w:type="dxa" w:w="1134"/>
            <w:shd w:val="clear" w:color="auto" w:fill="1F3A5F"/>
          </w:tcPr>
          <w:p>
            <w:pPr>
              <w:spacing w:after="40" w:line="240" w:lineRule="auto"/>
              <w:jc w:val="center"/>
            </w:pPr>
            <w:r/>
            <w:r>
              <w:rPr>
                <w:rFonts w:ascii="Cambria" w:hAnsi="Cambria"/>
                <w:b/>
                <w:color w:val="FFFFFF"/>
                <w:sz w:val="18"/>
              </w:rPr>
              <w:t>Activity Type</w:t>
              <w:br/>
              <w:t>(FDP/STTP/MOOC)</w:t>
            </w:r>
          </w:p>
        </w:tc>
        <w:tc>
          <w:tcPr>
            <w:tcW w:type="dxa" w:w="1474"/>
            <w:shd w:val="clear" w:color="auto" w:fill="1F3A5F"/>
          </w:tcPr>
          <w:p>
            <w:pPr>
              <w:spacing w:after="40" w:line="240" w:lineRule="auto"/>
              <w:jc w:val="center"/>
            </w:pPr>
            <w:r/>
            <w:r>
              <w:rPr>
                <w:rFonts w:ascii="Cambria" w:hAnsi="Cambria"/>
                <w:b/>
                <w:color w:val="FFFFFF"/>
                <w:sz w:val="18"/>
              </w:rPr>
              <w:t>Title/Topic</w:t>
            </w:r>
          </w:p>
        </w:tc>
        <w:tc>
          <w:tcPr>
            <w:tcW w:type="dxa" w:w="907"/>
            <w:shd w:val="clear" w:color="auto" w:fill="1F3A5F"/>
          </w:tcPr>
          <w:p>
            <w:pPr>
              <w:spacing w:after="40" w:line="240" w:lineRule="auto"/>
              <w:jc w:val="center"/>
            </w:pPr>
            <w:r/>
            <w:r>
              <w:rPr>
                <w:rFonts w:ascii="Cambria" w:hAnsi="Cambria"/>
                <w:b/>
                <w:color w:val="FFFFFF"/>
                <w:sz w:val="18"/>
              </w:rPr>
              <w:t>Duration</w:t>
            </w:r>
          </w:p>
        </w:tc>
        <w:tc>
          <w:tcPr>
            <w:tcW w:type="dxa" w:w="1020"/>
            <w:shd w:val="clear" w:color="auto" w:fill="1F3A5F"/>
          </w:tcPr>
          <w:p>
            <w:pPr>
              <w:spacing w:after="40" w:line="240" w:lineRule="auto"/>
              <w:jc w:val="center"/>
            </w:pPr>
            <w:r/>
            <w:r>
              <w:rPr>
                <w:rFonts w:ascii="Cambria" w:hAnsi="Cambria"/>
                <w:b/>
                <w:color w:val="FFFFFF"/>
                <w:sz w:val="18"/>
              </w:rPr>
              <w:t>Organizing</w:t>
              <w:br/>
              <w:t>Body</w:t>
            </w:r>
          </w:p>
        </w:tc>
        <w:tc>
          <w:tcPr>
            <w:tcW w:type="dxa" w:w="680"/>
            <w:shd w:val="clear" w:color="auto" w:fill="1F3A5F"/>
          </w:tcPr>
          <w:p>
            <w:pPr>
              <w:spacing w:after="40" w:line="240" w:lineRule="auto"/>
              <w:jc w:val="center"/>
            </w:pPr>
            <w:r/>
            <w:r>
              <w:rPr>
                <w:rFonts w:ascii="Cambria" w:hAnsi="Cambria"/>
                <w:b/>
                <w:color w:val="FFFFFF"/>
                <w:sz w:val="18"/>
              </w:rPr>
              <w:t>Year</w:t>
            </w:r>
          </w:p>
        </w:tc>
        <w:tc>
          <w:tcPr>
            <w:tcW w:type="dxa" w:w="1417"/>
            <w:shd w:val="clear" w:color="auto" w:fill="1F3A5F"/>
          </w:tcPr>
          <w:p>
            <w:pPr>
              <w:spacing w:after="40" w:line="240" w:lineRule="auto"/>
              <w:jc w:val="center"/>
            </w:pPr>
            <w:r/>
            <w:r>
              <w:rPr>
                <w:rFonts w:ascii="Cambria" w:hAnsi="Cambria"/>
                <w:b/>
                <w:color w:val="FFFFFF"/>
                <w:sz w:val="18"/>
              </w:rPr>
              <w:t>Evidence</w:t>
              <w:br/>
              <w:t>Link</w:t>
            </w:r>
          </w:p>
        </w:tc>
      </w:tr>
      <w:tr>
        <w:tc>
          <w:tcPr>
            <w:tcW w:type="dxa" w:w="1077"/>
          </w:tcPr>
          <w:p>
            <w:pPr>
              <w:spacing w:after="40" w:line="240" w:lineRule="auto"/>
              <w:jc w:val="left"/>
            </w:pPr>
            <w:r/>
            <w:r>
              <w:rPr>
                <w:rFonts w:ascii="Cambria" w:hAnsi="Cambria"/>
                <w:b w:val="0"/>
                <w:sz w:val="17"/>
              </w:rPr>
              <w:t>Dr. A. Sharma</w:t>
            </w:r>
          </w:p>
        </w:tc>
        <w:tc>
          <w:tcPr>
            <w:tcW w:type="dxa" w:w="794"/>
          </w:tcPr>
          <w:p>
            <w:pPr>
              <w:spacing w:after="40" w:line="240" w:lineRule="auto"/>
              <w:jc w:val="left"/>
            </w:pPr>
            <w:r/>
            <w:r>
              <w:rPr>
                <w:rFonts w:ascii="Cambria" w:hAnsi="Cambria"/>
                <w:b w:val="0"/>
                <w:sz w:val="17"/>
              </w:rPr>
              <w:t>CSE</w:t>
            </w:r>
          </w:p>
        </w:tc>
        <w:tc>
          <w:tcPr>
            <w:tcW w:type="dxa" w:w="1134"/>
          </w:tcPr>
          <w:p>
            <w:pPr>
              <w:spacing w:after="40" w:line="240" w:lineRule="auto"/>
              <w:jc w:val="left"/>
            </w:pPr>
            <w:r/>
            <w:r>
              <w:rPr>
                <w:rFonts w:ascii="Cambria" w:hAnsi="Cambria"/>
                <w:b w:val="0"/>
                <w:sz w:val="17"/>
              </w:rPr>
              <w:t>FDP</w:t>
            </w:r>
          </w:p>
        </w:tc>
        <w:tc>
          <w:tcPr>
            <w:tcW w:type="dxa" w:w="1474"/>
          </w:tcPr>
          <w:p>
            <w:pPr>
              <w:spacing w:after="40" w:line="240" w:lineRule="auto"/>
              <w:jc w:val="left"/>
            </w:pPr>
            <w:r/>
            <w:r>
              <w:rPr>
                <w:rFonts w:ascii="Cambria" w:hAnsi="Cambria"/>
                <w:b w:val="0"/>
                <w:sz w:val="17"/>
              </w:rPr>
              <w:t>AI &amp; ML with Python</w:t>
            </w:r>
          </w:p>
        </w:tc>
        <w:tc>
          <w:tcPr>
            <w:tcW w:type="dxa" w:w="907"/>
          </w:tcPr>
          <w:p>
            <w:pPr>
              <w:spacing w:after="40" w:line="240" w:lineRule="auto"/>
              <w:jc w:val="left"/>
            </w:pPr>
            <w:r/>
            <w:r>
              <w:rPr>
                <w:rFonts w:ascii="Cambria" w:hAnsi="Cambria"/>
                <w:b w:val="0"/>
                <w:sz w:val="17"/>
              </w:rPr>
              <w:t>10 Days</w:t>
            </w:r>
          </w:p>
        </w:tc>
        <w:tc>
          <w:tcPr>
            <w:tcW w:type="dxa" w:w="1020"/>
          </w:tcPr>
          <w:p>
            <w:pPr>
              <w:spacing w:after="40" w:line="240" w:lineRule="auto"/>
              <w:jc w:val="left"/>
            </w:pPr>
            <w:r/>
            <w:r>
              <w:rPr>
                <w:rFonts w:ascii="Cambria" w:hAnsi="Cambria"/>
                <w:b w:val="0"/>
                <w:sz w:val="17"/>
              </w:rPr>
              <w:t>AICTE–ATAL</w:t>
            </w:r>
          </w:p>
        </w:tc>
        <w:tc>
          <w:tcPr>
            <w:tcW w:type="dxa" w:w="680"/>
          </w:tcPr>
          <w:p>
            <w:pPr>
              <w:spacing w:after="40" w:line="240" w:lineRule="auto"/>
              <w:jc w:val="left"/>
            </w:pPr>
            <w:r/>
            <w:r>
              <w:rPr>
                <w:rFonts w:ascii="Cambria" w:hAnsi="Cambria"/>
                <w:b w:val="0"/>
                <w:sz w:val="17"/>
              </w:rPr>
              <w:t>2023</w:t>
            </w:r>
          </w:p>
        </w:tc>
        <w:tc>
          <w:tcPr>
            <w:tcW w:type="dxa" w:w="1417"/>
          </w:tcPr>
          <w:p>
            <w:pPr>
              <w:spacing w:after="40" w:line="240" w:lineRule="auto"/>
              <w:jc w:val="left"/>
            </w:pPr>
            <w:r/>
            <w:r>
              <w:rPr>
                <w:rFonts w:ascii="Cambria" w:hAnsi="Cambria"/>
                <w:b w:val="0"/>
                <w:sz w:val="17"/>
              </w:rPr>
              <w:t>[Certificate PDF]</w:t>
            </w:r>
          </w:p>
        </w:tc>
      </w:tr>
      <w:tr>
        <w:tc>
          <w:tcPr>
            <w:tcW w:type="dxa" w:w="1077"/>
            <w:shd w:val="clear" w:color="auto" w:fill="F2F2F2"/>
          </w:tcPr>
          <w:p>
            <w:pPr>
              <w:spacing w:after="40" w:line="240" w:lineRule="auto"/>
              <w:jc w:val="left"/>
            </w:pPr>
            <w:r/>
            <w:r>
              <w:rPr>
                <w:rFonts w:ascii="Cambria" w:hAnsi="Cambria"/>
                <w:b w:val="0"/>
                <w:sz w:val="17"/>
              </w:rPr>
              <w:t>Prof. B. Kumar</w:t>
            </w:r>
          </w:p>
        </w:tc>
        <w:tc>
          <w:tcPr>
            <w:tcW w:type="dxa" w:w="794"/>
            <w:shd w:val="clear" w:color="auto" w:fill="F2F2F2"/>
          </w:tcPr>
          <w:p>
            <w:pPr>
              <w:spacing w:after="40" w:line="240" w:lineRule="auto"/>
              <w:jc w:val="left"/>
            </w:pPr>
            <w:r/>
            <w:r>
              <w:rPr>
                <w:rFonts w:ascii="Cambria" w:hAnsi="Cambria"/>
                <w:b w:val="0"/>
                <w:sz w:val="17"/>
              </w:rPr>
              <w:t>EEE</w:t>
            </w:r>
          </w:p>
        </w:tc>
        <w:tc>
          <w:tcPr>
            <w:tcW w:type="dxa" w:w="1134"/>
            <w:shd w:val="clear" w:color="auto" w:fill="F2F2F2"/>
          </w:tcPr>
          <w:p>
            <w:pPr>
              <w:spacing w:after="40" w:line="240" w:lineRule="auto"/>
              <w:jc w:val="left"/>
            </w:pPr>
            <w:r/>
            <w:r>
              <w:rPr>
                <w:rFonts w:ascii="Cambria" w:hAnsi="Cambria"/>
                <w:b w:val="0"/>
                <w:sz w:val="17"/>
              </w:rPr>
              <w:t>STTP</w:t>
            </w:r>
          </w:p>
        </w:tc>
        <w:tc>
          <w:tcPr>
            <w:tcW w:type="dxa" w:w="1474"/>
            <w:shd w:val="clear" w:color="auto" w:fill="F2F2F2"/>
          </w:tcPr>
          <w:p>
            <w:pPr>
              <w:spacing w:after="40" w:line="240" w:lineRule="auto"/>
              <w:jc w:val="left"/>
            </w:pPr>
            <w:r/>
            <w:r>
              <w:rPr>
                <w:rFonts w:ascii="Cambria" w:hAnsi="Cambria"/>
                <w:b w:val="0"/>
                <w:sz w:val="17"/>
              </w:rPr>
              <w:t>Power Electronics Simulation</w:t>
            </w:r>
          </w:p>
        </w:tc>
        <w:tc>
          <w:tcPr>
            <w:tcW w:type="dxa" w:w="907"/>
            <w:shd w:val="clear" w:color="auto" w:fill="F2F2F2"/>
          </w:tcPr>
          <w:p>
            <w:pPr>
              <w:spacing w:after="40" w:line="240" w:lineRule="auto"/>
              <w:jc w:val="left"/>
            </w:pPr>
            <w:r/>
            <w:r>
              <w:rPr>
                <w:rFonts w:ascii="Cambria" w:hAnsi="Cambria"/>
                <w:b w:val="0"/>
                <w:sz w:val="17"/>
              </w:rPr>
              <w:t>7 Days</w:t>
            </w:r>
          </w:p>
        </w:tc>
        <w:tc>
          <w:tcPr>
            <w:tcW w:type="dxa" w:w="1020"/>
            <w:shd w:val="clear" w:color="auto" w:fill="F2F2F2"/>
          </w:tcPr>
          <w:p>
            <w:pPr>
              <w:spacing w:after="40" w:line="240" w:lineRule="auto"/>
              <w:jc w:val="left"/>
            </w:pPr>
            <w:r/>
            <w:r>
              <w:rPr>
                <w:rFonts w:ascii="Cambria" w:hAnsi="Cambria"/>
                <w:b w:val="0"/>
                <w:sz w:val="17"/>
              </w:rPr>
              <w:t>IIT Madras</w:t>
            </w:r>
          </w:p>
        </w:tc>
        <w:tc>
          <w:tcPr>
            <w:tcW w:type="dxa" w:w="680"/>
            <w:shd w:val="clear" w:color="auto" w:fill="F2F2F2"/>
          </w:tcPr>
          <w:p>
            <w:pPr>
              <w:spacing w:after="40" w:line="240" w:lineRule="auto"/>
              <w:jc w:val="left"/>
            </w:pPr>
            <w:r/>
            <w:r>
              <w:rPr>
                <w:rFonts w:ascii="Cambria" w:hAnsi="Cambria"/>
                <w:b w:val="0"/>
                <w:sz w:val="17"/>
              </w:rPr>
              <w:t>2022</w:t>
            </w:r>
          </w:p>
        </w:tc>
        <w:tc>
          <w:tcPr>
            <w:tcW w:type="dxa" w:w="1417"/>
            <w:shd w:val="clear" w:color="auto" w:fill="F2F2F2"/>
          </w:tcPr>
          <w:p>
            <w:pPr>
              <w:spacing w:after="40" w:line="240" w:lineRule="auto"/>
              <w:jc w:val="left"/>
            </w:pPr>
            <w:r/>
            <w:r>
              <w:rPr>
                <w:rFonts w:ascii="Cambria" w:hAnsi="Cambria"/>
                <w:b w:val="0"/>
                <w:sz w:val="17"/>
              </w:rPr>
              <w:t>[Certificate PDF]</w:t>
            </w:r>
          </w:p>
        </w:tc>
      </w:tr>
      <w:tr>
        <w:tc>
          <w:tcPr>
            <w:tcW w:type="dxa" w:w="1077"/>
          </w:tcPr>
          <w:p>
            <w:pPr>
              <w:spacing w:after="40" w:line="240" w:lineRule="auto"/>
              <w:jc w:val="left"/>
            </w:pPr>
            <w:r/>
            <w:r>
              <w:rPr>
                <w:rFonts w:ascii="Cambria" w:hAnsi="Cambria"/>
                <w:b w:val="0"/>
                <w:sz w:val="17"/>
              </w:rPr>
              <w:t>Dr. C. Rao</w:t>
            </w:r>
          </w:p>
        </w:tc>
        <w:tc>
          <w:tcPr>
            <w:tcW w:type="dxa" w:w="794"/>
          </w:tcPr>
          <w:p>
            <w:pPr>
              <w:spacing w:after="40" w:line="240" w:lineRule="auto"/>
              <w:jc w:val="left"/>
            </w:pPr>
            <w:r/>
            <w:r>
              <w:rPr>
                <w:rFonts w:ascii="Cambria" w:hAnsi="Cambria"/>
                <w:b w:val="0"/>
                <w:sz w:val="17"/>
              </w:rPr>
              <w:t>Mechanical</w:t>
            </w:r>
          </w:p>
        </w:tc>
        <w:tc>
          <w:tcPr>
            <w:tcW w:type="dxa" w:w="1134"/>
          </w:tcPr>
          <w:p>
            <w:pPr>
              <w:spacing w:after="40" w:line="240" w:lineRule="auto"/>
              <w:jc w:val="left"/>
            </w:pPr>
            <w:r/>
            <w:r>
              <w:rPr>
                <w:rFonts w:ascii="Cambria" w:hAnsi="Cambria"/>
                <w:b w:val="0"/>
                <w:sz w:val="17"/>
              </w:rPr>
              <w:t>MOOC</w:t>
            </w:r>
          </w:p>
        </w:tc>
        <w:tc>
          <w:tcPr>
            <w:tcW w:type="dxa" w:w="1474"/>
          </w:tcPr>
          <w:p>
            <w:pPr>
              <w:spacing w:after="40" w:line="240" w:lineRule="auto"/>
              <w:jc w:val="left"/>
            </w:pPr>
            <w:r/>
            <w:r>
              <w:rPr>
                <w:rFonts w:ascii="Cambria" w:hAnsi="Cambria"/>
                <w:b w:val="0"/>
                <w:sz w:val="17"/>
              </w:rPr>
              <w:t>Advanced Thermodynamics</w:t>
            </w:r>
          </w:p>
        </w:tc>
        <w:tc>
          <w:tcPr>
            <w:tcW w:type="dxa" w:w="907"/>
          </w:tcPr>
          <w:p>
            <w:pPr>
              <w:spacing w:after="40" w:line="240" w:lineRule="auto"/>
              <w:jc w:val="left"/>
            </w:pPr>
            <w:r/>
            <w:r>
              <w:rPr>
                <w:rFonts w:ascii="Cambria" w:hAnsi="Cambria"/>
                <w:b w:val="0"/>
                <w:sz w:val="17"/>
              </w:rPr>
              <w:t>12 Weeks</w:t>
            </w:r>
          </w:p>
        </w:tc>
        <w:tc>
          <w:tcPr>
            <w:tcW w:type="dxa" w:w="1020"/>
          </w:tcPr>
          <w:p>
            <w:pPr>
              <w:spacing w:after="40" w:line="240" w:lineRule="auto"/>
              <w:jc w:val="left"/>
            </w:pPr>
            <w:r/>
            <w:r>
              <w:rPr>
                <w:rFonts w:ascii="Cambria" w:hAnsi="Cambria"/>
                <w:b w:val="0"/>
                <w:sz w:val="17"/>
              </w:rPr>
              <w:t>NPTEL</w:t>
            </w:r>
          </w:p>
        </w:tc>
        <w:tc>
          <w:tcPr>
            <w:tcW w:type="dxa" w:w="680"/>
          </w:tcPr>
          <w:p>
            <w:pPr>
              <w:spacing w:after="40" w:line="240" w:lineRule="auto"/>
              <w:jc w:val="left"/>
            </w:pPr>
            <w:r/>
            <w:r>
              <w:rPr>
                <w:rFonts w:ascii="Cambria" w:hAnsi="Cambria"/>
                <w:b w:val="0"/>
                <w:sz w:val="17"/>
              </w:rPr>
              <w:t>2024</w:t>
            </w:r>
          </w:p>
        </w:tc>
        <w:tc>
          <w:tcPr>
            <w:tcW w:type="dxa" w:w="1417"/>
          </w:tcPr>
          <w:p>
            <w:pPr>
              <w:spacing w:after="40" w:line="240" w:lineRule="auto"/>
              <w:jc w:val="left"/>
            </w:pPr>
            <w:r/>
            <w:r>
              <w:rPr>
                <w:rFonts w:ascii="Cambria" w:hAnsi="Cambria"/>
                <w:b w:val="0"/>
                <w:sz w:val="17"/>
              </w:rPr>
              <w:t>[Certificate PDF]</w:t>
            </w:r>
          </w:p>
        </w:tc>
      </w:tr>
    </w:tbl>
    <w:p>
      <w:pPr>
        <w:spacing w:after="40"/>
      </w:pPr>
    </w:p>
    <w:p>
      <w:pPr>
        <w:pStyle w:val="Heading3"/>
      </w:pPr>
      <w:r>
        <w:rPr>
          <w:rFonts w:ascii="Cambria" w:hAnsi="Cambria"/>
          <w:b/>
          <w:color w:val="1F3A5F"/>
          <w:sz w:val="26"/>
        </w:rPr>
        <w:t>4. NBA Evaluation</w:t>
      </w:r>
    </w:p>
    <w:p>
      <w:pPr>
        <w:pStyle w:val="ListBullet"/>
        <w:spacing w:after="80" w:line="276" w:lineRule="auto"/>
      </w:pPr>
      <w:r>
        <w:rPr>
          <w:rFonts w:ascii="Cambria" w:hAnsi="Cambria"/>
          <w:b w:val="0"/>
          <w:i w:val="0"/>
          <w:sz w:val="22"/>
        </w:rPr>
        <w:t>Improvement measured year-wise → No. of FDP/STTP/MOOC completions per year.</w:t>
      </w:r>
    </w:p>
    <w:p>
      <w:pPr>
        <w:pStyle w:val="ListBullet"/>
        <w:spacing w:after="80" w:line="276" w:lineRule="auto"/>
      </w:pPr>
      <w:r>
        <w:rPr>
          <w:rFonts w:ascii="Cambria" w:hAnsi="Cambria"/>
          <w:b w:val="0"/>
          <w:i w:val="0"/>
          <w:sz w:val="22"/>
        </w:rPr>
        <w:t>Evidence linked to faculty improvement tracker (qualification, publications, FDPs).</w:t>
      </w:r>
    </w:p>
    <w:p>
      <w:pPr>
        <w:pStyle w:val="ListBullet"/>
        <w:spacing w:after="80" w:line="276" w:lineRule="auto"/>
      </w:pPr>
      <w:r>
        <w:rPr>
          <w:rFonts w:ascii="Cambria" w:hAnsi="Cambria"/>
          <w:b/>
          <w:i w:val="0"/>
          <w:sz w:val="22"/>
        </w:rPr>
        <w:t>Impact shown in:</w:t>
      </w:r>
    </w:p>
    <w:p>
      <w:pPr>
        <w:pStyle w:val="ListBullet2"/>
        <w:spacing w:after="80" w:line="276" w:lineRule="auto"/>
      </w:pPr>
      <w:r>
        <w:rPr>
          <w:rFonts w:ascii="Cambria" w:hAnsi="Cambria"/>
          <w:b w:val="0"/>
          <w:i w:val="0"/>
          <w:sz w:val="22"/>
        </w:rPr>
        <w:t>More effective teaching-learning.</w:t>
      </w:r>
    </w:p>
    <w:p>
      <w:pPr>
        <w:pStyle w:val="ListBullet2"/>
        <w:spacing w:after="80" w:line="276" w:lineRule="auto"/>
      </w:pPr>
      <w:r>
        <w:rPr>
          <w:rFonts w:ascii="Cambria" w:hAnsi="Cambria"/>
          <w:b w:val="0"/>
          <w:i w:val="0"/>
          <w:sz w:val="22"/>
        </w:rPr>
        <w:t>Improved CO/PO/PSO attainment.</w:t>
      </w:r>
    </w:p>
    <w:p>
      <w:pPr>
        <w:pStyle w:val="ListBullet2"/>
        <w:spacing w:after="80" w:line="276" w:lineRule="auto"/>
      </w:pPr>
      <w:r>
        <w:rPr>
          <w:rFonts w:ascii="Cambria" w:hAnsi="Cambria"/>
          <w:b w:val="0"/>
          <w:i w:val="0"/>
          <w:sz w:val="22"/>
        </w:rPr>
        <w:t>Higher student satisfaction/feedback scores.</w:t>
      </w:r>
    </w:p>
    <w:p>
      <w:pPr>
        <w:pStyle w:val="Heading3"/>
      </w:pPr>
      <w:r>
        <w:rPr>
          <w:rFonts w:ascii="Cambria" w:hAnsi="Cambria"/>
          <w:b/>
          <w:color w:val="1F3A5F"/>
          <w:sz w:val="26"/>
        </w:rPr>
        <w:t>5. NBA Marks Connection (15 Marks)</w:t>
      </w:r>
    </w:p>
    <w:p>
      <w:pPr>
        <w:pStyle w:val="ListBullet"/>
        <w:spacing w:after="80" w:line="276" w:lineRule="auto"/>
      </w:pPr>
      <w:r>
        <w:rPr>
          <w:rFonts w:ascii="Cambria" w:hAnsi="Cambria"/>
          <w:b w:val="0"/>
          <w:i w:val="0"/>
          <w:sz w:val="22"/>
        </w:rPr>
        <w:t>FDP/STTP/MOOC completion is part of Faculty Contributions → 5 marks.</w:t>
      </w:r>
    </w:p>
    <w:p>
      <w:pPr>
        <w:pStyle w:val="ListBullet"/>
        <w:spacing w:after="80" w:line="276" w:lineRule="auto"/>
      </w:pPr>
      <w:r>
        <w:rPr>
          <w:rFonts w:ascii="Cambria" w:hAnsi="Cambria"/>
          <w:b w:val="0"/>
          <w:i w:val="0"/>
          <w:sz w:val="22"/>
        </w:rPr>
        <w:t>The more systematic and year-wise the evidence, the stronger the case for full marks.</w:t>
      </w:r>
    </w:p>
    <w:p>
      <w:r>
        <w:br w:type="page"/>
      </w:r>
    </w:p>
    <w:p>
      <w:pPr>
        <w:pStyle w:val="Heading1"/>
      </w:pPr>
      <w:r>
        <w:rPr>
          <w:rFonts w:ascii="Cambria" w:hAnsi="Cambria"/>
          <w:b/>
          <w:color w:val="1F3A5F"/>
          <w:sz w:val="36"/>
        </w:rPr>
        <w:t>21. Publication Proofs (DOI, Scopus/WoS indexing)</w:t>
      </w:r>
    </w:p>
    <w:p>
      <w:pPr>
        <w:pStyle w:val="Heading3"/>
      </w:pPr>
      <w:r>
        <w:rPr>
          <w:rFonts w:ascii="Cambria" w:hAnsi="Cambria"/>
          <w:b/>
          <w:color w:val="1F3A5F"/>
          <w:sz w:val="26"/>
        </w:rPr>
        <w:t>1. Purpose</w:t>
      </w:r>
    </w:p>
    <w:p>
      <w:pPr>
        <w:pStyle w:val="ListBullet"/>
        <w:spacing w:after="80" w:line="276" w:lineRule="auto"/>
      </w:pPr>
      <w:r>
        <w:rPr>
          <w:rFonts w:ascii="Cambria" w:hAnsi="Cambria"/>
          <w:b w:val="0"/>
          <w:i w:val="0"/>
          <w:sz w:val="22"/>
        </w:rPr>
        <w:t>To validate faculty research contributions in reputed, peer-reviewed platforms.</w:t>
      </w:r>
    </w:p>
    <w:p>
      <w:pPr>
        <w:pStyle w:val="ListBullet"/>
        <w:spacing w:after="80" w:line="276" w:lineRule="auto"/>
      </w:pPr>
      <w:r>
        <w:rPr>
          <w:rFonts w:ascii="Cambria" w:hAnsi="Cambria"/>
          <w:b/>
          <w:i w:val="0"/>
          <w:sz w:val="22"/>
        </w:rPr>
        <w:t>Acts as evidence for:</w:t>
      </w:r>
    </w:p>
    <w:p>
      <w:pPr>
        <w:pStyle w:val="ListBullet2"/>
        <w:spacing w:after="80" w:line="276" w:lineRule="auto"/>
      </w:pPr>
      <w:r>
        <w:rPr>
          <w:rFonts w:ascii="Cambria" w:hAnsi="Cambria"/>
          <w:b w:val="0"/>
          <w:i w:val="0"/>
          <w:sz w:val="22"/>
        </w:rPr>
        <w:t>Journal Publications (Scopus/SCI/WoS indexed).</w:t>
      </w:r>
    </w:p>
    <w:p>
      <w:pPr>
        <w:pStyle w:val="ListBullet2"/>
        <w:spacing w:after="80" w:line="276" w:lineRule="auto"/>
      </w:pPr>
      <w:r>
        <w:rPr>
          <w:rFonts w:ascii="Cambria" w:hAnsi="Cambria"/>
          <w:b w:val="0"/>
          <w:i w:val="0"/>
          <w:sz w:val="22"/>
        </w:rPr>
        <w:t>Conference Publications (Scopus indexed / IEEE / Springer / Elsevier).</w:t>
      </w:r>
    </w:p>
    <w:p>
      <w:pPr>
        <w:pStyle w:val="ListBullet"/>
        <w:spacing w:after="80" w:line="276" w:lineRule="auto"/>
      </w:pPr>
      <w:r>
        <w:rPr>
          <w:rFonts w:ascii="Cambria" w:hAnsi="Cambria"/>
          <w:b w:val="0"/>
          <w:i w:val="0"/>
          <w:sz w:val="22"/>
        </w:rPr>
        <w:t>Strengthens department’s research profile and improves NBA scoring.</w:t>
      </w:r>
    </w:p>
    <w:p>
      <w:pPr>
        <w:pStyle w:val="Heading3"/>
      </w:pPr>
      <w:r>
        <w:rPr>
          <w:rFonts w:ascii="Cambria" w:hAnsi="Cambria"/>
          <w:b/>
          <w:color w:val="1F3A5F"/>
          <w:sz w:val="26"/>
        </w:rPr>
        <w:t>2. Required Proofs</w:t>
      </w:r>
    </w:p>
    <w:p>
      <w:pPr>
        <w:spacing w:after="80" w:line="276" w:lineRule="auto"/>
      </w:pPr>
      <w:r>
        <w:rPr>
          <w:rFonts w:ascii="Cambria" w:hAnsi="Cambria"/>
          <w:b w:val="0"/>
          <w:i w:val="0"/>
          <w:sz w:val="22"/>
        </w:rPr>
        <w:t>For each publication, keep the following ready:</w:t>
      </w:r>
    </w:p>
    <w:p>
      <w:pPr>
        <w:pStyle w:val="ListNumber"/>
        <w:spacing w:after="80" w:line="276" w:lineRule="auto"/>
      </w:pPr>
      <w:r>
        <w:rPr>
          <w:rFonts w:ascii="Cambria" w:hAnsi="Cambria"/>
          <w:b/>
          <w:i w:val="0"/>
          <w:sz w:val="22"/>
        </w:rPr>
        <w:t xml:space="preserve">First Page Proof / Acceptance Letter – </w:t>
      </w:r>
      <w:r>
        <w:rPr>
          <w:rFonts w:ascii="Cambria" w:hAnsi="Cambria"/>
          <w:b w:val="0"/>
          <w:i w:val="0"/>
          <w:sz w:val="22"/>
        </w:rPr>
        <w:t>showing authors, title, journal/conference name, year.</w:t>
      </w:r>
    </w:p>
    <w:p>
      <w:pPr>
        <w:pStyle w:val="ListNumber"/>
        <w:spacing w:after="80" w:line="276" w:lineRule="auto"/>
      </w:pPr>
      <w:r>
        <w:rPr>
          <w:rFonts w:ascii="Cambria" w:hAnsi="Cambria"/>
          <w:b/>
          <w:i w:val="0"/>
          <w:sz w:val="22"/>
        </w:rPr>
        <w:t xml:space="preserve">DOI (Digital Object Identifier) – </w:t>
      </w:r>
      <w:r>
        <w:rPr>
          <w:rFonts w:ascii="Cambria" w:hAnsi="Cambria"/>
          <w:b w:val="0"/>
          <w:i w:val="0"/>
          <w:sz w:val="22"/>
        </w:rPr>
        <w:t>ensures authenticity.</w:t>
      </w:r>
    </w:p>
    <w:p>
      <w:pPr>
        <w:pStyle w:val="ListNumber"/>
        <w:spacing w:after="80" w:line="276" w:lineRule="auto"/>
      </w:pPr>
      <w:r>
        <w:rPr>
          <w:rFonts w:ascii="Cambria" w:hAnsi="Cambria"/>
          <w:b/>
          <w:i w:val="0"/>
          <w:sz w:val="22"/>
        </w:rPr>
        <w:t xml:space="preserve">Indexing Evidence – </w:t>
      </w:r>
      <w:r>
        <w:rPr>
          <w:rFonts w:ascii="Cambria" w:hAnsi="Cambria"/>
          <w:b w:val="0"/>
          <w:i w:val="0"/>
          <w:sz w:val="22"/>
        </w:rPr>
        <w:t>screenshot/certificate from:</w:t>
      </w:r>
    </w:p>
    <w:p>
      <w:pPr>
        <w:pStyle w:val="ListBullet2"/>
        <w:spacing w:after="80" w:line="276" w:lineRule="auto"/>
      </w:pPr>
      <w:r>
        <w:rPr>
          <w:rFonts w:ascii="Cambria" w:hAnsi="Cambria"/>
          <w:b w:val="0"/>
          <w:i w:val="0"/>
          <w:sz w:val="22"/>
        </w:rPr>
        <w:t>Scopus (Scopus Source list).</w:t>
      </w:r>
    </w:p>
    <w:p>
      <w:pPr>
        <w:pStyle w:val="ListBullet2"/>
        <w:spacing w:after="80" w:line="276" w:lineRule="auto"/>
      </w:pPr>
      <w:r>
        <w:rPr>
          <w:rFonts w:ascii="Cambria" w:hAnsi="Cambria"/>
          <w:b w:val="0"/>
          <w:i w:val="0"/>
          <w:sz w:val="22"/>
        </w:rPr>
        <w:t>Web of Science (Master Journal List).</w:t>
      </w:r>
    </w:p>
    <w:p>
      <w:pPr>
        <w:pStyle w:val="ListBullet2"/>
        <w:spacing w:after="80" w:line="276" w:lineRule="auto"/>
      </w:pPr>
      <w:r>
        <w:rPr>
          <w:rFonts w:ascii="Cambria" w:hAnsi="Cambria"/>
          <w:b w:val="0"/>
          <w:i w:val="0"/>
          <w:sz w:val="22"/>
        </w:rPr>
        <w:t>SCI/ESCI lists.</w:t>
      </w:r>
    </w:p>
    <w:p>
      <w:pPr>
        <w:pStyle w:val="ListNumber"/>
        <w:spacing w:after="80" w:line="276" w:lineRule="auto"/>
      </w:pPr>
      <w:r>
        <w:rPr>
          <w:rFonts w:ascii="Cambria" w:hAnsi="Cambria"/>
          <w:b/>
          <w:i w:val="0"/>
          <w:sz w:val="22"/>
        </w:rPr>
        <w:t xml:space="preserve">Conference Proceedings – </w:t>
      </w:r>
      <w:r>
        <w:rPr>
          <w:rFonts w:ascii="Cambria" w:hAnsi="Cambria"/>
          <w:b w:val="0"/>
          <w:i w:val="0"/>
          <w:sz w:val="22"/>
        </w:rPr>
        <w:t>with ISBN/DOI and publisher details.</w:t>
      </w:r>
    </w:p>
    <w:p>
      <w:pPr>
        <w:pStyle w:val="Heading3"/>
      </w:pPr>
      <w:r>
        <w:rPr>
          <w:rFonts w:ascii="Cambria" w:hAnsi="Cambria"/>
          <w:b/>
          <w:color w:val="1F3A5F"/>
          <w:sz w:val="26"/>
        </w:rPr>
        <w:t>3. Documentation Practices</w:t>
      </w:r>
    </w:p>
    <w:p>
      <w:pPr>
        <w:pStyle w:val="ListBullet"/>
        <w:spacing w:after="80" w:line="276" w:lineRule="auto"/>
      </w:pPr>
      <w:r>
        <w:rPr>
          <w:rFonts w:ascii="Cambria" w:hAnsi="Cambria"/>
          <w:b/>
          <w:i w:val="0"/>
          <w:sz w:val="22"/>
        </w:rPr>
        <w:t>Faculty-wise Repository (Digital/Physical):</w:t>
      </w:r>
    </w:p>
    <w:p>
      <w:pPr>
        <w:pStyle w:val="ListBullet2"/>
        <w:spacing w:after="80" w:line="276" w:lineRule="auto"/>
      </w:pPr>
      <w:r>
        <w:rPr>
          <w:rFonts w:ascii="Cambria" w:hAnsi="Cambria"/>
          <w:b w:val="0"/>
          <w:i w:val="0"/>
          <w:sz w:val="22"/>
        </w:rPr>
        <w:t>Folder: Faculty Name → Publications → Subfolder (Journals / Conferences) → PDF Proofs.</w:t>
      </w:r>
    </w:p>
    <w:p>
      <w:pPr>
        <w:pStyle w:val="ListBullet"/>
        <w:spacing w:after="80" w:line="276" w:lineRule="auto"/>
      </w:pPr>
      <w:r>
        <w:rPr>
          <w:rFonts w:ascii="Cambria" w:hAnsi="Cambria"/>
          <w:b/>
          <w:i w:val="0"/>
          <w:sz w:val="22"/>
        </w:rPr>
        <w:t>Excel/Database Tracker (Centralized):</w:t>
      </w:r>
    </w:p>
    <w:p>
      <w:pPr>
        <w:pStyle w:val="ListBullet2"/>
        <w:spacing w:after="80" w:line="276" w:lineRule="auto"/>
      </w:pPr>
      <w:r>
        <w:rPr>
          <w:rFonts w:ascii="Cambria" w:hAnsi="Cambria"/>
          <w:b w:val="0"/>
          <w:i w:val="0"/>
          <w:sz w:val="22"/>
        </w:rPr>
        <w:t>Each publication logged with DOI, indexing details, and evidence link.</w:t>
      </w:r>
    </w:p>
    <w:p>
      <w:pPr>
        <w:pStyle w:val="Heading3"/>
      </w:pPr>
      <w:r>
        <w:rPr>
          <w:rFonts w:ascii="Cambria" w:hAnsi="Cambria"/>
          <w:b/>
          <w:color w:val="1F3A5F"/>
          <w:sz w:val="26"/>
        </w:rPr>
        <w:t>Sample Excel Tracker Format:</w:t>
      </w:r>
    </w:p>
    <w:tbl>
      <w:tblPr>
        <w:tblStyle w:val="TableGrid"/>
        <w:tblW w:type="auto" w:w="0"/>
        <w:jc w:val="center"/>
        <w:tblLayout w:type="fixed"/>
        <w:tblLook w:firstColumn="1" w:firstRow="1" w:lastColumn="0" w:lastRow="0" w:noHBand="0" w:noVBand="1" w:val="04A0"/>
        <w:tblLayout w:type="fixed"/>
      </w:tblPr>
      <w:tblGrid>
        <w:gridCol w:w="1020"/>
        <w:gridCol w:w="680"/>
        <w:gridCol w:w="850"/>
        <w:gridCol w:w="1474"/>
        <w:gridCol w:w="1304"/>
        <w:gridCol w:w="907"/>
        <w:gridCol w:w="624"/>
        <w:gridCol w:w="1587"/>
        <w:gridCol w:w="1020"/>
      </w:tblGrid>
      <w:tr>
        <w:tc>
          <w:tcPr>
            <w:tcW w:type="dxa" w:w="1020"/>
            <w:shd w:val="clear" w:color="auto" w:fill="1F3A5F"/>
          </w:tcPr>
          <w:p>
            <w:pPr>
              <w:spacing w:after="40" w:line="240" w:lineRule="auto"/>
              <w:jc w:val="center"/>
            </w:pPr>
            <w:r/>
            <w:r>
              <w:rPr>
                <w:rFonts w:ascii="Cambria" w:hAnsi="Cambria"/>
                <w:b/>
                <w:color w:val="FFFFFF"/>
                <w:sz w:val="16"/>
              </w:rPr>
              <w:t>Faculty</w:t>
              <w:br/>
              <w:t>Name</w:t>
            </w:r>
          </w:p>
        </w:tc>
        <w:tc>
          <w:tcPr>
            <w:tcW w:type="dxa" w:w="680"/>
            <w:shd w:val="clear" w:color="auto" w:fill="1F3A5F"/>
          </w:tcPr>
          <w:p>
            <w:pPr>
              <w:spacing w:after="40" w:line="240" w:lineRule="auto"/>
              <w:jc w:val="center"/>
            </w:pPr>
            <w:r/>
            <w:r>
              <w:rPr>
                <w:rFonts w:ascii="Cambria" w:hAnsi="Cambria"/>
                <w:b/>
                <w:color w:val="FFFFFF"/>
                <w:sz w:val="16"/>
              </w:rPr>
              <w:t>Dept</w:t>
            </w:r>
          </w:p>
        </w:tc>
        <w:tc>
          <w:tcPr>
            <w:tcW w:type="dxa" w:w="850"/>
            <w:shd w:val="clear" w:color="auto" w:fill="1F3A5F"/>
          </w:tcPr>
          <w:p>
            <w:pPr>
              <w:spacing w:after="40" w:line="240" w:lineRule="auto"/>
              <w:jc w:val="center"/>
            </w:pPr>
            <w:r/>
            <w:r>
              <w:rPr>
                <w:rFonts w:ascii="Cambria" w:hAnsi="Cambria"/>
                <w:b/>
                <w:color w:val="FFFFFF"/>
                <w:sz w:val="16"/>
              </w:rPr>
              <w:t>Publication</w:t>
              <w:br/>
              <w:t>Type</w:t>
            </w:r>
          </w:p>
        </w:tc>
        <w:tc>
          <w:tcPr>
            <w:tcW w:type="dxa" w:w="1474"/>
            <w:shd w:val="clear" w:color="auto" w:fill="1F3A5F"/>
          </w:tcPr>
          <w:p>
            <w:pPr>
              <w:spacing w:after="40" w:line="240" w:lineRule="auto"/>
              <w:jc w:val="center"/>
            </w:pPr>
            <w:r/>
            <w:r>
              <w:rPr>
                <w:rFonts w:ascii="Cambria" w:hAnsi="Cambria"/>
                <w:b/>
                <w:color w:val="FFFFFF"/>
                <w:sz w:val="16"/>
              </w:rPr>
              <w:t>Title of</w:t>
              <w:br/>
              <w:t>Paper</w:t>
            </w:r>
          </w:p>
        </w:tc>
        <w:tc>
          <w:tcPr>
            <w:tcW w:type="dxa" w:w="1304"/>
            <w:shd w:val="clear" w:color="auto" w:fill="1F3A5F"/>
          </w:tcPr>
          <w:p>
            <w:pPr>
              <w:spacing w:after="40" w:line="240" w:lineRule="auto"/>
              <w:jc w:val="center"/>
            </w:pPr>
            <w:r/>
            <w:r>
              <w:rPr>
                <w:rFonts w:ascii="Cambria" w:hAnsi="Cambria"/>
                <w:b/>
                <w:color w:val="FFFFFF"/>
                <w:sz w:val="16"/>
              </w:rPr>
              <w:t>Journal/</w:t>
              <w:br/>
              <w:t>Conference</w:t>
            </w:r>
          </w:p>
        </w:tc>
        <w:tc>
          <w:tcPr>
            <w:tcW w:type="dxa" w:w="907"/>
            <w:shd w:val="clear" w:color="auto" w:fill="1F3A5F"/>
          </w:tcPr>
          <w:p>
            <w:pPr>
              <w:spacing w:after="40" w:line="240" w:lineRule="auto"/>
              <w:jc w:val="center"/>
            </w:pPr>
            <w:r/>
            <w:r>
              <w:rPr>
                <w:rFonts w:ascii="Cambria" w:hAnsi="Cambria"/>
                <w:b/>
                <w:color w:val="FFFFFF"/>
                <w:sz w:val="16"/>
              </w:rPr>
              <w:t>Publisher</w:t>
            </w:r>
          </w:p>
        </w:tc>
        <w:tc>
          <w:tcPr>
            <w:tcW w:type="dxa" w:w="624"/>
            <w:shd w:val="clear" w:color="auto" w:fill="1F3A5F"/>
          </w:tcPr>
          <w:p>
            <w:pPr>
              <w:spacing w:after="40" w:line="240" w:lineRule="auto"/>
              <w:jc w:val="center"/>
            </w:pPr>
            <w:r/>
            <w:r>
              <w:rPr>
                <w:rFonts w:ascii="Cambria" w:hAnsi="Cambria"/>
                <w:b/>
                <w:color w:val="FFFFFF"/>
                <w:sz w:val="16"/>
              </w:rPr>
              <w:t>Year</w:t>
            </w:r>
          </w:p>
        </w:tc>
        <w:tc>
          <w:tcPr>
            <w:tcW w:type="dxa" w:w="1587"/>
            <w:shd w:val="clear" w:color="auto" w:fill="1F3A5F"/>
          </w:tcPr>
          <w:p>
            <w:pPr>
              <w:spacing w:after="40" w:line="240" w:lineRule="auto"/>
              <w:jc w:val="center"/>
            </w:pPr>
            <w:r/>
            <w:r>
              <w:rPr>
                <w:rFonts w:ascii="Cambria" w:hAnsi="Cambria"/>
                <w:b/>
                <w:color w:val="FFFFFF"/>
                <w:sz w:val="16"/>
              </w:rPr>
              <w:t>DOI</w:t>
            </w:r>
          </w:p>
        </w:tc>
        <w:tc>
          <w:tcPr>
            <w:tcW w:type="dxa" w:w="1020"/>
            <w:shd w:val="clear" w:color="auto" w:fill="1F3A5F"/>
          </w:tcPr>
          <w:p>
            <w:pPr>
              <w:spacing w:after="40" w:line="240" w:lineRule="auto"/>
              <w:jc w:val="center"/>
            </w:pPr>
            <w:r/>
            <w:r>
              <w:rPr>
                <w:rFonts w:ascii="Cambria" w:hAnsi="Cambria"/>
                <w:b/>
                <w:color w:val="FFFFFF"/>
                <w:sz w:val="16"/>
              </w:rPr>
              <w:t>Indexed In</w:t>
              <w:br/>
              <w:t>(Scopus/</w:t>
              <w:br/>
              <w:t>WoS/SCI)</w:t>
            </w:r>
          </w:p>
        </w:tc>
      </w:tr>
      <w:tr>
        <w:tc>
          <w:tcPr>
            <w:tcW w:type="dxa" w:w="1020"/>
          </w:tcPr>
          <w:p>
            <w:pPr>
              <w:spacing w:after="40" w:line="240" w:lineRule="auto"/>
              <w:jc w:val="left"/>
            </w:pPr>
            <w:r/>
            <w:r>
              <w:rPr>
                <w:rFonts w:ascii="Cambria" w:hAnsi="Cambria"/>
                <w:b w:val="0"/>
                <w:sz w:val="15"/>
              </w:rPr>
              <w:t>Dr. A. Sharma</w:t>
            </w:r>
          </w:p>
        </w:tc>
        <w:tc>
          <w:tcPr>
            <w:tcW w:type="dxa" w:w="680"/>
          </w:tcPr>
          <w:p>
            <w:pPr>
              <w:spacing w:after="40" w:line="240" w:lineRule="auto"/>
              <w:jc w:val="left"/>
            </w:pPr>
            <w:r/>
            <w:r>
              <w:rPr>
                <w:rFonts w:ascii="Cambria" w:hAnsi="Cambria"/>
                <w:b w:val="0"/>
                <w:sz w:val="15"/>
              </w:rPr>
              <w:t>CSE</w:t>
            </w:r>
          </w:p>
        </w:tc>
        <w:tc>
          <w:tcPr>
            <w:tcW w:type="dxa" w:w="850"/>
          </w:tcPr>
          <w:p>
            <w:pPr>
              <w:spacing w:after="40" w:line="240" w:lineRule="auto"/>
              <w:jc w:val="left"/>
            </w:pPr>
            <w:r/>
            <w:r>
              <w:rPr>
                <w:rFonts w:ascii="Cambria" w:hAnsi="Cambria"/>
                <w:b w:val="0"/>
                <w:sz w:val="15"/>
              </w:rPr>
              <w:t>Journal</w:t>
            </w:r>
          </w:p>
        </w:tc>
        <w:tc>
          <w:tcPr>
            <w:tcW w:type="dxa" w:w="1474"/>
          </w:tcPr>
          <w:p>
            <w:pPr>
              <w:spacing w:after="40" w:line="240" w:lineRule="auto"/>
              <w:jc w:val="left"/>
            </w:pPr>
            <w:r/>
            <w:r>
              <w:rPr>
                <w:rFonts w:ascii="Cambria" w:hAnsi="Cambria"/>
                <w:b w:val="0"/>
                <w:sz w:val="15"/>
              </w:rPr>
              <w:t>Deep Learning for NLP</w:t>
            </w:r>
          </w:p>
        </w:tc>
        <w:tc>
          <w:tcPr>
            <w:tcW w:type="dxa" w:w="1304"/>
          </w:tcPr>
          <w:p>
            <w:pPr>
              <w:spacing w:after="40" w:line="240" w:lineRule="auto"/>
              <w:jc w:val="left"/>
            </w:pPr>
            <w:r/>
            <w:r>
              <w:rPr>
                <w:rFonts w:ascii="Cambria" w:hAnsi="Cambria"/>
                <w:b w:val="0"/>
                <w:sz w:val="15"/>
              </w:rPr>
              <w:t>IEEE Access</w:t>
            </w:r>
          </w:p>
        </w:tc>
        <w:tc>
          <w:tcPr>
            <w:tcW w:type="dxa" w:w="907"/>
          </w:tcPr>
          <w:p>
            <w:pPr>
              <w:spacing w:after="40" w:line="240" w:lineRule="auto"/>
              <w:jc w:val="left"/>
            </w:pPr>
            <w:r/>
            <w:r>
              <w:rPr>
                <w:rFonts w:ascii="Cambria" w:hAnsi="Cambria"/>
                <w:b w:val="0"/>
                <w:sz w:val="15"/>
              </w:rPr>
              <w:t>IEEE</w:t>
            </w:r>
          </w:p>
        </w:tc>
        <w:tc>
          <w:tcPr>
            <w:tcW w:type="dxa" w:w="624"/>
          </w:tcPr>
          <w:p>
            <w:pPr>
              <w:spacing w:after="40" w:line="240" w:lineRule="auto"/>
              <w:jc w:val="left"/>
            </w:pPr>
            <w:r/>
            <w:r>
              <w:rPr>
                <w:rFonts w:ascii="Cambria" w:hAnsi="Cambria"/>
                <w:b w:val="0"/>
                <w:sz w:val="15"/>
              </w:rPr>
              <w:t>2023</w:t>
            </w:r>
          </w:p>
        </w:tc>
        <w:tc>
          <w:tcPr>
            <w:tcW w:type="dxa" w:w="1587"/>
          </w:tcPr>
          <w:p>
            <w:pPr>
              <w:spacing w:after="40" w:line="240" w:lineRule="auto"/>
              <w:jc w:val="left"/>
            </w:pPr>
            <w:r/>
            <w:r>
              <w:rPr>
                <w:rFonts w:ascii="Cambria" w:hAnsi="Cambria"/>
                <w:b w:val="0"/>
                <w:sz w:val="15"/>
              </w:rPr>
              <w:t>10.1109/ACCESS.12345</w:t>
            </w:r>
          </w:p>
        </w:tc>
        <w:tc>
          <w:tcPr>
            <w:tcW w:type="dxa" w:w="1020"/>
          </w:tcPr>
          <w:p>
            <w:pPr>
              <w:spacing w:after="40" w:line="240" w:lineRule="auto"/>
              <w:jc w:val="left"/>
            </w:pPr>
            <w:r/>
            <w:r>
              <w:rPr>
                <w:rFonts w:ascii="Cambria" w:hAnsi="Cambria"/>
                <w:b w:val="0"/>
                <w:sz w:val="15"/>
              </w:rPr>
              <w:t>Scopus, WoS</w:t>
            </w:r>
          </w:p>
        </w:tc>
      </w:tr>
      <w:tr>
        <w:tc>
          <w:tcPr>
            <w:tcW w:type="dxa" w:w="1020"/>
            <w:shd w:val="clear" w:color="auto" w:fill="F2F2F2"/>
          </w:tcPr>
          <w:p>
            <w:pPr>
              <w:spacing w:after="40" w:line="240" w:lineRule="auto"/>
              <w:jc w:val="left"/>
            </w:pPr>
            <w:r/>
            <w:r>
              <w:rPr>
                <w:rFonts w:ascii="Cambria" w:hAnsi="Cambria"/>
                <w:b w:val="0"/>
                <w:sz w:val="15"/>
              </w:rPr>
              <w:t>Prof. B. Kumar</w:t>
            </w:r>
          </w:p>
        </w:tc>
        <w:tc>
          <w:tcPr>
            <w:tcW w:type="dxa" w:w="680"/>
            <w:shd w:val="clear" w:color="auto" w:fill="F2F2F2"/>
          </w:tcPr>
          <w:p>
            <w:pPr>
              <w:spacing w:after="40" w:line="240" w:lineRule="auto"/>
              <w:jc w:val="left"/>
            </w:pPr>
            <w:r/>
            <w:r>
              <w:rPr>
                <w:rFonts w:ascii="Cambria" w:hAnsi="Cambria"/>
                <w:b w:val="0"/>
                <w:sz w:val="15"/>
              </w:rPr>
              <w:t>EEE</w:t>
            </w:r>
          </w:p>
        </w:tc>
        <w:tc>
          <w:tcPr>
            <w:tcW w:type="dxa" w:w="850"/>
            <w:shd w:val="clear" w:color="auto" w:fill="F2F2F2"/>
          </w:tcPr>
          <w:p>
            <w:pPr>
              <w:spacing w:after="40" w:line="240" w:lineRule="auto"/>
              <w:jc w:val="left"/>
            </w:pPr>
            <w:r/>
            <w:r>
              <w:rPr>
                <w:rFonts w:ascii="Cambria" w:hAnsi="Cambria"/>
                <w:b w:val="0"/>
                <w:sz w:val="15"/>
              </w:rPr>
              <w:t>Conference</w:t>
            </w:r>
          </w:p>
        </w:tc>
        <w:tc>
          <w:tcPr>
            <w:tcW w:type="dxa" w:w="1474"/>
            <w:shd w:val="clear" w:color="auto" w:fill="F2F2F2"/>
          </w:tcPr>
          <w:p>
            <w:pPr>
              <w:spacing w:after="40" w:line="240" w:lineRule="auto"/>
              <w:jc w:val="left"/>
            </w:pPr>
            <w:r/>
            <w:r>
              <w:rPr>
                <w:rFonts w:ascii="Cambria" w:hAnsi="Cambria"/>
                <w:b w:val="0"/>
                <w:sz w:val="15"/>
              </w:rPr>
              <w:t>Power Electronics in Smart Grids</w:t>
            </w:r>
          </w:p>
        </w:tc>
        <w:tc>
          <w:tcPr>
            <w:tcW w:type="dxa" w:w="1304"/>
            <w:shd w:val="clear" w:color="auto" w:fill="F2F2F2"/>
          </w:tcPr>
          <w:p>
            <w:pPr>
              <w:spacing w:after="40" w:line="240" w:lineRule="auto"/>
              <w:jc w:val="left"/>
            </w:pPr>
            <w:r/>
            <w:r>
              <w:rPr>
                <w:rFonts w:ascii="Cambria" w:hAnsi="Cambria"/>
                <w:b w:val="0"/>
                <w:sz w:val="15"/>
              </w:rPr>
              <w:t>IEEE PES Conference</w:t>
            </w:r>
          </w:p>
        </w:tc>
        <w:tc>
          <w:tcPr>
            <w:tcW w:type="dxa" w:w="907"/>
            <w:shd w:val="clear" w:color="auto" w:fill="F2F2F2"/>
          </w:tcPr>
          <w:p>
            <w:pPr>
              <w:spacing w:after="40" w:line="240" w:lineRule="auto"/>
              <w:jc w:val="left"/>
            </w:pPr>
            <w:r/>
            <w:r>
              <w:rPr>
                <w:rFonts w:ascii="Cambria" w:hAnsi="Cambria"/>
                <w:b w:val="0"/>
                <w:sz w:val="15"/>
              </w:rPr>
              <w:t>IEEE</w:t>
            </w:r>
          </w:p>
        </w:tc>
        <w:tc>
          <w:tcPr>
            <w:tcW w:type="dxa" w:w="624"/>
            <w:shd w:val="clear" w:color="auto" w:fill="F2F2F2"/>
          </w:tcPr>
          <w:p>
            <w:pPr>
              <w:spacing w:after="40" w:line="240" w:lineRule="auto"/>
              <w:jc w:val="left"/>
            </w:pPr>
            <w:r/>
            <w:r>
              <w:rPr>
                <w:rFonts w:ascii="Cambria" w:hAnsi="Cambria"/>
                <w:b w:val="0"/>
                <w:sz w:val="15"/>
              </w:rPr>
              <w:t>2022</w:t>
            </w:r>
          </w:p>
        </w:tc>
        <w:tc>
          <w:tcPr>
            <w:tcW w:type="dxa" w:w="1587"/>
            <w:shd w:val="clear" w:color="auto" w:fill="F2F2F2"/>
          </w:tcPr>
          <w:p>
            <w:pPr>
              <w:spacing w:after="40" w:line="240" w:lineRule="auto"/>
              <w:jc w:val="left"/>
            </w:pPr>
            <w:r/>
            <w:r>
              <w:rPr>
                <w:rFonts w:ascii="Cambria" w:hAnsi="Cambria"/>
                <w:b w:val="0"/>
                <w:sz w:val="15"/>
              </w:rPr>
              <w:t>10.1109/PES.98765</w:t>
            </w:r>
          </w:p>
        </w:tc>
        <w:tc>
          <w:tcPr>
            <w:tcW w:type="dxa" w:w="1020"/>
            <w:shd w:val="clear" w:color="auto" w:fill="F2F2F2"/>
          </w:tcPr>
          <w:p>
            <w:pPr>
              <w:spacing w:after="40" w:line="240" w:lineRule="auto"/>
              <w:jc w:val="left"/>
            </w:pPr>
            <w:r/>
            <w:r>
              <w:rPr>
                <w:rFonts w:ascii="Cambria" w:hAnsi="Cambria"/>
                <w:b w:val="0"/>
                <w:sz w:val="15"/>
              </w:rPr>
              <w:t>Scopus</w:t>
            </w:r>
          </w:p>
        </w:tc>
      </w:tr>
      <w:tr>
        <w:tc>
          <w:tcPr>
            <w:tcW w:type="dxa" w:w="1020"/>
          </w:tcPr>
          <w:p>
            <w:pPr>
              <w:spacing w:after="40" w:line="240" w:lineRule="auto"/>
              <w:jc w:val="left"/>
            </w:pPr>
            <w:r/>
            <w:r>
              <w:rPr>
                <w:rFonts w:ascii="Cambria" w:hAnsi="Cambria"/>
                <w:b w:val="0"/>
                <w:sz w:val="15"/>
              </w:rPr>
              <w:t>Dr. C. Rao</w:t>
            </w:r>
          </w:p>
        </w:tc>
        <w:tc>
          <w:tcPr>
            <w:tcW w:type="dxa" w:w="680"/>
          </w:tcPr>
          <w:p>
            <w:pPr>
              <w:spacing w:after="40" w:line="240" w:lineRule="auto"/>
              <w:jc w:val="left"/>
            </w:pPr>
            <w:r/>
            <w:r>
              <w:rPr>
                <w:rFonts w:ascii="Cambria" w:hAnsi="Cambria"/>
                <w:b w:val="0"/>
                <w:sz w:val="15"/>
              </w:rPr>
              <w:t>Mech</w:t>
            </w:r>
          </w:p>
        </w:tc>
        <w:tc>
          <w:tcPr>
            <w:tcW w:type="dxa" w:w="850"/>
          </w:tcPr>
          <w:p>
            <w:pPr>
              <w:spacing w:after="40" w:line="240" w:lineRule="auto"/>
              <w:jc w:val="left"/>
            </w:pPr>
            <w:r/>
            <w:r>
              <w:rPr>
                <w:rFonts w:ascii="Cambria" w:hAnsi="Cambria"/>
                <w:b w:val="0"/>
                <w:sz w:val="15"/>
              </w:rPr>
              <w:t>Journal</w:t>
            </w:r>
          </w:p>
        </w:tc>
        <w:tc>
          <w:tcPr>
            <w:tcW w:type="dxa" w:w="1474"/>
          </w:tcPr>
          <w:p>
            <w:pPr>
              <w:spacing w:after="40" w:line="240" w:lineRule="auto"/>
              <w:jc w:val="left"/>
            </w:pPr>
            <w:r/>
            <w:r>
              <w:rPr>
                <w:rFonts w:ascii="Cambria" w:hAnsi="Cambria"/>
                <w:b w:val="0"/>
                <w:sz w:val="15"/>
              </w:rPr>
              <w:t>Advances in Thermodynamics</w:t>
            </w:r>
          </w:p>
        </w:tc>
        <w:tc>
          <w:tcPr>
            <w:tcW w:type="dxa" w:w="1304"/>
          </w:tcPr>
          <w:p>
            <w:pPr>
              <w:spacing w:after="40" w:line="240" w:lineRule="auto"/>
              <w:jc w:val="left"/>
            </w:pPr>
            <w:r/>
            <w:r>
              <w:rPr>
                <w:rFonts w:ascii="Cambria" w:hAnsi="Cambria"/>
                <w:b w:val="0"/>
                <w:sz w:val="15"/>
              </w:rPr>
              <w:t>Elsevier Energy</w:t>
            </w:r>
          </w:p>
        </w:tc>
        <w:tc>
          <w:tcPr>
            <w:tcW w:type="dxa" w:w="907"/>
          </w:tcPr>
          <w:p>
            <w:pPr>
              <w:spacing w:after="40" w:line="240" w:lineRule="auto"/>
              <w:jc w:val="left"/>
            </w:pPr>
            <w:r/>
            <w:r>
              <w:rPr>
                <w:rFonts w:ascii="Cambria" w:hAnsi="Cambria"/>
                <w:b w:val="0"/>
                <w:sz w:val="15"/>
              </w:rPr>
              <w:t>Elsevier</w:t>
            </w:r>
          </w:p>
        </w:tc>
        <w:tc>
          <w:tcPr>
            <w:tcW w:type="dxa" w:w="624"/>
          </w:tcPr>
          <w:p>
            <w:pPr>
              <w:spacing w:after="40" w:line="240" w:lineRule="auto"/>
              <w:jc w:val="left"/>
            </w:pPr>
            <w:r/>
            <w:r>
              <w:rPr>
                <w:rFonts w:ascii="Cambria" w:hAnsi="Cambria"/>
                <w:b w:val="0"/>
                <w:sz w:val="15"/>
              </w:rPr>
              <w:t>2024</w:t>
            </w:r>
          </w:p>
        </w:tc>
        <w:tc>
          <w:tcPr>
            <w:tcW w:type="dxa" w:w="1587"/>
          </w:tcPr>
          <w:p>
            <w:pPr>
              <w:spacing w:after="40" w:line="240" w:lineRule="auto"/>
              <w:jc w:val="left"/>
            </w:pPr>
            <w:r/>
            <w:r>
              <w:rPr>
                <w:rFonts w:ascii="Cambria" w:hAnsi="Cambria"/>
                <w:b w:val="0"/>
                <w:sz w:val="15"/>
              </w:rPr>
              <w:t>10.1016/j.energy.56789</w:t>
            </w:r>
          </w:p>
        </w:tc>
        <w:tc>
          <w:tcPr>
            <w:tcW w:type="dxa" w:w="1020"/>
          </w:tcPr>
          <w:p>
            <w:pPr>
              <w:spacing w:after="40" w:line="240" w:lineRule="auto"/>
              <w:jc w:val="left"/>
            </w:pPr>
            <w:r/>
            <w:r>
              <w:rPr>
                <w:rFonts w:ascii="Cambria" w:hAnsi="Cambria"/>
                <w:b w:val="0"/>
                <w:sz w:val="15"/>
              </w:rPr>
              <w:t>Scopus, SCI</w:t>
            </w:r>
          </w:p>
        </w:tc>
      </w:tr>
    </w:tbl>
    <w:p>
      <w:pPr>
        <w:spacing w:after="40"/>
      </w:pPr>
    </w:p>
    <w:p>
      <w:pPr>
        <w:pStyle w:val="Heading3"/>
      </w:pPr>
      <w:r>
        <w:rPr>
          <w:rFonts w:ascii="Cambria" w:hAnsi="Cambria"/>
          <w:b/>
          <w:color w:val="1F3A5F"/>
          <w:sz w:val="26"/>
        </w:rPr>
        <w:t>4. NBA Evaluation</w:t>
      </w:r>
    </w:p>
    <w:p>
      <w:pPr>
        <w:pStyle w:val="ListBullet"/>
        <w:spacing w:after="80" w:line="276" w:lineRule="auto"/>
      </w:pPr>
      <w:r>
        <w:rPr>
          <w:rFonts w:ascii="Cambria" w:hAnsi="Cambria"/>
          <w:b w:val="0"/>
          <w:i w:val="0"/>
          <w:sz w:val="22"/>
        </w:rPr>
        <w:t>Quantity: Number of publications year-wise (CAYm1, CAYm2, CAYm3).</w:t>
      </w:r>
    </w:p>
    <w:p>
      <w:pPr>
        <w:pStyle w:val="ListBullet"/>
        <w:spacing w:after="80" w:line="276" w:lineRule="auto"/>
      </w:pPr>
      <w:r>
        <w:rPr>
          <w:rFonts w:ascii="Cambria" w:hAnsi="Cambria"/>
          <w:b w:val="0"/>
          <w:i w:val="0"/>
          <w:sz w:val="22"/>
        </w:rPr>
        <w:t>Quality: Indexed in Scopus/WoS/SCI, reputed publishers.</w:t>
      </w:r>
    </w:p>
    <w:p>
      <w:pPr>
        <w:pStyle w:val="ListBullet"/>
        <w:spacing w:after="80" w:line="276" w:lineRule="auto"/>
      </w:pPr>
      <w:r>
        <w:rPr>
          <w:rFonts w:ascii="Cambria" w:hAnsi="Cambria"/>
          <w:b w:val="0"/>
          <w:i w:val="0"/>
          <w:sz w:val="22"/>
        </w:rPr>
        <w:t>Impact: Citations, relevance to POs/PSOs, student co-authorship.</w:t>
      </w:r>
    </w:p>
    <w:p>
      <w:pPr>
        <w:pStyle w:val="Heading3"/>
      </w:pPr>
      <w:r>
        <w:rPr>
          <w:rFonts w:ascii="Cambria" w:hAnsi="Cambria"/>
          <w:b/>
          <w:color w:val="1F3A5F"/>
          <w:sz w:val="26"/>
        </w:rPr>
        <w:t>5. Evidence for Peer Team</w:t>
      </w:r>
    </w:p>
    <w:p>
      <w:pPr>
        <w:pStyle w:val="ListBullet"/>
        <w:spacing w:after="80" w:line="276" w:lineRule="auto"/>
      </w:pPr>
      <w:r>
        <w:rPr>
          <w:rFonts w:ascii="Cambria" w:hAnsi="Cambria"/>
          <w:b w:val="0"/>
          <w:i w:val="0"/>
          <w:sz w:val="22"/>
        </w:rPr>
        <w:t>Keep a consolidated binder or shared drive with:</w:t>
      </w:r>
    </w:p>
    <w:p>
      <w:pPr>
        <w:pStyle w:val="ListBullet2"/>
        <w:spacing w:after="80" w:line="276" w:lineRule="auto"/>
      </w:pPr>
      <w:r>
        <w:rPr>
          <w:rFonts w:ascii="Cambria" w:hAnsi="Cambria"/>
          <w:b w:val="0"/>
          <w:i w:val="0"/>
          <w:sz w:val="22"/>
        </w:rPr>
        <w:t>Publication list (Excel/Annexure).</w:t>
      </w:r>
    </w:p>
    <w:p>
      <w:pPr>
        <w:pStyle w:val="ListBullet2"/>
        <w:spacing w:after="80" w:line="276" w:lineRule="auto"/>
      </w:pPr>
      <w:r>
        <w:rPr>
          <w:rFonts w:ascii="Cambria" w:hAnsi="Cambria"/>
          <w:b w:val="0"/>
          <w:i w:val="0"/>
          <w:sz w:val="22"/>
        </w:rPr>
        <w:t>Softcopies of first page proofs.</w:t>
      </w:r>
    </w:p>
    <w:p>
      <w:pPr>
        <w:pStyle w:val="ListBullet2"/>
        <w:spacing w:after="80" w:line="276" w:lineRule="auto"/>
      </w:pPr>
      <w:r>
        <w:rPr>
          <w:rFonts w:ascii="Cambria" w:hAnsi="Cambria"/>
          <w:b w:val="0"/>
          <w:i w:val="0"/>
          <w:sz w:val="22"/>
        </w:rPr>
        <w:t>DOI &amp; indexing screenshots.</w:t>
      </w:r>
    </w:p>
    <w:p>
      <w:pPr>
        <w:pStyle w:val="ListBullet"/>
        <w:spacing w:after="80" w:line="276" w:lineRule="auto"/>
      </w:pPr>
      <w:r>
        <w:rPr>
          <w:rFonts w:ascii="Cambria" w:hAnsi="Cambria"/>
          <w:b w:val="0"/>
          <w:i w:val="0"/>
          <w:sz w:val="22"/>
        </w:rPr>
        <w:t>Cross-link these with Faculty Improvement Tracker.</w:t>
      </w:r>
    </w:p>
    <w:p>
      <w:r>
        <w:br w:type="page"/>
      </w:r>
    </w:p>
    <w:p>
      <w:pPr>
        <w:pStyle w:val="Heading1"/>
      </w:pPr>
      <w:r>
        <w:rPr>
          <w:rFonts w:ascii="Cambria" w:hAnsi="Cambria"/>
          <w:b/>
          <w:color w:val="1F3A5F"/>
          <w:sz w:val="36"/>
        </w:rPr>
        <w:t>22. Improvement in Academic Performance</w:t>
      </w:r>
    </w:p>
    <w:p>
      <w:pPr>
        <w:pStyle w:val="Heading3"/>
      </w:pPr>
      <w:r>
        <w:rPr>
          <w:rFonts w:ascii="Cambria" w:hAnsi="Cambria"/>
          <w:b/>
          <w:color w:val="1F3A5F"/>
          <w:sz w:val="26"/>
        </w:rPr>
        <w:t>1. Purpose</w:t>
      </w:r>
    </w:p>
    <w:p>
      <w:pPr>
        <w:pStyle w:val="ListBullet"/>
        <w:spacing w:after="80" w:line="276" w:lineRule="auto"/>
      </w:pPr>
      <w:r>
        <w:rPr>
          <w:rFonts w:ascii="Cambria" w:hAnsi="Cambria"/>
          <w:b w:val="0"/>
          <w:i w:val="0"/>
          <w:sz w:val="22"/>
        </w:rPr>
        <w:t>To measure year-wise growth in student academic performance across 1st, 2nd, and 3rd years during the assessment period (CAY, CAYm1, CAYm2).</w:t>
      </w:r>
    </w:p>
    <w:p>
      <w:pPr>
        <w:pStyle w:val="ListBullet"/>
        <w:spacing w:after="80" w:line="276" w:lineRule="auto"/>
      </w:pPr>
      <w:r>
        <w:rPr>
          <w:rFonts w:ascii="Cambria" w:hAnsi="Cambria"/>
          <w:b w:val="0"/>
          <w:i w:val="0"/>
          <w:sz w:val="22"/>
        </w:rPr>
        <w:t>Provides evidence of how institutional teaching-learning processes, remedial measures, mentoring, and academic support have contributed to better outcomes.</w:t>
      </w:r>
    </w:p>
    <w:p>
      <w:pPr>
        <w:pStyle w:val="ListBullet"/>
        <w:spacing w:after="80" w:line="276" w:lineRule="auto"/>
      </w:pPr>
      <w:r>
        <w:rPr>
          <w:rFonts w:ascii="Cambria" w:hAnsi="Cambria"/>
          <w:b w:val="0"/>
          <w:i w:val="0"/>
          <w:sz w:val="22"/>
        </w:rPr>
        <w:t>Ensures alignment with Outcome-Based Education (OBE) and continuous quality improvement.</w:t>
      </w:r>
    </w:p>
    <w:p>
      <w:pPr>
        <w:pStyle w:val="Heading3"/>
      </w:pPr>
      <w:r>
        <w:rPr>
          <w:rFonts w:ascii="Cambria" w:hAnsi="Cambria"/>
          <w:b/>
          <w:color w:val="1F3A5F"/>
          <w:sz w:val="26"/>
        </w:rPr>
        <w:t>2. Parameters Considered</w:t>
      </w:r>
    </w:p>
    <w:p>
      <w:pPr>
        <w:spacing w:after="80" w:line="276" w:lineRule="auto"/>
      </w:pPr>
      <w:r>
        <w:rPr>
          <w:rFonts w:ascii="Cambria" w:hAnsi="Cambria"/>
          <w:b w:val="0"/>
          <w:i w:val="0"/>
          <w:sz w:val="22"/>
        </w:rPr>
        <w:t>NBA typically evaluates using Academic Performance Index (API) and progression trends:</w:t>
      </w:r>
    </w:p>
    <w:p>
      <w:pPr>
        <w:pStyle w:val="ListNumber"/>
        <w:spacing w:after="80" w:line="276" w:lineRule="auto"/>
      </w:pPr>
      <w:r>
        <w:rPr>
          <w:rFonts w:ascii="Cambria" w:hAnsi="Cambria"/>
          <w:b/>
          <w:i w:val="0"/>
          <w:sz w:val="22"/>
        </w:rPr>
        <w:t xml:space="preserve">Pass Percentage – </w:t>
      </w:r>
      <w:r>
        <w:rPr>
          <w:rFonts w:ascii="Cambria" w:hAnsi="Cambria"/>
          <w:b w:val="0"/>
          <w:i w:val="0"/>
          <w:sz w:val="22"/>
        </w:rPr>
        <w:t>Ratio of students passed to students appeared in each year.</w:t>
      </w:r>
    </w:p>
    <w:p>
      <w:pPr>
        <w:pStyle w:val="ListNumber"/>
        <w:spacing w:after="80" w:line="276" w:lineRule="auto"/>
      </w:pPr>
      <w:r>
        <w:rPr>
          <w:rFonts w:ascii="Cambria" w:hAnsi="Cambria"/>
          <w:b/>
          <w:i w:val="0"/>
          <w:sz w:val="22"/>
        </w:rPr>
        <w:t>Average Academic Performance Index (API)</w:t>
      </w:r>
    </w:p>
    <w:p>
      <w:pPr>
        <w:pStyle w:val="ListNumber"/>
        <w:spacing w:after="80" w:line="276" w:lineRule="auto"/>
      </w:pPr>
      <w:r>
        <w:rPr>
          <w:rFonts w:ascii="Cambria" w:hAnsi="Cambria"/>
          <w:b/>
          <w:i w:val="0"/>
          <w:sz w:val="22"/>
        </w:rPr>
        <w:t xml:space="preserve">Year-wise Improvement Trends – </w:t>
      </w:r>
      <w:r>
        <w:rPr>
          <w:rFonts w:ascii="Cambria" w:hAnsi="Cambria"/>
          <w:b w:val="0"/>
          <w:i w:val="0"/>
          <w:sz w:val="22"/>
        </w:rPr>
        <w:t>Performance compared for CAY, CAYm1, CAYm2.</w:t>
      </w:r>
    </w:p>
    <w:p>
      <w:pPr>
        <w:pStyle w:val="ListNumber"/>
        <w:spacing w:after="80" w:line="276" w:lineRule="auto"/>
      </w:pPr>
      <w:r>
        <w:rPr>
          <w:rFonts w:ascii="Cambria" w:hAnsi="Cambria"/>
          <w:b/>
          <w:i w:val="0"/>
          <w:sz w:val="22"/>
        </w:rPr>
        <w:t xml:space="preserve">Comparison of Weak vs. Strong Students – </w:t>
      </w:r>
      <w:r>
        <w:rPr>
          <w:rFonts w:ascii="Cambria" w:hAnsi="Cambria"/>
          <w:b w:val="0"/>
          <w:i w:val="0"/>
          <w:sz w:val="22"/>
        </w:rPr>
        <w:t>Tracking impact of remedial classes, bridge courses, and mentoring.</w:t>
      </w:r>
    </w:p>
    <w:p>
      <w:pPr>
        <w:pStyle w:val="Heading3"/>
      </w:pPr>
      <w:r>
        <w:rPr>
          <w:rFonts w:ascii="Cambria" w:hAnsi="Cambria"/>
          <w:b/>
          <w:color w:val="1F3A5F"/>
          <w:sz w:val="26"/>
        </w:rPr>
        <w:t>3. Sample Data Presentation</w:t>
      </w:r>
    </w:p>
    <w:tbl>
      <w:tblPr>
        <w:tblStyle w:val="TableGrid"/>
        <w:tblW w:type="auto" w:w="0"/>
        <w:jc w:val="center"/>
        <w:tblLayout w:type="fixed"/>
        <w:tblLook w:firstColumn="1" w:firstRow="1" w:lastColumn="0" w:lastRow="0" w:noHBand="0" w:noVBand="1" w:val="04A0"/>
        <w:tblLayout w:type="fixed"/>
      </w:tblPr>
      <w:tblGrid>
        <w:gridCol w:w="737"/>
        <w:gridCol w:w="1304"/>
        <w:gridCol w:w="1134"/>
        <w:gridCol w:w="1134"/>
        <w:gridCol w:w="680"/>
        <w:gridCol w:w="680"/>
        <w:gridCol w:w="567"/>
        <w:gridCol w:w="3175"/>
      </w:tblGrid>
      <w:tr>
        <w:tc>
          <w:tcPr>
            <w:tcW w:type="dxa" w:w="737"/>
            <w:shd w:val="clear" w:color="auto" w:fill="1F3A5F"/>
          </w:tcPr>
          <w:p>
            <w:pPr>
              <w:spacing w:after="40" w:line="240" w:lineRule="auto"/>
              <w:jc w:val="center"/>
            </w:pPr>
            <w:r/>
            <w:r>
              <w:rPr>
                <w:rFonts w:ascii="Cambria" w:hAnsi="Cambria"/>
                <w:b/>
                <w:color w:val="FFFFFF"/>
                <w:sz w:val="16"/>
              </w:rPr>
              <w:t>Year</w:t>
            </w:r>
          </w:p>
        </w:tc>
        <w:tc>
          <w:tcPr>
            <w:tcW w:type="dxa" w:w="1304"/>
            <w:shd w:val="clear" w:color="auto" w:fill="1F3A5F"/>
          </w:tcPr>
          <w:p>
            <w:pPr>
              <w:spacing w:after="40" w:line="240" w:lineRule="auto"/>
              <w:jc w:val="center"/>
            </w:pPr>
            <w:r/>
            <w:r>
              <w:rPr>
                <w:rFonts w:ascii="Cambria" w:hAnsi="Cambria"/>
                <w:b/>
                <w:color w:val="FFFFFF"/>
                <w:sz w:val="16"/>
              </w:rPr>
              <w:t>Academic</w:t>
              <w:br/>
              <w:t>Year</w:t>
            </w:r>
          </w:p>
        </w:tc>
        <w:tc>
          <w:tcPr>
            <w:tcW w:type="dxa" w:w="1134"/>
            <w:shd w:val="clear" w:color="auto" w:fill="1F3A5F"/>
          </w:tcPr>
          <w:p>
            <w:pPr>
              <w:spacing w:after="40" w:line="240" w:lineRule="auto"/>
              <w:jc w:val="center"/>
            </w:pPr>
            <w:r/>
            <w:r>
              <w:rPr>
                <w:rFonts w:ascii="Cambria" w:hAnsi="Cambria"/>
                <w:b/>
                <w:color w:val="FFFFFF"/>
                <w:sz w:val="16"/>
              </w:rPr>
              <w:t>No. of Students</w:t>
              <w:br/>
              <w:t>Appeared</w:t>
            </w:r>
          </w:p>
        </w:tc>
        <w:tc>
          <w:tcPr>
            <w:tcW w:type="dxa" w:w="1134"/>
            <w:shd w:val="clear" w:color="auto" w:fill="1F3A5F"/>
          </w:tcPr>
          <w:p>
            <w:pPr>
              <w:spacing w:after="40" w:line="240" w:lineRule="auto"/>
              <w:jc w:val="center"/>
            </w:pPr>
            <w:r/>
            <w:r>
              <w:rPr>
                <w:rFonts w:ascii="Cambria" w:hAnsi="Cambria"/>
                <w:b/>
                <w:color w:val="FFFFFF"/>
                <w:sz w:val="16"/>
              </w:rPr>
              <w:t>No. of Students</w:t>
              <w:br/>
              <w:t>Passed</w:t>
            </w:r>
          </w:p>
        </w:tc>
        <w:tc>
          <w:tcPr>
            <w:tcW w:type="dxa" w:w="680"/>
            <w:shd w:val="clear" w:color="auto" w:fill="1F3A5F"/>
          </w:tcPr>
          <w:p>
            <w:pPr>
              <w:spacing w:after="40" w:line="240" w:lineRule="auto"/>
              <w:jc w:val="center"/>
            </w:pPr>
            <w:r/>
            <w:r>
              <w:rPr>
                <w:rFonts w:ascii="Cambria" w:hAnsi="Cambria"/>
                <w:b/>
                <w:color w:val="FFFFFF"/>
                <w:sz w:val="16"/>
              </w:rPr>
              <w:t>Pass %</w:t>
            </w:r>
          </w:p>
        </w:tc>
        <w:tc>
          <w:tcPr>
            <w:tcW w:type="dxa" w:w="680"/>
            <w:shd w:val="clear" w:color="auto" w:fill="1F3A5F"/>
          </w:tcPr>
          <w:p>
            <w:pPr>
              <w:spacing w:after="40" w:line="240" w:lineRule="auto"/>
              <w:jc w:val="center"/>
            </w:pPr>
            <w:r/>
            <w:r>
              <w:rPr>
                <w:rFonts w:ascii="Cambria" w:hAnsi="Cambria"/>
                <w:b/>
                <w:color w:val="FFFFFF"/>
                <w:sz w:val="16"/>
              </w:rPr>
              <w:t>Avg.</w:t>
              <w:br/>
              <w:t>GPA/10</w:t>
            </w:r>
          </w:p>
        </w:tc>
        <w:tc>
          <w:tcPr>
            <w:tcW w:type="dxa" w:w="567"/>
            <w:shd w:val="clear" w:color="auto" w:fill="1F3A5F"/>
          </w:tcPr>
          <w:p>
            <w:pPr>
              <w:spacing w:after="40" w:line="240" w:lineRule="auto"/>
              <w:jc w:val="center"/>
            </w:pPr>
            <w:r/>
            <w:r>
              <w:rPr>
                <w:rFonts w:ascii="Cambria" w:hAnsi="Cambria"/>
                <w:b/>
                <w:color w:val="FFFFFF"/>
                <w:sz w:val="16"/>
              </w:rPr>
              <w:t>API</w:t>
            </w:r>
          </w:p>
        </w:tc>
        <w:tc>
          <w:tcPr>
            <w:tcW w:type="dxa" w:w="3175"/>
            <w:shd w:val="clear" w:color="auto" w:fill="1F3A5F"/>
          </w:tcPr>
          <w:p>
            <w:pPr>
              <w:spacing w:after="40" w:line="240" w:lineRule="auto"/>
              <w:jc w:val="center"/>
            </w:pPr>
            <w:r/>
            <w:r>
              <w:rPr>
                <w:rFonts w:ascii="Cambria" w:hAnsi="Cambria"/>
                <w:b/>
                <w:color w:val="FFFFFF"/>
                <w:sz w:val="16"/>
              </w:rPr>
              <w:t>Observation/Improvement</w:t>
            </w:r>
          </w:p>
        </w:tc>
      </w:tr>
      <w:tr>
        <w:tc>
          <w:tcPr>
            <w:tcW w:type="dxa" w:w="737"/>
          </w:tcPr>
          <w:p>
            <w:pPr>
              <w:spacing w:after="40" w:line="240" w:lineRule="auto"/>
              <w:jc w:val="left"/>
            </w:pPr>
            <w:r/>
            <w:r>
              <w:rPr>
                <w:rFonts w:ascii="Cambria" w:hAnsi="Cambria"/>
                <w:b w:val="0"/>
                <w:sz w:val="15"/>
              </w:rPr>
              <w:t>1st Year</w:t>
            </w:r>
          </w:p>
        </w:tc>
        <w:tc>
          <w:tcPr>
            <w:tcW w:type="dxa" w:w="1304"/>
          </w:tcPr>
          <w:p>
            <w:pPr>
              <w:spacing w:after="40" w:line="240" w:lineRule="auto"/>
              <w:jc w:val="left"/>
            </w:pPr>
            <w:r/>
            <w:r>
              <w:rPr>
                <w:rFonts w:ascii="Cambria" w:hAnsi="Cambria"/>
                <w:b w:val="0"/>
                <w:sz w:val="15"/>
              </w:rPr>
              <w:t>CAYm2 (2022-23)</w:t>
            </w:r>
          </w:p>
        </w:tc>
        <w:tc>
          <w:tcPr>
            <w:tcW w:type="dxa" w:w="1134"/>
          </w:tcPr>
          <w:p>
            <w:pPr>
              <w:spacing w:after="40" w:line="240" w:lineRule="auto"/>
              <w:jc w:val="left"/>
            </w:pPr>
            <w:r/>
            <w:r>
              <w:rPr>
                <w:rFonts w:ascii="Cambria" w:hAnsi="Cambria"/>
                <w:b w:val="0"/>
                <w:sz w:val="15"/>
              </w:rPr>
              <w:t>120</w:t>
            </w:r>
          </w:p>
        </w:tc>
        <w:tc>
          <w:tcPr>
            <w:tcW w:type="dxa" w:w="1134"/>
          </w:tcPr>
          <w:p>
            <w:pPr>
              <w:spacing w:after="40" w:line="240" w:lineRule="auto"/>
              <w:jc w:val="left"/>
            </w:pPr>
            <w:r/>
            <w:r>
              <w:rPr>
                <w:rFonts w:ascii="Cambria" w:hAnsi="Cambria"/>
                <w:b w:val="0"/>
                <w:sz w:val="15"/>
              </w:rPr>
              <w:t>95</w:t>
            </w:r>
          </w:p>
        </w:tc>
        <w:tc>
          <w:tcPr>
            <w:tcW w:type="dxa" w:w="680"/>
          </w:tcPr>
          <w:p>
            <w:pPr>
              <w:spacing w:after="40" w:line="240" w:lineRule="auto"/>
              <w:jc w:val="left"/>
            </w:pPr>
            <w:r/>
            <w:r>
              <w:rPr>
                <w:rFonts w:ascii="Cambria" w:hAnsi="Cambria"/>
                <w:b w:val="0"/>
                <w:sz w:val="15"/>
              </w:rPr>
              <w:t>79%</w:t>
            </w:r>
          </w:p>
        </w:tc>
        <w:tc>
          <w:tcPr>
            <w:tcW w:type="dxa" w:w="680"/>
          </w:tcPr>
          <w:p>
            <w:pPr>
              <w:spacing w:after="40" w:line="240" w:lineRule="auto"/>
              <w:jc w:val="left"/>
            </w:pPr>
            <w:r/>
            <w:r>
              <w:rPr>
                <w:rFonts w:ascii="Cambria" w:hAnsi="Cambria"/>
                <w:b w:val="0"/>
                <w:sz w:val="15"/>
              </w:rPr>
              <w:t>6.8</w:t>
            </w:r>
          </w:p>
        </w:tc>
        <w:tc>
          <w:tcPr>
            <w:tcW w:type="dxa" w:w="567"/>
          </w:tcPr>
          <w:p>
            <w:pPr>
              <w:spacing w:after="40" w:line="240" w:lineRule="auto"/>
              <w:jc w:val="left"/>
            </w:pPr>
            <w:r/>
            <w:r>
              <w:rPr>
                <w:rFonts w:ascii="Cambria" w:hAnsi="Cambria"/>
                <w:b w:val="0"/>
                <w:sz w:val="15"/>
              </w:rPr>
              <w:t>0.54</w:t>
            </w:r>
          </w:p>
        </w:tc>
        <w:tc>
          <w:tcPr>
            <w:tcW w:type="dxa" w:w="3175"/>
          </w:tcPr>
          <w:p>
            <w:pPr>
              <w:spacing w:after="40" w:line="240" w:lineRule="auto"/>
              <w:jc w:val="left"/>
            </w:pPr>
            <w:r/>
            <w:r>
              <w:rPr>
                <w:rFonts w:ascii="Cambria" w:hAnsi="Cambria"/>
                <w:b w:val="0"/>
                <w:sz w:val="15"/>
              </w:rPr>
              <w:t>Baseline year – gaps in mathematics &amp; programming</w:t>
            </w:r>
          </w:p>
        </w:tc>
      </w:tr>
      <w:tr>
        <w:tc>
          <w:tcPr>
            <w:tcW w:type="dxa" w:w="737"/>
            <w:shd w:val="clear" w:color="auto" w:fill="F2F2F2"/>
          </w:tcPr>
          <w:p>
            <w:pPr>
              <w:spacing w:after="40" w:line="240" w:lineRule="auto"/>
              <w:jc w:val="left"/>
            </w:pPr>
            <w:r/>
            <w:r>
              <w:rPr>
                <w:rFonts w:ascii="Cambria" w:hAnsi="Cambria"/>
                <w:b w:val="0"/>
                <w:sz w:val="15"/>
              </w:rPr>
              <w:t>1st Year</w:t>
            </w:r>
          </w:p>
        </w:tc>
        <w:tc>
          <w:tcPr>
            <w:tcW w:type="dxa" w:w="1304"/>
            <w:shd w:val="clear" w:color="auto" w:fill="F2F2F2"/>
          </w:tcPr>
          <w:p>
            <w:pPr>
              <w:spacing w:after="40" w:line="240" w:lineRule="auto"/>
              <w:jc w:val="left"/>
            </w:pPr>
            <w:r/>
            <w:r>
              <w:rPr>
                <w:rFonts w:ascii="Cambria" w:hAnsi="Cambria"/>
                <w:b w:val="0"/>
                <w:sz w:val="15"/>
              </w:rPr>
              <w:t>CAYm1 (2023-24)</w:t>
            </w:r>
          </w:p>
        </w:tc>
        <w:tc>
          <w:tcPr>
            <w:tcW w:type="dxa" w:w="1134"/>
            <w:shd w:val="clear" w:color="auto" w:fill="F2F2F2"/>
          </w:tcPr>
          <w:p>
            <w:pPr>
              <w:spacing w:after="40" w:line="240" w:lineRule="auto"/>
              <w:jc w:val="left"/>
            </w:pPr>
            <w:r/>
            <w:r>
              <w:rPr>
                <w:rFonts w:ascii="Cambria" w:hAnsi="Cambria"/>
                <w:b w:val="0"/>
                <w:sz w:val="15"/>
              </w:rPr>
              <w:t>125</w:t>
            </w:r>
          </w:p>
        </w:tc>
        <w:tc>
          <w:tcPr>
            <w:tcW w:type="dxa" w:w="1134"/>
            <w:shd w:val="clear" w:color="auto" w:fill="F2F2F2"/>
          </w:tcPr>
          <w:p>
            <w:pPr>
              <w:spacing w:after="40" w:line="240" w:lineRule="auto"/>
              <w:jc w:val="left"/>
            </w:pPr>
            <w:r/>
            <w:r>
              <w:rPr>
                <w:rFonts w:ascii="Cambria" w:hAnsi="Cambria"/>
                <w:b w:val="0"/>
                <w:sz w:val="15"/>
              </w:rPr>
              <w:t>108</w:t>
            </w:r>
          </w:p>
        </w:tc>
        <w:tc>
          <w:tcPr>
            <w:tcW w:type="dxa" w:w="680"/>
            <w:shd w:val="clear" w:color="auto" w:fill="F2F2F2"/>
          </w:tcPr>
          <w:p>
            <w:pPr>
              <w:spacing w:after="40" w:line="240" w:lineRule="auto"/>
              <w:jc w:val="left"/>
            </w:pPr>
            <w:r/>
            <w:r>
              <w:rPr>
                <w:rFonts w:ascii="Cambria" w:hAnsi="Cambria"/>
                <w:b w:val="0"/>
                <w:sz w:val="15"/>
              </w:rPr>
              <w:t>86%</w:t>
            </w:r>
          </w:p>
        </w:tc>
        <w:tc>
          <w:tcPr>
            <w:tcW w:type="dxa" w:w="680"/>
            <w:shd w:val="clear" w:color="auto" w:fill="F2F2F2"/>
          </w:tcPr>
          <w:p>
            <w:pPr>
              <w:spacing w:after="40" w:line="240" w:lineRule="auto"/>
              <w:jc w:val="left"/>
            </w:pPr>
            <w:r/>
            <w:r>
              <w:rPr>
                <w:rFonts w:ascii="Cambria" w:hAnsi="Cambria"/>
                <w:b w:val="0"/>
                <w:sz w:val="15"/>
              </w:rPr>
              <w:t>7.2</w:t>
            </w:r>
          </w:p>
        </w:tc>
        <w:tc>
          <w:tcPr>
            <w:tcW w:type="dxa" w:w="567"/>
            <w:shd w:val="clear" w:color="auto" w:fill="F2F2F2"/>
          </w:tcPr>
          <w:p>
            <w:pPr>
              <w:spacing w:after="40" w:line="240" w:lineRule="auto"/>
              <w:jc w:val="left"/>
            </w:pPr>
            <w:r/>
            <w:r>
              <w:rPr>
                <w:rFonts w:ascii="Cambria" w:hAnsi="Cambria"/>
                <w:b w:val="0"/>
                <w:sz w:val="15"/>
              </w:rPr>
              <w:t>0.62</w:t>
            </w:r>
          </w:p>
        </w:tc>
        <w:tc>
          <w:tcPr>
            <w:tcW w:type="dxa" w:w="3175"/>
            <w:shd w:val="clear" w:color="auto" w:fill="F2F2F2"/>
          </w:tcPr>
          <w:p>
            <w:pPr>
              <w:spacing w:after="40" w:line="240" w:lineRule="auto"/>
              <w:jc w:val="left"/>
            </w:pPr>
            <w:r/>
            <w:r>
              <w:rPr>
                <w:rFonts w:ascii="Cambria" w:hAnsi="Cambria"/>
                <w:b w:val="0"/>
                <w:sz w:val="15"/>
              </w:rPr>
              <w:t>Improvement due to bridge courses &amp; remedial sessions</w:t>
            </w:r>
          </w:p>
        </w:tc>
      </w:tr>
      <w:tr>
        <w:tc>
          <w:tcPr>
            <w:tcW w:type="dxa" w:w="737"/>
          </w:tcPr>
          <w:p>
            <w:pPr>
              <w:spacing w:after="40" w:line="240" w:lineRule="auto"/>
              <w:jc w:val="left"/>
            </w:pPr>
            <w:r/>
            <w:r>
              <w:rPr>
                <w:rFonts w:ascii="Cambria" w:hAnsi="Cambria"/>
                <w:b w:val="0"/>
                <w:sz w:val="15"/>
              </w:rPr>
              <w:t>1st Year</w:t>
            </w:r>
          </w:p>
        </w:tc>
        <w:tc>
          <w:tcPr>
            <w:tcW w:type="dxa" w:w="1304"/>
          </w:tcPr>
          <w:p>
            <w:pPr>
              <w:spacing w:after="40" w:line="240" w:lineRule="auto"/>
              <w:jc w:val="left"/>
            </w:pPr>
            <w:r/>
            <w:r>
              <w:rPr>
                <w:rFonts w:ascii="Cambria" w:hAnsi="Cambria"/>
                <w:b w:val="0"/>
                <w:sz w:val="15"/>
              </w:rPr>
              <w:t>CAY (2024-25)</w:t>
            </w:r>
          </w:p>
        </w:tc>
        <w:tc>
          <w:tcPr>
            <w:tcW w:type="dxa" w:w="1134"/>
          </w:tcPr>
          <w:p>
            <w:pPr>
              <w:spacing w:after="40" w:line="240" w:lineRule="auto"/>
              <w:jc w:val="left"/>
            </w:pPr>
            <w:r/>
            <w:r>
              <w:rPr>
                <w:rFonts w:ascii="Cambria" w:hAnsi="Cambria"/>
                <w:b w:val="0"/>
                <w:sz w:val="15"/>
              </w:rPr>
              <w:t>130</w:t>
            </w:r>
          </w:p>
        </w:tc>
        <w:tc>
          <w:tcPr>
            <w:tcW w:type="dxa" w:w="1134"/>
          </w:tcPr>
          <w:p>
            <w:pPr>
              <w:spacing w:after="40" w:line="240" w:lineRule="auto"/>
              <w:jc w:val="left"/>
            </w:pPr>
            <w:r/>
            <w:r>
              <w:rPr>
                <w:rFonts w:ascii="Cambria" w:hAnsi="Cambria"/>
                <w:b w:val="0"/>
                <w:sz w:val="15"/>
              </w:rPr>
              <w:t>120</w:t>
            </w:r>
          </w:p>
        </w:tc>
        <w:tc>
          <w:tcPr>
            <w:tcW w:type="dxa" w:w="680"/>
          </w:tcPr>
          <w:p>
            <w:pPr>
              <w:spacing w:after="40" w:line="240" w:lineRule="auto"/>
              <w:jc w:val="left"/>
            </w:pPr>
            <w:r/>
            <w:r>
              <w:rPr>
                <w:rFonts w:ascii="Cambria" w:hAnsi="Cambria"/>
                <w:b w:val="0"/>
                <w:sz w:val="15"/>
              </w:rPr>
              <w:t>92%</w:t>
            </w:r>
          </w:p>
        </w:tc>
        <w:tc>
          <w:tcPr>
            <w:tcW w:type="dxa" w:w="680"/>
          </w:tcPr>
          <w:p>
            <w:pPr>
              <w:spacing w:after="40" w:line="240" w:lineRule="auto"/>
              <w:jc w:val="left"/>
            </w:pPr>
            <w:r/>
            <w:r>
              <w:rPr>
                <w:rFonts w:ascii="Cambria" w:hAnsi="Cambria"/>
                <w:b w:val="0"/>
                <w:sz w:val="15"/>
              </w:rPr>
              <w:t>7.8</w:t>
            </w:r>
          </w:p>
        </w:tc>
        <w:tc>
          <w:tcPr>
            <w:tcW w:type="dxa" w:w="567"/>
          </w:tcPr>
          <w:p>
            <w:pPr>
              <w:spacing w:after="40" w:line="240" w:lineRule="auto"/>
              <w:jc w:val="left"/>
            </w:pPr>
            <w:r/>
            <w:r>
              <w:rPr>
                <w:rFonts w:ascii="Cambria" w:hAnsi="Cambria"/>
                <w:b w:val="0"/>
                <w:sz w:val="15"/>
              </w:rPr>
              <w:t>0.71</w:t>
            </w:r>
          </w:p>
        </w:tc>
        <w:tc>
          <w:tcPr>
            <w:tcW w:type="dxa" w:w="3175"/>
          </w:tcPr>
          <w:p>
            <w:pPr>
              <w:spacing w:after="40" w:line="240" w:lineRule="auto"/>
              <w:jc w:val="left"/>
            </w:pPr>
            <w:r/>
            <w:r>
              <w:rPr>
                <w:rFonts w:ascii="Cambria" w:hAnsi="Cambria"/>
                <w:b w:val="0"/>
                <w:sz w:val="15"/>
              </w:rPr>
              <w:t>Strong improvement with mentoring + ICT tools</w:t>
            </w:r>
          </w:p>
        </w:tc>
      </w:tr>
      <w:tr>
        <w:tc>
          <w:tcPr>
            <w:tcW w:type="dxa" w:w="737"/>
            <w:shd w:val="clear" w:color="auto" w:fill="F2F2F2"/>
          </w:tcPr>
          <w:p>
            <w:pPr>
              <w:spacing w:after="40" w:line="240" w:lineRule="auto"/>
              <w:jc w:val="left"/>
            </w:pPr>
            <w:r/>
            <w:r>
              <w:rPr>
                <w:rFonts w:ascii="Cambria" w:hAnsi="Cambria"/>
                <w:b w:val="0"/>
                <w:sz w:val="15"/>
              </w:rPr>
              <w:t>2nd Year</w:t>
            </w:r>
          </w:p>
        </w:tc>
        <w:tc>
          <w:tcPr>
            <w:tcW w:type="dxa" w:w="1304"/>
            <w:shd w:val="clear" w:color="auto" w:fill="F2F2F2"/>
          </w:tcPr>
          <w:p>
            <w:pPr>
              <w:spacing w:after="40" w:line="240" w:lineRule="auto"/>
              <w:jc w:val="left"/>
            </w:pPr>
            <w:r/>
            <w:r>
              <w:rPr>
                <w:rFonts w:ascii="Cambria" w:hAnsi="Cambria"/>
                <w:b w:val="0"/>
                <w:sz w:val="15"/>
              </w:rPr>
              <w:t>CAYm2 (2022-23)</w:t>
            </w:r>
          </w:p>
        </w:tc>
        <w:tc>
          <w:tcPr>
            <w:tcW w:type="dxa" w:w="1134"/>
            <w:shd w:val="clear" w:color="auto" w:fill="F2F2F2"/>
          </w:tcPr>
          <w:p>
            <w:pPr>
              <w:spacing w:after="40" w:line="240" w:lineRule="auto"/>
              <w:jc w:val="left"/>
            </w:pPr>
            <w:r/>
            <w:r>
              <w:rPr>
                <w:rFonts w:ascii="Cambria" w:hAnsi="Cambria"/>
                <w:b w:val="0"/>
                <w:sz w:val="15"/>
              </w:rPr>
              <w:t>110</w:t>
            </w:r>
          </w:p>
        </w:tc>
        <w:tc>
          <w:tcPr>
            <w:tcW w:type="dxa" w:w="1134"/>
            <w:shd w:val="clear" w:color="auto" w:fill="F2F2F2"/>
          </w:tcPr>
          <w:p>
            <w:pPr>
              <w:spacing w:after="40" w:line="240" w:lineRule="auto"/>
              <w:jc w:val="left"/>
            </w:pPr>
            <w:r/>
            <w:r>
              <w:rPr>
                <w:rFonts w:ascii="Cambria" w:hAnsi="Cambria"/>
                <w:b w:val="0"/>
                <w:sz w:val="15"/>
              </w:rPr>
              <w:t>87</w:t>
            </w:r>
          </w:p>
        </w:tc>
        <w:tc>
          <w:tcPr>
            <w:tcW w:type="dxa" w:w="680"/>
            <w:shd w:val="clear" w:color="auto" w:fill="F2F2F2"/>
          </w:tcPr>
          <w:p>
            <w:pPr>
              <w:spacing w:after="40" w:line="240" w:lineRule="auto"/>
              <w:jc w:val="left"/>
            </w:pPr>
            <w:r/>
            <w:r>
              <w:rPr>
                <w:rFonts w:ascii="Cambria" w:hAnsi="Cambria"/>
                <w:b w:val="0"/>
                <w:sz w:val="15"/>
              </w:rPr>
              <w:t>79%</w:t>
            </w:r>
          </w:p>
        </w:tc>
        <w:tc>
          <w:tcPr>
            <w:tcW w:type="dxa" w:w="680"/>
            <w:shd w:val="clear" w:color="auto" w:fill="F2F2F2"/>
          </w:tcPr>
          <w:p>
            <w:pPr>
              <w:spacing w:after="40" w:line="240" w:lineRule="auto"/>
              <w:jc w:val="left"/>
            </w:pPr>
            <w:r/>
            <w:r>
              <w:rPr>
                <w:rFonts w:ascii="Cambria" w:hAnsi="Cambria"/>
                <w:b w:val="0"/>
                <w:sz w:val="15"/>
              </w:rPr>
              <w:t>6.9</w:t>
            </w:r>
          </w:p>
        </w:tc>
        <w:tc>
          <w:tcPr>
            <w:tcW w:type="dxa" w:w="567"/>
            <w:shd w:val="clear" w:color="auto" w:fill="F2F2F2"/>
          </w:tcPr>
          <w:p>
            <w:pPr>
              <w:spacing w:after="40" w:line="240" w:lineRule="auto"/>
              <w:jc w:val="left"/>
            </w:pPr>
            <w:r/>
            <w:r>
              <w:rPr>
                <w:rFonts w:ascii="Cambria" w:hAnsi="Cambria"/>
                <w:b w:val="0"/>
                <w:sz w:val="15"/>
              </w:rPr>
              <w:t>0.55</w:t>
            </w:r>
          </w:p>
        </w:tc>
        <w:tc>
          <w:tcPr>
            <w:tcW w:type="dxa" w:w="3175"/>
            <w:shd w:val="clear" w:color="auto" w:fill="F2F2F2"/>
          </w:tcPr>
          <w:p>
            <w:pPr>
              <w:spacing w:after="40" w:line="240" w:lineRule="auto"/>
              <w:jc w:val="left"/>
            </w:pPr>
            <w:r/>
            <w:r>
              <w:rPr>
                <w:rFonts w:ascii="Cambria" w:hAnsi="Cambria"/>
                <w:b w:val="0"/>
                <w:sz w:val="15"/>
              </w:rPr>
              <w:t>Weak in lab performance</w:t>
            </w:r>
          </w:p>
        </w:tc>
      </w:tr>
      <w:tr>
        <w:tc>
          <w:tcPr>
            <w:tcW w:type="dxa" w:w="737"/>
          </w:tcPr>
          <w:p>
            <w:pPr>
              <w:spacing w:after="40" w:line="240" w:lineRule="auto"/>
              <w:jc w:val="left"/>
            </w:pPr>
            <w:r/>
            <w:r>
              <w:rPr>
                <w:rFonts w:ascii="Cambria" w:hAnsi="Cambria"/>
                <w:b w:val="0"/>
                <w:sz w:val="15"/>
              </w:rPr>
              <w:t>2nd Year</w:t>
            </w:r>
          </w:p>
        </w:tc>
        <w:tc>
          <w:tcPr>
            <w:tcW w:type="dxa" w:w="1304"/>
          </w:tcPr>
          <w:p>
            <w:pPr>
              <w:spacing w:after="40" w:line="240" w:lineRule="auto"/>
              <w:jc w:val="left"/>
            </w:pPr>
            <w:r/>
            <w:r>
              <w:rPr>
                <w:rFonts w:ascii="Cambria" w:hAnsi="Cambria"/>
                <w:b w:val="0"/>
                <w:sz w:val="15"/>
              </w:rPr>
              <w:t>CAYm1 (2023-24)</w:t>
            </w:r>
          </w:p>
        </w:tc>
        <w:tc>
          <w:tcPr>
            <w:tcW w:type="dxa" w:w="1134"/>
          </w:tcPr>
          <w:p>
            <w:pPr>
              <w:spacing w:after="40" w:line="240" w:lineRule="auto"/>
              <w:jc w:val="left"/>
            </w:pPr>
            <w:r/>
            <w:r>
              <w:rPr>
                <w:rFonts w:ascii="Cambria" w:hAnsi="Cambria"/>
                <w:b w:val="0"/>
                <w:sz w:val="15"/>
              </w:rPr>
              <w:t>115</w:t>
            </w:r>
          </w:p>
        </w:tc>
        <w:tc>
          <w:tcPr>
            <w:tcW w:type="dxa" w:w="1134"/>
          </w:tcPr>
          <w:p>
            <w:pPr>
              <w:spacing w:after="40" w:line="240" w:lineRule="auto"/>
              <w:jc w:val="left"/>
            </w:pPr>
            <w:r/>
            <w:r>
              <w:rPr>
                <w:rFonts w:ascii="Cambria" w:hAnsi="Cambria"/>
                <w:b w:val="0"/>
                <w:sz w:val="15"/>
              </w:rPr>
              <w:t>97</w:t>
            </w:r>
          </w:p>
        </w:tc>
        <w:tc>
          <w:tcPr>
            <w:tcW w:type="dxa" w:w="680"/>
          </w:tcPr>
          <w:p>
            <w:pPr>
              <w:spacing w:after="40" w:line="240" w:lineRule="auto"/>
              <w:jc w:val="left"/>
            </w:pPr>
            <w:r/>
            <w:r>
              <w:rPr>
                <w:rFonts w:ascii="Cambria" w:hAnsi="Cambria"/>
                <w:b w:val="0"/>
                <w:sz w:val="15"/>
              </w:rPr>
              <w:t>84%</w:t>
            </w:r>
          </w:p>
        </w:tc>
        <w:tc>
          <w:tcPr>
            <w:tcW w:type="dxa" w:w="680"/>
          </w:tcPr>
          <w:p>
            <w:pPr>
              <w:spacing w:after="40" w:line="240" w:lineRule="auto"/>
              <w:jc w:val="left"/>
            </w:pPr>
            <w:r/>
            <w:r>
              <w:rPr>
                <w:rFonts w:ascii="Cambria" w:hAnsi="Cambria"/>
                <w:b w:val="0"/>
                <w:sz w:val="15"/>
              </w:rPr>
              <w:t>7.1</w:t>
            </w:r>
          </w:p>
        </w:tc>
        <w:tc>
          <w:tcPr>
            <w:tcW w:type="dxa" w:w="567"/>
          </w:tcPr>
          <w:p>
            <w:pPr>
              <w:spacing w:after="40" w:line="240" w:lineRule="auto"/>
              <w:jc w:val="left"/>
            </w:pPr>
            <w:r/>
            <w:r>
              <w:rPr>
                <w:rFonts w:ascii="Cambria" w:hAnsi="Cambria"/>
                <w:b w:val="0"/>
                <w:sz w:val="15"/>
              </w:rPr>
              <w:t>0.60</w:t>
            </w:r>
          </w:p>
        </w:tc>
        <w:tc>
          <w:tcPr>
            <w:tcW w:type="dxa" w:w="3175"/>
          </w:tcPr>
          <w:p>
            <w:pPr>
              <w:spacing w:after="40" w:line="240" w:lineRule="auto"/>
              <w:jc w:val="left"/>
            </w:pPr>
            <w:r/>
            <w:r>
              <w:rPr>
                <w:rFonts w:ascii="Cambria" w:hAnsi="Cambria"/>
                <w:b w:val="0"/>
                <w:sz w:val="15"/>
              </w:rPr>
              <w:t>Improvement after lab workshops</w:t>
            </w:r>
          </w:p>
        </w:tc>
      </w:tr>
      <w:tr>
        <w:tc>
          <w:tcPr>
            <w:tcW w:type="dxa" w:w="737"/>
            <w:shd w:val="clear" w:color="auto" w:fill="F2F2F2"/>
          </w:tcPr>
          <w:p>
            <w:pPr>
              <w:spacing w:after="40" w:line="240" w:lineRule="auto"/>
              <w:jc w:val="left"/>
            </w:pPr>
            <w:r/>
            <w:r>
              <w:rPr>
                <w:rFonts w:ascii="Cambria" w:hAnsi="Cambria"/>
                <w:b w:val="0"/>
                <w:sz w:val="15"/>
              </w:rPr>
              <w:t>2nd Year</w:t>
            </w:r>
          </w:p>
        </w:tc>
        <w:tc>
          <w:tcPr>
            <w:tcW w:type="dxa" w:w="1304"/>
            <w:shd w:val="clear" w:color="auto" w:fill="F2F2F2"/>
          </w:tcPr>
          <w:p>
            <w:pPr>
              <w:spacing w:after="40" w:line="240" w:lineRule="auto"/>
              <w:jc w:val="left"/>
            </w:pPr>
            <w:r/>
            <w:r>
              <w:rPr>
                <w:rFonts w:ascii="Cambria" w:hAnsi="Cambria"/>
                <w:b w:val="0"/>
                <w:sz w:val="15"/>
              </w:rPr>
              <w:t>CAY (2024-25)</w:t>
            </w:r>
          </w:p>
        </w:tc>
        <w:tc>
          <w:tcPr>
            <w:tcW w:type="dxa" w:w="1134"/>
            <w:shd w:val="clear" w:color="auto" w:fill="F2F2F2"/>
          </w:tcPr>
          <w:p>
            <w:pPr>
              <w:spacing w:after="40" w:line="240" w:lineRule="auto"/>
              <w:jc w:val="left"/>
            </w:pPr>
            <w:r/>
            <w:r>
              <w:rPr>
                <w:rFonts w:ascii="Cambria" w:hAnsi="Cambria"/>
                <w:b w:val="0"/>
                <w:sz w:val="15"/>
              </w:rPr>
              <w:t>118</w:t>
            </w:r>
          </w:p>
        </w:tc>
        <w:tc>
          <w:tcPr>
            <w:tcW w:type="dxa" w:w="1134"/>
            <w:shd w:val="clear" w:color="auto" w:fill="F2F2F2"/>
          </w:tcPr>
          <w:p>
            <w:pPr>
              <w:spacing w:after="40" w:line="240" w:lineRule="auto"/>
              <w:jc w:val="left"/>
            </w:pPr>
            <w:r/>
            <w:r>
              <w:rPr>
                <w:rFonts w:ascii="Cambria" w:hAnsi="Cambria"/>
                <w:b w:val="0"/>
                <w:sz w:val="15"/>
              </w:rPr>
              <w:t>104</w:t>
            </w:r>
          </w:p>
        </w:tc>
        <w:tc>
          <w:tcPr>
            <w:tcW w:type="dxa" w:w="680"/>
            <w:shd w:val="clear" w:color="auto" w:fill="F2F2F2"/>
          </w:tcPr>
          <w:p>
            <w:pPr>
              <w:spacing w:after="40" w:line="240" w:lineRule="auto"/>
              <w:jc w:val="left"/>
            </w:pPr>
            <w:r/>
            <w:r>
              <w:rPr>
                <w:rFonts w:ascii="Cambria" w:hAnsi="Cambria"/>
                <w:b w:val="0"/>
                <w:sz w:val="15"/>
              </w:rPr>
              <w:t>88%</w:t>
            </w:r>
          </w:p>
        </w:tc>
        <w:tc>
          <w:tcPr>
            <w:tcW w:type="dxa" w:w="680"/>
            <w:shd w:val="clear" w:color="auto" w:fill="F2F2F2"/>
          </w:tcPr>
          <w:p>
            <w:pPr>
              <w:spacing w:after="40" w:line="240" w:lineRule="auto"/>
              <w:jc w:val="left"/>
            </w:pPr>
            <w:r/>
            <w:r>
              <w:rPr>
                <w:rFonts w:ascii="Cambria" w:hAnsi="Cambria"/>
                <w:b w:val="0"/>
                <w:sz w:val="15"/>
              </w:rPr>
              <w:t>7.5</w:t>
            </w:r>
          </w:p>
        </w:tc>
        <w:tc>
          <w:tcPr>
            <w:tcW w:type="dxa" w:w="567"/>
            <w:shd w:val="clear" w:color="auto" w:fill="F2F2F2"/>
          </w:tcPr>
          <w:p>
            <w:pPr>
              <w:spacing w:after="40" w:line="240" w:lineRule="auto"/>
              <w:jc w:val="left"/>
            </w:pPr>
            <w:r/>
            <w:r>
              <w:rPr>
                <w:rFonts w:ascii="Cambria" w:hAnsi="Cambria"/>
                <w:b w:val="0"/>
                <w:sz w:val="15"/>
              </w:rPr>
              <w:t>0.66</w:t>
            </w:r>
          </w:p>
        </w:tc>
        <w:tc>
          <w:tcPr>
            <w:tcW w:type="dxa" w:w="3175"/>
            <w:shd w:val="clear" w:color="auto" w:fill="F2F2F2"/>
          </w:tcPr>
          <w:p>
            <w:pPr>
              <w:spacing w:after="40" w:line="240" w:lineRule="auto"/>
              <w:jc w:val="left"/>
            </w:pPr>
            <w:r/>
            <w:r>
              <w:rPr>
                <w:rFonts w:ascii="Cambria" w:hAnsi="Cambria"/>
                <w:b w:val="0"/>
                <w:sz w:val="15"/>
              </w:rPr>
              <w:t>Clear improvement from FDP-trained teaching</w:t>
            </w:r>
          </w:p>
        </w:tc>
      </w:tr>
      <w:tr>
        <w:tc>
          <w:tcPr>
            <w:tcW w:type="dxa" w:w="737"/>
          </w:tcPr>
          <w:p>
            <w:pPr>
              <w:spacing w:after="40" w:line="240" w:lineRule="auto"/>
              <w:jc w:val="left"/>
            </w:pPr>
            <w:r/>
            <w:r>
              <w:rPr>
                <w:rFonts w:ascii="Cambria" w:hAnsi="Cambria"/>
                <w:b w:val="0"/>
                <w:sz w:val="15"/>
              </w:rPr>
              <w:t>3rd Year</w:t>
            </w:r>
          </w:p>
        </w:tc>
        <w:tc>
          <w:tcPr>
            <w:tcW w:type="dxa" w:w="1304"/>
          </w:tcPr>
          <w:p>
            <w:pPr>
              <w:spacing w:after="40" w:line="240" w:lineRule="auto"/>
              <w:jc w:val="left"/>
            </w:pPr>
            <w:r/>
            <w:r>
              <w:rPr>
                <w:rFonts w:ascii="Cambria" w:hAnsi="Cambria"/>
                <w:b w:val="0"/>
                <w:sz w:val="15"/>
              </w:rPr>
              <w:t>CAYm2 (2022-23)</w:t>
            </w:r>
          </w:p>
        </w:tc>
        <w:tc>
          <w:tcPr>
            <w:tcW w:type="dxa" w:w="1134"/>
          </w:tcPr>
          <w:p>
            <w:pPr>
              <w:spacing w:after="40" w:line="240" w:lineRule="auto"/>
              <w:jc w:val="left"/>
            </w:pPr>
            <w:r/>
            <w:r>
              <w:rPr>
                <w:rFonts w:ascii="Cambria" w:hAnsi="Cambria"/>
                <w:b w:val="0"/>
                <w:sz w:val="15"/>
              </w:rPr>
              <w:t>105</w:t>
            </w:r>
          </w:p>
        </w:tc>
        <w:tc>
          <w:tcPr>
            <w:tcW w:type="dxa" w:w="1134"/>
          </w:tcPr>
          <w:p>
            <w:pPr>
              <w:spacing w:after="40" w:line="240" w:lineRule="auto"/>
              <w:jc w:val="left"/>
            </w:pPr>
            <w:r/>
            <w:r>
              <w:rPr>
                <w:rFonts w:ascii="Cambria" w:hAnsi="Cambria"/>
                <w:b w:val="0"/>
                <w:sz w:val="15"/>
              </w:rPr>
              <w:t>82</w:t>
            </w:r>
          </w:p>
        </w:tc>
        <w:tc>
          <w:tcPr>
            <w:tcW w:type="dxa" w:w="680"/>
          </w:tcPr>
          <w:p>
            <w:pPr>
              <w:spacing w:after="40" w:line="240" w:lineRule="auto"/>
              <w:jc w:val="left"/>
            </w:pPr>
            <w:r/>
            <w:r>
              <w:rPr>
                <w:rFonts w:ascii="Cambria" w:hAnsi="Cambria"/>
                <w:b w:val="0"/>
                <w:sz w:val="15"/>
              </w:rPr>
              <w:t>78%</w:t>
            </w:r>
          </w:p>
        </w:tc>
        <w:tc>
          <w:tcPr>
            <w:tcW w:type="dxa" w:w="680"/>
          </w:tcPr>
          <w:p>
            <w:pPr>
              <w:spacing w:after="40" w:line="240" w:lineRule="auto"/>
              <w:jc w:val="left"/>
            </w:pPr>
            <w:r/>
            <w:r>
              <w:rPr>
                <w:rFonts w:ascii="Cambria" w:hAnsi="Cambria"/>
                <w:b w:val="0"/>
                <w:sz w:val="15"/>
              </w:rPr>
              <w:t>6.7</w:t>
            </w:r>
          </w:p>
        </w:tc>
        <w:tc>
          <w:tcPr>
            <w:tcW w:type="dxa" w:w="567"/>
          </w:tcPr>
          <w:p>
            <w:pPr>
              <w:spacing w:after="40" w:line="240" w:lineRule="auto"/>
              <w:jc w:val="left"/>
            </w:pPr>
            <w:r/>
            <w:r>
              <w:rPr>
                <w:rFonts w:ascii="Cambria" w:hAnsi="Cambria"/>
                <w:b w:val="0"/>
                <w:sz w:val="15"/>
              </w:rPr>
              <w:t>0.52</w:t>
            </w:r>
          </w:p>
        </w:tc>
        <w:tc>
          <w:tcPr>
            <w:tcW w:type="dxa" w:w="3175"/>
          </w:tcPr>
          <w:p>
            <w:pPr>
              <w:spacing w:after="40" w:line="240" w:lineRule="auto"/>
              <w:jc w:val="left"/>
            </w:pPr>
            <w:r/>
            <w:r>
              <w:rPr>
                <w:rFonts w:ascii="Cambria" w:hAnsi="Cambria"/>
                <w:b w:val="0"/>
                <w:sz w:val="15"/>
              </w:rPr>
              <w:t>Many backlogs</w:t>
            </w:r>
          </w:p>
        </w:tc>
      </w:tr>
      <w:tr>
        <w:tc>
          <w:tcPr>
            <w:tcW w:type="dxa" w:w="737"/>
            <w:shd w:val="clear" w:color="auto" w:fill="F2F2F2"/>
          </w:tcPr>
          <w:p>
            <w:pPr>
              <w:spacing w:after="40" w:line="240" w:lineRule="auto"/>
              <w:jc w:val="left"/>
            </w:pPr>
            <w:r/>
            <w:r>
              <w:rPr>
                <w:rFonts w:ascii="Cambria" w:hAnsi="Cambria"/>
                <w:b w:val="0"/>
                <w:sz w:val="15"/>
              </w:rPr>
              <w:t>3rd Year</w:t>
            </w:r>
          </w:p>
        </w:tc>
        <w:tc>
          <w:tcPr>
            <w:tcW w:type="dxa" w:w="1304"/>
            <w:shd w:val="clear" w:color="auto" w:fill="F2F2F2"/>
          </w:tcPr>
          <w:p>
            <w:pPr>
              <w:spacing w:after="40" w:line="240" w:lineRule="auto"/>
              <w:jc w:val="left"/>
            </w:pPr>
            <w:r/>
            <w:r>
              <w:rPr>
                <w:rFonts w:ascii="Cambria" w:hAnsi="Cambria"/>
                <w:b w:val="0"/>
                <w:sz w:val="15"/>
              </w:rPr>
              <w:t>CAYm1 (2023-24)</w:t>
            </w:r>
          </w:p>
        </w:tc>
        <w:tc>
          <w:tcPr>
            <w:tcW w:type="dxa" w:w="1134"/>
            <w:shd w:val="clear" w:color="auto" w:fill="F2F2F2"/>
          </w:tcPr>
          <w:p>
            <w:pPr>
              <w:spacing w:after="40" w:line="240" w:lineRule="auto"/>
              <w:jc w:val="left"/>
            </w:pPr>
            <w:r/>
            <w:r>
              <w:rPr>
                <w:rFonts w:ascii="Cambria" w:hAnsi="Cambria"/>
                <w:b w:val="0"/>
                <w:sz w:val="15"/>
              </w:rPr>
              <w:t>108</w:t>
            </w:r>
          </w:p>
        </w:tc>
        <w:tc>
          <w:tcPr>
            <w:tcW w:type="dxa" w:w="1134"/>
            <w:shd w:val="clear" w:color="auto" w:fill="F2F2F2"/>
          </w:tcPr>
          <w:p>
            <w:pPr>
              <w:spacing w:after="40" w:line="240" w:lineRule="auto"/>
              <w:jc w:val="left"/>
            </w:pPr>
            <w:r/>
            <w:r>
              <w:rPr>
                <w:rFonts w:ascii="Cambria" w:hAnsi="Cambria"/>
                <w:b w:val="0"/>
                <w:sz w:val="15"/>
              </w:rPr>
              <w:t>91</w:t>
            </w:r>
          </w:p>
        </w:tc>
        <w:tc>
          <w:tcPr>
            <w:tcW w:type="dxa" w:w="680"/>
            <w:shd w:val="clear" w:color="auto" w:fill="F2F2F2"/>
          </w:tcPr>
          <w:p>
            <w:pPr>
              <w:spacing w:after="40" w:line="240" w:lineRule="auto"/>
              <w:jc w:val="left"/>
            </w:pPr>
            <w:r/>
            <w:r>
              <w:rPr>
                <w:rFonts w:ascii="Cambria" w:hAnsi="Cambria"/>
                <w:b w:val="0"/>
                <w:sz w:val="15"/>
              </w:rPr>
              <w:t>84%</w:t>
            </w:r>
          </w:p>
        </w:tc>
        <w:tc>
          <w:tcPr>
            <w:tcW w:type="dxa" w:w="680"/>
            <w:shd w:val="clear" w:color="auto" w:fill="F2F2F2"/>
          </w:tcPr>
          <w:p>
            <w:pPr>
              <w:spacing w:after="40" w:line="240" w:lineRule="auto"/>
              <w:jc w:val="left"/>
            </w:pPr>
            <w:r/>
            <w:r>
              <w:rPr>
                <w:rFonts w:ascii="Cambria" w:hAnsi="Cambria"/>
                <w:b w:val="0"/>
                <w:sz w:val="15"/>
              </w:rPr>
              <w:t>7.0</w:t>
            </w:r>
          </w:p>
        </w:tc>
        <w:tc>
          <w:tcPr>
            <w:tcW w:type="dxa" w:w="567"/>
            <w:shd w:val="clear" w:color="auto" w:fill="F2F2F2"/>
          </w:tcPr>
          <w:p>
            <w:pPr>
              <w:spacing w:after="40" w:line="240" w:lineRule="auto"/>
              <w:jc w:val="left"/>
            </w:pPr>
            <w:r/>
            <w:r>
              <w:rPr>
                <w:rFonts w:ascii="Cambria" w:hAnsi="Cambria"/>
                <w:b w:val="0"/>
                <w:sz w:val="15"/>
              </w:rPr>
              <w:t>0.59</w:t>
            </w:r>
          </w:p>
        </w:tc>
        <w:tc>
          <w:tcPr>
            <w:tcW w:type="dxa" w:w="3175"/>
            <w:shd w:val="clear" w:color="auto" w:fill="F2F2F2"/>
          </w:tcPr>
          <w:p>
            <w:pPr>
              <w:spacing w:after="40" w:line="240" w:lineRule="auto"/>
              <w:jc w:val="left"/>
            </w:pPr>
            <w:r/>
            <w:r>
              <w:rPr>
                <w:rFonts w:ascii="Cambria" w:hAnsi="Cambria"/>
                <w:b w:val="0"/>
                <w:sz w:val="15"/>
              </w:rPr>
              <w:t>Improvement after mini-projects &amp; mentoring</w:t>
            </w:r>
          </w:p>
        </w:tc>
      </w:tr>
      <w:tr>
        <w:tc>
          <w:tcPr>
            <w:tcW w:type="dxa" w:w="737"/>
          </w:tcPr>
          <w:p>
            <w:pPr>
              <w:spacing w:after="40" w:line="240" w:lineRule="auto"/>
              <w:jc w:val="left"/>
            </w:pPr>
            <w:r/>
            <w:r>
              <w:rPr>
                <w:rFonts w:ascii="Cambria" w:hAnsi="Cambria"/>
                <w:b w:val="0"/>
                <w:sz w:val="15"/>
              </w:rPr>
              <w:t>3rd Year</w:t>
            </w:r>
          </w:p>
        </w:tc>
        <w:tc>
          <w:tcPr>
            <w:tcW w:type="dxa" w:w="1304"/>
          </w:tcPr>
          <w:p>
            <w:pPr>
              <w:spacing w:after="40" w:line="240" w:lineRule="auto"/>
              <w:jc w:val="left"/>
            </w:pPr>
            <w:r/>
            <w:r>
              <w:rPr>
                <w:rFonts w:ascii="Cambria" w:hAnsi="Cambria"/>
                <w:b w:val="0"/>
                <w:sz w:val="15"/>
              </w:rPr>
              <w:t>CAY (2024-25)</w:t>
            </w:r>
          </w:p>
        </w:tc>
        <w:tc>
          <w:tcPr>
            <w:tcW w:type="dxa" w:w="1134"/>
          </w:tcPr>
          <w:p>
            <w:pPr>
              <w:spacing w:after="40" w:line="240" w:lineRule="auto"/>
              <w:jc w:val="left"/>
            </w:pPr>
            <w:r/>
            <w:r>
              <w:rPr>
                <w:rFonts w:ascii="Cambria" w:hAnsi="Cambria"/>
                <w:b w:val="0"/>
                <w:sz w:val="15"/>
              </w:rPr>
              <w:t>112</w:t>
            </w:r>
          </w:p>
        </w:tc>
        <w:tc>
          <w:tcPr>
            <w:tcW w:type="dxa" w:w="1134"/>
          </w:tcPr>
          <w:p>
            <w:pPr>
              <w:spacing w:after="40" w:line="240" w:lineRule="auto"/>
              <w:jc w:val="left"/>
            </w:pPr>
            <w:r/>
            <w:r>
              <w:rPr>
                <w:rFonts w:ascii="Cambria" w:hAnsi="Cambria"/>
                <w:b w:val="0"/>
                <w:sz w:val="15"/>
              </w:rPr>
              <w:t>101</w:t>
            </w:r>
          </w:p>
        </w:tc>
        <w:tc>
          <w:tcPr>
            <w:tcW w:type="dxa" w:w="680"/>
          </w:tcPr>
          <w:p>
            <w:pPr>
              <w:spacing w:after="40" w:line="240" w:lineRule="auto"/>
              <w:jc w:val="left"/>
            </w:pPr>
            <w:r/>
            <w:r>
              <w:rPr>
                <w:rFonts w:ascii="Cambria" w:hAnsi="Cambria"/>
                <w:b w:val="0"/>
                <w:sz w:val="15"/>
              </w:rPr>
              <w:t>90%</w:t>
            </w:r>
          </w:p>
        </w:tc>
        <w:tc>
          <w:tcPr>
            <w:tcW w:type="dxa" w:w="680"/>
          </w:tcPr>
          <w:p>
            <w:pPr>
              <w:spacing w:after="40" w:line="240" w:lineRule="auto"/>
              <w:jc w:val="left"/>
            </w:pPr>
            <w:r/>
            <w:r>
              <w:rPr>
                <w:rFonts w:ascii="Cambria" w:hAnsi="Cambria"/>
                <w:b w:val="0"/>
                <w:sz w:val="15"/>
              </w:rPr>
              <w:t>7.6</w:t>
            </w:r>
          </w:p>
        </w:tc>
        <w:tc>
          <w:tcPr>
            <w:tcW w:type="dxa" w:w="567"/>
          </w:tcPr>
          <w:p>
            <w:pPr>
              <w:spacing w:after="40" w:line="240" w:lineRule="auto"/>
              <w:jc w:val="left"/>
            </w:pPr>
            <w:r/>
            <w:r>
              <w:rPr>
                <w:rFonts w:ascii="Cambria" w:hAnsi="Cambria"/>
                <w:b w:val="0"/>
                <w:sz w:val="15"/>
              </w:rPr>
              <w:t>0.68</w:t>
            </w:r>
          </w:p>
        </w:tc>
        <w:tc>
          <w:tcPr>
            <w:tcW w:type="dxa" w:w="3175"/>
          </w:tcPr>
          <w:p>
            <w:pPr>
              <w:spacing w:after="40" w:line="240" w:lineRule="auto"/>
              <w:jc w:val="left"/>
            </w:pPr>
            <w:r/>
            <w:r>
              <w:rPr>
                <w:rFonts w:ascii="Cambria" w:hAnsi="Cambria"/>
                <w:b w:val="0"/>
                <w:sz w:val="15"/>
              </w:rPr>
              <w:t>Major improvement with industry projects &amp; internships</w:t>
            </w:r>
          </w:p>
        </w:tc>
      </w:tr>
    </w:tbl>
    <w:p>
      <w:pPr>
        <w:spacing w:after="40"/>
      </w:pPr>
    </w:p>
    <w:p>
      <w:pPr>
        <w:pStyle w:val="Heading3"/>
      </w:pPr>
      <w:r>
        <w:rPr>
          <w:rFonts w:ascii="Cambria" w:hAnsi="Cambria"/>
          <w:b/>
          <w:color w:val="1F3A5F"/>
          <w:sz w:val="26"/>
        </w:rPr>
        <w:t>4. Corrective Measures that Drive Improvement</w:t>
      </w:r>
    </w:p>
    <w:p>
      <w:pPr>
        <w:pStyle w:val="ListBullet"/>
        <w:spacing w:after="80" w:line="276" w:lineRule="auto"/>
      </w:pPr>
      <w:r>
        <w:rPr>
          <w:rFonts w:ascii="Cambria" w:hAnsi="Cambria"/>
          <w:b/>
          <w:i w:val="0"/>
          <w:sz w:val="22"/>
        </w:rPr>
        <w:t xml:space="preserve">Bridge Courses → </w:t>
      </w:r>
      <w:r>
        <w:rPr>
          <w:rFonts w:ascii="Cambria" w:hAnsi="Cambria"/>
          <w:b w:val="0"/>
          <w:i w:val="0"/>
          <w:sz w:val="22"/>
        </w:rPr>
        <w:t>Mathematics, Programming, Communication.</w:t>
      </w:r>
    </w:p>
    <w:p>
      <w:pPr>
        <w:pStyle w:val="ListBullet"/>
        <w:spacing w:after="80" w:line="276" w:lineRule="auto"/>
      </w:pPr>
      <w:r>
        <w:rPr>
          <w:rFonts w:ascii="Cambria" w:hAnsi="Cambria"/>
          <w:b/>
          <w:i w:val="0"/>
          <w:sz w:val="22"/>
        </w:rPr>
        <w:t xml:space="preserve">Remedial Classes → </w:t>
      </w:r>
      <w:r>
        <w:rPr>
          <w:rFonts w:ascii="Cambria" w:hAnsi="Cambria"/>
          <w:b w:val="0"/>
          <w:i w:val="0"/>
          <w:sz w:val="22"/>
        </w:rPr>
        <w:t>For academically weak students.</w:t>
      </w:r>
    </w:p>
    <w:p>
      <w:pPr>
        <w:pStyle w:val="ListBullet"/>
        <w:spacing w:after="80" w:line="276" w:lineRule="auto"/>
      </w:pPr>
      <w:r>
        <w:rPr>
          <w:rFonts w:ascii="Cambria" w:hAnsi="Cambria"/>
          <w:b/>
          <w:i w:val="0"/>
          <w:sz w:val="22"/>
        </w:rPr>
        <w:t xml:space="preserve">Mentoring System → </w:t>
      </w:r>
      <w:r>
        <w:rPr>
          <w:rFonts w:ascii="Cambria" w:hAnsi="Cambria"/>
          <w:b w:val="0"/>
          <w:i w:val="0"/>
          <w:sz w:val="22"/>
        </w:rPr>
        <w:t>Faculty advisors + peer mentoring.</w:t>
      </w:r>
    </w:p>
    <w:p>
      <w:pPr>
        <w:pStyle w:val="ListBullet"/>
        <w:spacing w:after="80" w:line="276" w:lineRule="auto"/>
      </w:pPr>
      <w:r>
        <w:rPr>
          <w:rFonts w:ascii="Cambria" w:hAnsi="Cambria"/>
          <w:b/>
          <w:i w:val="0"/>
          <w:sz w:val="22"/>
        </w:rPr>
        <w:t xml:space="preserve">Pedagogical Innovations → </w:t>
      </w:r>
      <w:r>
        <w:rPr>
          <w:rFonts w:ascii="Cambria" w:hAnsi="Cambria"/>
          <w:b w:val="0"/>
          <w:i w:val="0"/>
          <w:sz w:val="22"/>
        </w:rPr>
        <w:t>ICT-enabled classrooms, flipped learning, simulation tools.</w:t>
      </w:r>
    </w:p>
    <w:p>
      <w:pPr>
        <w:pStyle w:val="ListBullet"/>
        <w:spacing w:after="80" w:line="276" w:lineRule="auto"/>
      </w:pPr>
      <w:r>
        <w:rPr>
          <w:rFonts w:ascii="Cambria" w:hAnsi="Cambria"/>
          <w:b/>
          <w:i w:val="0"/>
          <w:sz w:val="22"/>
        </w:rPr>
        <w:t xml:space="preserve">Workshops/Internships → </w:t>
      </w:r>
      <w:r>
        <w:rPr>
          <w:rFonts w:ascii="Cambria" w:hAnsi="Cambria"/>
          <w:b w:val="0"/>
          <w:i w:val="0"/>
          <w:sz w:val="22"/>
        </w:rPr>
        <w:t>Industry exposure, mini-projects, hackathons.</w:t>
      </w:r>
    </w:p>
    <w:p>
      <w:pPr>
        <w:pStyle w:val="ListBullet"/>
        <w:spacing w:after="80" w:line="276" w:lineRule="auto"/>
      </w:pPr>
      <w:r>
        <w:rPr>
          <w:rFonts w:ascii="Cambria" w:hAnsi="Cambria"/>
          <w:b/>
          <w:i w:val="0"/>
          <w:sz w:val="22"/>
        </w:rPr>
        <w:t xml:space="preserve">Faculty FDPs → </w:t>
      </w:r>
      <w:r>
        <w:rPr>
          <w:rFonts w:ascii="Cambria" w:hAnsi="Cambria"/>
          <w:b w:val="0"/>
          <w:i w:val="0"/>
          <w:sz w:val="22"/>
        </w:rPr>
        <w:t>Trained faculty deliver more effective teaching.</w:t>
      </w:r>
    </w:p>
    <w:p>
      <w:pPr>
        <w:pStyle w:val="Heading3"/>
      </w:pPr>
      <w:r>
        <w:rPr>
          <w:rFonts w:ascii="Cambria" w:hAnsi="Cambria"/>
          <w:b/>
          <w:color w:val="1F3A5F"/>
          <w:sz w:val="26"/>
        </w:rPr>
        <w:t>5. Evidence Required</w:t>
      </w:r>
    </w:p>
    <w:p>
      <w:pPr>
        <w:pStyle w:val="ListBullet"/>
        <w:spacing w:after="80" w:line="276" w:lineRule="auto"/>
      </w:pPr>
      <w:r>
        <w:rPr>
          <w:rFonts w:ascii="Cambria" w:hAnsi="Cambria"/>
          <w:b w:val="0"/>
          <w:i w:val="0"/>
          <w:sz w:val="22"/>
        </w:rPr>
        <w:t>Year-wise exam results &amp; grade analysis.</w:t>
      </w:r>
    </w:p>
    <w:p>
      <w:pPr>
        <w:pStyle w:val="ListBullet"/>
        <w:spacing w:after="80" w:line="276" w:lineRule="auto"/>
      </w:pPr>
      <w:r>
        <w:rPr>
          <w:rFonts w:ascii="Cambria" w:hAnsi="Cambria"/>
          <w:b w:val="0"/>
          <w:i w:val="0"/>
          <w:sz w:val="22"/>
        </w:rPr>
        <w:t>API calculations (CAY, CAYm1, CAYm2).</w:t>
      </w:r>
    </w:p>
    <w:p>
      <w:pPr>
        <w:pStyle w:val="ListBullet"/>
        <w:spacing w:after="80" w:line="276" w:lineRule="auto"/>
      </w:pPr>
      <w:r>
        <w:rPr>
          <w:rFonts w:ascii="Cambria" w:hAnsi="Cambria"/>
          <w:b w:val="0"/>
          <w:i w:val="0"/>
          <w:sz w:val="22"/>
        </w:rPr>
        <w:t>Records of remedial/bridge courses.</w:t>
      </w:r>
    </w:p>
    <w:p>
      <w:pPr>
        <w:pStyle w:val="ListBullet"/>
        <w:spacing w:after="80" w:line="276" w:lineRule="auto"/>
      </w:pPr>
      <w:r>
        <w:rPr>
          <w:rFonts w:ascii="Cambria" w:hAnsi="Cambria"/>
          <w:b w:val="0"/>
          <w:i w:val="0"/>
          <w:sz w:val="22"/>
        </w:rPr>
        <w:t>Minutes of meetings / ATRs linking academic gaps with actions.</w:t>
      </w:r>
    </w:p>
    <w:p>
      <w:pPr>
        <w:pStyle w:val="ListBullet"/>
        <w:spacing w:after="80" w:line="276" w:lineRule="auto"/>
      </w:pPr>
      <w:r>
        <w:rPr>
          <w:rFonts w:ascii="Cambria" w:hAnsi="Cambria"/>
          <w:b w:val="0"/>
          <w:i w:val="0"/>
          <w:sz w:val="22"/>
        </w:rPr>
        <w:t>Improvement charts (bar/line graphs for pass % and API).</w:t>
      </w:r>
    </w:p>
    <w:p>
      <w:pPr>
        <w:pStyle w:val="Heading3"/>
      </w:pPr>
      <w:r>
        <w:rPr>
          <w:rFonts w:ascii="Cambria" w:hAnsi="Cambria"/>
          <w:b/>
          <w:color w:val="1F3A5F"/>
          <w:sz w:val="26"/>
        </w:rPr>
        <w:t>6. NBA Scoring (10 Marks)</w:t>
      </w:r>
    </w:p>
    <w:p>
      <w:pPr>
        <w:pStyle w:val="ListBullet"/>
        <w:spacing w:after="80" w:line="276" w:lineRule="auto"/>
      </w:pPr>
      <w:r>
        <w:rPr>
          <w:rFonts w:ascii="Cambria" w:hAnsi="Cambria"/>
          <w:b w:val="0"/>
          <w:i w:val="0"/>
          <w:sz w:val="22"/>
        </w:rPr>
        <w:t>Data of Academic Performance (1st, 2nd, 3rd years) – 4 Marks.</w:t>
      </w:r>
    </w:p>
    <w:p>
      <w:pPr>
        <w:pStyle w:val="ListBullet"/>
        <w:spacing w:after="80" w:line="276" w:lineRule="auto"/>
      </w:pPr>
      <w:r>
        <w:rPr>
          <w:rFonts w:ascii="Cambria" w:hAnsi="Cambria"/>
          <w:b w:val="0"/>
          <w:i w:val="0"/>
          <w:sz w:val="22"/>
        </w:rPr>
        <w:t>Corrective measures taken – 3 Marks.</w:t>
      </w:r>
    </w:p>
    <w:p>
      <w:pPr>
        <w:pStyle w:val="ListBullet"/>
        <w:spacing w:after="80" w:line="276" w:lineRule="auto"/>
      </w:pPr>
      <w:r>
        <w:rPr>
          <w:rFonts w:ascii="Cambria" w:hAnsi="Cambria"/>
          <w:b w:val="0"/>
          <w:i w:val="0"/>
          <w:sz w:val="22"/>
        </w:rPr>
        <w:t>Evidence of improvement trend – 3 Marks.</w:t>
      </w:r>
    </w:p>
    <w:p>
      <w:r>
        <w:br w:type="page"/>
      </w:r>
    </w:p>
    <w:p>
      <w:pPr>
        <w:pStyle w:val="Heading1"/>
      </w:pPr>
      <w:r>
        <w:rPr>
          <w:rFonts w:ascii="Cambria" w:hAnsi="Cambria"/>
          <w:b/>
          <w:color w:val="1F3A5F"/>
          <w:sz w:val="36"/>
        </w:rPr>
        <w:t>23. Improvement in Academic Performance (API)</w:t>
      </w:r>
    </w:p>
    <w:p>
      <w:pPr>
        <w:pStyle w:val="Heading3"/>
      </w:pPr>
      <w:r>
        <w:rPr>
          <w:rFonts w:ascii="Cambria" w:hAnsi="Cambria"/>
          <w:b/>
          <w:color w:val="1F3A5F"/>
          <w:sz w:val="26"/>
        </w:rPr>
        <w:t>1. Purpose of the Template</w:t>
      </w:r>
    </w:p>
    <w:p>
      <w:pPr>
        <w:pStyle w:val="ListBullet"/>
        <w:spacing w:after="80" w:line="276" w:lineRule="auto"/>
      </w:pPr>
      <w:r>
        <w:rPr>
          <w:rFonts w:ascii="Cambria" w:hAnsi="Cambria"/>
          <w:b w:val="0"/>
          <w:i w:val="0"/>
          <w:sz w:val="22"/>
        </w:rPr>
        <w:t>NBA expects you to show year-wise improvement in the Academic Performance Index (API) of 1st, 2nd, and 3rd year students.</w:t>
      </w:r>
    </w:p>
    <w:p>
      <w:pPr>
        <w:pStyle w:val="ListBullet"/>
        <w:spacing w:after="80" w:line="276" w:lineRule="auto"/>
      </w:pPr>
      <w:r>
        <w:rPr>
          <w:rFonts w:ascii="Cambria" w:hAnsi="Cambria"/>
          <w:b/>
          <w:i w:val="0"/>
          <w:sz w:val="22"/>
        </w:rPr>
        <w:t>The template helps you:</w:t>
      </w:r>
    </w:p>
    <w:p>
      <w:pPr>
        <w:pStyle w:val="ListBullet2"/>
        <w:spacing w:after="80" w:line="276" w:lineRule="auto"/>
      </w:pPr>
      <w:r>
        <w:rPr>
          <w:rFonts w:ascii="Cambria" w:hAnsi="Cambria"/>
          <w:b w:val="0"/>
          <w:i w:val="0"/>
          <w:sz w:val="22"/>
        </w:rPr>
        <w:t>Enter raw data (appeared, passed, GPA).</w:t>
      </w:r>
    </w:p>
    <w:p>
      <w:pPr>
        <w:pStyle w:val="ListBullet2"/>
        <w:spacing w:after="80" w:line="276" w:lineRule="auto"/>
      </w:pPr>
      <w:r>
        <w:rPr>
          <w:rFonts w:ascii="Cambria" w:hAnsi="Cambria"/>
          <w:b w:val="0"/>
          <w:i w:val="0"/>
          <w:sz w:val="22"/>
        </w:rPr>
        <w:t>Auto-calculate Pass % and API.</w:t>
      </w:r>
    </w:p>
    <w:p>
      <w:pPr>
        <w:pStyle w:val="ListBullet2"/>
        <w:spacing w:after="80" w:line="276" w:lineRule="auto"/>
      </w:pPr>
      <w:r>
        <w:rPr>
          <w:rFonts w:ascii="Cambria" w:hAnsi="Cambria"/>
          <w:b w:val="0"/>
          <w:i w:val="0"/>
          <w:sz w:val="22"/>
        </w:rPr>
        <w:t>Summarize results across CAYm1, CAYm2, CAYm3.</w:t>
      </w:r>
    </w:p>
    <w:p>
      <w:pPr>
        <w:pStyle w:val="ListBullet2"/>
        <w:spacing w:after="80" w:line="276" w:lineRule="auto"/>
      </w:pPr>
      <w:r>
        <w:rPr>
          <w:rFonts w:ascii="Cambria" w:hAnsi="Cambria"/>
          <w:b w:val="0"/>
          <w:i w:val="0"/>
          <w:sz w:val="22"/>
        </w:rPr>
        <w:t>Track year-over-year (YoY) improvements and 3-year overall improvement %.</w:t>
      </w:r>
    </w:p>
    <w:p>
      <w:pPr>
        <w:pStyle w:val="Heading3"/>
      </w:pPr>
      <w:r>
        <w:rPr>
          <w:rFonts w:ascii="Cambria" w:hAnsi="Cambria"/>
          <w:b/>
          <w:color w:val="1F3A5F"/>
          <w:sz w:val="26"/>
        </w:rPr>
        <w:t>2. Structure of the File</w:t>
      </w:r>
    </w:p>
    <w:p>
      <w:pPr>
        <w:spacing w:after="80" w:line="276" w:lineRule="auto"/>
      </w:pPr>
      <w:r>
        <w:rPr>
          <w:rFonts w:ascii="Cambria" w:hAnsi="Cambria"/>
          <w:b/>
          <w:i/>
          <w:sz w:val="22"/>
        </w:rPr>
        <w:t>Sheet 1: API Calc (Input)</w:t>
      </w:r>
    </w:p>
    <w:p>
      <w:pPr>
        <w:pStyle w:val="ListBullet"/>
        <w:spacing w:after="80" w:line="276" w:lineRule="auto"/>
      </w:pPr>
      <w:r>
        <w:rPr>
          <w:rFonts w:ascii="Cambria" w:hAnsi="Cambria"/>
          <w:b/>
          <w:i w:val="0"/>
          <w:sz w:val="22"/>
        </w:rPr>
        <w:t>Columns:</w:t>
      </w:r>
    </w:p>
    <w:p>
      <w:pPr>
        <w:pStyle w:val="ListBullet2"/>
        <w:spacing w:after="80" w:line="276" w:lineRule="auto"/>
      </w:pPr>
      <w:r>
        <w:rPr>
          <w:rFonts w:ascii="Cambria" w:hAnsi="Cambria"/>
          <w:b w:val="0"/>
          <w:i w:val="0"/>
          <w:sz w:val="22"/>
        </w:rPr>
        <w:t>Academic Year Label → (CAYm1, CAYm2, CAYm3).</w:t>
      </w:r>
    </w:p>
    <w:p>
      <w:pPr>
        <w:pStyle w:val="ListBullet2"/>
        <w:spacing w:after="80" w:line="276" w:lineRule="auto"/>
      </w:pPr>
      <w:r>
        <w:rPr>
          <w:rFonts w:ascii="Cambria" w:hAnsi="Cambria"/>
          <w:b w:val="0"/>
          <w:i w:val="0"/>
          <w:sz w:val="22"/>
        </w:rPr>
        <w:t>Cohort → 1st Year, 2nd Year, 3rd Year.</w:t>
      </w:r>
    </w:p>
    <w:p>
      <w:pPr>
        <w:pStyle w:val="ListBullet2"/>
        <w:spacing w:after="80" w:line="276" w:lineRule="auto"/>
      </w:pPr>
      <w:r>
        <w:rPr>
          <w:rFonts w:ascii="Cambria" w:hAnsi="Cambria"/>
          <w:b w:val="0"/>
          <w:i w:val="0"/>
          <w:sz w:val="22"/>
        </w:rPr>
        <w:t>Students Appeared → Total who sat for exams.</w:t>
      </w:r>
    </w:p>
    <w:p>
      <w:pPr>
        <w:pStyle w:val="ListBullet2"/>
        <w:spacing w:after="80" w:line="276" w:lineRule="auto"/>
      </w:pPr>
      <w:r>
        <w:rPr>
          <w:rFonts w:ascii="Cambria" w:hAnsi="Cambria"/>
          <w:b w:val="0"/>
          <w:i w:val="0"/>
          <w:sz w:val="22"/>
        </w:rPr>
        <w:t>Students Passed → Total who passed.</w:t>
      </w:r>
    </w:p>
    <w:p>
      <w:pPr>
        <w:pStyle w:val="ListBullet2"/>
        <w:spacing w:after="80" w:line="276" w:lineRule="auto"/>
      </w:pPr>
      <w:r>
        <w:rPr>
          <w:rFonts w:ascii="Cambria" w:hAnsi="Cambria"/>
          <w:b w:val="0"/>
          <w:i w:val="0"/>
          <w:sz w:val="22"/>
        </w:rPr>
        <w:t>Pass % → Auto formula (Passed / Appeared).</w:t>
      </w:r>
    </w:p>
    <w:p>
      <w:pPr>
        <w:pStyle w:val="ListBullet2"/>
        <w:spacing w:after="80" w:line="276" w:lineRule="auto"/>
      </w:pPr>
      <w:r>
        <w:rPr>
          <w:rFonts w:ascii="Cambria" w:hAnsi="Cambria"/>
          <w:b w:val="0"/>
          <w:i w:val="0"/>
          <w:sz w:val="22"/>
        </w:rPr>
        <w:t>Avg GPA (out of 10) → Mean of successful students.</w:t>
      </w:r>
    </w:p>
    <w:p>
      <w:pPr>
        <w:pStyle w:val="ListBullet2"/>
        <w:spacing w:after="80" w:line="276" w:lineRule="auto"/>
      </w:pPr>
      <w:r>
        <w:rPr>
          <w:rFonts w:ascii="Cambria" w:hAnsi="Cambria"/>
          <w:b w:val="0"/>
          <w:i w:val="0"/>
          <w:sz w:val="22"/>
        </w:rPr>
        <w:t>API → Auto formula ((Avg GPA / 10) * Pass %).</w:t>
      </w:r>
    </w:p>
    <w:p>
      <w:pPr>
        <w:spacing w:after="80" w:line="276" w:lineRule="auto"/>
      </w:pPr>
      <w:r>
        <w:rPr>
          <w:rFonts w:ascii="Cambria" w:hAnsi="Cambria"/>
          <w:b/>
          <w:i w:val="0"/>
          <w:sz w:val="22"/>
        </w:rPr>
        <w:t>Example (1st Year, CAYm1)</w:t>
      </w:r>
    </w:p>
    <w:p>
      <w:pPr>
        <w:pStyle w:val="ListBullet"/>
        <w:spacing w:after="80" w:line="276" w:lineRule="auto"/>
      </w:pPr>
      <w:r>
        <w:rPr>
          <w:rFonts w:ascii="Cambria" w:hAnsi="Cambria"/>
          <w:b w:val="0"/>
          <w:i w:val="0"/>
          <w:sz w:val="22"/>
        </w:rPr>
        <w:t>Appeared = 130, Passed = 120 → Pass % = 92.3%.</w:t>
      </w:r>
    </w:p>
    <w:p>
      <w:pPr>
        <w:pStyle w:val="ListBullet"/>
        <w:spacing w:after="80" w:line="276" w:lineRule="auto"/>
      </w:pPr>
      <w:r>
        <w:rPr>
          <w:rFonts w:ascii="Cambria" w:hAnsi="Cambria"/>
          <w:b w:val="0"/>
          <w:i w:val="0"/>
          <w:sz w:val="22"/>
        </w:rPr>
        <w:t>Avg GPA = 7.8/10.</w:t>
      </w:r>
    </w:p>
    <w:p>
      <w:pPr>
        <w:pStyle w:val="ListBullet"/>
        <w:spacing w:after="80" w:line="276" w:lineRule="auto"/>
      </w:pPr>
      <w:r>
        <w:rPr>
          <w:rFonts w:ascii="Cambria" w:hAnsi="Cambria"/>
          <w:b w:val="0"/>
          <w:i w:val="0"/>
          <w:sz w:val="22"/>
        </w:rPr>
        <w:t>API = 0.92 × 0.78 = 0.71.</w:t>
      </w:r>
    </w:p>
    <w:p>
      <w:pPr>
        <w:spacing w:after="80" w:line="276" w:lineRule="auto"/>
      </w:pPr>
      <w:r>
        <w:rPr>
          <w:rFonts w:ascii="Cambria" w:hAnsi="Cambria"/>
          <w:b/>
          <w:i/>
          <w:sz w:val="22"/>
        </w:rPr>
        <w:t>Sheet 2: API Summary (Year-wise)</w:t>
      </w:r>
    </w:p>
    <w:p>
      <w:pPr>
        <w:pStyle w:val="ListBullet"/>
        <w:spacing w:after="80" w:line="276" w:lineRule="auto"/>
      </w:pPr>
      <w:r>
        <w:rPr>
          <w:rFonts w:ascii="Cambria" w:hAnsi="Cambria"/>
          <w:b/>
          <w:i w:val="0"/>
          <w:sz w:val="22"/>
        </w:rPr>
        <w:t>Rows (fixed):</w:t>
      </w:r>
    </w:p>
    <w:p>
      <w:pPr>
        <w:pStyle w:val="ListBullet2"/>
        <w:spacing w:after="80" w:line="276" w:lineRule="auto"/>
      </w:pPr>
      <w:r>
        <w:rPr>
          <w:rFonts w:ascii="Cambria" w:hAnsi="Cambria"/>
          <w:b w:val="0"/>
          <w:i w:val="0"/>
          <w:sz w:val="22"/>
        </w:rPr>
        <w:t>API of 1st-Year Students (Ref 4.3).</w:t>
      </w:r>
    </w:p>
    <w:p>
      <w:pPr>
        <w:pStyle w:val="ListBullet2"/>
        <w:spacing w:after="80" w:line="276" w:lineRule="auto"/>
      </w:pPr>
      <w:r>
        <w:rPr>
          <w:rFonts w:ascii="Cambria" w:hAnsi="Cambria"/>
          <w:b w:val="0"/>
          <w:i w:val="0"/>
          <w:sz w:val="22"/>
        </w:rPr>
        <w:t>API of 2nd-Year Students (Ref 4.4).</w:t>
      </w:r>
    </w:p>
    <w:p>
      <w:pPr>
        <w:pStyle w:val="ListBullet2"/>
        <w:spacing w:after="80" w:line="276" w:lineRule="auto"/>
      </w:pPr>
      <w:r>
        <w:rPr>
          <w:rFonts w:ascii="Cambria" w:hAnsi="Cambria"/>
          <w:b w:val="0"/>
          <w:i w:val="0"/>
          <w:sz w:val="22"/>
        </w:rPr>
        <w:t>API of 3rd-Year Students (Ref 4.5).</w:t>
      </w:r>
    </w:p>
    <w:p>
      <w:pPr>
        <w:pStyle w:val="ListBullet"/>
        <w:spacing w:after="80" w:line="276" w:lineRule="auto"/>
      </w:pPr>
      <w:r>
        <w:rPr>
          <w:rFonts w:ascii="Cambria" w:hAnsi="Cambria"/>
          <w:b/>
          <w:i w:val="0"/>
          <w:sz w:val="22"/>
        </w:rPr>
        <w:t>Columns:</w:t>
      </w:r>
    </w:p>
    <w:p>
      <w:pPr>
        <w:pStyle w:val="ListBullet2"/>
        <w:spacing w:after="80" w:line="276" w:lineRule="auto"/>
      </w:pPr>
      <w:r>
        <w:rPr>
          <w:rFonts w:ascii="Cambria" w:hAnsi="Cambria"/>
          <w:b w:val="0"/>
          <w:i w:val="0"/>
          <w:sz w:val="22"/>
        </w:rPr>
        <w:t xml:space="preserve">CAYm1 API, CAYm2 API, CAYm3 API → Auto-fetched from </w:t>
      </w:r>
    </w:p>
    <w:p>
      <w:pPr>
        <w:pStyle w:val="ListBullet2"/>
        <w:spacing w:after="80" w:line="276" w:lineRule="auto"/>
      </w:pPr>
      <w:r>
        <w:rPr>
          <w:rFonts w:ascii="Cambria" w:hAnsi="Cambria"/>
          <w:b w:val="0"/>
          <w:i w:val="0"/>
          <w:sz w:val="22"/>
        </w:rPr>
        <w:t>YoY Δ (CAYm2→CAYm1) → Difference in API.</w:t>
      </w:r>
    </w:p>
    <w:p>
      <w:pPr>
        <w:pStyle w:val="ListBullet2"/>
        <w:spacing w:after="80" w:line="276" w:lineRule="auto"/>
      </w:pPr>
      <w:r>
        <w:rPr>
          <w:rFonts w:ascii="Cambria" w:hAnsi="Cambria"/>
          <w:b w:val="0"/>
          <w:i w:val="0"/>
          <w:sz w:val="22"/>
        </w:rPr>
        <w:t>YoY Δ (CAYm3→CAYm2) → Difference in API.</w:t>
      </w:r>
    </w:p>
    <w:p>
      <w:pPr>
        <w:pStyle w:val="ListBullet2"/>
        <w:spacing w:after="80" w:line="276" w:lineRule="auto"/>
      </w:pPr>
      <w:r>
        <w:rPr>
          <w:rFonts w:ascii="Cambria" w:hAnsi="Cambria"/>
          <w:b w:val="0"/>
          <w:i w:val="0"/>
          <w:sz w:val="22"/>
        </w:rPr>
        <w:t>3-Year Improvement % (CAYm3→CAYm1) → Overall growth.</w:t>
      </w:r>
    </w:p>
    <w:p>
      <w:pPr>
        <w:pStyle w:val="ListBullet2"/>
        <w:spacing w:after="80" w:line="276" w:lineRule="auto"/>
      </w:pPr>
      <w:r>
        <w:rPr>
          <w:rFonts w:ascii="Cambria" w:hAnsi="Cambria"/>
          <w:b w:val="0"/>
          <w:i w:val="0"/>
          <w:sz w:val="22"/>
        </w:rPr>
        <w:t xml:space="preserve">Remarks → Space for your notes (e.g., </w:t>
      </w:r>
      <w:r>
        <w:rPr>
          <w:rFonts w:ascii="Cambria" w:hAnsi="Cambria"/>
          <w:b w:val="0"/>
          <w:i/>
          <w:sz w:val="22"/>
        </w:rPr>
        <w:t>“Improved due to remedial classes”</w:t>
      </w:r>
      <w:r>
        <w:rPr>
          <w:rFonts w:ascii="Cambria" w:hAnsi="Cambria"/>
          <w:b w:val="0"/>
          <w:i w:val="0"/>
          <w:sz w:val="22"/>
        </w:rPr>
        <w:t>).</w:t>
      </w:r>
    </w:p>
    <w:p>
      <w:pPr>
        <w:pStyle w:val="Heading3"/>
      </w:pPr>
      <w:r>
        <w:rPr>
          <w:rFonts w:ascii="Cambria" w:hAnsi="Cambria"/>
          <w:b/>
          <w:color w:val="1F3A5F"/>
          <w:sz w:val="26"/>
        </w:rPr>
        <w:t>3. How It Works</w:t>
      </w:r>
    </w:p>
    <w:p>
      <w:pPr>
        <w:pStyle w:val="ListNumber"/>
        <w:spacing w:after="80" w:line="276" w:lineRule="auto"/>
      </w:pPr>
      <w:r>
        <w:rPr>
          <w:rFonts w:ascii="Cambria" w:hAnsi="Cambria"/>
          <w:b w:val="0"/>
          <w:i w:val="0"/>
          <w:sz w:val="22"/>
        </w:rPr>
        <w:t>Enter student numbers + Avg GPA in API Calc (Input).</w:t>
      </w:r>
    </w:p>
    <w:p>
      <w:pPr>
        <w:pStyle w:val="ListNumber"/>
        <w:spacing w:after="80" w:line="276" w:lineRule="auto"/>
      </w:pPr>
      <w:r>
        <w:rPr>
          <w:rFonts w:ascii="Cambria" w:hAnsi="Cambria"/>
          <w:b w:val="0"/>
          <w:i w:val="0"/>
          <w:sz w:val="22"/>
        </w:rPr>
        <w:t>The system calculates Pass %, API automatically.</w:t>
      </w:r>
    </w:p>
    <w:p>
      <w:pPr>
        <w:pStyle w:val="ListNumber"/>
        <w:spacing w:after="80" w:line="276" w:lineRule="auto"/>
      </w:pPr>
      <w:r>
        <w:rPr>
          <w:rFonts w:ascii="Cambria" w:hAnsi="Cambria"/>
          <w:b w:val="0"/>
          <w:i w:val="0"/>
          <w:sz w:val="22"/>
        </w:rPr>
        <w:t>The API Summary sheet pulls values via SUMIFS formulas.</w:t>
      </w:r>
    </w:p>
    <w:p>
      <w:pPr>
        <w:pStyle w:val="ListNumber"/>
        <w:spacing w:after="80" w:line="276" w:lineRule="auto"/>
      </w:pPr>
      <w:r>
        <w:rPr>
          <w:rFonts w:ascii="Cambria" w:hAnsi="Cambria"/>
          <w:b w:val="0"/>
          <w:i w:val="0"/>
          <w:sz w:val="22"/>
        </w:rPr>
        <w:t>YoY and 3-year improvement % are auto-calculated.</w:t>
      </w:r>
    </w:p>
    <w:p>
      <w:pPr>
        <w:pStyle w:val="ListNumber"/>
        <w:spacing w:after="80" w:line="276" w:lineRule="auto"/>
      </w:pPr>
      <w:r>
        <w:rPr>
          <w:rFonts w:ascii="Cambria" w:hAnsi="Cambria"/>
          <w:b w:val="0"/>
          <w:i w:val="0"/>
          <w:sz w:val="22"/>
        </w:rPr>
        <w:t>You just add remarks/actions taken (bridge courses, FDPs, mentoring, etc.).</w:t>
      </w:r>
    </w:p>
    <w:p>
      <w:pPr>
        <w:pStyle w:val="Heading3"/>
      </w:pPr>
      <w:r>
        <w:rPr>
          <w:rFonts w:ascii="Cambria" w:hAnsi="Cambria"/>
          <w:b/>
          <w:color w:val="1F3A5F"/>
          <w:sz w:val="26"/>
        </w:rPr>
        <w:t>4. Benefits for NBA</w:t>
      </w:r>
    </w:p>
    <w:p>
      <w:pPr>
        <w:pStyle w:val="ListBullet"/>
        <w:spacing w:after="80" w:line="276" w:lineRule="auto"/>
      </w:pPr>
      <w:r>
        <w:rPr>
          <w:rFonts w:ascii="Cambria" w:hAnsi="Cambria"/>
          <w:b w:val="0"/>
          <w:i w:val="0"/>
          <w:sz w:val="22"/>
        </w:rPr>
        <w:t>Demonstrates continuous improvement with hard numbers.</w:t>
      </w:r>
    </w:p>
    <w:p>
      <w:pPr>
        <w:pStyle w:val="ListBullet"/>
        <w:spacing w:after="80" w:line="276" w:lineRule="auto"/>
      </w:pPr>
      <w:r>
        <w:rPr>
          <w:rFonts w:ascii="Cambria" w:hAnsi="Cambria"/>
          <w:b w:val="0"/>
          <w:i w:val="0"/>
          <w:sz w:val="22"/>
        </w:rPr>
        <w:t>Shows the effect of academic interventions.</w:t>
      </w:r>
    </w:p>
    <w:p>
      <w:pPr>
        <w:pStyle w:val="ListBullet"/>
        <w:spacing w:after="80" w:line="276" w:lineRule="auto"/>
      </w:pPr>
      <w:r>
        <w:rPr>
          <w:rFonts w:ascii="Cambria" w:hAnsi="Cambria"/>
          <w:b w:val="0"/>
          <w:i w:val="0"/>
          <w:sz w:val="22"/>
        </w:rPr>
        <w:t>Provides evidence for 10 marks under Academic Performance Improvement.</w:t>
      </w:r>
    </w:p>
    <w:p>
      <w:pPr>
        <w:pStyle w:val="ListBullet"/>
        <w:spacing w:after="80" w:line="276" w:lineRule="auto"/>
      </w:pPr>
      <w:r>
        <w:rPr>
          <w:rFonts w:ascii="Cambria" w:hAnsi="Cambria"/>
          <w:b w:val="0"/>
          <w:i w:val="0"/>
          <w:sz w:val="22"/>
        </w:rPr>
        <w:t>Easy to present in NBA Peer Team visit (with charts if needed).</w:t>
      </w:r>
    </w:p>
    <w:p>
      <w:r>
        <w:br w:type="page"/>
      </w:r>
    </w:p>
    <w:p>
      <w:pPr>
        <w:pStyle w:val="Heading1"/>
      </w:pPr>
      <w:r>
        <w:rPr>
          <w:rFonts w:ascii="Cambria" w:hAnsi="Cambria"/>
          <w:b/>
          <w:color w:val="1F3A5F"/>
          <w:sz w:val="36"/>
        </w:rPr>
        <w:t>24. References</w:t>
      </w:r>
    </w:p>
    <w:p>
      <w:pPr>
        <w:pStyle w:val="ListNumber"/>
        <w:spacing w:after="120" w:line="276" w:lineRule="auto"/>
      </w:pPr>
      <w:r>
        <w:rPr>
          <w:rFonts w:ascii="Cambria" w:hAnsi="Cambria"/>
          <w:b w:val="0"/>
          <w:i w:val="0"/>
          <w:sz w:val="22"/>
        </w:rPr>
        <w:t>Qualitative Metrics (QlM) and Quantitative Metrics (QnM) in Higher Educational Institutions (HEIs) : As Applied in NAAC, NBA, and NIRF Frameworks, Kindle Edition, ASIN : B0F6CR212X – https://amzn.in/d/gUWl02e</w:t>
      </w:r>
    </w:p>
    <w:p>
      <w:pPr>
        <w:pStyle w:val="ListNumber"/>
        <w:spacing w:after="120" w:line="276" w:lineRule="auto"/>
      </w:pPr>
      <w:r>
        <w:rPr>
          <w:rFonts w:ascii="Cambria" w:hAnsi="Cambria"/>
          <w:b w:val="0"/>
          <w:i w:val="0"/>
          <w:sz w:val="22"/>
        </w:rPr>
        <w:t>Statutory and Non-Statutory Committees in Higher Educational Institutions (HEIs): Mandatory by regulatory bodies like AICTE, UGC, NAAC, NBA, etc. Kindle Edition, ASIN : B0F7GHJ863 – https://amzn.in/d/gf0LiBn</w:t>
      </w:r>
    </w:p>
    <w:p>
      <w:pPr>
        <w:pStyle w:val="ListNumber"/>
        <w:spacing w:after="120" w:line="276" w:lineRule="auto"/>
      </w:pPr>
      <w:r>
        <w:rPr>
          <w:rFonts w:ascii="Cambria" w:hAnsi="Cambria"/>
          <w:b w:val="0"/>
          <w:i w:val="0"/>
          <w:sz w:val="22"/>
        </w:rPr>
        <w:t>Empowering Academic Skilling and Mathematical Modelling through Technical Computing Languages in Higher Education Institutions, Kindle Edition, ASIN : B0FC7TNZNG – https://amzn.in/d/brIlQwZ</w:t>
      </w:r>
    </w:p>
    <w:p>
      <w:pPr>
        <w:pStyle w:val="ListNumber"/>
        <w:spacing w:after="120" w:line="276" w:lineRule="auto"/>
      </w:pPr>
      <w:r>
        <w:rPr>
          <w:rFonts w:ascii="Cambria" w:hAnsi="Cambria"/>
          <w:b w:val="0"/>
          <w:i w:val="0"/>
          <w:sz w:val="22"/>
        </w:rPr>
        <w:t>Research and Development Transformation in Higher Education Institutions, Kindle Edition, ASIN : B0FB9QFS88 – https://amzn.in/d/1uOQZ0o</w:t>
      </w:r>
    </w:p>
    <w:p>
      <w:pPr>
        <w:pStyle w:val="ListNumber"/>
        <w:spacing w:after="120" w:line="276" w:lineRule="auto"/>
      </w:pPr>
      <w:r>
        <w:rPr>
          <w:rFonts w:ascii="Cambria" w:hAnsi="Cambria"/>
          <w:b w:val="0"/>
          <w:i w:val="0"/>
          <w:sz w:val="22"/>
        </w:rPr>
        <w:t>Institutional Development Plans in Higher Education: Empowering Institutions for the 21st Century Kindle Edition, ASIN : B0FDBV6D47 – https://amzn.in/d/ckm98I2</w:t>
      </w:r>
    </w:p>
    <w:p>
      <w:pPr>
        <w:pStyle w:val="ListNumber"/>
        <w:spacing w:after="120" w:line="276" w:lineRule="auto"/>
      </w:pPr>
      <w:r>
        <w:rPr>
          <w:rFonts w:ascii="Cambria" w:hAnsi="Cambria"/>
          <w:b w:val="0"/>
          <w:i w:val="0"/>
          <w:sz w:val="22"/>
        </w:rPr>
        <w:t>Comprehensive Academic System in Higher Education Institutions, Kindle Edition, ASIN : B0FF2HDMSG – https://amzn.in/d/dbPMaVL</w:t>
      </w:r>
    </w:p>
    <w:p>
      <w:pPr>
        <w:pStyle w:val="ListNumber"/>
        <w:spacing w:after="120" w:line="276" w:lineRule="auto"/>
      </w:pPr>
      <w:r>
        <w:rPr>
          <w:rFonts w:ascii="Cambria" w:hAnsi="Cambria"/>
          <w:b w:val="0"/>
          <w:i w:val="0"/>
          <w:sz w:val="22"/>
        </w:rPr>
        <w:t>Structured Approaches to Teaching, Learning, and Student Engagement in HEIs, Kindle Edition, ASIN : B0DB8QK1B4 – https://amzn.in/d/7jNZrQo</w:t>
      </w:r>
    </w:p>
    <w:p>
      <w:pPr>
        <w:pStyle w:val="ListNumber"/>
        <w:spacing w:after="120" w:line="276" w:lineRule="auto"/>
      </w:pPr>
      <w:r>
        <w:rPr>
          <w:rFonts w:ascii="Cambria" w:hAnsi="Cambria"/>
          <w:b w:val="0"/>
          <w:i w:val="0"/>
          <w:sz w:val="22"/>
        </w:rPr>
        <w:t>Admission Process in Indian Higher Education: A Comprehensive Institutional Guide Kindle Edition, ASIN : B0FFNCPP6P – https://amzn.in/d/0XO6APq</w:t>
      </w:r>
    </w:p>
    <w:p>
      <w:pPr>
        <w:pStyle w:val="ListNumber"/>
        <w:spacing w:after="120" w:line="276" w:lineRule="auto"/>
      </w:pPr>
      <w:r>
        <w:rPr>
          <w:rFonts w:ascii="Cambria" w:hAnsi="Cambria"/>
          <w:b w:val="0"/>
          <w:i w:val="0"/>
          <w:sz w:val="22"/>
        </w:rPr>
        <w:t>Strategic Implementation of Best Practices in HEIs: Enhancing Quality, Innovation, and Impact, Kindle Edition, ASIN : B0CZP85QK7 – https://amzn.in/d/5uj5Lkb</w:t>
      </w:r>
    </w:p>
    <w:p>
      <w:pPr>
        <w:pStyle w:val="ListNumber"/>
        <w:spacing w:after="120" w:line="276" w:lineRule="auto"/>
      </w:pPr>
      <w:r>
        <w:rPr>
          <w:rFonts w:ascii="Cambria" w:hAnsi="Cambria"/>
          <w:b w:val="0"/>
          <w:i w:val="0"/>
          <w:sz w:val="22"/>
        </w:rPr>
        <w:t>National Education Policy 2020: A Transformative Roadmap for Holistic, Inclusive, and Future-Ready Learning in India, Kindle Edition, ASIN : B0F1L321B6 – https://amzn.in/d/eugIo4y</w:t>
      </w:r>
    </w:p>
    <w:p>
      <w:pPr>
        <w:pStyle w:val="ListNumber"/>
        <w:spacing w:after="120" w:line="276" w:lineRule="auto"/>
      </w:pPr>
      <w:r>
        <w:rPr>
          <w:rFonts w:ascii="Cambria" w:hAnsi="Cambria"/>
          <w:b w:val="0"/>
          <w:i w:val="0"/>
          <w:sz w:val="22"/>
        </w:rPr>
        <w:t>Outcome-Based Education in Higher Learning: Philosophy, Design, and Impact, Kindle Edition, ASIN : B0FPCB5GHH – https://amzn.in/d/3oGmnue</w:t>
      </w:r>
    </w:p>
    <w:p>
      <w:pPr>
        <w:pStyle w:val="ListNumber"/>
        <w:spacing w:after="120" w:line="276" w:lineRule="auto"/>
      </w:pPr>
      <w:r>
        <w:rPr>
          <w:rFonts w:ascii="Cambria" w:hAnsi="Cambria"/>
          <w:b w:val="0"/>
          <w:i w:val="0"/>
          <w:sz w:val="22"/>
        </w:rPr>
        <w:t>QS I-GAUGE: An Independent Rating Framework for Indian Higher Education, Kindle Edition, ASIN : B0FN4WBGLT – https://amzn.in/d/2mIYjez</w:t>
      </w:r>
    </w:p>
    <w:p>
      <w:pPr>
        <w:pStyle w:val="ListNumber"/>
        <w:spacing w:after="120" w:line="276" w:lineRule="auto"/>
      </w:pPr>
      <w:r>
        <w:rPr>
          <w:rFonts w:ascii="Cambria" w:hAnsi="Cambria"/>
          <w:b w:val="0"/>
          <w:i w:val="0"/>
          <w:sz w:val="22"/>
        </w:rPr>
        <w:t>NBA Accreditation Process for Tier-1 Institutions – Criterion 1: Outcome-Based Curriculum: Vision, Mission, PEOs, Curriculum Structure, CO–PO–PSO Mapping, and Articulation Framework, Kindle Edition, ASIN : B0FPDCG13D – https://amzn.in/d/4fcc0jE</w:t>
      </w:r>
    </w:p>
    <w:p>
      <w:pPr>
        <w:pStyle w:val="ListNumber"/>
        <w:spacing w:after="120" w:line="276" w:lineRule="auto"/>
      </w:pPr>
      <w:r>
        <w:rPr>
          <w:rFonts w:ascii="Cambria" w:hAnsi="Cambria"/>
          <w:b w:val="0"/>
          <w:i w:val="0"/>
          <w:sz w:val="22"/>
        </w:rPr>
        <w:t>NBA Accreditation Process for Tier-1 Institutions – Criterion 2: Outcome-Based Teaching–Learning (OBTL): A Framework of Systematic Processes, Evidence-Based Practices, and CQI in OBE Kindle Edition, ASIN : B0FPG4KFB1 – https://amzn.in/d/g1bchNl</w:t>
      </w:r>
    </w:p>
    <w:p>
      <w:pPr>
        <w:pStyle w:val="ListNumber"/>
        <w:spacing w:after="120" w:line="276" w:lineRule="auto"/>
      </w:pPr>
      <w:r>
        <w:rPr>
          <w:rFonts w:ascii="Cambria" w:hAnsi="Cambria"/>
          <w:b w:val="0"/>
          <w:i w:val="0"/>
          <w:sz w:val="22"/>
        </w:rPr>
        <w:t>Systematic and Transparent Feedback Mechanism in Higher Education Institutions : Ensuring Continuous Quality Improvement (CQI) and Strengthening NAAC/NBA Accreditation Kindle Edition, ASIN : B0FPGJ77RC – https://amzn.in/d/emeRiJ3</w:t>
      </w:r>
    </w:p>
    <w:p>
      <w:pPr>
        <w:pStyle w:val="ListNumber"/>
        <w:spacing w:after="120" w:line="276" w:lineRule="auto"/>
      </w:pPr>
      <w:r>
        <w:rPr>
          <w:rFonts w:ascii="Cambria" w:hAnsi="Cambria"/>
          <w:b w:val="0"/>
          <w:i w:val="0"/>
          <w:sz w:val="22"/>
        </w:rPr>
        <w:t>Internal Quality Assurance Cell (IQAC): A Framework for Sustaining and Enhancing Quality in Higher Education Kindle Edition, ASIN : B0FPLRX4YF – https://amzn.in/d/8n5aQRb</w:t>
      </w:r>
    </w:p>
    <w:p>
      <w:pPr>
        <w:pStyle w:val="ListNumber"/>
        <w:spacing w:after="120" w:line="276" w:lineRule="auto"/>
      </w:pPr>
      <w:r>
        <w:rPr>
          <w:rFonts w:ascii="Cambria" w:hAnsi="Cambria"/>
          <w:b w:val="0"/>
          <w:i w:val="0"/>
          <w:sz w:val="22"/>
        </w:rPr>
        <w:t>Comprehensive Guide for Teaching-Learning and Evaluation under NAAC Accreditation – Criterion 2 for Higher Education Institutions Kindle Edition, ASIN : B0FPRBZ2JH – https://amzn.in/d/37LtI4z</w:t>
      </w:r>
    </w:p>
    <w:p>
      <w:pPr>
        <w:pStyle w:val="ListNumber"/>
        <w:spacing w:after="120" w:line="276" w:lineRule="auto"/>
      </w:pPr>
      <w:r>
        <w:rPr>
          <w:rFonts w:ascii="Cambria" w:hAnsi="Cambria"/>
          <w:b w:val="0"/>
          <w:i w:val="0"/>
          <w:sz w:val="22"/>
        </w:rPr>
        <w:t>Curricular Aspects under NAAC Accreditation – Criterion 1 for Higher Education Institutions: Ensuring Academic Flexibility, Curriculum Enrichment, and Alignment with NEP 2020 Kindle Edition, ASIN : B0FPR342MM – https://amzn.in/d/0S10khp</w:t>
      </w:r>
    </w:p>
    <w:p>
      <w:pPr>
        <w:pStyle w:val="ListNumber"/>
        <w:spacing w:after="120" w:line="276" w:lineRule="auto"/>
      </w:pPr>
      <w:r>
        <w:rPr>
          <w:rFonts w:ascii="Cambria" w:hAnsi="Cambria"/>
          <w:b w:val="0"/>
          <w:i w:val="0"/>
          <w:sz w:val="22"/>
        </w:rPr>
        <w:t>National Institutional Ranking Framework (NIRF): Transforming Indian Higher Education: A Comprehensive Analysis of Methodology, Parameters, and Impact, Kindle Edition, ASIN : B0FQ5MNVGR – https://amzn.in/d/hhrZvux</w:t>
      </w:r>
    </w:p>
    <w:p>
      <w:pPr>
        <w:pStyle w:val="ListNumber"/>
        <w:spacing w:after="120" w:line="276" w:lineRule="auto"/>
      </w:pPr>
      <w:r>
        <w:rPr>
          <w:rFonts w:ascii="Cambria" w:hAnsi="Cambria"/>
          <w:b w:val="0"/>
          <w:i w:val="0"/>
          <w:sz w:val="22"/>
        </w:rPr>
        <w:t>NBA Accreditation Process for Tier-1 Institutions – Criterion 3: Outcome-Based Assessment: Framework for Evaluating COs, POs, and PSOs in Compliance with NBA Accreditation Standards, Kindle Edition, ASIN : B0FQBQ21S1 – https://amzn.in/d/a2nGhnx</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Cambria" w:hAnsi="Cambria"/>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mbria" w:hAnsi="Cambria"/>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mbria" w:hAnsi="Cambria"/>
      <w:b/>
      <w:bCs/>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