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0"/>
        <w:jc w:val="center"/>
      </w:pPr>
      <w:r>
        <w:rPr>
          <w:rFonts w:ascii="Cambria" w:hAnsi="Cambria" w:eastAsia="Cambria"/>
          <w:b/>
          <w:i w:val="0"/>
          <w:color w:val="C00000"/>
          <w:sz w:val="44"/>
        </w:rPr>
        <w:t>Comprehensive Program-Specific Documentation Framework for National Board of Accreditation (NBA) Accreditation and Re-Accreditation</w:t>
      </w:r>
    </w:p>
    <w:p/>
    <w:p/>
    <w:p/>
    <w:p>
      <w:pPr>
        <w:jc w:val="center"/>
      </w:pPr>
      <w:r>
        <w:rPr>
          <w:rFonts w:ascii="Cambria" w:hAnsi="Cambria" w:eastAsia="Cambria"/>
          <w:b/>
          <w:i w:val="0"/>
          <w:color w:val="000000"/>
          <w:sz w:val="24"/>
        </w:rPr>
        <w:t>Dr Venkata Rama Krishna Tottempudi</w:t>
      </w:r>
    </w:p>
    <w:p>
      <w:pPr>
        <w:jc w:val="center"/>
      </w:pPr>
      <w:r>
        <w:rPr>
          <w:rFonts w:ascii="Cambria" w:hAnsi="Cambria" w:eastAsia="Cambria"/>
          <w:b/>
          <w:i w:val="0"/>
          <w:color w:val="000000"/>
          <w:sz w:val="24"/>
        </w:rPr>
        <w:t>Professor, Avanthi Institute of Engineering &amp; Technology</w:t>
      </w:r>
    </w:p>
    <w:p/>
    <w:p>
      <w:pPr>
        <w:jc w:val="center"/>
      </w:pPr>
      <w:r>
        <w:rPr>
          <w:rFonts w:ascii="Cambria" w:hAnsi="Cambria" w:eastAsia="Cambria"/>
          <w:b/>
          <w:i w:val="0"/>
          <w:color w:val="000000"/>
          <w:sz w:val="24"/>
        </w:rPr>
        <w:t>Sai Saran Tottempudi</w:t>
      </w:r>
    </w:p>
    <w:p>
      <w:pPr>
        <w:jc w:val="center"/>
      </w:pPr>
      <w:r>
        <w:rPr>
          <w:rFonts w:ascii="Cambria" w:hAnsi="Cambria" w:eastAsia="Cambria"/>
          <w:b/>
          <w:i w:val="0"/>
          <w:color w:val="000000"/>
          <w:sz w:val="24"/>
        </w:rPr>
        <w:t>Lecturer, Avanthi Institute of Engineering &amp; Technology</w:t>
      </w:r>
    </w:p>
    <w:p>
      <w:r>
        <w:br w:type="page"/>
      </w:r>
    </w:p>
    <w:p>
      <w:pPr>
        <w:jc w:val="center"/>
      </w:pPr>
      <w:r>
        <w:rPr>
          <w:rFonts w:ascii="Cambria" w:hAnsi="Cambria" w:eastAsia="Cambria"/>
          <w:b/>
          <w:i w:val="0"/>
          <w:color w:val="C00000"/>
          <w:sz w:val="26"/>
        </w:rPr>
        <w:t>ACKNOWLEDGEMENT</w:t>
      </w:r>
    </w:p>
    <w:p/>
    <w:p>
      <w:pPr>
        <w:spacing w:after="120" w:before="0" w:line="276" w:lineRule="auto"/>
        <w:jc w:val="both"/>
      </w:pPr>
      <w:r>
        <w:rPr>
          <w:rFonts w:ascii="Cambria" w:hAnsi="Cambria" w:eastAsia="Cambria"/>
          <w:b w:val="0"/>
          <w:i w:val="0"/>
          <w:color w:val="000000"/>
          <w:sz w:val="22"/>
        </w:rPr>
        <w:t>The successful preparation of the Comprehensive Program-Specific Documentation Framework for National Board of Accreditation (NBA) Accreditation and Re-Accreditation is the result of collective effort, guidance, and collaboration across multiple academic and administrative levels.</w:t>
      </w:r>
    </w:p>
    <w:p>
      <w:pPr>
        <w:spacing w:after="120" w:before="0" w:line="276" w:lineRule="auto"/>
        <w:jc w:val="both"/>
      </w:pPr>
      <w:r>
        <w:rPr>
          <w:rFonts w:ascii="Cambria" w:hAnsi="Cambria" w:eastAsia="Cambria"/>
          <w:b w:val="0"/>
          <w:i w:val="0"/>
          <w:color w:val="000000"/>
          <w:sz w:val="22"/>
        </w:rPr>
        <w:t>We sincerely acknowledge the continuous support and encouragement provided by the Head of the Institution and the Principal, whose vision and leadership have inspired this systematic documentation process. Their commitment to academic excellence and quality assurance has been the foundation for aligning departmental practices with the standards prescribed by the NBA.</w:t>
      </w:r>
    </w:p>
    <w:p>
      <w:pPr>
        <w:spacing w:after="120" w:before="0" w:line="276" w:lineRule="auto"/>
        <w:jc w:val="both"/>
      </w:pPr>
      <w:r>
        <w:rPr>
          <w:rFonts w:ascii="Cambria" w:hAnsi="Cambria" w:eastAsia="Cambria"/>
          <w:b w:val="0"/>
          <w:i w:val="0"/>
          <w:color w:val="000000"/>
          <w:sz w:val="22"/>
        </w:rPr>
        <w:t>Our heartfelt gratitude extends to the Internal Quality Assurance Cell (IQAC) for its constant mentoring and valuable feedback in structuring, reviewing, and validating the documentation framework. The IQAC's role in promoting outcome-based education (OBE), continuous improvement, and data-driven quality evaluation has been instrumental in ensuring that every process reflects institutional accountability and transparency.</w:t>
      </w:r>
    </w:p>
    <w:p>
      <w:pPr>
        <w:spacing w:after="120" w:before="0" w:line="276" w:lineRule="auto"/>
        <w:jc w:val="both"/>
      </w:pPr>
      <w:r>
        <w:rPr>
          <w:rFonts w:ascii="Cambria" w:hAnsi="Cambria" w:eastAsia="Cambria"/>
          <w:b w:val="0"/>
          <w:i w:val="0"/>
          <w:color w:val="000000"/>
          <w:sz w:val="22"/>
        </w:rPr>
        <w:t>We are deeply thankful to all Heads of Departments, NBA Coordinators, and Faculty Members for their diligent contribution in compiling criterion-wise records, designing templates, and aligning evidence with the Self-Assessment Report (SAR) requirements. Their dedication in maintaining course files, laboratory evidence, audit reports, and attainment analyses has enriched the comprehensiveness and authenticity of this framework.</w:t>
      </w:r>
    </w:p>
    <w:p>
      <w:pPr>
        <w:spacing w:after="120" w:before="0" w:line="276" w:lineRule="auto"/>
        <w:jc w:val="both"/>
      </w:pPr>
      <w:r>
        <w:rPr>
          <w:rFonts w:ascii="Cambria" w:hAnsi="Cambria" w:eastAsia="Cambria"/>
          <w:b w:val="0"/>
          <w:i w:val="0"/>
          <w:color w:val="000000"/>
          <w:sz w:val="22"/>
        </w:rPr>
        <w:t>Special appreciation is also extended to the Technical and Non-Teaching Staff for their meticulous efforts in organizing supporting data, maintaining laboratory records, and ensuring compliance with safety and maintenance norms.</w:t>
      </w:r>
    </w:p>
    <w:p>
      <w:pPr>
        <w:spacing w:after="120"/>
        <w:jc w:val="both"/>
      </w:pPr>
      <w:r>
        <w:rPr>
          <w:rFonts w:ascii="Cambria" w:hAnsi="Cambria" w:eastAsia="Cambria"/>
          <w:b w:val="0"/>
          <w:i w:val="0"/>
          <w:color w:val="000000"/>
          <w:sz w:val="22"/>
        </w:rPr>
        <w:t xml:space="preserve">My heartfelt thanks to </w:t>
      </w:r>
      <w:r>
        <w:rPr>
          <w:rFonts w:ascii="Cambria" w:hAnsi="Cambria" w:eastAsia="Cambria"/>
          <w:b/>
          <w:i w:val="0"/>
          <w:color w:val="000000"/>
          <w:sz w:val="22"/>
        </w:rPr>
        <w:t>Smt. M. Gnaneshwari, Chairperson -AIET,</w:t>
      </w:r>
      <w:r>
        <w:rPr>
          <w:rFonts w:ascii="Cambria" w:hAnsi="Cambria" w:eastAsia="Cambria"/>
          <w:b w:val="0"/>
          <w:i w:val="0"/>
          <w:color w:val="000000"/>
          <w:sz w:val="22"/>
        </w:rPr>
        <w:t xml:space="preserve"> for his constant encouragement, and to </w:t>
      </w:r>
      <w:r>
        <w:rPr>
          <w:rFonts w:ascii="Cambria" w:hAnsi="Cambria" w:eastAsia="Cambria"/>
          <w:b/>
          <w:i w:val="0"/>
          <w:color w:val="000000"/>
          <w:sz w:val="22"/>
        </w:rPr>
        <w:t>Sri. M. Srinivasa Rao,</w:t>
      </w:r>
      <w:r>
        <w:rPr>
          <w:rFonts w:ascii="Cambria" w:hAnsi="Cambria" w:eastAsia="Cambria"/>
          <w:b w:val="0"/>
          <w:i w:val="0"/>
          <w:color w:val="000000"/>
          <w:sz w:val="22"/>
        </w:rPr>
        <w:t xml:space="preserve"> Ex Minister Govt. Of AP, Member of Legislative Assembly, Bheemili., for providing the necessary facilities and support to bring this book to completion.</w:t>
      </w:r>
    </w:p>
    <w:p>
      <w:pPr>
        <w:spacing w:after="0"/>
        <w:jc w:val="both"/>
      </w:pPr>
      <w:r>
        <w:rPr>
          <w:rFonts w:ascii="Cambria" w:hAnsi="Cambria" w:eastAsia="Cambria"/>
          <w:b w:val="0"/>
          <w:i w:val="0"/>
          <w:color w:val="000000"/>
          <w:sz w:val="22"/>
        </w:rPr>
        <w:t xml:space="preserve">In addition, I gratefully acknowledge the support of </w:t>
      </w:r>
      <w:r>
        <w:rPr>
          <w:rFonts w:ascii="Cambria" w:hAnsi="Cambria" w:eastAsia="Cambria"/>
          <w:b/>
          <w:i w:val="0"/>
          <w:color w:val="000000"/>
          <w:sz w:val="22"/>
        </w:rPr>
        <w:t>Dr. A.Chandra Sekhar and  Dr. B.Murali Krishna</w:t>
      </w:r>
      <w:r>
        <w:rPr>
          <w:rFonts w:ascii="Cambria" w:hAnsi="Cambria" w:eastAsia="Cambria"/>
          <w:b w:val="0"/>
          <w:i w:val="0"/>
          <w:color w:val="000000"/>
          <w:sz w:val="22"/>
        </w:rPr>
        <w:t>, whose contributions have been invaluable.</w:t>
      </w:r>
    </w:p>
    <w:p>
      <w:pPr>
        <w:spacing w:after="120"/>
        <w:jc w:val="both"/>
      </w:pPr>
      <w:r>
        <w:rPr>
          <w:rFonts w:ascii="Cambria" w:hAnsi="Cambria" w:eastAsia="Cambria"/>
          <w:b w:val="0"/>
          <w:i w:val="0"/>
          <w:color w:val="000000"/>
          <w:sz w:val="22"/>
        </w:rPr>
        <w:t xml:space="preserve">Most importantly, I must thank my wife and best friend, </w:t>
      </w:r>
      <w:r>
        <w:rPr>
          <w:rFonts w:ascii="Cambria" w:hAnsi="Cambria" w:eastAsia="Cambria"/>
          <w:b/>
          <w:i w:val="0"/>
          <w:color w:val="000000"/>
          <w:sz w:val="22"/>
        </w:rPr>
        <w:t>Sailaja Tottempudi</w:t>
      </w:r>
      <w:r>
        <w:rPr>
          <w:rFonts w:ascii="Cambria" w:hAnsi="Cambria" w:eastAsia="Cambria"/>
          <w:b w:val="0"/>
          <w:i w:val="0"/>
          <w:color w:val="000000"/>
          <w:sz w:val="22"/>
        </w:rPr>
        <w:t>, for her unwavering support and strength through every phase of this journey.</w:t>
      </w:r>
    </w:p>
    <w:p>
      <w:pPr>
        <w:spacing w:after="120" w:before="0" w:line="276" w:lineRule="auto"/>
        <w:jc w:val="both"/>
      </w:pPr>
      <w:r>
        <w:rPr>
          <w:rFonts w:ascii="Cambria" w:hAnsi="Cambria" w:eastAsia="Cambria"/>
          <w:b w:val="0"/>
          <w:i w:val="0"/>
          <w:color w:val="000000"/>
          <w:sz w:val="22"/>
        </w:rPr>
        <w:t>Finally, I express my deep gratitude to my family and well-wishers for their continuous encouragement and moral support throughout this endeavor.</w:t>
      </w:r>
    </w:p>
    <w:p>
      <w:pPr>
        <w:spacing w:after="400" w:before="0" w:line="276" w:lineRule="auto"/>
        <w:jc w:val="both"/>
      </w:pPr>
      <w:r>
        <w:rPr>
          <w:rFonts w:ascii="Cambria" w:hAnsi="Cambria" w:eastAsia="Cambria"/>
          <w:b w:val="0"/>
          <w:i w:val="0"/>
          <w:color w:val="000000"/>
          <w:sz w:val="22"/>
        </w:rPr>
        <w:t>This book is a humble contribution toward building a more quality-conscious, outcome-oriented, and institutionally accountable higher education ecosystem in India.</w:t>
      </w:r>
    </w:p>
    <w:p>
      <w:r>
        <w:rPr>
          <w:rFonts w:ascii="Cambria" w:hAnsi="Cambria" w:eastAsia="Cambria"/>
          <w:b/>
          <w:i w:val="0"/>
          <w:color w:val="000000"/>
          <w:sz w:val="22"/>
        </w:rPr>
        <w:t>Dr. V. Rama Krishna Tottempudi</w:t>
      </w:r>
    </w:p>
    <w:p>
      <w:r>
        <w:rPr>
          <w:rFonts w:ascii="Cambria" w:hAnsi="Cambria" w:eastAsia="Cambria"/>
          <w:b/>
          <w:i w:val="0"/>
          <w:color w:val="000000"/>
          <w:sz w:val="22"/>
        </w:rPr>
        <w:t>Sai Saran Tottempudi</w:t>
      </w:r>
    </w:p>
    <w:p>
      <w:r>
        <w:br w:type="page"/>
      </w:r>
    </w:p>
    <w:p>
      <w:r>
        <w:rPr>
          <w:rFonts w:ascii="Cambria" w:hAnsi="Cambria" w:eastAsia="Cambria"/>
          <w:b/>
          <w:i w:val="0"/>
          <w:color w:val="C00000"/>
          <w:sz w:val="26"/>
        </w:rPr>
        <w:t>About Dr. T. V. Rama Krishna</w:t>
      </w:r>
    </w:p>
    <w:p/>
    <w:p>
      <w:pPr>
        <w:spacing w:after="120"/>
        <w:jc w:val="both"/>
      </w:pPr>
      <w:r>
        <w:rPr>
          <w:rFonts w:ascii="Cambria" w:hAnsi="Cambria" w:eastAsia="Cambria"/>
          <w:b w:val="0"/>
          <w:i w:val="0"/>
          <w:color w:val="000000"/>
          <w:sz w:val="22"/>
        </w:rPr>
        <w:t xml:space="preserve">Dr. T. V. Rama Krishna is a distinguished academician, researcher, and administrator with </w:t>
      </w:r>
      <w:r>
        <w:rPr>
          <w:rFonts w:ascii="Cambria" w:hAnsi="Cambria" w:eastAsia="Cambria"/>
          <w:b/>
          <w:i w:val="0"/>
          <w:color w:val="000000"/>
          <w:sz w:val="22"/>
        </w:rPr>
        <w:t>25 years of teaching experience</w:t>
      </w:r>
      <w:r>
        <w:rPr>
          <w:rFonts w:ascii="Cambria" w:hAnsi="Cambria" w:eastAsia="Cambria"/>
          <w:b w:val="0"/>
          <w:i w:val="0"/>
          <w:color w:val="00000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jc w:val="both"/>
      </w:pPr>
      <w:r>
        <w:rPr>
          <w:rFonts w:ascii="Cambria" w:hAnsi="Cambria" w:eastAsia="Cambria"/>
          <w:b w:val="0"/>
          <w:i w:val="0"/>
          <w:color w:val="000000"/>
          <w:sz w:val="22"/>
        </w:rPr>
        <w:t xml:space="preserve">He has successfully </w:t>
      </w:r>
      <w:r>
        <w:rPr>
          <w:rFonts w:ascii="Cambria" w:hAnsi="Cambria" w:eastAsia="Cambria"/>
          <w:b/>
          <w:i w:val="0"/>
          <w:color w:val="000000"/>
          <w:sz w:val="22"/>
        </w:rPr>
        <w:t>guided 5 Ph.D. scholars</w:t>
      </w:r>
      <w:r>
        <w:rPr>
          <w:rFonts w:ascii="Cambria" w:hAnsi="Cambria" w:eastAsia="Cambria"/>
          <w:b w:val="0"/>
          <w:i w:val="0"/>
          <w:color w:val="000000"/>
          <w:sz w:val="22"/>
        </w:rPr>
        <w:t xml:space="preserve"> and continues to serve as a </w:t>
      </w:r>
      <w:r>
        <w:rPr>
          <w:rFonts w:ascii="Cambria" w:hAnsi="Cambria" w:eastAsia="Cambria"/>
          <w:b/>
          <w:i w:val="0"/>
          <w:color w:val="000000"/>
          <w:sz w:val="22"/>
        </w:rPr>
        <w:t>recognized research supervisor</w:t>
      </w:r>
      <w:r>
        <w:rPr>
          <w:rFonts w:ascii="Cambria" w:hAnsi="Cambria" w:eastAsia="Cambria"/>
          <w:b w:val="0"/>
          <w:i w:val="0"/>
          <w:color w:val="000000"/>
          <w:sz w:val="22"/>
        </w:rPr>
        <w:t xml:space="preserve"> at </w:t>
      </w:r>
      <w:r>
        <w:rPr>
          <w:rFonts w:ascii="Cambria" w:hAnsi="Cambria" w:eastAsia="Cambria"/>
          <w:b/>
          <w:i w:val="0"/>
          <w:color w:val="000000"/>
          <w:sz w:val="22"/>
        </w:rPr>
        <w:t>Andhra University</w:t>
      </w:r>
      <w:r>
        <w:rPr>
          <w:rFonts w:ascii="Cambria" w:hAnsi="Cambria" w:eastAsia="Cambria"/>
          <w:b w:val="0"/>
          <w:i w:val="0"/>
          <w:color w:val="000000"/>
          <w:sz w:val="22"/>
        </w:rPr>
        <w:t xml:space="preserve">, </w:t>
      </w:r>
      <w:r>
        <w:rPr>
          <w:rFonts w:ascii="Cambria" w:hAnsi="Cambria" w:eastAsia="Cambria"/>
          <w:b/>
          <w:i w:val="0"/>
          <w:color w:val="000000"/>
          <w:sz w:val="22"/>
        </w:rPr>
        <w:t>JNTU Ananthapuram</w:t>
      </w:r>
      <w:r>
        <w:rPr>
          <w:rFonts w:ascii="Cambria" w:hAnsi="Cambria" w:eastAsia="Cambria"/>
          <w:b w:val="0"/>
          <w:i w:val="0"/>
          <w:color w:val="000000"/>
          <w:sz w:val="22"/>
        </w:rPr>
        <w:t xml:space="preserve">, </w:t>
      </w:r>
      <w:r>
        <w:rPr>
          <w:rFonts w:ascii="Cambria" w:hAnsi="Cambria" w:eastAsia="Cambria"/>
          <w:b/>
          <w:i w:val="0"/>
          <w:color w:val="000000"/>
          <w:sz w:val="22"/>
        </w:rPr>
        <w:t>Koneru Lakshmaiah Education Foundation (KLEF) University</w:t>
      </w:r>
      <w:r>
        <w:rPr>
          <w:rFonts w:ascii="Cambria" w:hAnsi="Cambria" w:eastAsia="Cambria"/>
          <w:b w:val="0"/>
          <w:i w:val="0"/>
          <w:color w:val="000000"/>
          <w:sz w:val="22"/>
        </w:rPr>
        <w:t xml:space="preserve">, and </w:t>
      </w:r>
      <w:r>
        <w:rPr>
          <w:rFonts w:ascii="Cambria" w:hAnsi="Cambria" w:eastAsia="Cambria"/>
          <w:b/>
          <w:i w:val="0"/>
          <w:color w:val="000000"/>
          <w:sz w:val="22"/>
        </w:rPr>
        <w:t>Sri Chandrasekharendra Saraswathi Viswa Mahavidyalaya University</w:t>
      </w:r>
      <w:r>
        <w:rPr>
          <w:rFonts w:ascii="Cambria" w:hAnsi="Cambria" w:eastAsia="Cambria"/>
          <w:b w:val="0"/>
          <w:i w:val="0"/>
          <w:color w:val="000000"/>
          <w:sz w:val="22"/>
        </w:rPr>
        <w:t>. His supervision has fostered high-quality research outcomes in engineering, technology, and applied sciences.</w:t>
      </w:r>
    </w:p>
    <w:p>
      <w:pPr>
        <w:spacing w:after="120"/>
        <w:jc w:val="both"/>
      </w:pPr>
      <w:r>
        <w:rPr>
          <w:rFonts w:ascii="Cambria" w:hAnsi="Cambria" w:eastAsia="Cambria"/>
          <w:b w:val="0"/>
          <w:i w:val="0"/>
          <w:color w:val="000000"/>
          <w:sz w:val="22"/>
        </w:rPr>
        <w:t xml:space="preserve">Dr. Rama Krishna is a prolific researcher with an extensive publication record of </w:t>
      </w:r>
      <w:r>
        <w:rPr>
          <w:rFonts w:ascii="Cambria" w:hAnsi="Cambria" w:eastAsia="Cambria"/>
          <w:b/>
          <w:i w:val="0"/>
          <w:color w:val="000000"/>
          <w:sz w:val="22"/>
        </w:rPr>
        <w:t>97 research papers</w:t>
      </w:r>
      <w:r>
        <w:rPr>
          <w:rFonts w:ascii="Cambria" w:hAnsi="Cambria" w:eastAsia="Cambria"/>
          <w:b w:val="0"/>
          <w:i w:val="0"/>
          <w:color w:val="000000"/>
          <w:sz w:val="22"/>
        </w:rPr>
        <w:t xml:space="preserve">, including </w:t>
      </w:r>
      <w:r>
        <w:rPr>
          <w:rFonts w:ascii="Cambria" w:hAnsi="Cambria" w:eastAsia="Cambria"/>
          <w:b/>
          <w:i w:val="0"/>
          <w:color w:val="000000"/>
          <w:sz w:val="22"/>
        </w:rPr>
        <w:t>50 indexed in Scopus</w:t>
      </w:r>
      <w:r>
        <w:rPr>
          <w:rFonts w:ascii="Cambria" w:hAnsi="Cambria" w:eastAsia="Cambria"/>
          <w:b w:val="0"/>
          <w:i w:val="0"/>
          <w:color w:val="000000"/>
          <w:sz w:val="22"/>
        </w:rPr>
        <w:t xml:space="preserve"> and </w:t>
      </w:r>
      <w:r>
        <w:rPr>
          <w:rFonts w:ascii="Cambria" w:hAnsi="Cambria" w:eastAsia="Cambria"/>
          <w:b/>
          <w:i w:val="0"/>
          <w:color w:val="000000"/>
          <w:sz w:val="22"/>
        </w:rPr>
        <w:t>3 in SCI journals</w:t>
      </w:r>
      <w:r>
        <w:rPr>
          <w:rFonts w:ascii="Cambria" w:hAnsi="Cambria" w:eastAsia="Cambria"/>
          <w:b w:val="0"/>
          <w:i w:val="0"/>
          <w:color w:val="000000"/>
          <w:sz w:val="22"/>
        </w:rPr>
        <w:t>. His research expertise is widely recognized, and his profile can be accessed here: Scopus Author ID – 56397099300.</w:t>
      </w:r>
    </w:p>
    <w:p>
      <w:pPr>
        <w:spacing w:after="120"/>
        <w:jc w:val="both"/>
      </w:pPr>
      <w:r>
        <w:rPr>
          <w:rFonts w:ascii="Cambria" w:hAnsi="Cambria" w:eastAsia="Cambria"/>
          <w:b w:val="0"/>
          <w:i w:val="0"/>
          <w:color w:val="000000"/>
          <w:sz w:val="22"/>
        </w:rPr>
        <w:t xml:space="preserve">Dr. T. V. Rama Krishna has held several distinguished academic and administrative positions across reputed institutions in Andhra Pradesh and Telangana. At </w:t>
      </w:r>
      <w:r>
        <w:rPr>
          <w:rFonts w:ascii="Cambria" w:hAnsi="Cambria" w:eastAsia="Cambria"/>
          <w:b/>
          <w:i w:val="0"/>
          <w:color w:val="000000"/>
          <w:sz w:val="22"/>
        </w:rPr>
        <w:t>Sanketika Vidya Parishad Engineering College (SVPEC)</w:t>
      </w:r>
      <w:r>
        <w:rPr>
          <w:rFonts w:ascii="Cambria" w:hAnsi="Cambria" w:eastAsia="Cambria"/>
          <w:b w:val="0"/>
          <w:i w:val="0"/>
          <w:color w:val="000000"/>
          <w:sz w:val="22"/>
        </w:rPr>
        <w:t xml:space="preserve">, he served as the </w:t>
      </w:r>
      <w:r>
        <w:rPr>
          <w:rFonts w:ascii="Cambria" w:hAnsi="Cambria" w:eastAsia="Cambria"/>
          <w:b/>
          <w:i w:val="0"/>
          <w:color w:val="000000"/>
          <w:sz w:val="22"/>
        </w:rPr>
        <w:t>Ratified Principal from Andhra University</w:t>
      </w:r>
      <w:r>
        <w:rPr>
          <w:rFonts w:ascii="Cambria" w:hAnsi="Cambria" w:eastAsia="Cambria"/>
          <w:b w:val="0"/>
          <w:i w:val="0"/>
          <w:color w:val="000000"/>
          <w:sz w:val="22"/>
        </w:rPr>
        <w:t xml:space="preserve">, where he also took on responsibilities as </w:t>
      </w:r>
      <w:r>
        <w:rPr>
          <w:rFonts w:ascii="Cambria" w:hAnsi="Cambria" w:eastAsia="Cambria"/>
          <w:b/>
          <w:i w:val="0"/>
          <w:color w:val="000000"/>
          <w:sz w:val="22"/>
        </w:rPr>
        <w:t>Dean of Academics</w:t>
      </w:r>
      <w:r>
        <w:rPr>
          <w:rFonts w:ascii="Cambria" w:hAnsi="Cambria" w:eastAsia="Cambria"/>
          <w:b w:val="0"/>
          <w:i w:val="0"/>
          <w:color w:val="000000"/>
          <w:sz w:val="22"/>
        </w:rPr>
        <w:t xml:space="preserve">, </w:t>
      </w:r>
      <w:r>
        <w:rPr>
          <w:rFonts w:ascii="Cambria" w:hAnsi="Cambria" w:eastAsia="Cambria"/>
          <w:b/>
          <w:i w:val="0"/>
          <w:color w:val="000000"/>
          <w:sz w:val="22"/>
        </w:rPr>
        <w:t>Ratified Professor</w:t>
      </w:r>
      <w:r>
        <w:rPr>
          <w:rFonts w:ascii="Cambria" w:hAnsi="Cambria" w:eastAsia="Cambria"/>
          <w:b w:val="0"/>
          <w:i w:val="0"/>
          <w:color w:val="000000"/>
          <w:sz w:val="22"/>
        </w:rPr>
        <w:t xml:space="preserve">, and </w:t>
      </w:r>
      <w:r>
        <w:rPr>
          <w:rFonts w:ascii="Cambria" w:hAnsi="Cambria" w:eastAsia="Cambria"/>
          <w:b/>
          <w:i w:val="0"/>
          <w:color w:val="000000"/>
          <w:sz w:val="22"/>
        </w:rPr>
        <w:t>Member Secretary of the Governing Body</w:t>
      </w:r>
      <w:r>
        <w:rPr>
          <w:rFonts w:ascii="Cambria" w:hAnsi="Cambria" w:eastAsia="Cambria"/>
          <w:b w:val="0"/>
          <w:i w:val="0"/>
          <w:color w:val="000000"/>
          <w:sz w:val="22"/>
        </w:rPr>
        <w:t xml:space="preserve">, a statutory body under UGC. He later contributed as the </w:t>
      </w:r>
      <w:r>
        <w:rPr>
          <w:rFonts w:ascii="Cambria" w:hAnsi="Cambria" w:eastAsia="Cambria"/>
          <w:b/>
          <w:i w:val="0"/>
          <w:color w:val="000000"/>
          <w:sz w:val="22"/>
        </w:rPr>
        <w:t>Ratified Principal from JNTU, Hyderabad</w:t>
      </w:r>
      <w:r>
        <w:rPr>
          <w:rFonts w:ascii="Cambria" w:hAnsi="Cambria" w:eastAsia="Cambria"/>
          <w:b w:val="0"/>
          <w:i w:val="0"/>
          <w:color w:val="000000"/>
          <w:sz w:val="22"/>
        </w:rPr>
        <w:t xml:space="preserve"> at </w:t>
      </w:r>
      <w:r>
        <w:rPr>
          <w:rFonts w:ascii="Cambria" w:hAnsi="Cambria" w:eastAsia="Cambria"/>
          <w:b/>
          <w:i w:val="0"/>
          <w:color w:val="000000"/>
          <w:sz w:val="22"/>
        </w:rPr>
        <w:t>Bharat Institute of Engineering and Technology (BIET)</w:t>
      </w:r>
      <w:r>
        <w:rPr>
          <w:rFonts w:ascii="Cambria" w:hAnsi="Cambria" w:eastAsia="Cambria"/>
          <w:b w:val="0"/>
          <w:i w:val="0"/>
          <w:color w:val="000000"/>
          <w:sz w:val="22"/>
        </w:rPr>
        <w:t xml:space="preserve">, where his primary duties included serving as </w:t>
      </w:r>
      <w:r>
        <w:rPr>
          <w:rFonts w:ascii="Cambria" w:hAnsi="Cambria" w:eastAsia="Cambria"/>
          <w:b/>
          <w:i w:val="0"/>
          <w:color w:val="000000"/>
          <w:sz w:val="22"/>
        </w:rPr>
        <w:t>Dean of Academics</w:t>
      </w:r>
      <w:r>
        <w:rPr>
          <w:rFonts w:ascii="Cambria" w:hAnsi="Cambria" w:eastAsia="Cambria"/>
          <w:b w:val="0"/>
          <w:i w:val="0"/>
          <w:color w:val="000000"/>
          <w:sz w:val="22"/>
        </w:rPr>
        <w:t xml:space="preserve"> and </w:t>
      </w:r>
      <w:r>
        <w:rPr>
          <w:rFonts w:ascii="Cambria" w:hAnsi="Cambria" w:eastAsia="Cambria"/>
          <w:b/>
          <w:i w:val="0"/>
          <w:color w:val="000000"/>
          <w:sz w:val="22"/>
        </w:rPr>
        <w:t>Member Secretary of the Governing Body</w:t>
      </w:r>
      <w:r>
        <w:rPr>
          <w:rFonts w:ascii="Cambria" w:hAnsi="Cambria" w:eastAsia="Cambria"/>
          <w:b w:val="0"/>
          <w:i w:val="0"/>
          <w:color w:val="000000"/>
          <w:sz w:val="22"/>
        </w:rPr>
        <w:t>.</w:t>
      </w:r>
    </w:p>
    <w:p>
      <w:pPr>
        <w:spacing w:after="120"/>
        <w:jc w:val="both"/>
      </w:pPr>
      <w:r>
        <w:rPr>
          <w:rFonts w:ascii="Cambria" w:hAnsi="Cambria" w:eastAsia="Cambria"/>
          <w:b w:val="0"/>
          <w:i w:val="0"/>
          <w:color w:val="000000"/>
          <w:sz w:val="22"/>
        </w:rPr>
        <w:t xml:space="preserve">At </w:t>
      </w:r>
      <w:r>
        <w:rPr>
          <w:rFonts w:ascii="Cambria" w:hAnsi="Cambria" w:eastAsia="Cambria"/>
          <w:b/>
          <w:i w:val="0"/>
          <w:color w:val="000000"/>
          <w:sz w:val="22"/>
        </w:rPr>
        <w:t>Sasi Institute of Technology and Engineering (SITE)</w:t>
      </w:r>
      <w:r>
        <w:rPr>
          <w:rFonts w:ascii="Cambria" w:hAnsi="Cambria" w:eastAsia="Cambria"/>
          <w:b w:val="0"/>
          <w:i w:val="0"/>
          <w:color w:val="000000"/>
          <w:sz w:val="22"/>
        </w:rPr>
        <w:t xml:space="preserve">, he functioned as a </w:t>
      </w:r>
      <w:r>
        <w:rPr>
          <w:rFonts w:ascii="Cambria" w:hAnsi="Cambria" w:eastAsia="Cambria"/>
          <w:b/>
          <w:i w:val="0"/>
          <w:color w:val="000000"/>
          <w:sz w:val="22"/>
        </w:rPr>
        <w:t>Ratified Professor from JNTUK, Kakinada</w:t>
      </w:r>
      <w:r>
        <w:rPr>
          <w:rFonts w:ascii="Cambria" w:hAnsi="Cambria" w:eastAsia="Cambria"/>
          <w:b w:val="0"/>
          <w:i w:val="0"/>
          <w:color w:val="000000"/>
          <w:sz w:val="22"/>
        </w:rPr>
        <w:t xml:space="preserve">, while also serving as </w:t>
      </w:r>
      <w:r>
        <w:rPr>
          <w:rFonts w:ascii="Cambria" w:hAnsi="Cambria" w:eastAsia="Cambria"/>
          <w:b/>
          <w:i w:val="0"/>
          <w:color w:val="000000"/>
          <w:sz w:val="22"/>
        </w:rPr>
        <w:t>Principal</w:t>
      </w:r>
      <w:r>
        <w:rPr>
          <w:rFonts w:ascii="Cambria" w:hAnsi="Cambria" w:eastAsia="Cambria"/>
          <w:b w:val="0"/>
          <w:i w:val="0"/>
          <w:color w:val="000000"/>
          <w:sz w:val="22"/>
        </w:rPr>
        <w:t xml:space="preserve"> and </w:t>
      </w:r>
      <w:r>
        <w:rPr>
          <w:rFonts w:ascii="Cambria" w:hAnsi="Cambria" w:eastAsia="Cambria"/>
          <w:b/>
          <w:i w:val="0"/>
          <w:color w:val="000000"/>
          <w:sz w:val="22"/>
        </w:rPr>
        <w:t>Dean of Academics</w:t>
      </w:r>
      <w:r>
        <w:rPr>
          <w:rFonts w:ascii="Cambria" w:hAnsi="Cambria" w:eastAsia="Cambria"/>
          <w:b w:val="0"/>
          <w:i w:val="0"/>
          <w:color w:val="000000"/>
          <w:sz w:val="22"/>
        </w:rPr>
        <w:t xml:space="preserve">. His statutory and governance roles at SITE included </w:t>
      </w:r>
      <w:r>
        <w:rPr>
          <w:rFonts w:ascii="Cambria" w:hAnsi="Cambria" w:eastAsia="Cambria"/>
          <w:b/>
          <w:i w:val="0"/>
          <w:color w:val="000000"/>
          <w:sz w:val="22"/>
        </w:rPr>
        <w:t>Governing Body Member</w:t>
      </w:r>
      <w:r>
        <w:rPr>
          <w:rFonts w:ascii="Cambria" w:hAnsi="Cambria" w:eastAsia="Cambria"/>
          <w:b w:val="0"/>
          <w:i w:val="0"/>
          <w:color w:val="000000"/>
          <w:sz w:val="22"/>
        </w:rPr>
        <w:t xml:space="preserve">, </w:t>
      </w:r>
      <w:r>
        <w:rPr>
          <w:rFonts w:ascii="Cambria" w:hAnsi="Cambria" w:eastAsia="Cambria"/>
          <w:b/>
          <w:i w:val="0"/>
          <w:color w:val="000000"/>
          <w:sz w:val="22"/>
        </w:rPr>
        <w:t>Academic Council Member Secretary</w:t>
      </w:r>
      <w:r>
        <w:rPr>
          <w:rFonts w:ascii="Cambria" w:hAnsi="Cambria" w:eastAsia="Cambria"/>
          <w:b w:val="0"/>
          <w:i w:val="0"/>
          <w:color w:val="000000"/>
          <w:sz w:val="22"/>
        </w:rPr>
        <w:t xml:space="preserve">, </w:t>
      </w:r>
      <w:r>
        <w:rPr>
          <w:rFonts w:ascii="Cambria" w:hAnsi="Cambria" w:eastAsia="Cambria"/>
          <w:b/>
          <w:i w:val="0"/>
          <w:color w:val="000000"/>
          <w:sz w:val="22"/>
        </w:rPr>
        <w:t>BoS Member</w:t>
      </w:r>
      <w:r>
        <w:rPr>
          <w:rFonts w:ascii="Cambria" w:hAnsi="Cambria" w:eastAsia="Cambria"/>
          <w:b w:val="0"/>
          <w:i w:val="0"/>
          <w:color w:val="000000"/>
          <w:sz w:val="22"/>
        </w:rPr>
        <w:t xml:space="preserve">, </w:t>
      </w:r>
      <w:r>
        <w:rPr>
          <w:rFonts w:ascii="Cambria" w:hAnsi="Cambria" w:eastAsia="Cambria"/>
          <w:b/>
          <w:i w:val="0"/>
          <w:color w:val="000000"/>
          <w:sz w:val="22"/>
        </w:rPr>
        <w:t>Finance Committee Coordinator</w:t>
      </w:r>
      <w:r>
        <w:rPr>
          <w:rFonts w:ascii="Cambria" w:hAnsi="Cambria" w:eastAsia="Cambria"/>
          <w:b w:val="0"/>
          <w:i w:val="0"/>
          <w:color w:val="000000"/>
          <w:sz w:val="22"/>
        </w:rPr>
        <w:t xml:space="preserve">, </w:t>
      </w:r>
      <w:r>
        <w:rPr>
          <w:rFonts w:ascii="Cambria" w:hAnsi="Cambria" w:eastAsia="Cambria"/>
          <w:b/>
          <w:i w:val="0"/>
          <w:color w:val="000000"/>
          <w:sz w:val="22"/>
        </w:rPr>
        <w:t>Planning &amp; Development Committee Coordinator</w:t>
      </w:r>
      <w:r>
        <w:rPr>
          <w:rFonts w:ascii="Cambria" w:hAnsi="Cambria" w:eastAsia="Cambria"/>
          <w:b w:val="0"/>
          <w:i w:val="0"/>
          <w:color w:val="000000"/>
          <w:sz w:val="22"/>
        </w:rPr>
        <w:t xml:space="preserve">, </w:t>
      </w:r>
      <w:r>
        <w:rPr>
          <w:rFonts w:ascii="Cambria" w:hAnsi="Cambria" w:eastAsia="Cambria"/>
          <w:b/>
          <w:i w:val="0"/>
          <w:color w:val="000000"/>
          <w:sz w:val="22"/>
        </w:rPr>
        <w:t>NAAC Coordinator</w:t>
      </w:r>
      <w:r>
        <w:rPr>
          <w:rFonts w:ascii="Cambria" w:hAnsi="Cambria" w:eastAsia="Cambria"/>
          <w:b w:val="0"/>
          <w:i w:val="0"/>
          <w:color w:val="000000"/>
          <w:sz w:val="22"/>
        </w:rPr>
        <w:t xml:space="preserve">, </w:t>
      </w:r>
      <w:r>
        <w:rPr>
          <w:rFonts w:ascii="Cambria" w:hAnsi="Cambria" w:eastAsia="Cambria"/>
          <w:b/>
          <w:i w:val="0"/>
          <w:color w:val="000000"/>
          <w:sz w:val="22"/>
        </w:rPr>
        <w:t>IQAC Coordinator</w:t>
      </w:r>
      <w:r>
        <w:rPr>
          <w:rFonts w:ascii="Cambria" w:hAnsi="Cambria" w:eastAsia="Cambria"/>
          <w:b w:val="0"/>
          <w:i w:val="0"/>
          <w:color w:val="000000"/>
          <w:sz w:val="22"/>
        </w:rPr>
        <w:t xml:space="preserve">, and </w:t>
      </w:r>
      <w:r>
        <w:rPr>
          <w:rFonts w:ascii="Cambria" w:hAnsi="Cambria" w:eastAsia="Cambria"/>
          <w:b/>
          <w:i w:val="0"/>
          <w:color w:val="000000"/>
          <w:sz w:val="22"/>
        </w:rPr>
        <w:t>NBA Coordinator</w:t>
      </w:r>
      <w:r>
        <w:rPr>
          <w:rFonts w:ascii="Cambria" w:hAnsi="Cambria" w:eastAsia="Cambria"/>
          <w:b w:val="0"/>
          <w:i w:val="0"/>
          <w:color w:val="000000"/>
          <w:sz w:val="22"/>
        </w:rPr>
        <w:t>, reflecting his extensive expertise in quality assurance and institutional governance.</w:t>
      </w:r>
    </w:p>
    <w:p>
      <w:pPr>
        <w:spacing w:after="120"/>
        <w:jc w:val="both"/>
      </w:pPr>
      <w:r>
        <w:rPr>
          <w:rFonts w:ascii="Cambria" w:hAnsi="Cambria" w:eastAsia="Cambria"/>
          <w:b w:val="0"/>
          <w:i w:val="0"/>
          <w:color w:val="000000"/>
          <w:sz w:val="22"/>
        </w:rPr>
        <w:t xml:space="preserve">At </w:t>
      </w:r>
      <w:r>
        <w:rPr>
          <w:rFonts w:ascii="Cambria" w:hAnsi="Cambria" w:eastAsia="Cambria"/>
          <w:b/>
          <w:i w:val="0"/>
          <w:color w:val="000000"/>
          <w:sz w:val="22"/>
        </w:rPr>
        <w:t>Koneru Lakshmaiah College of Engineering (KLCE) / KLEF University</w:t>
      </w:r>
      <w:r>
        <w:rPr>
          <w:rFonts w:ascii="Cambria" w:hAnsi="Cambria" w:eastAsia="Cambria"/>
          <w:b w:val="0"/>
          <w:i w:val="0"/>
          <w:color w:val="000000"/>
          <w:sz w:val="22"/>
        </w:rPr>
        <w:t xml:space="preserve">, Dr. Rama Krishna contributed as a </w:t>
      </w:r>
      <w:r>
        <w:rPr>
          <w:rFonts w:ascii="Cambria" w:hAnsi="Cambria" w:eastAsia="Cambria"/>
          <w:b/>
          <w:i w:val="0"/>
          <w:color w:val="000000"/>
          <w:sz w:val="22"/>
        </w:rPr>
        <w:t>Ratified Professor</w:t>
      </w:r>
      <w:r>
        <w:rPr>
          <w:rFonts w:ascii="Cambria" w:hAnsi="Cambria" w:eastAsia="Cambria"/>
          <w:b w:val="0"/>
          <w:i w:val="0"/>
          <w:color w:val="000000"/>
          <w:sz w:val="22"/>
        </w:rPr>
        <w:t xml:space="preserve">, </w:t>
      </w:r>
      <w:r>
        <w:rPr>
          <w:rFonts w:ascii="Cambria" w:hAnsi="Cambria" w:eastAsia="Cambria"/>
          <w:b/>
          <w:i w:val="0"/>
          <w:color w:val="000000"/>
          <w:sz w:val="22"/>
        </w:rPr>
        <w:t>Director of e-Resources</w:t>
      </w:r>
      <w:r>
        <w:rPr>
          <w:rFonts w:ascii="Cambria" w:hAnsi="Cambria" w:eastAsia="Cambria"/>
          <w:b w:val="0"/>
          <w:i w:val="0"/>
          <w:color w:val="000000"/>
          <w:sz w:val="22"/>
        </w:rPr>
        <w:t xml:space="preserve">, </w:t>
      </w:r>
      <w:r>
        <w:rPr>
          <w:rFonts w:ascii="Cambria" w:hAnsi="Cambria" w:eastAsia="Cambria"/>
          <w:b/>
          <w:i w:val="0"/>
          <w:color w:val="000000"/>
          <w:sz w:val="22"/>
        </w:rPr>
        <w:t>Associate Dean of Academics</w:t>
      </w:r>
      <w:r>
        <w:rPr>
          <w:rFonts w:ascii="Cambria" w:hAnsi="Cambria" w:eastAsia="Cambria"/>
          <w:b w:val="0"/>
          <w:i w:val="0"/>
          <w:color w:val="000000"/>
          <w:sz w:val="22"/>
        </w:rPr>
        <w:t xml:space="preserve">, and </w:t>
      </w:r>
      <w:r>
        <w:rPr>
          <w:rFonts w:ascii="Cambria" w:hAnsi="Cambria" w:eastAsia="Cambria"/>
          <w:b/>
          <w:i w:val="0"/>
          <w:color w:val="000000"/>
          <w:sz w:val="22"/>
        </w:rPr>
        <w:t>Associate Dean of Library Resources &amp; Technical Services and Certificate Courses</w:t>
      </w:r>
      <w:r>
        <w:rPr>
          <w:rFonts w:ascii="Cambria" w:hAnsi="Cambria" w:eastAsia="Cambria"/>
          <w:b w:val="0"/>
          <w:i w:val="0"/>
          <w:color w:val="000000"/>
          <w:sz w:val="22"/>
        </w:rPr>
        <w:t xml:space="preserve">. Additionally, he served as </w:t>
      </w:r>
      <w:r>
        <w:rPr>
          <w:rFonts w:ascii="Cambria" w:hAnsi="Cambria" w:eastAsia="Cambria"/>
          <w:b/>
          <w:i w:val="0"/>
          <w:color w:val="000000"/>
          <w:sz w:val="22"/>
        </w:rPr>
        <w:t>Professor In-Charge of Certificate Courses and the Central Library</w:t>
      </w:r>
      <w:r>
        <w:rPr>
          <w:rFonts w:ascii="Cambria" w:hAnsi="Cambria" w:eastAsia="Cambria"/>
          <w:b w:val="0"/>
          <w:i w:val="0"/>
          <w:color w:val="000000"/>
          <w:sz w:val="22"/>
        </w:rPr>
        <w:t xml:space="preserve">, while also holding statutory roles as </w:t>
      </w:r>
      <w:r>
        <w:rPr>
          <w:rFonts w:ascii="Cambria" w:hAnsi="Cambria" w:eastAsia="Cambria"/>
          <w:b/>
          <w:i w:val="0"/>
          <w:color w:val="000000"/>
          <w:sz w:val="22"/>
        </w:rPr>
        <w:t>Academic Council Member</w:t>
      </w:r>
      <w:r>
        <w:rPr>
          <w:rFonts w:ascii="Cambria" w:hAnsi="Cambria" w:eastAsia="Cambria"/>
          <w:b w:val="0"/>
          <w:i w:val="0"/>
          <w:color w:val="000000"/>
          <w:sz w:val="22"/>
        </w:rPr>
        <w:t xml:space="preserve"> and </w:t>
      </w:r>
      <w:r>
        <w:rPr>
          <w:rFonts w:ascii="Cambria" w:hAnsi="Cambria" w:eastAsia="Cambria"/>
          <w:b/>
          <w:i w:val="0"/>
          <w:color w:val="000000"/>
          <w:sz w:val="22"/>
        </w:rPr>
        <w:t>BoS Member</w:t>
      </w:r>
      <w:r>
        <w:rPr>
          <w:rFonts w:ascii="Cambria" w:hAnsi="Cambria" w:eastAsia="Cambria"/>
          <w:b w:val="0"/>
          <w:i w:val="0"/>
          <w:color w:val="000000"/>
          <w:sz w:val="22"/>
        </w:rPr>
        <w:t xml:space="preserve"> under UGC guidelines.</w:t>
      </w:r>
    </w:p>
    <w:p>
      <w:pPr>
        <w:spacing w:after="120"/>
        <w:jc w:val="both"/>
      </w:pPr>
      <w:r>
        <w:rPr>
          <w:rFonts w:ascii="Cambria" w:hAnsi="Cambria" w:eastAsia="Cambria"/>
          <w:b w:val="0"/>
          <w:i w:val="0"/>
          <w:color w:val="000000"/>
          <w:sz w:val="22"/>
        </w:rPr>
        <w:t xml:space="preserve">Earlier in his career, at </w:t>
      </w:r>
      <w:r>
        <w:rPr>
          <w:rFonts w:ascii="Cambria" w:hAnsi="Cambria" w:eastAsia="Cambria"/>
          <w:b/>
          <w:i w:val="0"/>
          <w:color w:val="000000"/>
          <w:sz w:val="22"/>
        </w:rPr>
        <w:t>R.V.R. &amp; J.C. College of Engineering</w:t>
      </w:r>
      <w:r>
        <w:rPr>
          <w:rFonts w:ascii="Cambria" w:hAnsi="Cambria" w:eastAsia="Cambria"/>
          <w:b w:val="0"/>
          <w:i w:val="0"/>
          <w:color w:val="000000"/>
          <w:sz w:val="22"/>
        </w:rPr>
        <w:t xml:space="preserve">, he was ratified as an </w:t>
      </w:r>
      <w:r>
        <w:rPr>
          <w:rFonts w:ascii="Cambria" w:hAnsi="Cambria" w:eastAsia="Cambria"/>
          <w:b/>
          <w:i w:val="0"/>
          <w:color w:val="000000"/>
          <w:sz w:val="22"/>
        </w:rPr>
        <w:t>Assistant Professor</w:t>
      </w:r>
      <w:r>
        <w:rPr>
          <w:rFonts w:ascii="Cambria" w:hAnsi="Cambria" w:eastAsia="Cambria"/>
          <w:b w:val="0"/>
          <w:i w:val="0"/>
          <w:color w:val="000000"/>
          <w:sz w:val="22"/>
        </w:rPr>
        <w:t xml:space="preserve"> and subsequently promoted to </w:t>
      </w:r>
      <w:r>
        <w:rPr>
          <w:rFonts w:ascii="Cambria" w:hAnsi="Cambria" w:eastAsia="Cambria"/>
          <w:b/>
          <w:i w:val="0"/>
          <w:color w:val="000000"/>
          <w:sz w:val="22"/>
        </w:rPr>
        <w:t>Associate Professor</w:t>
      </w:r>
      <w:r>
        <w:rPr>
          <w:rFonts w:ascii="Cambria" w:hAnsi="Cambria" w:eastAsia="Cambria"/>
          <w:b w:val="0"/>
          <w:i w:val="0"/>
          <w:color w:val="000000"/>
          <w:sz w:val="22"/>
        </w:rPr>
        <w:t xml:space="preserve"> under Acharya Nagarjuna University. During this period, he also served as </w:t>
      </w:r>
      <w:r>
        <w:rPr>
          <w:rFonts w:ascii="Cambria" w:hAnsi="Cambria" w:eastAsia="Cambria"/>
          <w:b/>
          <w:i w:val="0"/>
          <w:color w:val="000000"/>
          <w:sz w:val="22"/>
        </w:rPr>
        <w:t>NBA Criterion 7 In-Charge</w:t>
      </w:r>
      <w:r>
        <w:rPr>
          <w:rFonts w:ascii="Cambria" w:hAnsi="Cambria" w:eastAsia="Cambria"/>
          <w:b w:val="0"/>
          <w:i w:val="0"/>
          <w:color w:val="000000"/>
          <w:sz w:val="22"/>
        </w:rPr>
        <w:t>, focusing on infrastructure, facilities, and sustainability in accreditation processes.</w:t>
      </w:r>
    </w:p>
    <w:p>
      <w:pPr>
        <w:spacing w:after="120"/>
        <w:jc w:val="both"/>
      </w:pPr>
      <w:r>
        <w:rPr>
          <w:rFonts w:ascii="Cambria" w:hAnsi="Cambria" w:eastAsia="Cambria"/>
          <w:b w:val="0"/>
          <w:i w:val="0"/>
          <w:color w:val="000000"/>
          <w:sz w:val="22"/>
        </w:rPr>
        <w:t xml:space="preserve">With his </w:t>
      </w:r>
      <w:r>
        <w:rPr>
          <w:rFonts w:ascii="Cambria" w:hAnsi="Cambria" w:eastAsia="Cambria"/>
          <w:b/>
          <w:i w:val="0"/>
          <w:color w:val="000000"/>
          <w:sz w:val="22"/>
        </w:rPr>
        <w:t>25 years of teaching</w:t>
      </w:r>
      <w:r>
        <w:rPr>
          <w:rFonts w:ascii="Cambria" w:hAnsi="Cambria" w:eastAsia="Cambria"/>
          <w:b w:val="0"/>
          <w:i w:val="0"/>
          <w:color w:val="000000"/>
          <w:sz w:val="22"/>
        </w:rPr>
        <w:t xml:space="preserve">, </w:t>
      </w:r>
      <w:r>
        <w:rPr>
          <w:rFonts w:ascii="Cambria" w:hAnsi="Cambria" w:eastAsia="Cambria"/>
          <w:b/>
          <w:i w:val="0"/>
          <w:color w:val="000000"/>
          <w:sz w:val="22"/>
        </w:rPr>
        <w:t>5 awarded Ph.D.s</w:t>
      </w:r>
      <w:r>
        <w:rPr>
          <w:rFonts w:ascii="Cambria" w:hAnsi="Cambria" w:eastAsia="Cambria"/>
          <w:b w:val="0"/>
          <w:i w:val="0"/>
          <w:color w:val="000000"/>
          <w:sz w:val="22"/>
        </w:rPr>
        <w:t xml:space="preserve">, </w:t>
      </w:r>
      <w:r>
        <w:rPr>
          <w:rFonts w:ascii="Cambria" w:hAnsi="Cambria" w:eastAsia="Cambria"/>
          <w:b/>
          <w:i w:val="0"/>
          <w:color w:val="000000"/>
          <w:sz w:val="22"/>
        </w:rPr>
        <w:t>97 publications</w:t>
      </w:r>
      <w:r>
        <w:rPr>
          <w:rFonts w:ascii="Cambria" w:hAnsi="Cambria" w:eastAsia="Cambria"/>
          <w:b w:val="0"/>
          <w:i w:val="0"/>
          <w:color w:val="00000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after="120" w:before="0" w:line="276" w:lineRule="auto"/>
        <w:jc w:val="both"/>
      </w:pPr>
      <w:r>
        <w:rPr>
          <w:rFonts w:ascii="Cambria" w:hAnsi="Cambria" w:eastAsia="Cambria"/>
          <w:b w:val="0"/>
          <w:i w:val="0"/>
          <w:color w:val="000000"/>
          <w:sz w:val="22"/>
        </w:rPr>
        <w:t>🔗 LinkedIn Profile: Dr. Tottempudi Venkata Rama Krishna</w:t>
      </w:r>
    </w:p>
    <w:p>
      <w:r>
        <w:br w:type="page"/>
      </w:r>
    </w:p>
    <w:p>
      <w:pPr>
        <w:jc w:val="center"/>
      </w:pPr>
      <w:r>
        <w:rPr>
          <w:rFonts w:ascii="Cambria" w:hAnsi="Cambria" w:eastAsia="Cambria"/>
          <w:b/>
          <w:i w:val="0"/>
          <w:color w:val="C00000"/>
          <w:sz w:val="26"/>
        </w:rPr>
        <w:t>Abstract</w:t>
      </w:r>
    </w:p>
    <w:p/>
    <w:p>
      <w:pPr>
        <w:spacing w:after="120" w:before="0" w:line="276" w:lineRule="auto"/>
        <w:jc w:val="both"/>
      </w:pPr>
      <w:r>
        <w:rPr>
          <w:rFonts w:ascii="Cambria" w:hAnsi="Cambria" w:eastAsia="Cambria"/>
          <w:b w:val="0"/>
          <w:i w:val="0"/>
          <w:color w:val="000000"/>
          <w:sz w:val="22"/>
        </w:rPr>
        <w:t>The Comprehensive Program-Specific Documentation Framework for National Board of Accreditation (NBA) Accreditation and Re-Accreditation serves as a structured, evidence-based guide for higher education institutions seeking to achieve or renew NBA accreditation. Rooted in the principles of Outcome-Based Education (OBE), the framework provides a systematic roadmap for compiling, organizing, and maintaining documentation aligned with the ten NBA criteria. It emphasizes the integration of quality assurance mechanisms, measurable outcomes, and continuous improvement processes across academic, administrative, and infrastructural domains.</w:t>
      </w:r>
    </w:p>
    <w:p>
      <w:pPr>
        <w:spacing w:after="120" w:before="0" w:line="276" w:lineRule="auto"/>
        <w:jc w:val="both"/>
      </w:pPr>
      <w:r>
        <w:rPr>
          <w:rFonts w:ascii="Cambria" w:hAnsi="Cambria" w:eastAsia="Cambria"/>
          <w:b w:val="0"/>
          <w:i w:val="0"/>
          <w:color w:val="000000"/>
          <w:sz w:val="22"/>
        </w:rPr>
        <w:t>The framework categorizes documentation into distinct yet interlinked areas, including Vision and Mission Alignment, Curriculum Design and Delivery, Student Performance and Learning Outcomes, Faculty Competence and Development, Infrastructure and Laboratory Resources, Research and Consultancy, and Continuous Improvement Mechanisms. Each program-specific document (P.1–P.35) has been mapped to its respective criterion to ensure transparency, traceability, and compliance. Detailed instructions for maintaining course files, program outcome attainment records, audit reports, and industry collaboration evidence are provided, thereby ensuring readiness for both internal and external reviews.</w:t>
      </w:r>
    </w:p>
    <w:p>
      <w:pPr>
        <w:spacing w:after="120" w:before="0" w:line="276" w:lineRule="auto"/>
        <w:jc w:val="both"/>
      </w:pPr>
      <w:r>
        <w:rPr>
          <w:rFonts w:ascii="Cambria" w:hAnsi="Cambria" w:eastAsia="Cambria"/>
          <w:b w:val="0"/>
          <w:i w:val="0"/>
          <w:color w:val="000000"/>
          <w:sz w:val="22"/>
        </w:rPr>
        <w:t>This framework not only supports the systematic preparation of the Self-Assessment Report (SAR) but also institutionalizes a sustainable quality culture through documented proof of academic rigor, stakeholder participation, and accountability. By mandating year-wise evidence—covering the Current Academic Year (CAY), and the two preceding years (CAYm1 and CAYm2)—it ensures longitudinal consistency and verification of continuous progress.</w:t>
      </w:r>
    </w:p>
    <w:p>
      <w:pPr>
        <w:spacing w:after="120" w:before="0" w:line="276" w:lineRule="auto"/>
        <w:jc w:val="both"/>
      </w:pPr>
      <w:r>
        <w:rPr>
          <w:rFonts w:ascii="Cambria" w:hAnsi="Cambria" w:eastAsia="Cambria"/>
          <w:b w:val="0"/>
          <w:i w:val="0"/>
          <w:color w:val="000000"/>
          <w:sz w:val="22"/>
        </w:rPr>
        <w:t>Ultimately, the document acts as a blueprint for NBA compliance and excellence, enabling departments to demonstrate academic integrity, operational efficiency, and educational effectiveness. It reflects an institution's maturity in transforming academic data into measurable quality metrics and its unwavering commitment to continuous improvement, transparency, and outcome-driven education.</w:t>
      </w:r>
    </w:p>
    <w:p>
      <w:r>
        <w:br w:type="page"/>
      </w:r>
    </w:p>
    <w:p>
      <w:pPr>
        <w:jc w:val="center"/>
      </w:pPr>
      <w:r>
        <w:rPr>
          <w:rFonts w:ascii="Cambria" w:hAnsi="Cambria" w:eastAsia="Cambria"/>
          <w:b/>
          <w:i w:val="0"/>
          <w:color w:val="C00000"/>
          <w:sz w:val="26"/>
        </w:rPr>
        <w:t>Program Specific list of files</w:t>
      </w:r>
    </w:p>
    <w:p/>
    <w:tbl>
      <w:tblPr>
        <w:tblW w:type="auto" w:w="0"/>
        <w:jc w:val="center"/>
        <w:tblLook w:firstColumn="1" w:firstRow="1" w:lastColumn="0" w:lastRow="0" w:noHBand="0" w:noVBand="1" w:val="04A0"/>
        <w:tblLayout w:type="fixed"/>
        <w:tblLayout w:type="fixed"/>
      </w:tblPr>
      <w:tblGrid>
        <w:gridCol w:w="850"/>
        <w:gridCol w:w="7540"/>
        <w:gridCol w:w="1020"/>
      </w:tblGrid>
      <w:tr>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22"/>
              </w:rPr>
              <w:t>S. No</w:t>
            </w:r>
          </w:p>
        </w:tc>
        <w:tc>
          <w:tcPr>
            <w:tcW w:type="dxa" w:w="7540"/>
            <w:tcBorders>
              <w:top w:val="single" w:sz="4" w:space="0" w:color="BFBFBF"/>
              <w:left w:val="single" w:sz="4" w:space="0" w:color="BFBFBF"/>
              <w:bottom w:val="single" w:sz="4" w:space="0" w:color="BFBFBF"/>
              <w:right w:val="single" w:sz="4" w:space="0" w:color="BFBFBF"/>
            </w:tcBorders>
            <w:tcW w:w="7540" w:type="dxa"/>
            <w:shd w:val="clear" w:color="auto" w:fill="1F3A5F"/>
            <w:tcW w:w="7540" w:type="dxa"/>
          </w:tcPr>
          <w:p>
            <w:pPr>
              <w:spacing w:after="40" w:before="40" w:line="264" w:lineRule="auto"/>
              <w:jc w:val="center"/>
            </w:pPr>
            <w:r/>
            <w:r>
              <w:rPr>
                <w:rFonts w:ascii="Cambria" w:hAnsi="Cambria" w:eastAsia="Cambria"/>
                <w:b/>
                <w:i w:val="0"/>
                <w:color w:val="FFFFFF"/>
                <w:sz w:val="22"/>
              </w:rPr>
              <w:t>Content</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22"/>
              </w:rPr>
              <w:t>Pg. No</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1</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Introduction</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001</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2</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PROGRAM-SPECIFIC FILES REQUIRED FOR NBA ACCREDITATION</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003</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3</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NBA Accreditation Document Tracker (Department-Level)</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008</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4</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P.1 NBA accreditation reports of past visits &amp; list of actions taken based on weaknesses and deficiencies of latest NBA visit (if any).</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013</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5</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P.2 Evidences of program specific budget allocation and utilization in the last 3 years and sample bills</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016</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6</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P.3 Records of process used in defining vision, mission, PEO and PSO statements.</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019</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7</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P.4 Publication and dissemination among stakeholders &amp; awareness programs on vision, mission &amp; PEO, PO, PSO statements.</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021</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8</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P.5 Justification of PEO matrix against department mission elements.</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023</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9</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P.6 Records of program curriculum and process used to identify extent of compliance of curriculum for attaining POs &amp; PSOs.</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025</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10</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P.7 Records of delivery details of the content beyond the syllabus &amp; list of activities/ events organized for past 3 years.</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027</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11</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P.8 Records of instructional methods and pedagogical initiatives used in teaching and learning.</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030</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12</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P.9 Records of list of methodologies used to support weak students and encourage bright students and impact analysis.</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033</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13</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P.10 Records of quality assessment in continuous internal evaluation- internal question paper, assignment, quiz, etc.</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036</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14</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P.11 Evidences of quality students' projects &amp; rubrics used to access the student projects and its outcomes in the last 3 years</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039</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15</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P.12 Records of initiatives related to industry interaction &amp; partial delivery of lectures by expert from Industry/research Institutes and its impact analysis in the last 3 years.</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042</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16</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P.13 Records of industry internships/summer training and its impact analysis in the last 3 years</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045</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17</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P.14 Records of course outcomes (COs) of all courses</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048</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18</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P.15 Records of CO-PO/PSO mapping of all courses as well as courses-PO/PSO mapping.</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051</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19</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P.16 Course file with plan of course delivery, question papers, answer scripts, assignments, reports of assignments, project reports, report of design projects, list of laboratory experiments, etc</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054</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20</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P.17 Records of list of assessment tools used for PO and PSO &amp; attainment values. Observation and actions taken based on the results of POs /PSO in the last 3 years.</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057</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21</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P.18 Evidences of number of seats filled under various quotas and quality of students (ranks/percentage of marks) admitted to the program in the last 3 years.</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061</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22</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P.19 Evidences of program success rate (success rate without backlogs and success rate within the stipulated period) in the last 3 years.</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064</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23</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P.20 Evidences of academic performance of 2nd and 3rd year students in the last 3 years.</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067</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24</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P.21 Evidences of placement, higher studies and entrepreneurship details in the last 3 years.</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071</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25</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P.22 Evidences of list of professional societies and number of events organized by the Department in the last 3 years.</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075</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26</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P.23 Records of technical magazines, newsletters, etc &amp; student participations in the inter-institute events &amp; list of awards received by the students in the last 3 years.</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079</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27</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P.24 Details of faculty student ratio.</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083</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28</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P.25 Records of list of regular/contract/visiting faculty members with their appointment letters, designation, qualification, promotion, salary details, etc</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086</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29</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P.26 Evidences of short-term courses/workshops arranged, course-modules developed, faculty competencies and innovations done by the faculty in teaching and learning process.</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090</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30</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P.27 Evidences of faculty participation in the FDP/STTP/NPTEL/training activities in the last 3 years.</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095</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31</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P.28 Evidences of faculty publications/ books/ chapters/ citations/ IPRs/awards/Ph.D awarded and number of Ph.D scholars guided by faculty members in the last 3 years.</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100</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32</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P.29 List of R&amp;D projects and consultancy projects along with approval letters &amp; proof of working models/ products developed by faculty in the last 3 years.</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106</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33</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P.30 Records of student feedback on teaching learning process &amp; faculty performance appraisal system and corrective measures taken in the last 3 years.</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111</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34</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P.31 Records of list of program specific laboratories and other computing facilities available within the department.</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116</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35</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P.32 Records of project laboratories, research laboratories, industry-supported laboratories and other additional facilities available within the department.</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121</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36</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P.33 Records of lab maintenance and safety measures available within the department laboratories.</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126</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37</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P.34 Evidences of non-teaching staff members along with their appointment letters, degree, skill upgradation, etc.</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131</w:t>
            </w:r>
          </w:p>
        </w:tc>
      </w:tr>
      <w:tr>
        <w:tc>
          <w:tcPr>
            <w:tcW w:type="dxa" w:w="850"/>
            <w:shd w:val="clear" w:color="auto" w:fill="FFFFFF"/>
            <w:tcW w:w="850" w:type="dxa"/>
          </w:tcPr>
          <w:p>
            <w:pPr>
              <w:spacing w:after="40" w:before="40" w:line="264" w:lineRule="auto"/>
              <w:jc w:val="center"/>
            </w:pPr>
            <w:r/>
            <w:r>
              <w:rPr>
                <w:rFonts w:ascii="Cambria" w:hAnsi="Cambria" w:eastAsia="Cambria"/>
                <w:b w:val="0"/>
                <w:i w:val="0"/>
                <w:color w:val="000000"/>
                <w:sz w:val="22"/>
              </w:rPr>
              <w:t>38</w:t>
            </w:r>
          </w:p>
        </w:tc>
        <w:tc>
          <w:tcPr>
            <w:tcW w:type="dxa" w:w="7540"/>
            <w:shd w:val="clear" w:color="auto" w:fill="FFFFFF"/>
            <w:tcW w:w="7540" w:type="dxa"/>
          </w:tcPr>
          <w:p>
            <w:pPr>
              <w:spacing w:after="40" w:before="40" w:line="264" w:lineRule="auto"/>
              <w:jc w:val="both"/>
            </w:pPr>
            <w:r/>
            <w:r>
              <w:rPr>
                <w:rFonts w:ascii="Cambria" w:hAnsi="Cambria" w:eastAsia="Cambria"/>
                <w:b w:val="0"/>
                <w:i w:val="0"/>
                <w:color w:val="000000"/>
                <w:sz w:val="22"/>
              </w:rPr>
              <w:t>P.35 Records of academic audit and corrective measures taken in the last 3 years.</w:t>
            </w:r>
          </w:p>
        </w:tc>
        <w:tc>
          <w:tcPr>
            <w:tcW w:type="dxa" w:w="1020"/>
            <w:shd w:val="clear" w:color="auto" w:fill="FFFFFF"/>
            <w:tcW w:w="1020" w:type="dxa"/>
          </w:tcPr>
          <w:p>
            <w:pPr>
              <w:spacing w:after="40" w:before="40" w:line="264" w:lineRule="auto"/>
              <w:jc w:val="center"/>
            </w:pPr>
            <w:r/>
            <w:r>
              <w:rPr>
                <w:rFonts w:ascii="Cambria" w:hAnsi="Cambria" w:eastAsia="Cambria"/>
                <w:b w:val="0"/>
                <w:i w:val="0"/>
                <w:color w:val="000000"/>
                <w:sz w:val="22"/>
              </w:rPr>
              <w:t>136</w:t>
            </w:r>
          </w:p>
        </w:tc>
      </w:tr>
      <w:tr>
        <w:tc>
          <w:tcPr>
            <w:tcW w:type="dxa" w:w="850"/>
            <w:shd w:val="clear" w:color="auto" w:fill="E8ECF2"/>
            <w:tcW w:w="850" w:type="dxa"/>
          </w:tcPr>
          <w:p>
            <w:pPr>
              <w:spacing w:after="40" w:before="40" w:line="264" w:lineRule="auto"/>
              <w:jc w:val="center"/>
            </w:pPr>
            <w:r/>
            <w:r>
              <w:rPr>
                <w:rFonts w:ascii="Cambria" w:hAnsi="Cambria" w:eastAsia="Cambria"/>
                <w:b w:val="0"/>
                <w:i w:val="0"/>
                <w:color w:val="000000"/>
                <w:sz w:val="22"/>
              </w:rPr>
              <w:t>39</w:t>
            </w:r>
          </w:p>
        </w:tc>
        <w:tc>
          <w:tcPr>
            <w:tcW w:type="dxa" w:w="7540"/>
            <w:shd w:val="clear" w:color="auto" w:fill="E8ECF2"/>
            <w:tcW w:w="7540" w:type="dxa"/>
          </w:tcPr>
          <w:p>
            <w:pPr>
              <w:spacing w:after="40" w:before="40" w:line="264" w:lineRule="auto"/>
              <w:jc w:val="both"/>
            </w:pPr>
            <w:r/>
            <w:r>
              <w:rPr>
                <w:rFonts w:ascii="Cambria" w:hAnsi="Cambria" w:eastAsia="Cambria"/>
                <w:b w:val="0"/>
                <w:i w:val="0"/>
                <w:color w:val="000000"/>
                <w:sz w:val="22"/>
              </w:rPr>
              <w:t>References</w:t>
            </w:r>
          </w:p>
        </w:tc>
        <w:tc>
          <w:tcPr>
            <w:tcW w:type="dxa" w:w="1020"/>
            <w:shd w:val="clear" w:color="auto" w:fill="E8ECF2"/>
            <w:tcW w:w="1020" w:type="dxa"/>
          </w:tcPr>
          <w:p>
            <w:pPr>
              <w:spacing w:after="40" w:before="40" w:line="264" w:lineRule="auto"/>
              <w:jc w:val="center"/>
            </w:pPr>
            <w:r/>
            <w:r>
              <w:rPr>
                <w:rFonts w:ascii="Cambria" w:hAnsi="Cambria" w:eastAsia="Cambria"/>
                <w:b w:val="0"/>
                <w:i w:val="0"/>
                <w:color w:val="000000"/>
                <w:sz w:val="22"/>
              </w:rPr>
              <w:t>141</w:t>
            </w:r>
          </w:p>
        </w:tc>
      </w:tr>
    </w:tbl>
    <w:p>
      <w:r>
        <w:br w:type="page"/>
      </w:r>
    </w:p>
    <w:p>
      <w:pPr>
        <w:keepNext/>
        <w:spacing w:before="240" w:after="160"/>
        <w:jc w:val="left"/>
      </w:pPr>
      <w:r>
        <w:rPr>
          <w:rFonts w:ascii="Cambria" w:hAnsi="Cambria" w:eastAsia="Cambria"/>
          <w:b/>
          <w:i w:val="0"/>
          <w:color w:val="1F3A5F"/>
          <w:sz w:val="36"/>
        </w:rPr>
        <w:t>1. Introduction</w:t>
      </w:r>
    </w:p>
    <w:p>
      <w:pPr>
        <w:spacing w:after="120" w:before="0" w:line="276" w:lineRule="auto"/>
        <w:jc w:val="both"/>
      </w:pPr>
      <w:r>
        <w:rPr>
          <w:rFonts w:ascii="Cambria" w:hAnsi="Cambria" w:eastAsia="Cambria"/>
          <w:b w:val="0"/>
          <w:i w:val="0"/>
          <w:color w:val="000000"/>
          <w:sz w:val="22"/>
        </w:rPr>
        <w:t>The documentation required for National Board of Accreditation (NBA) accreditation or re-accreditation is comprehensive, structured across multiple criteria, and directly aligned with the philosophy of Outcome-Based Education (OBE), quality assurance, and continuous improvement. The sources collectively present a systematic checklist covering academic, administrative, and infrastructural aspects, ensuring that every process within the department is auditable and supported by verifiable evidence.</w:t>
      </w:r>
    </w:p>
    <w:p>
      <w:pPr>
        <w:spacing w:after="120" w:before="0" w:line="276" w:lineRule="auto"/>
        <w:jc w:val="both"/>
      </w:pPr>
      <w:r>
        <w:rPr>
          <w:rFonts w:ascii="Cambria" w:hAnsi="Cambria" w:eastAsia="Cambria"/>
          <w:b w:val="0"/>
          <w:i w:val="0"/>
          <w:color w:val="000000"/>
          <w:sz w:val="22"/>
        </w:rPr>
        <w:t>Under Criterion 1 (Vision, Mission, and Program Outcomes), the department must establish and document the foundational elements defining its academic intent and educational philosophy. Essential files include the Institute and Department Vision and Mission Statements, Programme Educational Objectives (PEOs), Programme Outcomes (POs), and Programme Specific Outcomes (PSOs), along with a detailed PEO–Mission Mapping Matrix and justification statements showing alignment between departmental objectives and institutional goals. Records must also capture the formulation process—evidencing stakeholder consultation involving faculty, students, alumni, and industry partners—and dissemination strategies that make these statements accessible and understandable to all stakeholders through websites, notice boards, and awareness programs.</w:t>
      </w:r>
    </w:p>
    <w:p>
      <w:pPr>
        <w:spacing w:after="120" w:before="0" w:line="276" w:lineRule="auto"/>
        <w:jc w:val="both"/>
      </w:pPr>
      <w:r>
        <w:rPr>
          <w:rFonts w:ascii="Cambria" w:hAnsi="Cambria" w:eastAsia="Cambria"/>
          <w:b w:val="0"/>
          <w:i w:val="0"/>
          <w:color w:val="000000"/>
          <w:sz w:val="22"/>
        </w:rPr>
        <w:t>In Criteria 2, 3, and 8 (Curriculum, Teaching, and Evaluation), the emphasis shifts to curriculum design, delivery, and evaluation mechanisms. Departments must present University-approved curriculum structures, course–outcome mapping matrices, and records of the process used to design and revise the curriculum. Every subject must have a Course File (P.16) containing the course objectives, CO–PO–PSO mapping, lesson plans, assessment records, attendance logs, and CO attainment summaries. Documentation must also capture innovative pedagogical approaches—such as ICT-enabled teaching, flipped classrooms, and project-based learning—and evidence of impact on student engagement. Further, Content Beyond the Syllabus (P.7) must be substantiated through records of expert talks, seminars, or additional modules delivered over the past three years, demonstrating the enrichment of the learning experience. Internal assessment quality is verified through Continuous Internal Evaluation (P.10) documents, including question papers, rubrics, assignments, and evaluation reports that ensure consistency and transparency in assessment.</w:t>
      </w:r>
    </w:p>
    <w:p>
      <w:pPr>
        <w:spacing w:after="120" w:before="0" w:line="276" w:lineRule="auto"/>
        <w:jc w:val="both"/>
      </w:pPr>
      <w:r>
        <w:rPr>
          <w:rFonts w:ascii="Cambria" w:hAnsi="Cambria" w:eastAsia="Cambria"/>
          <w:b w:val="0"/>
          <w:i w:val="0"/>
          <w:color w:val="000000"/>
          <w:sz w:val="22"/>
        </w:rPr>
        <w:t>Criteria 4 and 9 (Student Performance and Outcomes) demand detailed proof of student learning achievements and academic progression. Departments must maintain admission data segregated by quota and academic quality indicators, success rates over three years, and performance summaries for ongoing cohorts. Records demonstrating the support and enrichment of students (P.9) must highlight bridge courses, remedial classes, mentoring mechanisms for weak learners, and research or leadership opportunities for advanced learners, with accompanying impact analysis. PO and PSO Attainment (P.17) calculations must be based on both direct and indirect assessment tools, with clearly defined attainment values and corrective actions documented through continuous improvement cycles. Evidence of quality student projects (P.11) and internships (P.13) should include evaluation rubrics, project reports, certificates, and employability impact studies. For career outcomes (P.21), departments must compile placement data, higher education admissions, and entrepreneurship records, complete with supporting documents such as offer letters and admission confirmations.</w:t>
      </w:r>
    </w:p>
    <w:p>
      <w:pPr>
        <w:spacing w:after="120" w:before="0" w:line="276" w:lineRule="auto"/>
        <w:jc w:val="both"/>
      </w:pPr>
      <w:r>
        <w:rPr>
          <w:rFonts w:ascii="Cambria" w:hAnsi="Cambria" w:eastAsia="Cambria"/>
          <w:b w:val="0"/>
          <w:i w:val="0"/>
          <w:color w:val="000000"/>
          <w:sz w:val="22"/>
        </w:rPr>
        <w:t>Under Criterion 6 (Faculty and Staff Resources), accreditation demands comprehensive evidence of qualified, adequate, and continuously developing teaching and technical personnel. Faculty Records (P.25) must include appointment letters, qualifications, experience, promotion, and salary details, supported by compliance with NBA's prescribed faculty–student ratio (P.24). Faculty Development Programs (P.26, P.27) require documentation of participation in FDPs, STTPs, and MOOCs (such as NPTEL), highlighting ongoing skill enhancement in both pedagogy and research. Faculty scholarly contributions (P.28)—including publications, patents, books, and Ph.D. supervision—must be listed year-wise with supporting proofs. Similarly, Non-Teaching Staff (P.34) records must demonstrate proper appointment, qualifications, and evidence of skill upgradation or safety training, ensuring technical readiness in laboratories.</w:t>
      </w:r>
    </w:p>
    <w:p>
      <w:pPr>
        <w:spacing w:after="120" w:before="0" w:line="276" w:lineRule="auto"/>
        <w:jc w:val="both"/>
      </w:pPr>
      <w:r>
        <w:rPr>
          <w:rFonts w:ascii="Cambria" w:hAnsi="Cambria" w:eastAsia="Cambria"/>
          <w:b w:val="0"/>
          <w:i w:val="0"/>
          <w:color w:val="000000"/>
          <w:sz w:val="22"/>
        </w:rPr>
        <w:t>Criteria 5 and 11 (Infrastructure and Financial Resources) focus on physical and digital resource adequacy. Departments must maintain detailed lists of Program-Specific Laboratories (P.31) and Research or Industry-Supported Laboratories (P.32), including their equipment, licenses, and usage schedules. Lab maintenance, calibration, and safety compliance (P.33) must be supported by AMC contracts, safety audits, fire safety certificates, and first-aid logs. Financial transparency is equally critical—Budget Allocation and Utilization Records (P.2) for the last three years must be included with supporting bills, approvals, and explanations for any unspent funds, showing responsible resource management.</w:t>
      </w:r>
    </w:p>
    <w:p>
      <w:pPr>
        <w:spacing w:after="120" w:before="0" w:line="276" w:lineRule="auto"/>
        <w:jc w:val="both"/>
      </w:pPr>
      <w:r>
        <w:rPr>
          <w:rFonts w:ascii="Cambria" w:hAnsi="Cambria" w:eastAsia="Cambria"/>
          <w:b w:val="0"/>
          <w:i w:val="0"/>
          <w:color w:val="000000"/>
          <w:sz w:val="22"/>
        </w:rPr>
        <w:t>Finally, Criterion 10 (Continuous Improvement and Governance) synthesizes all previous data into continuous feedback–improvement loop. Departments must submit copies of Previous NBA Accreditation Reports and Action Taken Reports (ATRs) addressing earlier deficiencies. Academic Audit Reports (P.35), both internal and external, for the past three years must be accompanied by their respective ATRs and evidence of implemented improvements. Documentation for Student Feedback and Faculty Appraisal (P.30) must prove that feedback mechanisms are active, analyzed regularly, and that corrective measures—such as workshops or mentoring—are carried out systematically. Similarly, records of Industry Collaboration (P.12) must include MoUs, guest lectures, and measurable outcomes such as internships, joint research, or product development.</w:t>
      </w:r>
    </w:p>
    <w:p>
      <w:pPr>
        <w:spacing w:after="120" w:before="0" w:line="276" w:lineRule="auto"/>
        <w:jc w:val="both"/>
      </w:pPr>
      <w:r>
        <w:rPr>
          <w:rFonts w:ascii="Cambria" w:hAnsi="Cambria" w:eastAsia="Cambria"/>
          <w:b w:val="0"/>
          <w:i w:val="0"/>
          <w:color w:val="000000"/>
          <w:sz w:val="22"/>
        </w:rPr>
        <w:t>In essence, the sources emphasize that NBA accreditation demands not just documentation but a traceable, data-driven demonstration of quality enhancement across academic, infrastructural, and administrative dimensions. Every file—typically covering three consecutive academic years (CAY, CAYm1, CAYm2)—must provide quantitative evidence of compliance and continuous improvement, reflecting a well-integrated OBE ecosystem where policy, action, and measurable outcomes are seamlessly aligned.</w:t>
      </w:r>
    </w:p>
    <w:p>
      <w:r>
        <w:br w:type="page"/>
      </w:r>
    </w:p>
    <w:p>
      <w:pPr>
        <w:keepNext/>
        <w:spacing w:before="240" w:after="160"/>
        <w:jc w:val="left"/>
      </w:pPr>
      <w:r>
        <w:rPr>
          <w:rFonts w:ascii="Cambria" w:hAnsi="Cambria" w:eastAsia="Cambria"/>
          <w:b/>
          <w:i w:val="0"/>
          <w:color w:val="1F3A5F"/>
          <w:sz w:val="36"/>
        </w:rPr>
        <w:t>2. PROGRAM-SPECIFIC FILES REQUIRED FOR NBA ACCREDITATION</w:t>
      </w:r>
    </w:p>
    <w:p>
      <w:pPr>
        <w:keepNext/>
        <w:spacing w:before="240" w:after="160"/>
        <w:jc w:val="left"/>
      </w:pPr>
      <w:r>
        <w:rPr>
          <w:rFonts w:ascii="Cambria" w:hAnsi="Cambria" w:eastAsia="Cambria"/>
          <w:b/>
          <w:i w:val="0"/>
          <w:color w:val="1F3A5F"/>
          <w:sz w:val="29"/>
        </w:rPr>
        <w:t>1. Institutional and Department Overview</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Institute Vision and Mission Statements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Department Vision and Mission Statements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Program Educational Objectives (PEOs)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Program Outcomes (POs) and Program Specific Outcomes (PSOs)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PEO–Mission Mapping Matrix</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PO–PEO / CO–PO / CO–PSO Mapping Documents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Organizational Structure of Department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Department Profile (Year of Establishment, Intake, Faculty Strength, Labs, etc.)</w:t>
      </w:r>
    </w:p>
    <w:p>
      <w:pPr>
        <w:keepNext/>
        <w:spacing w:before="240" w:after="160"/>
        <w:jc w:val="left"/>
      </w:pPr>
      <w:r>
        <w:rPr>
          <w:rFonts w:ascii="Cambria" w:hAnsi="Cambria" w:eastAsia="Cambria"/>
          <w:b/>
          <w:i w:val="0"/>
          <w:color w:val="1F3A5F"/>
          <w:sz w:val="29"/>
        </w:rPr>
        <w:t>2. Accreditation History &amp; Governance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Copy of Previous NBA Accreditation Reports (if applicable)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Action Taken Report (ATR) on Previous NBA Observations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Minutes of Department Advisory Board (DAB) / Academic Advisory Committee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IQAC Meeting Minutes Related to NBA Activities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Department Strategic Plan aligned with Vision, Mission &amp; POs</w:t>
      </w:r>
    </w:p>
    <w:p>
      <w:pPr>
        <w:keepNext/>
        <w:spacing w:before="240" w:after="160"/>
        <w:jc w:val="left"/>
      </w:pPr>
      <w:r>
        <w:rPr>
          <w:rFonts w:ascii="Cambria" w:hAnsi="Cambria" w:eastAsia="Cambria"/>
          <w:b/>
          <w:i w:val="0"/>
          <w:color w:val="1F3A5F"/>
          <w:sz w:val="29"/>
        </w:rPr>
        <w:t>3. Curriculum &amp; Academic Process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Curriculum Structure and Syllabus (University Approved)</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Process Document for Curriculum Design and Revision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Mapping of Courses with POs and PSOs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Academic Calendar (for CAY, CAYm1, CAYm2)</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Course Files for All Subjects (Lesson Plan, Assignments, Question Papers, Attendance, Results, etc.)</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Lab Manuals for Each Laboratory Course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Records of Content Beyond Syllabus (seminars, expert talks, etc.)</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Pedagogical Initiatives (ICT use, flipped learning, case-based teaching)</w:t>
      </w:r>
    </w:p>
    <w:p>
      <w:pPr>
        <w:keepNext/>
        <w:spacing w:before="240" w:after="160"/>
        <w:jc w:val="left"/>
      </w:pPr>
      <w:r>
        <w:rPr>
          <w:rFonts w:ascii="Cambria" w:hAnsi="Cambria" w:eastAsia="Cambria"/>
          <w:b/>
          <w:i w:val="0"/>
          <w:color w:val="1F3A5F"/>
          <w:sz w:val="29"/>
        </w:rPr>
        <w:t>4. Teaching–Learning Process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Faculty Teaching Workload Distribution (CAY, CAYm1, CAYm2)</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Time Table (Theory + Labs) for all semesters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Academic Monitoring Reports (Lesson Plan compliance, class monitoring)</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Students' Attendance Registers and Academic Performance Reports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Continuous Internal Evaluation (CIE) Records – Quiz, Assignments, Tests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End Semester Examination Performance Analysis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Records of Remedial Classes and Bridge Courses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Student Mentoring and Counselling Records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Student Feedback Reports and Action Taken Reports</w:t>
      </w:r>
    </w:p>
    <w:p>
      <w:pPr>
        <w:keepNext/>
        <w:spacing w:before="240" w:after="160"/>
        <w:jc w:val="left"/>
      </w:pPr>
      <w:r>
        <w:rPr>
          <w:rFonts w:ascii="Cambria" w:hAnsi="Cambria" w:eastAsia="Cambria"/>
          <w:b/>
          <w:i w:val="0"/>
          <w:color w:val="1F3A5F"/>
          <w:sz w:val="29"/>
        </w:rPr>
        <w:t>5. Student Performance &amp; Learning Outcomes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Student Admission Data for CAY, CAYm1, CAYm2 (category-wise, quota-wise)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Student Academic Performance Summary (SGPA, CGPA, Success Rate)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PO and PSO Attainment Calculations (with formulae and supporting evidence)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Sample Student Portfolios (project reports, mini-projects, etc.)</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Graduate Exit Survey Analysis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Alumni Feedback Reports and Action Taken</w:t>
      </w:r>
    </w:p>
    <w:p>
      <w:pPr>
        <w:keepNext/>
        <w:spacing w:before="240" w:after="160"/>
        <w:jc w:val="left"/>
      </w:pPr>
      <w:r>
        <w:rPr>
          <w:rFonts w:ascii="Cambria" w:hAnsi="Cambria" w:eastAsia="Cambria"/>
          <w:b/>
          <w:i w:val="0"/>
          <w:color w:val="1F3A5F"/>
          <w:sz w:val="29"/>
        </w:rPr>
        <w:t>6. Research, Development &amp; Consultancy</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List of Funded R&amp;D Projects (Sanction Orders, Utilization Certificates)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List of Consultancy Projects (MoUs, Invoices, Payment Proofs)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Publications (Journal Papers, Conference Papers, Book Chapters)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Patents Filed / Granted</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Awards / Recognitions / Grants Received</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Evidence of Faculty FDPs / Workshops / Certifications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Details of Student Research Projects and Prototypes Developed</w:t>
      </w:r>
    </w:p>
    <w:p>
      <w:pPr>
        <w:keepNext/>
        <w:spacing w:before="240" w:after="160"/>
        <w:jc w:val="left"/>
      </w:pPr>
      <w:r>
        <w:rPr>
          <w:rFonts w:ascii="Cambria" w:hAnsi="Cambria" w:eastAsia="Cambria"/>
          <w:b/>
          <w:i w:val="0"/>
          <w:color w:val="1F3A5F"/>
          <w:sz w:val="29"/>
        </w:rPr>
        <w:t>7. Infrastructure and Laboratory Facilities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List of Program-Specific Laboratories with Equipment Details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List of Research and Industry-Supported Labs (MoUs, Setup Details)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Records of Lab Maintenance and Calibration Certificates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Stock Registers and AMC Reports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Safety Audit Records, Fire Safety Certificates, and First Aid Availability</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Computing Facilities (Software Licenses, Internet Bandwidth Details)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Records of Library Books / e-Resources / Journals / Databases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Floor Layout Plan of Department Labs</w:t>
      </w:r>
    </w:p>
    <w:p>
      <w:pPr>
        <w:keepNext/>
        <w:spacing w:before="240" w:after="160"/>
        <w:jc w:val="left"/>
      </w:pPr>
      <w:r>
        <w:rPr>
          <w:rFonts w:ascii="Cambria" w:hAnsi="Cambria" w:eastAsia="Cambria"/>
          <w:b/>
          <w:i w:val="0"/>
          <w:color w:val="1F3A5F"/>
          <w:sz w:val="29"/>
        </w:rPr>
        <w:t>8. Faculty and Supporting Staff</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Faculty List with Qualifications, Experience, and Specialization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Faculty Appointment Letters and Relieving Orders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Faculty Performance Appraisal and Self-Assessment Reports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Faculty Participation in FDPs / STTPs / MOOCs (Certificates Attached)</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List of Non-Teaching / Technical Staff with Appointment and Qualifications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Skill Upgradation Records of Technical Staff</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Faculty Workload and Subject Allotment Records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Faculty Research Guidance (PG/PhD Scholars)</w:t>
      </w:r>
    </w:p>
    <w:p>
      <w:pPr>
        <w:keepNext/>
        <w:spacing w:before="240" w:after="160"/>
        <w:jc w:val="left"/>
      </w:pPr>
      <w:r>
        <w:rPr>
          <w:rFonts w:ascii="Cambria" w:hAnsi="Cambria" w:eastAsia="Cambria"/>
          <w:b/>
          <w:i w:val="0"/>
          <w:color w:val="1F3A5F"/>
          <w:sz w:val="29"/>
        </w:rPr>
        <w:t>9. Students' Activities and Achievements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List of Student Participation in Technical Events / Hackathons / Competitions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Awards / Medals / Recognitions Received by Students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Membership Records in Professional Societies (IEEE, CSI, ISTE, SAE, etc.)</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Details of Student Clubs and Activities Organized</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Internship and Industrial Training Records (with Certificates)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Placement Records (Company, Package, Year-wise Statistics)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Higher Studies and Entrepreneurship Details (with Evidence)</w:t>
      </w:r>
    </w:p>
    <w:p>
      <w:pPr>
        <w:keepNext/>
        <w:spacing w:before="240" w:after="160"/>
        <w:jc w:val="left"/>
      </w:pPr>
      <w:r>
        <w:rPr>
          <w:rFonts w:ascii="Cambria" w:hAnsi="Cambria" w:eastAsia="Cambria"/>
          <w:b/>
          <w:i w:val="0"/>
          <w:color w:val="1F3A5F"/>
          <w:sz w:val="29"/>
        </w:rPr>
        <w:t>10. Academic Audit &amp; Continuous Improvement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Internal and External Academic Audit Reports (CAY, CAYm1, CAYm2)</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Action Taken Reports (ATRs) for Each Audit Cycle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Quality Improvement Initiatives (Curriculum Revision, Pedagogy Enhancements)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Faculty Development and Student Feedback Trend Analysis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Comparative PO Attainment &amp; Result Trends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Continuous Improvement Plan (CIP) – Summary and Impact Assessment</w:t>
      </w:r>
    </w:p>
    <w:p>
      <w:pPr>
        <w:keepNext/>
        <w:spacing w:before="240" w:after="160"/>
        <w:jc w:val="left"/>
      </w:pPr>
      <w:r>
        <w:rPr>
          <w:rFonts w:ascii="Cambria" w:hAnsi="Cambria" w:eastAsia="Cambria"/>
          <w:b/>
          <w:i w:val="0"/>
          <w:color w:val="1F3A5F"/>
          <w:sz w:val="29"/>
        </w:rPr>
        <w:t>11. Financial and Administrative Records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Department Budget Allocation and Utilization Reports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Justification for Underutilization (if any)</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Purchase Proposals, Approvals, and Bills for Lab Upgrades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Annual Departmental Audit Reports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Institute-Level Policies on Procurement and Asset Management</w:t>
      </w:r>
    </w:p>
    <w:p>
      <w:pPr>
        <w:keepNext/>
        <w:spacing w:before="240" w:after="160"/>
        <w:jc w:val="left"/>
      </w:pPr>
      <w:r>
        <w:rPr>
          <w:rFonts w:ascii="Cambria" w:hAnsi="Cambria" w:eastAsia="Cambria"/>
          <w:b/>
          <w:i w:val="0"/>
          <w:color w:val="1F3A5F"/>
          <w:sz w:val="29"/>
        </w:rPr>
        <w:t>12. Governance and Compliance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AICTE / University Affiliation and Recognition Letters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Institutional and Departmental Academic Council Meeting Minutes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Anti-Ragging, Grievance Redressal, and Gender Sensitization Committee Reports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MoUs Signed with Industry / Academia / Research Organizations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Institute Innovation Cell (IIC) Reports and Rankings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NAAC / ISO / Internal Quality Assurance Records</w:t>
      </w:r>
    </w:p>
    <w:p>
      <w:pPr>
        <w:keepNext/>
        <w:spacing w:before="240" w:after="160"/>
        <w:jc w:val="left"/>
      </w:pPr>
      <w:r>
        <w:rPr>
          <w:rFonts w:ascii="Cambria" w:hAnsi="Cambria" w:eastAsia="Cambria"/>
          <w:b/>
          <w:i w:val="0"/>
          <w:color w:val="1F3A5F"/>
          <w:sz w:val="29"/>
        </w:rPr>
        <w:t>13. Supporting Evidence for NBA Visit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Department Brochure and Handbook</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Departmental Achievements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Faculty and Student ID Cards (for verification)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Attendance Sheets and Sample Answer Scripts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Lab Utilization Timetable and Safety Posters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Photographs (Events, Labs, FDPs, Projects, Industry Visits)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Departmental Newsletter and Magazine Issues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Visitor Logbooks (for Industry / Research Visits)</w:t>
      </w:r>
    </w:p>
    <w:p>
      <w:pPr>
        <w:spacing w:before="200" w:after="80"/>
      </w:pPr>
      <w:r>
        <w:rPr>
          <w:rFonts w:ascii="Cambria" w:hAnsi="Cambria" w:eastAsia="Cambria"/>
          <w:b/>
          <w:i w:val="0"/>
          <w:color w:val="000000"/>
          <w:sz w:val="23"/>
        </w:rPr>
        <w:t>Recommended File Naming and Folder Structure</w:t>
      </w:r>
    </w:p>
    <w:p>
      <w:pPr>
        <w:spacing w:after="0" w:line="240" w:lineRule="auto"/>
      </w:pPr>
      <w:r>
        <w:rPr>
          <w:rFonts w:ascii="Consolas" w:hAnsi="Consolas" w:eastAsia="Consolas"/>
          <w:b w:val="0"/>
          <w:i w:val="0"/>
          <w:color w:val="000000"/>
          <w:sz w:val="20"/>
        </w:rPr>
        <w:t>/NBA_ACCREDITATION/</w:t>
      </w:r>
    </w:p>
    <w:p>
      <w:pPr>
        <w:spacing w:after="0" w:line="240" w:lineRule="auto"/>
      </w:pPr>
      <w:r>
        <w:rPr>
          <w:rFonts w:ascii="Consolas" w:hAnsi="Consolas" w:eastAsia="Consolas"/>
          <w:b w:val="0"/>
          <w:i w:val="0"/>
          <w:color w:val="000000"/>
          <w:sz w:val="20"/>
        </w:rPr>
        <w:t>|</w:t>
      </w:r>
    </w:p>
    <w:p>
      <w:pPr>
        <w:spacing w:after="0" w:line="240" w:lineRule="auto"/>
      </w:pPr>
      <w:r>
        <w:rPr>
          <w:rFonts w:ascii="Consolas" w:hAnsi="Consolas" w:eastAsia="Consolas"/>
          <w:b w:val="0"/>
          <w:i w:val="0"/>
          <w:color w:val="000000"/>
          <w:sz w:val="20"/>
        </w:rPr>
        <w:t>|— Criterion_1_Vision_Mission/</w:t>
      </w:r>
    </w:p>
    <w:p>
      <w:pPr>
        <w:spacing w:after="0" w:line="240" w:lineRule="auto"/>
      </w:pPr>
      <w:r>
        <w:rPr>
          <w:rFonts w:ascii="Consolas" w:hAnsi="Consolas" w:eastAsia="Consolas"/>
          <w:b w:val="0"/>
          <w:i w:val="0"/>
          <w:color w:val="000000"/>
          <w:sz w:val="20"/>
        </w:rPr>
        <w:t>|   |— PEO_PO_PSO_Mapping.pdf</w:t>
      </w:r>
    </w:p>
    <w:p>
      <w:pPr>
        <w:spacing w:after="0" w:line="240" w:lineRule="auto"/>
      </w:pPr>
      <w:r>
        <w:rPr>
          <w:rFonts w:ascii="Consolas" w:hAnsi="Consolas" w:eastAsia="Consolas"/>
          <w:b w:val="0"/>
          <w:i w:val="0"/>
          <w:color w:val="000000"/>
          <w:sz w:val="20"/>
        </w:rPr>
        <w:t>|   |— Vision_Mission_Review_Minutes.pdf</w:t>
      </w:r>
    </w:p>
    <w:p>
      <w:pPr>
        <w:spacing w:after="0" w:line="240" w:lineRule="auto"/>
      </w:pPr>
      <w:r>
        <w:rPr>
          <w:rFonts w:ascii="Consolas" w:hAnsi="Consolas" w:eastAsia="Consolas"/>
          <w:b w:val="0"/>
          <w:i w:val="0"/>
          <w:color w:val="000000"/>
          <w:sz w:val="20"/>
        </w:rPr>
        <w:t>|</w:t>
      </w:r>
    </w:p>
    <w:p>
      <w:pPr>
        <w:spacing w:after="0" w:line="240" w:lineRule="auto"/>
      </w:pPr>
      <w:r>
        <w:rPr>
          <w:rFonts w:ascii="Consolas" w:hAnsi="Consolas" w:eastAsia="Consolas"/>
          <w:b w:val="0"/>
          <w:i w:val="0"/>
          <w:color w:val="000000"/>
          <w:sz w:val="20"/>
        </w:rPr>
        <w:t>|— Criterion_2_Curriculum/</w:t>
      </w:r>
    </w:p>
    <w:p>
      <w:pPr>
        <w:spacing w:after="0" w:line="240" w:lineRule="auto"/>
      </w:pPr>
      <w:r>
        <w:rPr>
          <w:rFonts w:ascii="Consolas" w:hAnsi="Consolas" w:eastAsia="Consolas"/>
          <w:b w:val="0"/>
          <w:i w:val="0"/>
          <w:color w:val="000000"/>
          <w:sz w:val="20"/>
        </w:rPr>
        <w:t>|   |— Curriculum_Structure_2023.pdf</w:t>
      </w:r>
    </w:p>
    <w:p>
      <w:pPr>
        <w:spacing w:after="0" w:line="240" w:lineRule="auto"/>
      </w:pPr>
      <w:r>
        <w:rPr>
          <w:rFonts w:ascii="Consolas" w:hAnsi="Consolas" w:eastAsia="Consolas"/>
          <w:b w:val="0"/>
          <w:i w:val="0"/>
          <w:color w:val="000000"/>
          <w:sz w:val="20"/>
        </w:rPr>
        <w:t>|   |— Course_Files/</w:t>
      </w:r>
    </w:p>
    <w:p>
      <w:pPr>
        <w:spacing w:after="0" w:line="240" w:lineRule="auto"/>
      </w:pPr>
      <w:r>
        <w:rPr>
          <w:rFonts w:ascii="Consolas" w:hAnsi="Consolas" w:eastAsia="Consolas"/>
          <w:b w:val="0"/>
          <w:i w:val="0"/>
          <w:color w:val="000000"/>
          <w:sz w:val="20"/>
        </w:rPr>
        <w:t>|   |   |— C101_Programming.pdf</w:t>
      </w:r>
    </w:p>
    <w:p>
      <w:pPr>
        <w:spacing w:after="0" w:line="240" w:lineRule="auto"/>
      </w:pPr>
      <w:r>
        <w:rPr>
          <w:rFonts w:ascii="Consolas" w:hAnsi="Consolas" w:eastAsia="Consolas"/>
          <w:b w:val="0"/>
          <w:i w:val="0"/>
          <w:color w:val="000000"/>
          <w:sz w:val="20"/>
        </w:rPr>
        <w:t>|   |   |— C102_DBMS.pdf</w:t>
      </w:r>
    </w:p>
    <w:p>
      <w:pPr>
        <w:spacing w:after="0" w:line="240" w:lineRule="auto"/>
      </w:pPr>
      <w:r>
        <w:rPr>
          <w:rFonts w:ascii="Consolas" w:hAnsi="Consolas" w:eastAsia="Consolas"/>
          <w:b w:val="0"/>
          <w:i w:val="0"/>
          <w:color w:val="000000"/>
          <w:sz w:val="20"/>
        </w:rPr>
        <w:t>|</w:t>
      </w:r>
    </w:p>
    <w:p>
      <w:pPr>
        <w:spacing w:after="0" w:line="240" w:lineRule="auto"/>
      </w:pPr>
      <w:r>
        <w:rPr>
          <w:rFonts w:ascii="Consolas" w:hAnsi="Consolas" w:eastAsia="Consolas"/>
          <w:b w:val="0"/>
          <w:i w:val="0"/>
          <w:color w:val="000000"/>
          <w:sz w:val="20"/>
        </w:rPr>
        <w:t>|— Criterion_3_Teaching_Learning/</w:t>
      </w:r>
    </w:p>
    <w:p>
      <w:pPr>
        <w:spacing w:after="0" w:line="240" w:lineRule="auto"/>
      </w:pPr>
      <w:r>
        <w:rPr>
          <w:rFonts w:ascii="Consolas" w:hAnsi="Consolas" w:eastAsia="Consolas"/>
          <w:b w:val="0"/>
          <w:i w:val="0"/>
          <w:color w:val="000000"/>
          <w:sz w:val="20"/>
        </w:rPr>
        <w:t>|   |— Teaching_Plan_2023.pdf</w:t>
      </w:r>
    </w:p>
    <w:p>
      <w:pPr>
        <w:spacing w:after="0" w:line="240" w:lineRule="auto"/>
      </w:pPr>
      <w:r>
        <w:rPr>
          <w:rFonts w:ascii="Consolas" w:hAnsi="Consolas" w:eastAsia="Consolas"/>
          <w:b w:val="0"/>
          <w:i w:val="0"/>
          <w:color w:val="000000"/>
          <w:sz w:val="20"/>
        </w:rPr>
        <w:t>|   |— Feedback_Reports_2023.pdf</w:t>
      </w:r>
    </w:p>
    <w:p>
      <w:pPr>
        <w:spacing w:after="0" w:line="240" w:lineRule="auto"/>
      </w:pPr>
      <w:r>
        <w:rPr>
          <w:rFonts w:ascii="Consolas" w:hAnsi="Consolas" w:eastAsia="Consolas"/>
          <w:b w:val="0"/>
          <w:i w:val="0"/>
          <w:color w:val="000000"/>
          <w:sz w:val="20"/>
        </w:rPr>
        <w:t>|</w:t>
      </w:r>
    </w:p>
    <w:p>
      <w:pPr>
        <w:spacing w:after="0" w:line="240" w:lineRule="auto"/>
      </w:pPr>
      <w:r>
        <w:rPr>
          <w:rFonts w:ascii="Consolas" w:hAnsi="Consolas" w:eastAsia="Consolas"/>
          <w:b w:val="0"/>
          <w:i w:val="0"/>
          <w:color w:val="000000"/>
          <w:sz w:val="20"/>
        </w:rPr>
        <w:t>|— Criterion_4_Student_Performance/</w:t>
      </w:r>
    </w:p>
    <w:p>
      <w:pPr>
        <w:spacing w:after="0" w:line="240" w:lineRule="auto"/>
      </w:pPr>
      <w:r>
        <w:rPr>
          <w:rFonts w:ascii="Consolas" w:hAnsi="Consolas" w:eastAsia="Consolas"/>
          <w:b w:val="0"/>
          <w:i w:val="0"/>
          <w:color w:val="000000"/>
          <w:sz w:val="20"/>
        </w:rPr>
        <w:t>|   |— Student_Results_3Years.xlsx</w:t>
      </w:r>
    </w:p>
    <w:p>
      <w:pPr>
        <w:spacing w:after="0" w:line="240" w:lineRule="auto"/>
      </w:pPr>
      <w:r>
        <w:rPr>
          <w:rFonts w:ascii="Consolas" w:hAnsi="Consolas" w:eastAsia="Consolas"/>
          <w:b w:val="0"/>
          <w:i w:val="0"/>
          <w:color w:val="000000"/>
          <w:sz w:val="20"/>
        </w:rPr>
        <w:t>|   |— PO_Attainment_Report.pdf</w:t>
      </w:r>
    </w:p>
    <w:p>
      <w:pPr>
        <w:spacing w:after="0" w:line="240" w:lineRule="auto"/>
      </w:pPr>
      <w:r>
        <w:rPr>
          <w:rFonts w:ascii="Consolas" w:hAnsi="Consolas" w:eastAsia="Consolas"/>
          <w:b w:val="0"/>
          <w:i w:val="0"/>
          <w:color w:val="000000"/>
          <w:sz w:val="20"/>
        </w:rPr>
        <w:t>|</w:t>
      </w:r>
    </w:p>
    <w:p>
      <w:pPr>
        <w:spacing w:after="0" w:line="240" w:lineRule="auto"/>
      </w:pPr>
      <w:r>
        <w:rPr>
          <w:rFonts w:ascii="Consolas" w:hAnsi="Consolas" w:eastAsia="Consolas"/>
          <w:b w:val="0"/>
          <w:i w:val="0"/>
          <w:color w:val="000000"/>
          <w:sz w:val="20"/>
        </w:rPr>
        <w:t>|— Criterion_5_Infrastructure/</w:t>
      </w:r>
    </w:p>
    <w:p>
      <w:pPr>
        <w:spacing w:after="0" w:line="240" w:lineRule="auto"/>
      </w:pPr>
      <w:r>
        <w:rPr>
          <w:rFonts w:ascii="Consolas" w:hAnsi="Consolas" w:eastAsia="Consolas"/>
          <w:b w:val="0"/>
          <w:i w:val="0"/>
          <w:color w:val="000000"/>
          <w:sz w:val="20"/>
        </w:rPr>
        <w:t>|   |— Lab_List.pdf</w:t>
      </w:r>
    </w:p>
    <w:p>
      <w:pPr>
        <w:spacing w:after="0" w:line="240" w:lineRule="auto"/>
      </w:pPr>
      <w:r>
        <w:rPr>
          <w:rFonts w:ascii="Consolas" w:hAnsi="Consolas" w:eastAsia="Consolas"/>
          <w:b w:val="0"/>
          <w:i w:val="0"/>
          <w:color w:val="000000"/>
          <w:sz w:val="20"/>
        </w:rPr>
        <w:t>|   |— AMC_Certificates.pdf</w:t>
      </w:r>
    </w:p>
    <w:p>
      <w:pPr>
        <w:spacing w:after="0" w:line="240" w:lineRule="auto"/>
      </w:pPr>
      <w:r>
        <w:rPr>
          <w:rFonts w:ascii="Consolas" w:hAnsi="Consolas" w:eastAsia="Consolas"/>
          <w:b w:val="0"/>
          <w:i w:val="0"/>
          <w:color w:val="000000"/>
          <w:sz w:val="20"/>
        </w:rPr>
        <w:t>|</w:t>
      </w:r>
    </w:p>
    <w:p>
      <w:pPr>
        <w:spacing w:after="0" w:line="240" w:lineRule="auto"/>
      </w:pPr>
      <w:r>
        <w:rPr>
          <w:rFonts w:ascii="Consolas" w:hAnsi="Consolas" w:eastAsia="Consolas"/>
          <w:b w:val="0"/>
          <w:i w:val="0"/>
          <w:color w:val="000000"/>
          <w:sz w:val="20"/>
        </w:rPr>
        <w:t>|— Criterion_6_Faculty_Staff/</w:t>
      </w:r>
    </w:p>
    <w:p>
      <w:pPr>
        <w:spacing w:after="0" w:line="240" w:lineRule="auto"/>
      </w:pPr>
      <w:r>
        <w:rPr>
          <w:rFonts w:ascii="Consolas" w:hAnsi="Consolas" w:eastAsia="Consolas"/>
          <w:b w:val="0"/>
          <w:i w:val="0"/>
          <w:color w:val="000000"/>
          <w:sz w:val="20"/>
        </w:rPr>
        <w:t>|   |— Faculty_List.pdf</w:t>
      </w:r>
    </w:p>
    <w:p>
      <w:pPr>
        <w:spacing w:after="0" w:line="240" w:lineRule="auto"/>
      </w:pPr>
      <w:r>
        <w:rPr>
          <w:rFonts w:ascii="Consolas" w:hAnsi="Consolas" w:eastAsia="Consolas"/>
          <w:b w:val="0"/>
          <w:i w:val="0"/>
          <w:color w:val="000000"/>
          <w:sz w:val="20"/>
        </w:rPr>
        <w:t>|   |— NonTeaching_Staff.pdf</w:t>
      </w:r>
    </w:p>
    <w:p>
      <w:pPr>
        <w:spacing w:after="0" w:line="240" w:lineRule="auto"/>
      </w:pPr>
      <w:r>
        <w:rPr>
          <w:rFonts w:ascii="Consolas" w:hAnsi="Consolas" w:eastAsia="Consolas"/>
          <w:b w:val="0"/>
          <w:i w:val="0"/>
          <w:color w:val="000000"/>
          <w:sz w:val="20"/>
        </w:rPr>
        <w:t>|</w:t>
      </w:r>
    </w:p>
    <w:p>
      <w:pPr>
        <w:spacing w:after="0" w:line="240" w:lineRule="auto"/>
      </w:pPr>
      <w:r>
        <w:rPr>
          <w:rFonts w:ascii="Consolas" w:hAnsi="Consolas" w:eastAsia="Consolas"/>
          <w:b w:val="0"/>
          <w:i w:val="0"/>
          <w:color w:val="000000"/>
          <w:sz w:val="20"/>
        </w:rPr>
        <w:t>|— Criterion_7_R&amp;D_Consultancy/</w:t>
      </w:r>
    </w:p>
    <w:p>
      <w:pPr>
        <w:spacing w:after="0" w:line="240" w:lineRule="auto"/>
      </w:pPr>
      <w:r>
        <w:rPr>
          <w:rFonts w:ascii="Consolas" w:hAnsi="Consolas" w:eastAsia="Consolas"/>
          <w:b w:val="0"/>
          <w:i w:val="0"/>
          <w:color w:val="000000"/>
          <w:sz w:val="20"/>
        </w:rPr>
        <w:t>|   |— R&amp;D_Projects.pdf</w:t>
      </w:r>
    </w:p>
    <w:p>
      <w:pPr>
        <w:spacing w:after="0" w:line="240" w:lineRule="auto"/>
      </w:pPr>
      <w:r>
        <w:rPr>
          <w:rFonts w:ascii="Consolas" w:hAnsi="Consolas" w:eastAsia="Consolas"/>
          <w:b w:val="0"/>
          <w:i w:val="0"/>
          <w:color w:val="000000"/>
          <w:sz w:val="20"/>
        </w:rPr>
        <w:t>|   |— Consultancy_Details.pdf</w:t>
      </w:r>
    </w:p>
    <w:p>
      <w:pPr>
        <w:spacing w:after="0" w:line="240" w:lineRule="auto"/>
      </w:pPr>
      <w:r>
        <w:rPr>
          <w:rFonts w:ascii="Consolas" w:hAnsi="Consolas" w:eastAsia="Consolas"/>
          <w:b w:val="0"/>
          <w:i w:val="0"/>
          <w:color w:val="000000"/>
          <w:sz w:val="20"/>
        </w:rPr>
        <w:t>|</w:t>
      </w:r>
    </w:p>
    <w:p>
      <w:pPr>
        <w:spacing w:after="0" w:line="240" w:lineRule="auto"/>
      </w:pPr>
      <w:r>
        <w:rPr>
          <w:rFonts w:ascii="Consolas" w:hAnsi="Consolas" w:eastAsia="Consolas"/>
          <w:b w:val="0"/>
          <w:i w:val="0"/>
          <w:color w:val="000000"/>
          <w:sz w:val="20"/>
        </w:rPr>
        <w:t>|— Criterion_8_Teaching_Evaluation/</w:t>
      </w:r>
    </w:p>
    <w:p>
      <w:pPr>
        <w:spacing w:after="0" w:line="240" w:lineRule="auto"/>
      </w:pPr>
      <w:r>
        <w:rPr>
          <w:rFonts w:ascii="Consolas" w:hAnsi="Consolas" w:eastAsia="Consolas"/>
          <w:b w:val="0"/>
          <w:i w:val="0"/>
          <w:color w:val="000000"/>
          <w:sz w:val="20"/>
        </w:rPr>
        <w:t>|   |— Assessment_Methods.pdf</w:t>
      </w:r>
    </w:p>
    <w:p>
      <w:pPr>
        <w:spacing w:after="0" w:line="240" w:lineRule="auto"/>
      </w:pPr>
      <w:r>
        <w:rPr>
          <w:rFonts w:ascii="Consolas" w:hAnsi="Consolas" w:eastAsia="Consolas"/>
          <w:b w:val="0"/>
          <w:i w:val="0"/>
          <w:color w:val="000000"/>
          <w:sz w:val="20"/>
        </w:rPr>
        <w:t>|</w:t>
      </w:r>
    </w:p>
    <w:p>
      <w:pPr>
        <w:spacing w:after="0" w:line="240" w:lineRule="auto"/>
      </w:pPr>
      <w:r>
        <w:rPr>
          <w:rFonts w:ascii="Consolas" w:hAnsi="Consolas" w:eastAsia="Consolas"/>
          <w:b w:val="0"/>
          <w:i w:val="0"/>
          <w:color w:val="000000"/>
          <w:sz w:val="20"/>
        </w:rPr>
        <w:t>|— Criterion_9_Student_Activities/</w:t>
      </w:r>
    </w:p>
    <w:p>
      <w:pPr>
        <w:spacing w:after="0" w:line="240" w:lineRule="auto"/>
      </w:pPr>
      <w:r>
        <w:rPr>
          <w:rFonts w:ascii="Consolas" w:hAnsi="Consolas" w:eastAsia="Consolas"/>
          <w:b w:val="0"/>
          <w:i w:val="0"/>
          <w:color w:val="000000"/>
          <w:sz w:val="20"/>
        </w:rPr>
        <w:t>|   |— Student_Achievements.pdf</w:t>
      </w:r>
    </w:p>
    <w:p>
      <w:pPr>
        <w:spacing w:after="0" w:line="240" w:lineRule="auto"/>
      </w:pPr>
      <w:r>
        <w:rPr>
          <w:rFonts w:ascii="Consolas" w:hAnsi="Consolas" w:eastAsia="Consolas"/>
          <w:b w:val="0"/>
          <w:i w:val="0"/>
          <w:color w:val="000000"/>
          <w:sz w:val="20"/>
        </w:rPr>
        <w:t>|</w:t>
      </w:r>
    </w:p>
    <w:p>
      <w:pPr>
        <w:spacing w:after="0" w:line="240" w:lineRule="auto"/>
      </w:pPr>
      <w:r>
        <w:rPr>
          <w:rFonts w:ascii="Consolas" w:hAnsi="Consolas" w:eastAsia="Consolas"/>
          <w:b w:val="0"/>
          <w:i w:val="0"/>
          <w:color w:val="000000"/>
          <w:sz w:val="20"/>
        </w:rPr>
        <w:t>|— Criterion_10_Continuous_Improvement/</w:t>
      </w:r>
    </w:p>
    <w:p>
      <w:pPr>
        <w:spacing w:after="0" w:line="240" w:lineRule="auto"/>
      </w:pPr>
      <w:r>
        <w:rPr>
          <w:rFonts w:ascii="Consolas" w:hAnsi="Consolas" w:eastAsia="Consolas"/>
          <w:b w:val="0"/>
          <w:i w:val="0"/>
          <w:color w:val="000000"/>
          <w:sz w:val="20"/>
        </w:rPr>
        <w:t>|   |— Academic_Audit_Report.pdf</w:t>
      </w:r>
    </w:p>
    <w:p>
      <w:pPr>
        <w:spacing w:after="0" w:line="240" w:lineRule="auto"/>
      </w:pPr>
      <w:r>
        <w:rPr>
          <w:rFonts w:ascii="Consolas" w:hAnsi="Consolas" w:eastAsia="Consolas"/>
          <w:b w:val="0"/>
          <w:i w:val="0"/>
          <w:color w:val="000000"/>
          <w:sz w:val="20"/>
        </w:rPr>
        <w:t>|   |— Action_Taken_Report.pdf</w:t>
      </w:r>
    </w:p>
    <w:p>
      <w:pPr>
        <w:spacing w:after="0" w:line="240" w:lineRule="auto"/>
      </w:pPr>
      <w:r>
        <w:rPr>
          <w:rFonts w:ascii="Consolas" w:hAnsi="Consolas" w:eastAsia="Consolas"/>
          <w:b w:val="0"/>
          <w:i w:val="0"/>
          <w:color w:val="000000"/>
          <w:sz w:val="20"/>
        </w:rPr>
        <w:t>|</w:t>
      </w:r>
    </w:p>
    <w:p>
      <w:pPr>
        <w:spacing w:after="0" w:line="240" w:lineRule="auto"/>
      </w:pPr>
      <w:r>
        <w:rPr>
          <w:rFonts w:ascii="Consolas" w:hAnsi="Consolas" w:eastAsia="Consolas"/>
          <w:b w:val="0"/>
          <w:i w:val="0"/>
          <w:color w:val="000000"/>
          <w:sz w:val="20"/>
        </w:rPr>
        <w:t>└— Annexures/</w:t>
      </w:r>
    </w:p>
    <w:p>
      <w:pPr>
        <w:spacing w:after="0" w:line="240" w:lineRule="auto"/>
      </w:pPr>
      <w:r>
        <w:rPr>
          <w:rFonts w:ascii="Consolas" w:hAnsi="Consolas" w:eastAsia="Consolas"/>
          <w:b w:val="0"/>
          <w:i w:val="0"/>
          <w:color w:val="000000"/>
          <w:sz w:val="20"/>
        </w:rPr>
        <w:t xml:space="preserve">    |— MoUs.pdf</w:t>
      </w:r>
    </w:p>
    <w:p>
      <w:pPr>
        <w:spacing w:after="0" w:line="240" w:lineRule="auto"/>
      </w:pPr>
      <w:r>
        <w:rPr>
          <w:rFonts w:ascii="Consolas" w:hAnsi="Consolas" w:eastAsia="Consolas"/>
          <w:b w:val="0"/>
          <w:i w:val="0"/>
          <w:color w:val="000000"/>
          <w:sz w:val="20"/>
        </w:rPr>
        <w:t xml:space="preserve">    |— Budget_Utilization.xlsx</w:t>
      </w:r>
    </w:p>
    <w:p>
      <w:pPr>
        <w:spacing w:after="0" w:line="240" w:lineRule="auto"/>
      </w:pPr>
      <w:r>
        <w:rPr>
          <w:rFonts w:ascii="Consolas" w:hAnsi="Consolas" w:eastAsia="Consolas"/>
          <w:b w:val="0"/>
          <w:i w:val="0"/>
          <w:color w:val="000000"/>
          <w:sz w:val="20"/>
        </w:rPr>
        <w:t xml:space="preserve">    |— Photos/</w:t>
      </w:r>
    </w:p>
    <w:p/>
    <w:p>
      <w:pPr>
        <w:spacing w:before="160" w:after="80"/>
      </w:pPr>
      <w:r>
        <w:rPr>
          <w:rFonts w:ascii="Cambria" w:hAnsi="Cambria" w:eastAsia="Cambria"/>
          <w:b/>
          <w:i w:val="0"/>
          <w:color w:val="000000"/>
          <w:sz w:val="23"/>
        </w:rPr>
        <w:t>Summary of Key File Categories (Quick Checklist)</w:t>
      </w:r>
    </w:p>
    <w:tbl>
      <w:tblPr>
        <w:tblW w:type="auto" w:w="0"/>
        <w:jc w:val="center"/>
        <w:tblLook w:firstColumn="1" w:firstRow="1" w:lastColumn="0" w:lastRow="0" w:noHBand="0" w:noVBand="1" w:val="04A0"/>
        <w:tblLayout w:type="fixed"/>
        <w:tblLayout w:type="fixed"/>
      </w:tblPr>
      <w:tblGrid>
        <w:gridCol w:w="2268"/>
        <w:gridCol w:w="1928"/>
        <w:gridCol w:w="2494"/>
        <w:gridCol w:w="2494"/>
      </w:tblGrid>
      <w:tr>
        <w:tc>
          <w:tcPr>
            <w:tcW w:type="dxa" w:w="2268"/>
            <w:tcBorders>
              <w:top w:val="single" w:sz="4" w:space="0" w:color="BFBFBF"/>
              <w:left w:val="single" w:sz="4" w:space="0" w:color="BFBFBF"/>
              <w:bottom w:val="single" w:sz="4" w:space="0" w:color="BFBFBF"/>
              <w:right w:val="single" w:sz="4" w:space="0" w:color="BFBFBF"/>
            </w:tcBorders>
            <w:tcW w:w="2268" w:type="dxa"/>
            <w:shd w:val="clear" w:color="auto" w:fill="1F3A5F"/>
            <w:tcW w:w="2268" w:type="dxa"/>
          </w:tcPr>
          <w:p>
            <w:pPr>
              <w:spacing w:after="40" w:before="40" w:line="264" w:lineRule="auto"/>
              <w:jc w:val="center"/>
            </w:pPr>
            <w:r/>
            <w:r>
              <w:rPr>
                <w:rFonts w:ascii="Cambria" w:hAnsi="Cambria" w:eastAsia="Cambria"/>
                <w:b/>
                <w:i w:val="0"/>
                <w:color w:val="FFFFFF"/>
                <w:sz w:val="22"/>
              </w:rPr>
              <w:t>Category</w:t>
            </w:r>
          </w:p>
        </w:tc>
        <w:tc>
          <w:tcPr>
            <w:tcW w:type="dxa" w:w="1928"/>
            <w:tcBorders>
              <w:top w:val="single" w:sz="4" w:space="0" w:color="BFBFBF"/>
              <w:left w:val="single" w:sz="4" w:space="0" w:color="BFBFBF"/>
              <w:bottom w:val="single" w:sz="4" w:space="0" w:color="BFBFBF"/>
              <w:right w:val="single" w:sz="4" w:space="0" w:color="BFBFBF"/>
            </w:tcBorders>
            <w:tcW w:w="1928" w:type="dxa"/>
            <w:shd w:val="clear" w:color="auto" w:fill="1F3A5F"/>
            <w:tcW w:w="1928" w:type="dxa"/>
          </w:tcPr>
          <w:p>
            <w:pPr>
              <w:spacing w:after="40" w:before="40" w:line="264" w:lineRule="auto"/>
              <w:jc w:val="center"/>
            </w:pPr>
            <w:r/>
            <w:r>
              <w:rPr>
                <w:rFonts w:ascii="Cambria" w:hAnsi="Cambria" w:eastAsia="Cambria"/>
                <w:b/>
                <w:i w:val="0"/>
                <w:color w:val="FFFFFF"/>
                <w:sz w:val="22"/>
              </w:rPr>
              <w:t>No. of Years</w:t>
            </w:r>
          </w:p>
        </w:tc>
        <w:tc>
          <w:tcPr>
            <w:tcW w:type="dxa" w:w="2494"/>
            <w:tcBorders>
              <w:top w:val="single" w:sz="4" w:space="0" w:color="BFBFBF"/>
              <w:left w:val="single" w:sz="4" w:space="0" w:color="BFBFBF"/>
              <w:bottom w:val="single" w:sz="4" w:space="0" w:color="BFBFBF"/>
              <w:right w:val="single" w:sz="4" w:space="0" w:color="BFBFBF"/>
            </w:tcBorders>
            <w:tcW w:w="2494" w:type="dxa"/>
            <w:shd w:val="clear" w:color="auto" w:fill="1F3A5F"/>
            <w:tcW w:w="2494" w:type="dxa"/>
          </w:tcPr>
          <w:p>
            <w:pPr>
              <w:spacing w:after="40" w:before="40" w:line="264" w:lineRule="auto"/>
              <w:jc w:val="center"/>
            </w:pPr>
            <w:r/>
            <w:r>
              <w:rPr>
                <w:rFonts w:ascii="Cambria" w:hAnsi="Cambria" w:eastAsia="Cambria"/>
                <w:b/>
                <w:i w:val="0"/>
                <w:color w:val="FFFFFF"/>
                <w:sz w:val="22"/>
              </w:rPr>
              <w:t>Verified By</w:t>
            </w:r>
          </w:p>
        </w:tc>
        <w:tc>
          <w:tcPr>
            <w:tcW w:type="dxa" w:w="2494"/>
            <w:tcBorders>
              <w:top w:val="single" w:sz="4" w:space="0" w:color="BFBFBF"/>
              <w:left w:val="single" w:sz="4" w:space="0" w:color="BFBFBF"/>
              <w:bottom w:val="single" w:sz="4" w:space="0" w:color="BFBFBF"/>
              <w:right w:val="single" w:sz="4" w:space="0" w:color="BFBFBF"/>
            </w:tcBorders>
            <w:tcW w:w="2494" w:type="dxa"/>
            <w:shd w:val="clear" w:color="auto" w:fill="1F3A5F"/>
            <w:tcW w:w="2494" w:type="dxa"/>
          </w:tcPr>
          <w:p>
            <w:pPr>
              <w:spacing w:after="40" w:before="40" w:line="264" w:lineRule="auto"/>
              <w:jc w:val="center"/>
            </w:pPr>
            <w:r/>
            <w:r>
              <w:rPr>
                <w:rFonts w:ascii="Cambria" w:hAnsi="Cambria" w:eastAsia="Cambria"/>
                <w:b/>
                <w:i w:val="0"/>
                <w:color w:val="FFFFFF"/>
                <w:sz w:val="22"/>
              </w:rPr>
              <w:t>Evidence Format</w:t>
            </w:r>
          </w:p>
        </w:tc>
      </w:tr>
      <w:tr>
        <w:tc>
          <w:tcPr>
            <w:tcW w:type="dxa" w:w="2268"/>
            <w:shd w:val="clear" w:color="auto" w:fill="E8ECF2"/>
            <w:tcW w:w="2268" w:type="dxa"/>
          </w:tcPr>
          <w:p>
            <w:pPr>
              <w:spacing w:after="40" w:before="40" w:line="264" w:lineRule="auto"/>
              <w:jc w:val="center"/>
            </w:pPr>
            <w:r/>
            <w:r>
              <w:rPr>
                <w:rFonts w:ascii="Cambria" w:hAnsi="Cambria" w:eastAsia="Cambria"/>
                <w:b w:val="0"/>
                <w:i w:val="0"/>
                <w:color w:val="000000"/>
                <w:sz w:val="22"/>
              </w:rPr>
              <w:t>Academic Files</w:t>
            </w:r>
          </w:p>
        </w:tc>
        <w:tc>
          <w:tcPr>
            <w:tcW w:type="dxa" w:w="1928"/>
            <w:shd w:val="clear" w:color="auto" w:fill="E8ECF2"/>
            <w:tcW w:w="1928" w:type="dxa"/>
          </w:tcPr>
          <w:p>
            <w:pPr>
              <w:spacing w:after="40" w:before="40" w:line="264" w:lineRule="auto"/>
              <w:jc w:val="center"/>
            </w:pPr>
            <w:r/>
            <w:r>
              <w:rPr>
                <w:rFonts w:ascii="Cambria" w:hAnsi="Cambria" w:eastAsia="Cambria"/>
                <w:b w:val="0"/>
                <w:i w:val="0"/>
                <w:color w:val="000000"/>
                <w:sz w:val="22"/>
              </w:rPr>
              <w:t>3 Years</w:t>
            </w:r>
          </w:p>
        </w:tc>
        <w:tc>
          <w:tcPr>
            <w:tcW w:type="dxa" w:w="2494"/>
            <w:shd w:val="clear" w:color="auto" w:fill="E8ECF2"/>
            <w:tcW w:w="2494" w:type="dxa"/>
          </w:tcPr>
          <w:p>
            <w:pPr>
              <w:spacing w:after="40" w:before="40" w:line="264" w:lineRule="auto"/>
              <w:jc w:val="center"/>
            </w:pPr>
            <w:r/>
            <w:r>
              <w:rPr>
                <w:rFonts w:ascii="Cambria" w:hAnsi="Cambria" w:eastAsia="Cambria"/>
                <w:b w:val="0"/>
                <w:i w:val="0"/>
                <w:color w:val="000000"/>
                <w:sz w:val="22"/>
              </w:rPr>
              <w:t>HoD / NBA Coordinator</w:t>
            </w:r>
          </w:p>
        </w:tc>
        <w:tc>
          <w:tcPr>
            <w:tcW w:type="dxa" w:w="2494"/>
            <w:shd w:val="clear" w:color="auto" w:fill="E8ECF2"/>
            <w:tcW w:w="2494" w:type="dxa"/>
          </w:tcPr>
          <w:p>
            <w:pPr>
              <w:spacing w:after="40" w:before="40" w:line="264" w:lineRule="auto"/>
              <w:jc w:val="center"/>
            </w:pPr>
            <w:r/>
            <w:r>
              <w:rPr>
                <w:rFonts w:ascii="Cambria" w:hAnsi="Cambria" w:eastAsia="Cambria"/>
                <w:b w:val="0"/>
                <w:i w:val="0"/>
                <w:color w:val="000000"/>
                <w:sz w:val="22"/>
              </w:rPr>
              <w:t>PDF / Excel</w:t>
            </w:r>
          </w:p>
        </w:tc>
      </w:tr>
      <w:tr>
        <w:tc>
          <w:tcPr>
            <w:tcW w:type="dxa" w:w="2268"/>
            <w:shd w:val="clear" w:color="auto" w:fill="FFFFFF"/>
            <w:tcW w:w="2268" w:type="dxa"/>
          </w:tcPr>
          <w:p>
            <w:pPr>
              <w:spacing w:after="40" w:before="40" w:line="264" w:lineRule="auto"/>
              <w:jc w:val="center"/>
            </w:pPr>
            <w:r/>
            <w:r>
              <w:rPr>
                <w:rFonts w:ascii="Cambria" w:hAnsi="Cambria" w:eastAsia="Cambria"/>
                <w:b w:val="0"/>
                <w:i w:val="0"/>
                <w:color w:val="000000"/>
                <w:sz w:val="22"/>
              </w:rPr>
              <w:t>Financial Records</w:t>
            </w:r>
          </w:p>
        </w:tc>
        <w:tc>
          <w:tcPr>
            <w:tcW w:type="dxa" w:w="1928"/>
            <w:shd w:val="clear" w:color="auto" w:fill="FFFFFF"/>
            <w:tcW w:w="1928" w:type="dxa"/>
          </w:tcPr>
          <w:p>
            <w:pPr>
              <w:spacing w:after="40" w:before="40" w:line="264" w:lineRule="auto"/>
              <w:jc w:val="center"/>
            </w:pPr>
            <w:r/>
            <w:r>
              <w:rPr>
                <w:rFonts w:ascii="Cambria" w:hAnsi="Cambria" w:eastAsia="Cambria"/>
                <w:b w:val="0"/>
                <w:i w:val="0"/>
                <w:color w:val="000000"/>
                <w:sz w:val="22"/>
              </w:rPr>
              <w:t>3 Years</w:t>
            </w:r>
          </w:p>
        </w:tc>
        <w:tc>
          <w:tcPr>
            <w:tcW w:type="dxa" w:w="2494"/>
            <w:shd w:val="clear" w:color="auto" w:fill="FFFFFF"/>
            <w:tcW w:w="2494" w:type="dxa"/>
          </w:tcPr>
          <w:p>
            <w:pPr>
              <w:spacing w:after="40" w:before="40" w:line="264" w:lineRule="auto"/>
              <w:jc w:val="center"/>
            </w:pPr>
            <w:r/>
            <w:r>
              <w:rPr>
                <w:rFonts w:ascii="Cambria" w:hAnsi="Cambria" w:eastAsia="Cambria"/>
                <w:b w:val="0"/>
                <w:i w:val="0"/>
                <w:color w:val="000000"/>
                <w:sz w:val="22"/>
              </w:rPr>
              <w:t>Admin / Finance</w:t>
            </w:r>
          </w:p>
        </w:tc>
        <w:tc>
          <w:tcPr>
            <w:tcW w:type="dxa" w:w="2494"/>
            <w:shd w:val="clear" w:color="auto" w:fill="FFFFFF"/>
            <w:tcW w:w="2494" w:type="dxa"/>
          </w:tcPr>
          <w:p>
            <w:pPr>
              <w:spacing w:after="40" w:before="40" w:line="264" w:lineRule="auto"/>
              <w:jc w:val="center"/>
            </w:pPr>
            <w:r/>
            <w:r>
              <w:rPr>
                <w:rFonts w:ascii="Cambria" w:hAnsi="Cambria" w:eastAsia="Cambria"/>
                <w:b w:val="0"/>
                <w:i w:val="0"/>
                <w:color w:val="000000"/>
                <w:sz w:val="22"/>
              </w:rPr>
              <w:t>Bills / Statements</w:t>
            </w:r>
          </w:p>
        </w:tc>
      </w:tr>
      <w:tr>
        <w:tc>
          <w:tcPr>
            <w:tcW w:type="dxa" w:w="2268"/>
            <w:shd w:val="clear" w:color="auto" w:fill="E8ECF2"/>
            <w:tcW w:w="2268" w:type="dxa"/>
          </w:tcPr>
          <w:p>
            <w:pPr>
              <w:spacing w:after="40" w:before="40" w:line="264" w:lineRule="auto"/>
              <w:jc w:val="center"/>
            </w:pPr>
            <w:r/>
            <w:r>
              <w:rPr>
                <w:rFonts w:ascii="Cambria" w:hAnsi="Cambria" w:eastAsia="Cambria"/>
                <w:b w:val="0"/>
                <w:i w:val="0"/>
                <w:color w:val="000000"/>
                <w:sz w:val="22"/>
              </w:rPr>
              <w:t>Lab &amp; Infra Files</w:t>
            </w:r>
          </w:p>
        </w:tc>
        <w:tc>
          <w:tcPr>
            <w:tcW w:type="dxa" w:w="1928"/>
            <w:shd w:val="clear" w:color="auto" w:fill="E8ECF2"/>
            <w:tcW w:w="1928" w:type="dxa"/>
          </w:tcPr>
          <w:p>
            <w:pPr>
              <w:spacing w:after="40" w:before="40" w:line="264" w:lineRule="auto"/>
              <w:jc w:val="center"/>
            </w:pPr>
            <w:r/>
            <w:r>
              <w:rPr>
                <w:rFonts w:ascii="Cambria" w:hAnsi="Cambria" w:eastAsia="Cambria"/>
                <w:b w:val="0"/>
                <w:i w:val="0"/>
                <w:color w:val="000000"/>
                <w:sz w:val="22"/>
              </w:rPr>
              <w:t>3 Years</w:t>
            </w:r>
          </w:p>
        </w:tc>
        <w:tc>
          <w:tcPr>
            <w:tcW w:type="dxa" w:w="2494"/>
            <w:shd w:val="clear" w:color="auto" w:fill="E8ECF2"/>
            <w:tcW w:w="2494" w:type="dxa"/>
          </w:tcPr>
          <w:p>
            <w:pPr>
              <w:spacing w:after="40" w:before="40" w:line="264" w:lineRule="auto"/>
              <w:jc w:val="center"/>
            </w:pPr>
            <w:r/>
            <w:r>
              <w:rPr>
                <w:rFonts w:ascii="Cambria" w:hAnsi="Cambria" w:eastAsia="Cambria"/>
                <w:b w:val="0"/>
                <w:i w:val="0"/>
                <w:color w:val="000000"/>
                <w:sz w:val="22"/>
              </w:rPr>
              <w:t>Lab In-Charge</w:t>
            </w:r>
          </w:p>
        </w:tc>
        <w:tc>
          <w:tcPr>
            <w:tcW w:type="dxa" w:w="2494"/>
            <w:shd w:val="clear" w:color="auto" w:fill="E8ECF2"/>
            <w:tcW w:w="2494" w:type="dxa"/>
          </w:tcPr>
          <w:p>
            <w:pPr>
              <w:spacing w:after="40" w:before="40" w:line="264" w:lineRule="auto"/>
              <w:jc w:val="center"/>
            </w:pPr>
            <w:r/>
            <w:r>
              <w:rPr>
                <w:rFonts w:ascii="Cambria" w:hAnsi="Cambria" w:eastAsia="Cambria"/>
                <w:b w:val="0"/>
                <w:i w:val="0"/>
                <w:color w:val="000000"/>
                <w:sz w:val="22"/>
              </w:rPr>
              <w:t>Inventory / Photos</w:t>
            </w:r>
          </w:p>
        </w:tc>
      </w:tr>
      <w:tr>
        <w:tc>
          <w:tcPr>
            <w:tcW w:type="dxa" w:w="2268"/>
            <w:shd w:val="clear" w:color="auto" w:fill="FFFFFF"/>
            <w:tcW w:w="2268" w:type="dxa"/>
          </w:tcPr>
          <w:p>
            <w:pPr>
              <w:spacing w:after="40" w:before="40" w:line="264" w:lineRule="auto"/>
              <w:jc w:val="center"/>
            </w:pPr>
            <w:r/>
            <w:r>
              <w:rPr>
                <w:rFonts w:ascii="Cambria" w:hAnsi="Cambria" w:eastAsia="Cambria"/>
                <w:b w:val="0"/>
                <w:i w:val="0"/>
                <w:color w:val="000000"/>
                <w:sz w:val="22"/>
              </w:rPr>
              <w:t>Faculty / Staff Files</w:t>
            </w:r>
          </w:p>
        </w:tc>
        <w:tc>
          <w:tcPr>
            <w:tcW w:type="dxa" w:w="1928"/>
            <w:shd w:val="clear" w:color="auto" w:fill="FFFFFF"/>
            <w:tcW w:w="1928" w:type="dxa"/>
          </w:tcPr>
          <w:p>
            <w:pPr>
              <w:spacing w:after="40" w:before="40" w:line="264" w:lineRule="auto"/>
              <w:jc w:val="center"/>
            </w:pPr>
            <w:r/>
            <w:r>
              <w:rPr>
                <w:rFonts w:ascii="Cambria" w:hAnsi="Cambria" w:eastAsia="Cambria"/>
                <w:b w:val="0"/>
                <w:i w:val="0"/>
                <w:color w:val="000000"/>
                <w:sz w:val="22"/>
              </w:rPr>
              <w:t>Current + 3 Years</w:t>
            </w:r>
          </w:p>
        </w:tc>
        <w:tc>
          <w:tcPr>
            <w:tcW w:type="dxa" w:w="2494"/>
            <w:shd w:val="clear" w:color="auto" w:fill="FFFFFF"/>
            <w:tcW w:w="2494" w:type="dxa"/>
          </w:tcPr>
          <w:p>
            <w:pPr>
              <w:spacing w:after="40" w:before="40" w:line="264" w:lineRule="auto"/>
              <w:jc w:val="center"/>
            </w:pPr>
            <w:r/>
            <w:r>
              <w:rPr>
                <w:rFonts w:ascii="Cambria" w:hAnsi="Cambria" w:eastAsia="Cambria"/>
                <w:b w:val="0"/>
                <w:i w:val="0"/>
                <w:color w:val="000000"/>
                <w:sz w:val="22"/>
              </w:rPr>
              <w:t>HR / HoD</w:t>
            </w:r>
          </w:p>
        </w:tc>
        <w:tc>
          <w:tcPr>
            <w:tcW w:type="dxa" w:w="2494"/>
            <w:shd w:val="clear" w:color="auto" w:fill="FFFFFF"/>
            <w:tcW w:w="2494" w:type="dxa"/>
          </w:tcPr>
          <w:p>
            <w:pPr>
              <w:spacing w:after="40" w:before="40" w:line="264" w:lineRule="auto"/>
              <w:jc w:val="center"/>
            </w:pPr>
            <w:r/>
            <w:r>
              <w:rPr>
                <w:rFonts w:ascii="Cambria" w:hAnsi="Cambria" w:eastAsia="Cambria"/>
                <w:b w:val="0"/>
                <w:i w:val="0"/>
                <w:color w:val="000000"/>
                <w:sz w:val="22"/>
              </w:rPr>
              <w:t>Appointment Letters, CVs</w:t>
            </w:r>
          </w:p>
        </w:tc>
      </w:tr>
      <w:tr>
        <w:tc>
          <w:tcPr>
            <w:tcW w:type="dxa" w:w="2268"/>
            <w:shd w:val="clear" w:color="auto" w:fill="E8ECF2"/>
            <w:tcW w:w="2268" w:type="dxa"/>
          </w:tcPr>
          <w:p>
            <w:pPr>
              <w:spacing w:after="40" w:before="40" w:line="264" w:lineRule="auto"/>
              <w:jc w:val="center"/>
            </w:pPr>
            <w:r/>
            <w:r>
              <w:rPr>
                <w:rFonts w:ascii="Cambria" w:hAnsi="Cambria" w:eastAsia="Cambria"/>
                <w:b w:val="0"/>
                <w:i w:val="0"/>
                <w:color w:val="000000"/>
                <w:sz w:val="22"/>
              </w:rPr>
              <w:t>Student Records</w:t>
            </w:r>
          </w:p>
        </w:tc>
        <w:tc>
          <w:tcPr>
            <w:tcW w:type="dxa" w:w="1928"/>
            <w:shd w:val="clear" w:color="auto" w:fill="E8ECF2"/>
            <w:tcW w:w="1928" w:type="dxa"/>
          </w:tcPr>
          <w:p>
            <w:pPr>
              <w:spacing w:after="40" w:before="40" w:line="264" w:lineRule="auto"/>
              <w:jc w:val="center"/>
            </w:pPr>
            <w:r/>
            <w:r>
              <w:rPr>
                <w:rFonts w:ascii="Cambria" w:hAnsi="Cambria" w:eastAsia="Cambria"/>
                <w:b w:val="0"/>
                <w:i w:val="0"/>
                <w:color w:val="000000"/>
                <w:sz w:val="22"/>
              </w:rPr>
              <w:t>Current + 3 Years</w:t>
            </w:r>
          </w:p>
        </w:tc>
        <w:tc>
          <w:tcPr>
            <w:tcW w:type="dxa" w:w="2494"/>
            <w:shd w:val="clear" w:color="auto" w:fill="E8ECF2"/>
            <w:tcW w:w="2494" w:type="dxa"/>
          </w:tcPr>
          <w:p>
            <w:pPr>
              <w:spacing w:after="40" w:before="40" w:line="264" w:lineRule="auto"/>
              <w:jc w:val="center"/>
            </w:pPr>
            <w:r/>
            <w:r>
              <w:rPr>
                <w:rFonts w:ascii="Cambria" w:hAnsi="Cambria" w:eastAsia="Cambria"/>
                <w:b w:val="0"/>
                <w:i w:val="0"/>
                <w:color w:val="000000"/>
                <w:sz w:val="22"/>
              </w:rPr>
              <w:t>Dept. Office</w:t>
            </w:r>
          </w:p>
        </w:tc>
        <w:tc>
          <w:tcPr>
            <w:tcW w:type="dxa" w:w="2494"/>
            <w:shd w:val="clear" w:color="auto" w:fill="E8ECF2"/>
            <w:tcW w:w="2494" w:type="dxa"/>
          </w:tcPr>
          <w:p>
            <w:pPr>
              <w:spacing w:after="40" w:before="40" w:line="264" w:lineRule="auto"/>
              <w:jc w:val="center"/>
            </w:pPr>
            <w:r/>
            <w:r>
              <w:rPr>
                <w:rFonts w:ascii="Cambria" w:hAnsi="Cambria" w:eastAsia="Cambria"/>
                <w:b w:val="0"/>
                <w:i w:val="0"/>
                <w:color w:val="000000"/>
                <w:sz w:val="22"/>
              </w:rPr>
              <w:t>Result Sheets / Certificates</w:t>
            </w:r>
          </w:p>
        </w:tc>
      </w:tr>
      <w:tr>
        <w:tc>
          <w:tcPr>
            <w:tcW w:type="dxa" w:w="2268"/>
            <w:shd w:val="clear" w:color="auto" w:fill="FFFFFF"/>
            <w:tcW w:w="2268" w:type="dxa"/>
          </w:tcPr>
          <w:p>
            <w:pPr>
              <w:spacing w:after="40" w:before="40" w:line="264" w:lineRule="auto"/>
              <w:jc w:val="center"/>
            </w:pPr>
            <w:r/>
            <w:r>
              <w:rPr>
                <w:rFonts w:ascii="Cambria" w:hAnsi="Cambria" w:eastAsia="Cambria"/>
                <w:b w:val="0"/>
                <w:i w:val="0"/>
                <w:color w:val="000000"/>
                <w:sz w:val="22"/>
              </w:rPr>
              <w:t>Audit &amp; Improvement</w:t>
            </w:r>
          </w:p>
        </w:tc>
        <w:tc>
          <w:tcPr>
            <w:tcW w:type="dxa" w:w="1928"/>
            <w:shd w:val="clear" w:color="auto" w:fill="FFFFFF"/>
            <w:tcW w:w="1928" w:type="dxa"/>
          </w:tcPr>
          <w:p>
            <w:pPr>
              <w:spacing w:after="40" w:before="40" w:line="264" w:lineRule="auto"/>
              <w:jc w:val="center"/>
            </w:pPr>
            <w:r/>
            <w:r>
              <w:rPr>
                <w:rFonts w:ascii="Cambria" w:hAnsi="Cambria" w:eastAsia="Cambria"/>
                <w:b w:val="0"/>
                <w:i w:val="0"/>
                <w:color w:val="000000"/>
                <w:sz w:val="22"/>
              </w:rPr>
              <w:t>3 Years</w:t>
            </w:r>
          </w:p>
        </w:tc>
        <w:tc>
          <w:tcPr>
            <w:tcW w:type="dxa" w:w="2494"/>
            <w:shd w:val="clear" w:color="auto" w:fill="FFFFFF"/>
            <w:tcW w:w="2494" w:type="dxa"/>
          </w:tcPr>
          <w:p>
            <w:pPr>
              <w:spacing w:after="40" w:before="40" w:line="264" w:lineRule="auto"/>
              <w:jc w:val="center"/>
            </w:pPr>
            <w:r/>
            <w:r>
              <w:rPr>
                <w:rFonts w:ascii="Cambria" w:hAnsi="Cambria" w:eastAsia="Cambria"/>
                <w:b w:val="0"/>
                <w:i w:val="0"/>
                <w:color w:val="000000"/>
                <w:sz w:val="22"/>
              </w:rPr>
              <w:t>IQAC</w:t>
            </w:r>
          </w:p>
        </w:tc>
        <w:tc>
          <w:tcPr>
            <w:tcW w:type="dxa" w:w="2494"/>
            <w:shd w:val="clear" w:color="auto" w:fill="FFFFFF"/>
            <w:tcW w:w="2494" w:type="dxa"/>
          </w:tcPr>
          <w:p>
            <w:pPr>
              <w:spacing w:after="40" w:before="40" w:line="264" w:lineRule="auto"/>
              <w:jc w:val="center"/>
            </w:pPr>
            <w:r/>
            <w:r>
              <w:rPr>
                <w:rFonts w:ascii="Cambria" w:hAnsi="Cambria" w:eastAsia="Cambria"/>
                <w:b w:val="0"/>
                <w:i w:val="0"/>
                <w:color w:val="000000"/>
                <w:sz w:val="22"/>
              </w:rPr>
              <w:t>Reports + ATRs</w:t>
            </w:r>
          </w:p>
        </w:tc>
      </w:tr>
    </w:tbl>
    <w:p/>
    <w:p>
      <w:pPr>
        <w:spacing w:before="160" w:after="80"/>
      </w:pPr>
      <w:r>
        <w:rPr>
          <w:rFonts w:ascii="Cambria" w:hAnsi="Cambria" w:eastAsia="Cambria"/>
          <w:b/>
          <w:i w:val="0"/>
          <w:color w:val="000000"/>
          <w:sz w:val="23"/>
        </w:rPr>
        <w:t>Final Recommendation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Prepare digital copies (PDF) and physical binders for each NBA Criterion.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Label each file clearly (Criterion Code + File No. + Year).</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Cross-reference all evidence in the Self-Assessment Report (SAR) under Supporting Documents column.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Maintain an NBA Evidence Register mapping each file to SAR criteria and sub-criteria.</w:t>
      </w:r>
    </w:p>
    <w:p>
      <w:r>
        <w:br w:type="page"/>
      </w:r>
    </w:p>
    <w:p>
      <w:pPr>
        <w:keepNext/>
        <w:spacing w:before="240" w:after="160"/>
        <w:jc w:val="left"/>
      </w:pPr>
      <w:r>
        <w:rPr>
          <w:rFonts w:ascii="Cambria" w:hAnsi="Cambria" w:eastAsia="Cambria"/>
          <w:b/>
          <w:i w:val="0"/>
          <w:color w:val="1F3A5F"/>
          <w:sz w:val="36"/>
        </w:rPr>
        <w:t>3. NBA Accreditation Document Tracker (Department-Level)</w:t>
      </w:r>
    </w:p>
    <w:p>
      <w:pPr>
        <w:keepNext/>
        <w:spacing w:before="200" w:after="80"/>
      </w:pPr>
      <w:r>
        <w:rPr>
          <w:rFonts w:ascii="Cambria" w:hAnsi="Cambria" w:eastAsia="Cambria"/>
          <w:b/>
          <w:i w:val="0"/>
          <w:color w:val="1F3A5F"/>
          <w:sz w:val="23"/>
        </w:rPr>
        <w:t>1. Vision, Mission &amp; PEOs</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1</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Vision_Mission_Statements.pdf</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Institute &amp; Department Vision, Mission, PEOs, PSOs</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NBA Coordinator</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HoD</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PDF</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Criterion_1_Vision_Mission</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05-05-2025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Reviewed annually</w:t>
            </w:r>
          </w:p>
        </w:tc>
      </w:tr>
    </w:tbl>
    <w:p>
      <w:pPr>
        <w:keepNext/>
        <w:spacing w:before="200" w:after="80"/>
      </w:pPr>
      <w:r>
        <w:rPr>
          <w:rFonts w:ascii="Cambria" w:hAnsi="Cambria" w:eastAsia="Cambria"/>
          <w:b/>
          <w:i w:val="0"/>
          <w:color w:val="1F3A5F"/>
          <w:sz w:val="23"/>
        </w:rPr>
        <w:t>2. Curriculum &amp; Academic Process</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2</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Curriculum_Structure_2023.pdf</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Approved syllabus &amp; curriculum mapping</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Course Coordinator</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Academic Council</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PDF</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Criterion_2_Curriculum</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10-06-2025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Updated</w:t>
            </w:r>
          </w:p>
        </w:tc>
      </w:tr>
    </w:tbl>
    <w:p>
      <w:pPr>
        <w:keepNext/>
        <w:spacing w:before="200" w:after="80"/>
      </w:pPr>
      <w:r>
        <w:rPr>
          <w:rFonts w:ascii="Cambria" w:hAnsi="Cambria" w:eastAsia="Cambria"/>
          <w:b/>
          <w:i w:val="0"/>
          <w:color w:val="1F3A5F"/>
          <w:sz w:val="23"/>
        </w:rPr>
        <w:t>3. Course Files</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2</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C101_Programming.pdf</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Course plan, CO-PO mapping, assignments, tests</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Subject Faculty</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HoD</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PDF</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Course_Files</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12-06-2025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Reviewed</w:t>
            </w:r>
          </w:p>
        </w:tc>
      </w:tr>
    </w:tbl>
    <w:p>
      <w:pPr>
        <w:keepNext/>
        <w:spacing w:before="200" w:after="80"/>
      </w:pPr>
      <w:r>
        <w:rPr>
          <w:rFonts w:ascii="Cambria" w:hAnsi="Cambria" w:eastAsia="Cambria"/>
          <w:b/>
          <w:i w:val="0"/>
          <w:color w:val="1F3A5F"/>
          <w:sz w:val="23"/>
        </w:rPr>
        <w:t>4. Teaching–Learning</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3</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Teaching_Plan.xlsx</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Lesson plan &amp; academic monitoring record</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Faculty</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Academic Committee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Excel</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Criterion_3_TL</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15-06-2025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Verified</w:t>
            </w:r>
          </w:p>
        </w:tc>
      </w:tr>
    </w:tbl>
    <w:p>
      <w:pPr>
        <w:keepNext/>
        <w:spacing w:before="200" w:after="80"/>
      </w:pPr>
      <w:r>
        <w:rPr>
          <w:rFonts w:ascii="Cambria" w:hAnsi="Cambria" w:eastAsia="Cambria"/>
          <w:b/>
          <w:i w:val="0"/>
          <w:color w:val="1F3A5F"/>
          <w:sz w:val="23"/>
        </w:rPr>
        <w:t>5. Feedback Reports</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3</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Student_Feedback_2025.pdf</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Student feedback summary &amp; action taken</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Feedback Coordinator</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IQAC</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PDF</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Criterion_3_TL</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20-06-2025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Improvement actions done</w:t>
            </w:r>
          </w:p>
        </w:tc>
      </w:tr>
    </w:tbl>
    <w:p>
      <w:pPr>
        <w:keepNext/>
        <w:spacing w:before="200" w:after="80"/>
      </w:pPr>
      <w:r>
        <w:rPr>
          <w:rFonts w:ascii="Cambria" w:hAnsi="Cambria" w:eastAsia="Cambria"/>
          <w:b/>
          <w:i w:val="0"/>
          <w:color w:val="1F3A5F"/>
          <w:sz w:val="23"/>
        </w:rPr>
        <w:t>6. Student Performance</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4</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Student_Results_3Years.xlsx</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Result analysis, success rate, trend</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Exam Coordinator</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HoD</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CAY-CAYm2</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Excel</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Criterion_4_Student_Performance</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18-06-2025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Updated</w:t>
            </w:r>
          </w:p>
        </w:tc>
      </w:tr>
    </w:tbl>
    <w:p>
      <w:pPr>
        <w:keepNext/>
        <w:spacing w:before="200" w:after="80"/>
      </w:pPr>
      <w:r>
        <w:rPr>
          <w:rFonts w:ascii="Cambria" w:hAnsi="Cambria" w:eastAsia="Cambria"/>
          <w:b/>
          <w:i w:val="0"/>
          <w:color w:val="1F3A5F"/>
          <w:sz w:val="23"/>
        </w:rPr>
        <w:t>7. PO/PSO Attainment</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4</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PO_Attainment_2025.pdf</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PO &amp; PSO attainment calculations</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OBE Coordinator</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IQAC</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PDF</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Criterion_4_PO_Attainment</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25-06-2025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Auto-computed</w:t>
            </w:r>
          </w:p>
        </w:tc>
      </w:tr>
    </w:tbl>
    <w:p>
      <w:pPr>
        <w:keepNext/>
        <w:spacing w:before="200" w:after="80"/>
      </w:pPr>
      <w:r>
        <w:rPr>
          <w:rFonts w:ascii="Cambria" w:hAnsi="Cambria" w:eastAsia="Cambria"/>
          <w:b/>
          <w:i w:val="0"/>
          <w:color w:val="1F3A5F"/>
          <w:sz w:val="23"/>
        </w:rPr>
        <w:t>8. Labs &amp; Infrastructure</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5</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Lab_List_2025.pdf</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List of program-specific labs with area, equipment</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Lab In-Charge</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HoD</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CAY-CAYm2</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PDF</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Criterion_5_Infrastructure</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28-06-2025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Verified</w:t>
            </w:r>
          </w:p>
        </w:tc>
      </w:tr>
    </w:tbl>
    <w:p>
      <w:pPr>
        <w:keepNext/>
        <w:spacing w:before="200" w:after="80"/>
      </w:pPr>
      <w:r>
        <w:rPr>
          <w:rFonts w:ascii="Cambria" w:hAnsi="Cambria" w:eastAsia="Cambria"/>
          <w:b/>
          <w:i w:val="0"/>
          <w:color w:val="1F3A5F"/>
          <w:sz w:val="23"/>
        </w:rPr>
        <w:t>9. Maintenance &amp; Safety</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5</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Lab_Safety_Records.xlsx</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AMC, calibration &amp; safety audit records</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Lab Technician</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Safety Officer</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CAY-CAYm2</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Excel</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Criterion_5_Safety</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30-06-2025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Updated</w:t>
            </w:r>
          </w:p>
        </w:tc>
      </w:tr>
    </w:tbl>
    <w:p>
      <w:pPr>
        <w:keepNext/>
        <w:spacing w:before="200" w:after="80"/>
      </w:pPr>
      <w:r>
        <w:rPr>
          <w:rFonts w:ascii="Cambria" w:hAnsi="Cambria" w:eastAsia="Cambria"/>
          <w:b/>
          <w:i w:val="0"/>
          <w:color w:val="1F3A5F"/>
          <w:sz w:val="23"/>
        </w:rPr>
        <w:t>10. Faculty &amp; Staff</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6</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Faculty_List.pdf</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Faculty qualifications &amp; appointment records</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HR / HoD</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Principal</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Current</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PDF</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Criterion_6_Faculty_Staff</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02-07-2025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Verified</w:t>
            </w:r>
          </w:p>
        </w:tc>
      </w:tr>
    </w:tbl>
    <w:p>
      <w:pPr>
        <w:keepNext/>
        <w:spacing w:before="200" w:after="80"/>
      </w:pPr>
      <w:r>
        <w:rPr>
          <w:rFonts w:ascii="Cambria" w:hAnsi="Cambria" w:eastAsia="Cambria"/>
          <w:b/>
          <w:i w:val="0"/>
          <w:color w:val="1F3A5F"/>
          <w:sz w:val="23"/>
        </w:rPr>
        <w:t>11. Non-Teaching Staff</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6</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NonTeaching_Staff.pdf</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Staff degree, skill upgrade &amp; appraisal</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HR / Admin</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Principal</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CAY-CAYm2</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PDF</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Criterion_6_Faculty_Staff</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03-07-2025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Training completed</w:t>
            </w:r>
          </w:p>
        </w:tc>
      </w:tr>
    </w:tbl>
    <w:p>
      <w:pPr>
        <w:keepNext/>
        <w:spacing w:before="200" w:after="80"/>
      </w:pPr>
      <w:r>
        <w:rPr>
          <w:rFonts w:ascii="Cambria" w:hAnsi="Cambria" w:eastAsia="Cambria"/>
          <w:b/>
          <w:i w:val="0"/>
          <w:color w:val="1F3A5F"/>
          <w:sz w:val="23"/>
        </w:rPr>
        <w:t>12. R&amp;D &amp; Consultancy</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7</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RnD_Consultancy_Projects.pdf</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Funded &amp; consultancy projects evidence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R&amp;D Coordinator</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IQAC</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CAY-CAYm2</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PDF</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Criterion_7_RnD</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05-07-2025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Ongoing updates</w:t>
            </w:r>
          </w:p>
        </w:tc>
      </w:tr>
    </w:tbl>
    <w:p>
      <w:pPr>
        <w:keepNext/>
        <w:spacing w:before="200" w:after="80"/>
      </w:pPr>
      <w:r>
        <w:rPr>
          <w:rFonts w:ascii="Cambria" w:hAnsi="Cambria" w:eastAsia="Cambria"/>
          <w:b/>
          <w:i w:val="0"/>
          <w:color w:val="1F3A5F"/>
          <w:sz w:val="23"/>
        </w:rPr>
        <w:t>13. Publications &amp; Patents</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7</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Publications_2023-25.pdf</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Faculty publications, patents, and awards</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R&amp;D Coordinator</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HoD</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CAY-CAYm2</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PDF</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Criterion_7_RnD</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07-07-2025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Indexed journals added</w:t>
            </w:r>
          </w:p>
        </w:tc>
      </w:tr>
    </w:tbl>
    <w:p>
      <w:pPr>
        <w:keepNext/>
        <w:spacing w:before="200" w:after="80"/>
      </w:pPr>
      <w:r>
        <w:rPr>
          <w:rFonts w:ascii="Cambria" w:hAnsi="Cambria" w:eastAsia="Cambria"/>
          <w:b/>
          <w:i w:val="0"/>
          <w:color w:val="1F3A5F"/>
          <w:sz w:val="23"/>
        </w:rPr>
        <w:t>14. Teaching Evaluation</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8</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CIE_Assessment.pdf</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Internal exam, quiz &amp; assignment evidence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Exam Cell</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HoD</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CAY-CAYm2</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PDF</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Criterion_8_TLE</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09-07-2025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Complete</w:t>
            </w:r>
          </w:p>
        </w:tc>
      </w:tr>
    </w:tbl>
    <w:p>
      <w:pPr>
        <w:keepNext/>
        <w:spacing w:before="200" w:after="80"/>
      </w:pPr>
      <w:r>
        <w:rPr>
          <w:rFonts w:ascii="Cambria" w:hAnsi="Cambria" w:eastAsia="Cambria"/>
          <w:b/>
          <w:i w:val="0"/>
          <w:color w:val="1F3A5F"/>
          <w:sz w:val="23"/>
        </w:rPr>
        <w:t>15. Student Activities</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9</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Student_Achievements.pdf</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Events, competitions, memberships, awards</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Student Coordinator</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HoD</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CAY-CAYm2</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PDF</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Criterion_9_Activities</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12-07-2025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Photos attached</w:t>
            </w:r>
          </w:p>
        </w:tc>
      </w:tr>
    </w:tbl>
    <w:p>
      <w:pPr>
        <w:keepNext/>
        <w:spacing w:before="200" w:after="80"/>
      </w:pPr>
      <w:r>
        <w:rPr>
          <w:rFonts w:ascii="Cambria" w:hAnsi="Cambria" w:eastAsia="Cambria"/>
          <w:b/>
          <w:i w:val="0"/>
          <w:color w:val="1F3A5F"/>
          <w:sz w:val="23"/>
        </w:rPr>
        <w:t>16. Academic Audit</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10</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Audit_Report_2025.pdf</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Internal/external audit reports and ATRs</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IQAC Coordinator</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Principal</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CAY-CAYm2</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PDF</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Criterion_10_Audit</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15-07-2025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Fully compliant</w:t>
            </w:r>
          </w:p>
        </w:tc>
      </w:tr>
    </w:tbl>
    <w:p>
      <w:pPr>
        <w:keepNext/>
        <w:spacing w:before="200" w:after="80"/>
      </w:pPr>
      <w:r>
        <w:rPr>
          <w:rFonts w:ascii="Cambria" w:hAnsi="Cambria" w:eastAsia="Cambria"/>
          <w:b/>
          <w:i w:val="0"/>
          <w:color w:val="1F3A5F"/>
          <w:sz w:val="23"/>
        </w:rPr>
        <w:t>17. Continuous Improvement</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10</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CIP_ActionPlan.xlsx</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Quality enhancement initiatives &amp; outcomes</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IQAC</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HoD</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CAY-CAYm2</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Excel</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Criterion_10_Improvement</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18-07-2025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Improvement tracked</w:t>
            </w:r>
          </w:p>
        </w:tc>
      </w:tr>
    </w:tbl>
    <w:p>
      <w:pPr>
        <w:keepNext/>
        <w:spacing w:before="200" w:after="80"/>
      </w:pPr>
      <w:r>
        <w:rPr>
          <w:rFonts w:ascii="Cambria" w:hAnsi="Cambria" w:eastAsia="Cambria"/>
          <w:b/>
          <w:i w:val="0"/>
          <w:color w:val="1F3A5F"/>
          <w:sz w:val="23"/>
        </w:rPr>
        <w:t>18. Financial Records</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Budget_Utilization_3Years.xlsx</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Department budget allocation and utilization</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Finance Officer</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Principal</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CAY-CAYm2</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Excel</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Finance_Records</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20-07-2025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Verified</w:t>
            </w:r>
          </w:p>
        </w:tc>
      </w:tr>
    </w:tbl>
    <w:p>
      <w:pPr>
        <w:keepNext/>
        <w:spacing w:before="200" w:after="80"/>
      </w:pPr>
      <w:r>
        <w:rPr>
          <w:rFonts w:ascii="Cambria" w:hAnsi="Cambria" w:eastAsia="Cambria"/>
          <w:b/>
          <w:i w:val="0"/>
          <w:color w:val="1F3A5F"/>
          <w:sz w:val="23"/>
        </w:rPr>
        <w:t>19. MoUs &amp; Industry Links</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MoUs_Industry_2023-25.pdf</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Signed MoUs &amp; industry collaboration documents</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IIC Coordinator</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HoD</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CAY-CAYm2</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PDF</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Criterion_7_RnD</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Available</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22-07-2025</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Renewed</w:t>
            </w:r>
          </w:p>
        </w:tc>
      </w:tr>
    </w:tbl>
    <w:p>
      <w:pPr>
        <w:keepNext/>
        <w:spacing w:before="200" w:after="80"/>
      </w:pPr>
      <w:r>
        <w:rPr>
          <w:rFonts w:ascii="Cambria" w:hAnsi="Cambria" w:eastAsia="Cambria"/>
          <w:b/>
          <w:i w:val="0"/>
          <w:color w:val="1F3A5F"/>
          <w:sz w:val="23"/>
        </w:rPr>
        <w:t>20. Supporting Photos &amp; Proofs</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Criterion No.</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 Document Name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Photos_Events_Labs.zip</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Document Description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Visual evidence for labs, FDPs, projects, audits</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Responsible Faculty / In-Charge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NBA Coordinator</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Verification Authority</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IQAC</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Academic Year</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3 Years</w:t>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File Format</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File Location / Folder Path</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Status (Available/Pending)</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Last Verified Date</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r>
          </w:p>
        </w:tc>
      </w:tr>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Remarks / Action Required</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r>
          </w:p>
        </w:tc>
      </w:tr>
    </w:tbl>
    <w:p>
      <w:r>
        <w:br w:type="page"/>
      </w:r>
    </w:p>
    <w:p>
      <w:pPr>
        <w:keepNext/>
        <w:spacing w:before="240" w:after="160"/>
        <w:jc w:val="left"/>
      </w:pPr>
      <w:r>
        <w:rPr>
          <w:rFonts w:ascii="Cambria" w:hAnsi="Cambria" w:eastAsia="Cambria"/>
          <w:b/>
          <w:i w:val="0"/>
          <w:color w:val="1F3A5F"/>
          <w:sz w:val="25"/>
        </w:rPr>
        <w:t>4. P.1 NBA accreditation reports of past visits &amp; list of actions taken based on weaknesses and deficiencies of latest NBA visit (if any).</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 of Document: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present comprehensive evidence of continuous improvement and corrective measures implemented after previous NBA (National Board of Accreditation) visits.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institutional accountability, responsiveness, and alignment with Outcome-Based Education (OBE) standards.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Report Components: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1. Summary of Past NBA Visits: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Date(s) of visit(s).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Programme(s) accredited (UG/PG, department name, accreditation period).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Grade or status awarded (e.g., Accredited / Provisionally Accredited / Deferred).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2. Identified Weaknesses and Deficiencies: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Detailed list of shortcomings noted by the NBA Peer Team.</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Category-wise classification (Curriculum, Faculty, Infrastructure, Assessment, R&amp;D, Industry Linkages, etc.).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3. Corrective Actions Taken: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Point-by-point action plan to address each identified weakness.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of implementation (e.g., BoS minutes, revised course files, lab upgrades, FDPs conducted, new MoUs, placement cell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4. Monitoring and Review:</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Periodic review mechanism by IQAC/NBA Coordinator.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Outcome tracking via KPIs (faculty–student ratio, attainment metrics, placement trends).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5. Status of Compliance: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report highlighting resolved, partially resolved, and pending issues.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Supporting documents (photographs, circulars, minutes of meetings, budget utilization statements).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Documentation &amp; Evidence: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i/>
          <w:color w:val="000000"/>
          <w:sz w:val="22"/>
        </w:rPr>
        <w:t>NBA Peer Team Report</w:t>
      </w:r>
      <w:r>
        <w:rPr>
          <w:rFonts w:ascii="Cambria" w:hAnsi="Cambria" w:eastAsia="Cambria"/>
          <w:b w:val="0"/>
          <w:i w:val="0"/>
          <w:color w:val="000000"/>
          <w:sz w:val="22"/>
        </w:rPr>
        <w:t xml:space="preserve"> (previous cycle).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i/>
          <w:color w:val="000000"/>
          <w:sz w:val="22"/>
        </w:rPr>
        <w:t>Self-Assessment Reports (SAR)</w:t>
      </w:r>
      <w:r>
        <w:rPr>
          <w:rFonts w:ascii="Cambria" w:hAnsi="Cambria" w:eastAsia="Cambria"/>
          <w:b w:val="0"/>
          <w:i w:val="0"/>
          <w:color w:val="000000"/>
          <w:sz w:val="22"/>
        </w:rPr>
        <w:t xml:space="preserve"> submitted for each programme.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i/>
          <w:color w:val="000000"/>
          <w:sz w:val="22"/>
        </w:rPr>
        <w:t>Action Taken Reports (ATR)</w:t>
      </w:r>
      <w:r>
        <w:rPr>
          <w:rFonts w:ascii="Cambria" w:hAnsi="Cambria" w:eastAsia="Cambria"/>
          <w:b w:val="0"/>
          <w:i w:val="0"/>
          <w:color w:val="000000"/>
          <w:sz w:val="22"/>
        </w:rPr>
        <w:t xml:space="preserve"> highlighting responses to weaknesses and deficiencies.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i/>
          <w:color w:val="000000"/>
          <w:sz w:val="22"/>
        </w:rPr>
        <w:t>Follow-up correspondence</w:t>
      </w:r>
      <w:r>
        <w:rPr>
          <w:rFonts w:ascii="Cambria" w:hAnsi="Cambria" w:eastAsia="Cambria"/>
          <w:b w:val="0"/>
          <w:i w:val="0"/>
          <w:color w:val="000000"/>
          <w:sz w:val="22"/>
        </w:rPr>
        <w:t xml:space="preserve"> with NBA and compliance status updates.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Output: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 consolidated “NBA Visit Action Report” (max 10 pages) with:</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Table mapping </w:t>
      </w:r>
      <w:r>
        <w:rPr>
          <w:rFonts w:ascii="Cambria" w:hAnsi="Cambria" w:eastAsia="Cambria"/>
          <w:b w:val="0"/>
          <w:i/>
          <w:color w:val="000000"/>
          <w:sz w:val="22"/>
        </w:rPr>
        <w:t>Observation</w:t>
      </w:r>
      <w:r>
        <w:rPr>
          <w:rFonts w:ascii="Cambria" w:hAnsi="Cambria" w:eastAsia="Cambria"/>
          <w:b w:val="0"/>
          <w:i w:val="0"/>
          <w:color w:val="000000"/>
          <w:sz w:val="22"/>
        </w:rPr>
        <w:t xml:space="preserve"> → </w:t>
      </w:r>
      <w:r>
        <w:rPr>
          <w:rFonts w:ascii="Cambria" w:hAnsi="Cambria" w:eastAsia="Cambria"/>
          <w:b w:val="0"/>
          <w:i/>
          <w:color w:val="000000"/>
          <w:sz w:val="22"/>
        </w:rPr>
        <w:t>Action Taken</w:t>
      </w:r>
      <w:r>
        <w:rPr>
          <w:rFonts w:ascii="Cambria" w:hAnsi="Cambria" w:eastAsia="Cambria"/>
          <w:b w:val="0"/>
          <w:i w:val="0"/>
          <w:color w:val="000000"/>
          <w:sz w:val="22"/>
        </w:rPr>
        <w:t xml:space="preserve"> → </w:t>
      </w:r>
      <w:r>
        <w:rPr>
          <w:rFonts w:ascii="Cambria" w:hAnsi="Cambria" w:eastAsia="Cambria"/>
          <w:b w:val="0"/>
          <w:i/>
          <w:color w:val="000000"/>
          <w:sz w:val="22"/>
        </w:rPr>
        <w:t>Evidence</w:t>
      </w:r>
      <w:r>
        <w:rPr>
          <w:rFonts w:ascii="Cambria" w:hAnsi="Cambria" w:eastAsia="Cambria"/>
          <w:b w:val="0"/>
          <w:i w:val="0"/>
          <w:color w:val="000000"/>
          <w:sz w:val="22"/>
        </w:rPr>
        <w:t xml:space="preserve"> → </w:t>
      </w:r>
      <w:r>
        <w:rPr>
          <w:rFonts w:ascii="Cambria" w:hAnsi="Cambria" w:eastAsia="Cambria"/>
          <w:b w:val="0"/>
          <w:i/>
          <w:color w:val="000000"/>
          <w:sz w:val="22"/>
        </w:rPr>
        <w:t>Status</w:t>
      </w:r>
      <w:r>
        <w:rPr>
          <w:rFonts w:ascii="Cambria" w:hAnsi="Cambria" w:eastAsia="Cambria"/>
          <w:b w:val="0"/>
          <w:i w:val="0"/>
          <w:color w:val="000000"/>
          <w:sz w:val="22"/>
        </w:rPr>
        <w: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Annexure: Supporting documents (MoUs, revised curriculum, lab purchase records).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Traceability Table Format Example:</w:t>
      </w:r>
    </w:p>
    <w:tbl>
      <w:tblPr>
        <w:tblW w:type="auto" w:w="0"/>
        <w:jc w:val="center"/>
        <w:tblLook w:firstColumn="1" w:firstRow="1" w:lastColumn="0" w:lastRow="0" w:noHBand="0" w:noVBand="1" w:val="04A0"/>
        <w:tblLayout w:type="fixed"/>
        <w:tblLayout w:type="fixed"/>
      </w:tblPr>
      <w:tblGrid>
        <w:gridCol w:w="1474"/>
        <w:gridCol w:w="1134"/>
        <w:gridCol w:w="2041"/>
        <w:gridCol w:w="1474"/>
        <w:gridCol w:w="1020"/>
        <w:gridCol w:w="1474"/>
      </w:tblGrid>
      <w:tr>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9"/>
              </w:rPr>
              <w:t>Observation (from NBA)</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9"/>
              </w:rPr>
              <w:t>Weakness Area</w:t>
            </w:r>
          </w:p>
        </w:tc>
        <w:tc>
          <w:tcPr>
            <w:tcW w:type="dxa" w:w="2041"/>
            <w:tcBorders>
              <w:top w:val="single" w:sz="4" w:space="0" w:color="BFBFBF"/>
              <w:left w:val="single" w:sz="4" w:space="0" w:color="BFBFBF"/>
              <w:bottom w:val="single" w:sz="4" w:space="0" w:color="BFBFBF"/>
              <w:right w:val="single" w:sz="4" w:space="0" w:color="BFBFBF"/>
            </w:tcBorders>
            <w:tcW w:w="2041" w:type="dxa"/>
            <w:shd w:val="clear" w:color="auto" w:fill="1F3A5F"/>
            <w:tcW w:w="2041" w:type="dxa"/>
          </w:tcPr>
          <w:p>
            <w:pPr>
              <w:spacing w:after="40" w:before="40" w:line="264" w:lineRule="auto"/>
              <w:jc w:val="center"/>
            </w:pPr>
            <w:r/>
            <w:r>
              <w:rPr>
                <w:rFonts w:ascii="Cambria" w:hAnsi="Cambria" w:eastAsia="Cambria"/>
                <w:b/>
                <w:i w:val="0"/>
                <w:color w:val="FFFFFF"/>
                <w:sz w:val="19"/>
              </w:rPr>
              <w:t>Action Taken</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9"/>
              </w:rPr>
              <w:t>Evidence</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9"/>
              </w:rPr>
              <w:t>Status</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9"/>
              </w:rPr>
              <w:t>Remarks</w:t>
            </w:r>
          </w:p>
        </w:tc>
      </w:tr>
      <w:tr>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9"/>
              </w:rPr>
              <w:t>Limited industry exposure for students</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9"/>
              </w:rPr>
              <w:t>Industry Linkages</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9"/>
              </w:rPr>
              <w:t>Signed 5 MoUs with industries; initiated internship portal</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9"/>
              </w:rPr>
              <w:t>Copies of MoUs, Internship list</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9"/>
              </w:rPr>
              <w:t>Resolved</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9"/>
              </w:rPr>
              <w:t>Continuous review by HoD</w:t>
            </w:r>
          </w:p>
        </w:tc>
      </w:tr>
      <w:tr>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9"/>
              </w:rPr>
              <w:t>Insufficient lab equipment</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9"/>
              </w:rPr>
              <w:t>Infrastructure</w:t>
            </w:r>
          </w:p>
        </w:tc>
        <w:tc>
          <w:tcPr>
            <w:tcW w:type="dxa" w:w="2041"/>
            <w:shd w:val="clear" w:color="auto" w:fill="FFFFFF"/>
            <w:tcW w:w="2041" w:type="dxa"/>
          </w:tcPr>
          <w:p>
            <w:pPr>
              <w:spacing w:after="40" w:before="40" w:line="264" w:lineRule="auto"/>
              <w:jc w:val="left"/>
            </w:pPr>
            <w:r/>
            <w:r>
              <w:rPr>
                <w:rFonts w:ascii="Cambria" w:hAnsi="Cambria" w:eastAsia="Cambria"/>
                <w:b w:val="0"/>
                <w:i w:val="0"/>
                <w:color w:val="000000"/>
                <w:sz w:val="19"/>
              </w:rPr>
              <w:t>Purchased new IoT kits, upgraded sensors and PLC setup</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9"/>
              </w:rPr>
              <w:t>Invoice, lab photographs</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9"/>
              </w:rPr>
              <w:t>Resolved</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9"/>
              </w:rPr>
              <w:t>Verified during audit</w:t>
            </w:r>
          </w:p>
        </w:tc>
      </w:tr>
      <w:tr>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9"/>
              </w:rPr>
              <w:t>Low attainment in PO3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9"/>
              </w:rPr>
              <w:t>Curriculum Delivery</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9"/>
              </w:rPr>
              <w:t>Revised assessments, introduced practical-based evaluation</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9"/>
              </w:rPr>
              <w:t>Revised CO-PO matrix</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9"/>
              </w:rPr>
              <w:t>In Progress</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9"/>
              </w:rPr>
              <w:t>Review next cycle</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Demonstrates the department's proactive approach to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Strengthens readiness for next NBA accreditation cycle.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Provides clear evidence for </w:t>
      </w:r>
      <w:r>
        <w:rPr>
          <w:rFonts w:ascii="Cambria" w:hAnsi="Cambria" w:eastAsia="Cambria"/>
          <w:b w:val="0"/>
          <w:i/>
          <w:color w:val="000000"/>
          <w:sz w:val="22"/>
        </w:rPr>
        <w:t>Criterion 7 – Continuous Improvement</w:t>
      </w:r>
      <w:r>
        <w:rPr>
          <w:rFonts w:ascii="Cambria" w:hAnsi="Cambria" w:eastAsia="Cambria"/>
          <w:b w:val="0"/>
          <w:i w:val="0"/>
          <w:color w:val="000000"/>
          <w:sz w:val="22"/>
        </w:rPr>
        <w:t xml:space="preserve"> and </w:t>
      </w:r>
      <w:r>
        <w:rPr>
          <w:rFonts w:ascii="Cambria" w:hAnsi="Cambria" w:eastAsia="Cambria"/>
          <w:b w:val="0"/>
          <w:i/>
          <w:color w:val="000000"/>
          <w:sz w:val="22"/>
        </w:rPr>
        <w:t>Criterion 8 – First Year Academics</w:t>
      </w:r>
      <w:r>
        <w:rPr>
          <w:rFonts w:ascii="Cambria" w:hAnsi="Cambria" w:eastAsia="Cambria"/>
          <w:b w:val="0"/>
          <w:i w:val="0"/>
          <w:color w:val="000000"/>
          <w:sz w:val="22"/>
        </w:rPr>
        <w:t xml:space="preserve"> in SAR.</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NBA Accreditation Reports &amp; Action Taken Summary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maintain comprehensive institutional evidence of NBA accreditation history and the corrective actions implemented after each evaluation cycle.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ensure readiness for future accreditation and external audits through systematic documentation.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Keep records of NBA accreditation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Copies of all </w:t>
      </w:r>
      <w:r>
        <w:rPr>
          <w:rFonts w:ascii="Cambria" w:hAnsi="Cambria" w:eastAsia="Cambria"/>
          <w:b w:val="0"/>
          <w:i/>
          <w:color w:val="000000"/>
          <w:sz w:val="22"/>
        </w:rPr>
        <w:t>NBA Peer Team Reports</w:t>
      </w:r>
      <w:r>
        <w:rPr>
          <w:rFonts w:ascii="Cambria" w:hAnsi="Cambria" w:eastAsia="Cambria"/>
          <w:b w:val="0"/>
          <w:i w:val="0"/>
          <w:color w:val="000000"/>
          <w:sz w:val="22"/>
        </w:rPr>
        <w:t xml:space="preserve"> from previous visits.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Self-Assessment Reports (SAR)</w:t>
      </w:r>
      <w:r>
        <w:rPr>
          <w:rFonts w:ascii="Cambria" w:hAnsi="Cambria" w:eastAsia="Cambria"/>
          <w:b w:val="0"/>
          <w:i w:val="0"/>
          <w:color w:val="000000"/>
          <w:sz w:val="22"/>
        </w:rPr>
        <w:t xml:space="preserve"> submitted for each programme.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Action Taken Reports (ATR)</w:t>
      </w:r>
      <w:r>
        <w:rPr>
          <w:rFonts w:ascii="Cambria" w:hAnsi="Cambria" w:eastAsia="Cambria"/>
          <w:b w:val="0"/>
          <w:i w:val="0"/>
          <w:color w:val="000000"/>
          <w:sz w:val="22"/>
        </w:rPr>
        <w:t xml:space="preserve"> highlighting responses to weaknesses and deficiencies.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Follow-up correspondence</w:t>
      </w:r>
      <w:r>
        <w:rPr>
          <w:rFonts w:ascii="Cambria" w:hAnsi="Cambria" w:eastAsia="Cambria"/>
          <w:b w:val="0"/>
          <w:i w:val="0"/>
          <w:color w:val="000000"/>
          <w:sz w:val="22"/>
        </w:rPr>
        <w:t xml:space="preserve"> with NBA and compliance status updates.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Additional Supporting Documents (Recommended):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Keep records of NAAC report (if College is NAAC accredited).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SSR (Self-Study Report), DVV clarification documents, and AQARs.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Peer Team Report and accreditation grade/cycle details.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Keep records of AICTE recognition (affiliations/recognitions).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AICTE approval letters (year-wise).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Extended EoA (Extension of Approval)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Keep records of University affiliation (affiliations/recognitions).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University affiliation/continuation letters.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 approval notifications and correspondence records.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latest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all evidence and corrective actions directly with the SAR criteria (especially Criterion 7 –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Maintain traceability between </w:t>
      </w:r>
      <w:r>
        <w:rPr>
          <w:rFonts w:ascii="Cambria" w:hAnsi="Cambria" w:eastAsia="Cambria"/>
          <w:b w:val="0"/>
          <w:i/>
          <w:color w:val="000000"/>
          <w:sz w:val="22"/>
        </w:rPr>
        <w:t>NBA Observation</w:t>
      </w:r>
      <w:r>
        <w:rPr>
          <w:rFonts w:ascii="Cambria" w:hAnsi="Cambria" w:eastAsia="Cambria"/>
          <w:b w:val="0"/>
          <w:i w:val="0"/>
          <w:color w:val="000000"/>
          <w:sz w:val="22"/>
        </w:rPr>
        <w:t xml:space="preserve"> → </w:t>
      </w:r>
      <w:r>
        <w:rPr>
          <w:rFonts w:ascii="Cambria" w:hAnsi="Cambria" w:eastAsia="Cambria"/>
          <w:b w:val="0"/>
          <w:i/>
          <w:color w:val="000000"/>
          <w:sz w:val="22"/>
        </w:rPr>
        <w:t>SAR Evidence</w:t>
      </w:r>
      <w:r>
        <w:rPr>
          <w:rFonts w:ascii="Cambria" w:hAnsi="Cambria" w:eastAsia="Cambria"/>
          <w:b w:val="0"/>
          <w:i w:val="0"/>
          <w:color w:val="000000"/>
          <w:sz w:val="22"/>
        </w:rPr>
        <w:t xml:space="preserve"> → </w:t>
      </w:r>
      <w:r>
        <w:rPr>
          <w:rFonts w:ascii="Cambria" w:hAnsi="Cambria" w:eastAsia="Cambria"/>
          <w:b w:val="0"/>
          <w:i/>
          <w:color w:val="000000"/>
          <w:sz w:val="22"/>
        </w:rPr>
        <w:t>Action Taken</w:t>
      </w:r>
      <w:r>
        <w:rPr>
          <w:rFonts w:ascii="Cambria" w:hAnsi="Cambria" w:eastAsia="Cambria"/>
          <w:b w:val="0"/>
          <w:i w:val="0"/>
          <w:color w:val="000000"/>
          <w:sz w:val="22"/>
        </w:rPr>
        <w:t xml:space="preserve"> → </w:t>
      </w:r>
      <w:r>
        <w:rPr>
          <w:rFonts w:ascii="Cambria" w:hAnsi="Cambria" w:eastAsia="Cambria"/>
          <w:b w:val="0"/>
          <w:i/>
          <w:color w:val="000000"/>
          <w:sz w:val="22"/>
        </w:rPr>
        <w:t>Outcome</w:t>
      </w:r>
      <w:r>
        <w:rPr>
          <w:rFonts w:ascii="Cambria" w:hAnsi="Cambria" w:eastAsia="Cambria"/>
          <w:b w:val="0"/>
          <w:i w:val="0"/>
          <w:color w:val="000000"/>
          <w:sz w:val="22"/>
        </w:rPr>
        <w: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Update the </w:t>
      </w:r>
      <w:r>
        <w:rPr>
          <w:rFonts w:ascii="Cambria" w:hAnsi="Cambria" w:eastAsia="Cambria"/>
          <w:b w:val="0"/>
          <w:i/>
          <w:color w:val="000000"/>
          <w:sz w:val="22"/>
        </w:rPr>
        <w:t>Department Quality File</w:t>
      </w:r>
      <w:r>
        <w:rPr>
          <w:rFonts w:ascii="Cambria" w:hAnsi="Cambria" w:eastAsia="Cambria"/>
          <w:b w:val="0"/>
          <w:i w:val="0"/>
          <w:color w:val="000000"/>
          <w:sz w:val="22"/>
        </w:rPr>
        <w:t xml:space="preserve"> after every accreditation cycle.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Record Maintenance Table:</w:t>
      </w:r>
    </w:p>
    <w:tbl>
      <w:tblPr>
        <w:tblW w:type="auto" w:w="0"/>
        <w:jc w:val="center"/>
        <w:tblLook w:firstColumn="1" w:firstRow="1" w:lastColumn="0" w:lastRow="0" w:noHBand="0" w:noVBand="1" w:val="04A0"/>
        <w:tblLayout w:type="fixed"/>
        <w:tblLayout w:type="fixed"/>
      </w:tblPr>
      <w:tblGrid>
        <w:gridCol w:w="1134"/>
        <w:gridCol w:w="1474"/>
        <w:gridCol w:w="737"/>
        <w:gridCol w:w="1814"/>
        <w:gridCol w:w="1474"/>
        <w:gridCol w:w="1928"/>
      </w:tblGrid>
      <w:tr>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9"/>
              </w:rPr>
              <w:t>Category</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9"/>
              </w:rPr>
              <w:t>Document Type</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9"/>
              </w:rPr>
              <w:t>Year</w:t>
            </w:r>
          </w:p>
        </w:tc>
        <w:tc>
          <w:tcPr>
            <w:tcW w:type="dxa" w:w="1814"/>
            <w:tcBorders>
              <w:top w:val="single" w:sz="4" w:space="0" w:color="BFBFBF"/>
              <w:left w:val="single" w:sz="4" w:space="0" w:color="BFBFBF"/>
              <w:bottom w:val="single" w:sz="4" w:space="0" w:color="BFBFBF"/>
              <w:right w:val="single" w:sz="4" w:space="0" w:color="BFBFBF"/>
            </w:tcBorders>
            <w:tcW w:w="1814" w:type="dxa"/>
            <w:shd w:val="clear" w:color="auto" w:fill="1F3A5F"/>
            <w:tcW w:w="1814" w:type="dxa"/>
          </w:tcPr>
          <w:p>
            <w:pPr>
              <w:spacing w:after="40" w:before="40" w:line="264" w:lineRule="auto"/>
              <w:jc w:val="center"/>
            </w:pPr>
            <w:r/>
            <w:r>
              <w:rPr>
                <w:rFonts w:ascii="Cambria" w:hAnsi="Cambria" w:eastAsia="Cambria"/>
                <w:b/>
                <w:i w:val="0"/>
                <w:color w:val="FFFFFF"/>
                <w:sz w:val="19"/>
              </w:rPr>
              <w:t>Reference Number</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9"/>
              </w:rPr>
              <w:t>Storage Location</w:t>
            </w:r>
          </w:p>
        </w:tc>
        <w:tc>
          <w:tcPr>
            <w:tcW w:type="dxa" w:w="1928"/>
            <w:tcBorders>
              <w:top w:val="single" w:sz="4" w:space="0" w:color="BFBFBF"/>
              <w:left w:val="single" w:sz="4" w:space="0" w:color="BFBFBF"/>
              <w:bottom w:val="single" w:sz="4" w:space="0" w:color="BFBFBF"/>
              <w:right w:val="single" w:sz="4" w:space="0" w:color="BFBFBF"/>
            </w:tcBorders>
            <w:tcW w:w="1928" w:type="dxa"/>
            <w:shd w:val="clear" w:color="auto" w:fill="1F3A5F"/>
            <w:tcW w:w="1928" w:type="dxa"/>
          </w:tcPr>
          <w:p>
            <w:pPr>
              <w:spacing w:after="40" w:before="40" w:line="264" w:lineRule="auto"/>
              <w:jc w:val="center"/>
            </w:pPr>
            <w:r/>
            <w:r>
              <w:rPr>
                <w:rFonts w:ascii="Cambria" w:hAnsi="Cambria" w:eastAsia="Cambria"/>
                <w:b/>
                <w:i w:val="0"/>
                <w:color w:val="FFFFFF"/>
                <w:sz w:val="19"/>
              </w:rPr>
              <w:t>Remarks</w:t>
            </w:r>
          </w:p>
        </w:tc>
      </w:tr>
      <w:tr>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9"/>
              </w:rPr>
              <w:t>NBA</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9"/>
              </w:rPr>
              <w:t>Peer Team Report</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9"/>
              </w:rPr>
              <w:t>2022</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9"/>
              </w:rPr>
              <w:t>NBA/MECH/2022/05</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9"/>
              </w:rPr>
              <w:t>Dept. Quality File</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9"/>
              </w:rPr>
              <w:t>Accredited for 3 years</w:t>
            </w:r>
          </w:p>
        </w:tc>
      </w:tr>
      <w:tr>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9"/>
              </w:rPr>
              <w:t>NBA</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9"/>
              </w:rPr>
              <w:t>Action Taken Report</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9"/>
              </w:rPr>
              <w:t>2023</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9"/>
              </w:rPr>
              <w:t>IQAC/ATR/NBA/2023</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9"/>
              </w:rPr>
              <w:t>IQAC Repository</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9"/>
              </w:rPr>
              <w:t>All deficiencies addressed</w:t>
            </w:r>
          </w:p>
        </w:tc>
      </w:tr>
      <w:tr>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9"/>
              </w:rPr>
              <w:t>NAAC</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9"/>
              </w:rPr>
              <w:t>Peer Team Report</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9"/>
              </w:rPr>
              <w:t>2021</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9"/>
              </w:rPr>
              <w:t>NAAC/Inst/2021/07</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9"/>
              </w:rPr>
              <w:t>Principal's Office</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9"/>
              </w:rPr>
              <w:t>A+ Grade</w:t>
            </w:r>
          </w:p>
        </w:tc>
      </w:tr>
      <w:tr>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9"/>
              </w:rPr>
              <w:t>AICTE</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9"/>
              </w:rPr>
              <w:t>Approval Letter</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9"/>
              </w:rPr>
              <w:t>2024</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9"/>
              </w:rPr>
              <w:t>AICTE/EoA/2024-25</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9"/>
              </w:rPr>
              <w:t>Admin Office</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9"/>
              </w:rPr>
              <w:t>Renewal received</w:t>
            </w:r>
          </w:p>
        </w:tc>
      </w:tr>
      <w:tr>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9"/>
              </w:rPr>
              <w:t>University</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9"/>
              </w:rPr>
              <w:t>Affiliation Letter</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9"/>
              </w:rPr>
              <w:t>2024</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9"/>
              </w:rPr>
              <w:t>Univ/Engg/2024-25</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9"/>
              </w:rPr>
              <w:t>Registrar Office</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9"/>
              </w:rPr>
              <w:t>Valid till 2026</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Comprehensive accreditation record repository for all regulatory bodies (NBA, NAAC, AICTE, University).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Traceable and verifiable documentation aligned with </w:t>
      </w:r>
      <w:r>
        <w:rPr>
          <w:rFonts w:ascii="Cambria" w:hAnsi="Cambria" w:eastAsia="Cambria"/>
          <w:b w:val="0"/>
          <w:i/>
          <w:color w:val="000000"/>
          <w:sz w:val="22"/>
        </w:rPr>
        <w:t>SAR evidence structure</w:t>
      </w:r>
      <w:r>
        <w:rPr>
          <w:rFonts w:ascii="Cambria" w:hAnsi="Cambria" w:eastAsia="Cambria"/>
          <w:b w:val="0"/>
          <w:i w:val="0"/>
          <w:color w:val="000000"/>
          <w:sz w:val="22"/>
        </w:rPr>
        <w: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Enhanced preparedness for next accreditation/review cycle through structured document management.</w:t>
      </w:r>
    </w:p>
    <w:p>
      <w:r>
        <w:br w:type="page"/>
      </w:r>
    </w:p>
    <w:p>
      <w:pPr>
        <w:keepNext/>
        <w:spacing w:before="240" w:after="160"/>
        <w:jc w:val="left"/>
      </w:pPr>
      <w:r>
        <w:rPr>
          <w:rFonts w:ascii="Cambria" w:hAnsi="Cambria" w:eastAsia="Cambria"/>
          <w:b/>
          <w:i w:val="0"/>
          <w:color w:val="1F3A5F"/>
          <w:sz w:val="25"/>
        </w:rPr>
        <w:t>5. P.2 Evidences of program specific budget allocation and utilization in the last 3 years and sample bills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transparent and effective financial planning, allocation, and utilization for each programme under NBA accreditation.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documentary proof that financial resources are systematically directed towards academic, laboratory, research, and student development activities.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Departmental / Program Budget Files: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Annual budget proposals prepared by the Department.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Budget approvals sanctioned by the Head of Institution / Finance Committee.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Year-wise allocation for the last three financial years.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Budget Utilization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Expenditure statements certified by the Accounts Section.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Category-wise expenditure summaries (e.g., Lab Upgradation, Library, FDPs, Student Activities).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Comparison of </w:t>
      </w:r>
      <w:r>
        <w:rPr>
          <w:rFonts w:ascii="Cambria" w:hAnsi="Cambria" w:eastAsia="Cambria"/>
          <w:b w:val="0"/>
          <w:i/>
          <w:color w:val="000000"/>
          <w:sz w:val="22"/>
        </w:rPr>
        <w:t>Budget Allocated vs. Budget Utilized</w:t>
      </w:r>
      <w:r>
        <w:rPr>
          <w:rFonts w:ascii="Cambria" w:hAnsi="Cambria" w:eastAsia="Cambria"/>
          <w:b w:val="0"/>
          <w:i w:val="0"/>
          <w:color w:val="000000"/>
          <w:sz w:val="22"/>
        </w:rPr>
        <w:t xml:space="preserve"> for each year.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Supporting Financial Evidences: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Sample Bills, Invoices, Purchase Orders,</w:t>
      </w:r>
      <w:r>
        <w:rPr>
          <w:rFonts w:ascii="Cambria" w:hAnsi="Cambria" w:eastAsia="Cambria"/>
          <w:b w:val="0"/>
          <w:i w:val="0"/>
          <w:color w:val="000000"/>
          <w:sz w:val="22"/>
        </w:rPr>
        <w:t xml:space="preserve"> and </w:t>
      </w:r>
      <w:r>
        <w:rPr>
          <w:rFonts w:ascii="Cambria" w:hAnsi="Cambria" w:eastAsia="Cambria"/>
          <w:b w:val="0"/>
          <w:i/>
          <w:color w:val="000000"/>
          <w:sz w:val="22"/>
        </w:rPr>
        <w:t>Payment Receipts</w:t>
      </w:r>
      <w:r>
        <w:rPr>
          <w:rFonts w:ascii="Cambria" w:hAnsi="Cambria" w:eastAsia="Cambria"/>
          <w:b w:val="0"/>
          <w:i w:val="0"/>
          <w:color w:val="000000"/>
          <w:sz w:val="22"/>
        </w:rPr>
        <w:t xml:space="preserve"> (minimum three per year).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Stock Register Entries</w:t>
      </w:r>
      <w:r>
        <w:rPr>
          <w:rFonts w:ascii="Cambria" w:hAnsi="Cambria" w:eastAsia="Cambria"/>
          <w:b w:val="0"/>
          <w:i w:val="0"/>
          <w:color w:val="000000"/>
          <w:sz w:val="22"/>
        </w:rPr>
        <w:t xml:space="preserve"> showing receipt of equipment/materials.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Audit Reports</w:t>
      </w:r>
      <w:r>
        <w:rPr>
          <w:rFonts w:ascii="Cambria" w:hAnsi="Cambria" w:eastAsia="Cambria"/>
          <w:b w:val="0"/>
          <w:i w:val="0"/>
          <w:color w:val="000000"/>
          <w:sz w:val="22"/>
        </w:rPr>
        <w:t xml:space="preserve"> confirming utilization authenticity.</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Keep records of 3 years (CAY, CAYm1, CAYm2).</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Maintain detailed financial records for Current Academic Year (CAY), CAY minus 1 (CAYm1), and CAY minus 2 (CAYm2).</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Include both budget sanction orders and expenditure proofs.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Keep records of budget and utilization for department.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Department-level summary of funds allocated under heads such as laboratory development, seminars, library, research, and maintenance.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Include copies of annual budget proposals, approval memos, and expenditure certificates.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Keep records of budget and utilization for program level.</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Programme-wise breakup of financial utilization (e.g., B.Tech Mechanical, B.Tech ECE, M.Tech Data Science).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Include statements signed by the HoD and Accounts Officer.</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In case, if you were unable to utilize amount, give justification.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Provide reasons for unutilized funds (e.g., delayed procurement, fund reallocation, project cancellation).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val="0"/>
          <w:color w:val="000000"/>
          <w:sz w:val="22"/>
        </w:rPr>
        <w:t>Keep proceedings of that for CAY, CAYm1, CAYm2 – include departmental meeting minutes or correspondence regarding fund re-appropriation.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Additional Recommended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Copy of </w:t>
      </w:r>
      <w:r>
        <w:rPr>
          <w:rFonts w:ascii="Cambria" w:hAnsi="Cambria" w:eastAsia="Cambria"/>
          <w:b w:val="0"/>
          <w:i/>
          <w:color w:val="000000"/>
          <w:sz w:val="22"/>
        </w:rPr>
        <w:t>Department Budget Proposal</w:t>
      </w:r>
      <w:r>
        <w:rPr>
          <w:rFonts w:ascii="Cambria" w:hAnsi="Cambria" w:eastAsia="Cambria"/>
          <w:b w:val="0"/>
          <w:i w:val="0"/>
          <w:color w:val="000000"/>
          <w:sz w:val="22"/>
        </w:rPr>
        <w:t xml:space="preserve"> submitted to Finance Office.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Utilization Certificate</w:t>
      </w:r>
      <w:r>
        <w:rPr>
          <w:rFonts w:ascii="Cambria" w:hAnsi="Cambria" w:eastAsia="Cambria"/>
          <w:b w:val="0"/>
          <w:i w:val="0"/>
          <w:color w:val="000000"/>
          <w:sz w:val="22"/>
        </w:rPr>
        <w:t xml:space="preserve"> signed by HoD and Accounts Officer.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Approval Notes / Office Orders</w:t>
      </w:r>
      <w:r>
        <w:rPr>
          <w:rFonts w:ascii="Cambria" w:hAnsi="Cambria" w:eastAsia="Cambria"/>
          <w:b w:val="0"/>
          <w:i w:val="0"/>
          <w:color w:val="000000"/>
          <w:sz w:val="22"/>
        </w:rPr>
        <w:t xml:space="preserve"> for sanctioned expenditures.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Internal Audit Reports</w:t>
      </w:r>
      <w:r>
        <w:rPr>
          <w:rFonts w:ascii="Cambria" w:hAnsi="Cambria" w:eastAsia="Cambria"/>
          <w:b w:val="0"/>
          <w:i w:val="0"/>
          <w:color w:val="000000"/>
          <w:sz w:val="22"/>
        </w:rPr>
        <w:t xml:space="preserve"> or </w:t>
      </w:r>
      <w:r>
        <w:rPr>
          <w:rFonts w:ascii="Cambria" w:hAnsi="Cambria" w:eastAsia="Cambria"/>
          <w:b w:val="0"/>
          <w:i/>
          <w:color w:val="000000"/>
          <w:sz w:val="22"/>
        </w:rPr>
        <w:t>External Auditor Remarks</w:t>
      </w:r>
      <w:r>
        <w:rPr>
          <w:rFonts w:ascii="Cambria" w:hAnsi="Cambria" w:eastAsia="Cambria"/>
          <w:b w:val="0"/>
          <w:i w:val="0"/>
          <w:color w:val="000000"/>
          <w:sz w:val="22"/>
        </w:rPr>
        <w:t xml:space="preserve"> if available.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Budget Record Table:</w:t>
      </w:r>
    </w:p>
    <w:tbl>
      <w:tblPr>
        <w:tblW w:type="auto" w:w="0"/>
        <w:jc w:val="center"/>
        <w:tblLook w:firstColumn="1" w:firstRow="1" w:lastColumn="0" w:lastRow="0" w:noHBand="0" w:noVBand="1" w:val="04A0"/>
        <w:tblLayout w:type="fixed"/>
        <w:tblLayout w:type="fixed"/>
      </w:tblPr>
      <w:tblGrid>
        <w:gridCol w:w="907"/>
        <w:gridCol w:w="1134"/>
        <w:gridCol w:w="1134"/>
        <w:gridCol w:w="737"/>
        <w:gridCol w:w="1928"/>
        <w:gridCol w:w="1587"/>
        <w:gridCol w:w="1134"/>
      </w:tblGrid>
      <w:tr>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9"/>
              </w:rPr>
              <w:t>Year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9"/>
              </w:rPr>
              <w:t>Total Allocation (₹)</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9"/>
              </w:rPr>
              <w:t>Utilization (₹)</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9"/>
              </w:rPr>
              <w:t>% Util.</w:t>
            </w:r>
          </w:p>
        </w:tc>
        <w:tc>
          <w:tcPr>
            <w:tcW w:type="dxa" w:w="1928"/>
            <w:tcBorders>
              <w:top w:val="single" w:sz="4" w:space="0" w:color="BFBFBF"/>
              <w:left w:val="single" w:sz="4" w:space="0" w:color="BFBFBF"/>
              <w:bottom w:val="single" w:sz="4" w:space="0" w:color="BFBFBF"/>
              <w:right w:val="single" w:sz="4" w:space="0" w:color="BFBFBF"/>
            </w:tcBorders>
            <w:tcW w:w="1928" w:type="dxa"/>
            <w:shd w:val="clear" w:color="auto" w:fill="1F3A5F"/>
            <w:tcW w:w="1928" w:type="dxa"/>
          </w:tcPr>
          <w:p>
            <w:pPr>
              <w:spacing w:after="40" w:before="40" w:line="264" w:lineRule="auto"/>
              <w:jc w:val="center"/>
            </w:pPr>
            <w:r/>
            <w:r>
              <w:rPr>
                <w:rFonts w:ascii="Cambria" w:hAnsi="Cambria" w:eastAsia="Cambria"/>
                <w:b/>
                <w:i w:val="0"/>
                <w:color w:val="FFFFFF"/>
                <w:sz w:val="19"/>
              </w:rPr>
              <w:t>Major Heads of Expenditure</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9"/>
              </w:rPr>
              <w:t>Evidence Reference</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9"/>
              </w:rPr>
              <w:t>Remarks</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9"/>
              </w:rPr>
              <w:t>2022–23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9"/>
              </w:rPr>
              <w:t>8,00,000</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9"/>
              </w:rPr>
              <w:t>7,20,000</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9"/>
              </w:rPr>
              <w:t>90%</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9"/>
              </w:rPr>
              <w:t>Lab equipment, workshops, FDPs</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9"/>
              </w:rPr>
              <w:t>Bills #DME-12 to #DME-20</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9"/>
              </w:rPr>
              <w:t>Fully utilized</w:t>
            </w:r>
          </w:p>
        </w:tc>
      </w:tr>
      <w:tr>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9"/>
              </w:rPr>
              <w:t>2023–24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9"/>
              </w:rPr>
              <w:t>9,50,000</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9"/>
              </w:rPr>
              <w:t>8,40,000</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9"/>
              </w:rPr>
              <w:t>88%</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9"/>
              </w:rPr>
              <w:t>Library books, student projects</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9"/>
              </w:rPr>
              <w:t>Invoices #LIB-08, #SP-05</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9"/>
              </w:rPr>
              <w:t>Library upgraded</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9"/>
              </w:rPr>
              <w:t>2024–25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9"/>
              </w:rPr>
              <w:t>10,00,000</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9"/>
              </w:rPr>
              <w:t>9,10,000</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9"/>
              </w:rPr>
              <w:t>91%</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9"/>
              </w:rPr>
              <w:t>Research grants, software licenses</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9"/>
              </w:rPr>
              <w:t>PO #R&amp;D-03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9"/>
              </w:rPr>
              <w:t>Renewal pending</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Sample Evidence List: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Bill / Invoice Samples: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Purchase of MATLAB academic license – Invoice No. MTL/2024/017.</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Procurement of PLC kits for Automation Lab – PO No. EEE/2023/042.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Library book purchase from TechBooks Pvt. Ltd. – Bill No. LB/2023/065.</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Utilization Certificate Example: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“Certified that the amount of ₹9,10,000 allocated for FY 2024–25 has been fully utilized for departmental development and student learning enhancement as per sanctioned heads.”</w:t>
      </w:r>
      <w:r>
        <w:rPr>
          <w:rFonts w:ascii="Cambria" w:hAnsi="Cambria" w:eastAsia="Cambria"/>
          <w:b w:val="0"/>
          <w:i w:val="0"/>
          <w:color w:val="000000"/>
          <w:sz w:val="22"/>
        </w:rPr>
        <w:t xml:space="preserve"> – Signed by HoD &amp; Accounts Officer.</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Ensure that the financial evidence aligns with the SAR (Criterion 6 – Governance, Institutional Support, and Financial Resources).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Maintain all bills and vouchers chronologically with corresponding ledger entries.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Include both hard copy and digital scan (PDF) in the Department Quality Repository.</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Sample Supporting Evidences: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 Budget Proposals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Sanction Letters and Approval Notes.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 and Program-wise Expenditure Registers.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Bills, Purchase Orders, Payment Receipts (minimum 3 per year).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Utilization Certificates signed by HoD and Accounts Section.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Meeting Minutes / Proceedings for unutilized fund justification.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Audit Reports confirming expenditure authenticity.</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Verifiable evidence of financial transparency and accountability.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Clear traceability between </w:t>
      </w:r>
      <w:r>
        <w:rPr>
          <w:rFonts w:ascii="Cambria" w:hAnsi="Cambria" w:eastAsia="Cambria"/>
          <w:b w:val="0"/>
          <w:i/>
          <w:color w:val="000000"/>
          <w:sz w:val="22"/>
        </w:rPr>
        <w:t>Budget Allocation</w:t>
      </w:r>
      <w:r>
        <w:rPr>
          <w:rFonts w:ascii="Cambria" w:hAnsi="Cambria" w:eastAsia="Cambria"/>
          <w:b w:val="0"/>
          <w:i w:val="0"/>
          <w:color w:val="000000"/>
          <w:sz w:val="22"/>
        </w:rPr>
        <w:t xml:space="preserve"> → </w:t>
      </w:r>
      <w:r>
        <w:rPr>
          <w:rFonts w:ascii="Cambria" w:hAnsi="Cambria" w:eastAsia="Cambria"/>
          <w:b w:val="0"/>
          <w:i/>
          <w:color w:val="000000"/>
          <w:sz w:val="22"/>
        </w:rPr>
        <w:t>Expenditure</w:t>
      </w:r>
      <w:r>
        <w:rPr>
          <w:rFonts w:ascii="Cambria" w:hAnsi="Cambria" w:eastAsia="Cambria"/>
          <w:b w:val="0"/>
          <w:i w:val="0"/>
          <w:color w:val="000000"/>
          <w:sz w:val="22"/>
        </w:rPr>
        <w:t xml:space="preserve"> → </w:t>
      </w:r>
      <w:r>
        <w:rPr>
          <w:rFonts w:ascii="Cambria" w:hAnsi="Cambria" w:eastAsia="Cambria"/>
          <w:b w:val="0"/>
          <w:i/>
          <w:color w:val="000000"/>
          <w:sz w:val="22"/>
        </w:rPr>
        <w:t>Outcome</w:t>
      </w:r>
      <w:r>
        <w:rPr>
          <w:rFonts w:ascii="Cambria" w:hAnsi="Cambria" w:eastAsia="Cambria"/>
          <w:b w:val="0"/>
          <w:i w:val="0"/>
          <w:color w:val="000000"/>
          <w:sz w:val="22"/>
        </w:rPr>
        <w: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Strengthened compliance with NBA's requirements for resource adequacy and sustainability.</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Budget Utilization Table:</w:t>
      </w:r>
    </w:p>
    <w:tbl>
      <w:tblPr>
        <w:tblW w:type="auto" w:w="0"/>
        <w:jc w:val="center"/>
        <w:tblLook w:firstColumn="1" w:firstRow="1" w:lastColumn="0" w:lastRow="0" w:noHBand="0" w:noVBand="1" w:val="04A0"/>
        <w:tblLayout w:type="fixed"/>
        <w:tblLayout w:type="fixed"/>
      </w:tblPr>
      <w:tblGrid>
        <w:gridCol w:w="1247"/>
        <w:gridCol w:w="907"/>
        <w:gridCol w:w="1020"/>
        <w:gridCol w:w="907"/>
        <w:gridCol w:w="907"/>
        <w:gridCol w:w="624"/>
        <w:gridCol w:w="1814"/>
        <w:gridCol w:w="1644"/>
      </w:tblGrid>
      <w:tr>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7"/>
              </w:rPr>
              <w:t>Year</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7"/>
              </w:rPr>
              <w:t>Academic Period</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7"/>
              </w:rPr>
              <w:t>Dept. Allocation (₹)</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7"/>
              </w:rPr>
              <w:t>Program Alloc. (₹)</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7"/>
              </w:rPr>
              <w:t>Amount Utilized (₹)</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7"/>
              </w:rPr>
              <w:t>% Util.</w:t>
            </w:r>
          </w:p>
        </w:tc>
        <w:tc>
          <w:tcPr>
            <w:tcW w:type="dxa" w:w="1814"/>
            <w:tcBorders>
              <w:top w:val="single" w:sz="4" w:space="0" w:color="BFBFBF"/>
              <w:left w:val="single" w:sz="4" w:space="0" w:color="BFBFBF"/>
              <w:bottom w:val="single" w:sz="4" w:space="0" w:color="BFBFBF"/>
              <w:right w:val="single" w:sz="4" w:space="0" w:color="BFBFBF"/>
            </w:tcBorders>
            <w:tcW w:w="1814" w:type="dxa"/>
            <w:shd w:val="clear" w:color="auto" w:fill="1F3A5F"/>
            <w:tcW w:w="1814" w:type="dxa"/>
          </w:tcPr>
          <w:p>
            <w:pPr>
              <w:spacing w:after="40" w:before="40" w:line="264" w:lineRule="auto"/>
              <w:jc w:val="center"/>
            </w:pPr>
            <w:r/>
            <w:r>
              <w:rPr>
                <w:rFonts w:ascii="Cambria" w:hAnsi="Cambria" w:eastAsia="Cambria"/>
                <w:b/>
                <w:i w:val="0"/>
                <w:color w:val="FFFFFF"/>
                <w:sz w:val="17"/>
              </w:rPr>
              <w:t>Justification (if unutilized)</w:t>
            </w:r>
          </w:p>
        </w:tc>
        <w:tc>
          <w:tcPr>
            <w:tcW w:type="dxa" w:w="1644"/>
            <w:tcBorders>
              <w:top w:val="single" w:sz="4" w:space="0" w:color="BFBFBF"/>
              <w:left w:val="single" w:sz="4" w:space="0" w:color="BFBFBF"/>
              <w:bottom w:val="single" w:sz="4" w:space="0" w:color="BFBFBF"/>
              <w:right w:val="single" w:sz="4" w:space="0" w:color="BFBFBF"/>
            </w:tcBorders>
            <w:tcW w:w="1644" w:type="dxa"/>
            <w:shd w:val="clear" w:color="auto" w:fill="1F3A5F"/>
            <w:tcW w:w="1644" w:type="dxa"/>
          </w:tcPr>
          <w:p>
            <w:pPr>
              <w:spacing w:after="40" w:before="40" w:line="264" w:lineRule="auto"/>
              <w:jc w:val="center"/>
            </w:pPr>
            <w:r/>
            <w:r>
              <w:rPr>
                <w:rFonts w:ascii="Cambria" w:hAnsi="Cambria" w:eastAsia="Cambria"/>
                <w:b/>
                <w:i w:val="0"/>
                <w:color w:val="FFFFFF"/>
                <w:sz w:val="17"/>
              </w:rPr>
              <w:t>Evidence Reference</w:t>
            </w:r>
          </w:p>
        </w:tc>
      </w:tr>
      <w:tr>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7"/>
              </w:rPr>
              <w:t>CAY (2024–25)</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7"/>
              </w:rPr>
              <w:t>Ongoing</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7"/>
              </w:rPr>
              <w:t>10,00,000</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7"/>
              </w:rPr>
              <w:t>8,00,000</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7"/>
              </w:rPr>
              <w:t>7,60,000</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7"/>
              </w:rPr>
              <w:t>95%</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7"/>
              </w:rPr>
              <w:t>Balance for pending lab AMC</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7"/>
              </w:rPr>
              <w:t>Bills #DS-2024-011 to #015</w:t>
            </w:r>
          </w:p>
        </w:tc>
      </w:tr>
      <w:tr>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7"/>
              </w:rPr>
              <w:t>CAYm1 (2023–24)</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7"/>
              </w:rPr>
              <w:t>Completed</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7"/>
              </w:rPr>
              <w:t>9,50,000</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7"/>
              </w:rPr>
              <w:t>7,80,000</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7"/>
              </w:rPr>
              <w:t>7,00,000</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7"/>
              </w:rPr>
              <w:t>89%</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7"/>
              </w:rPr>
              <w:t>Seminar postponed due to audit schedule</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7"/>
              </w:rPr>
              <w:t>Proceedings IQAC/Dept/2023/04</w:t>
            </w:r>
          </w:p>
        </w:tc>
      </w:tr>
      <w:tr>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7"/>
              </w:rPr>
              <w:t>CAYm2 (2022–23)</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7"/>
              </w:rPr>
              <w:t>Completed</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7"/>
              </w:rPr>
              <w:t>8,50,000</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7"/>
              </w:rPr>
              <w:t>6,90,000</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7"/>
              </w:rPr>
              <w:t>6,90,000</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7"/>
              </w:rPr>
              <w:t>100%</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7"/>
              </w:rPr>
              <w:t>Fully utilized</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7"/>
              </w:rPr>
              <w:t>Bills #LAB-2023-09</w:t>
            </w:r>
          </w:p>
        </w:tc>
      </w:tr>
    </w:tbl>
    <w:p>
      <w:r>
        <w:br w:type="page"/>
      </w:r>
    </w:p>
    <w:p>
      <w:pPr>
        <w:keepNext/>
        <w:spacing w:before="240" w:after="160"/>
        <w:jc w:val="left"/>
      </w:pPr>
      <w:r>
        <w:rPr>
          <w:rFonts w:ascii="Cambria" w:hAnsi="Cambria" w:eastAsia="Cambria"/>
          <w:b/>
          <w:i w:val="0"/>
          <w:color w:val="1F3A5F"/>
          <w:sz w:val="25"/>
        </w:rPr>
        <w:t>6. P.3 Records of process used in defining vision, mission, PEO and PSO statements.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that the Vision, Mission, Programme Educational Objectives (PEOs), and Programme Specific Outcomes (PSOs) were formulated through a systematic, consultative, and evidence-based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documentary proof of stakeholder participation and periodic review as per NBA requirements.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Vision and Mission Formulation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Minutes of departmental meetings where draft Vision and Mission statements were discussed.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of involvement from faculty, students, alumni, employers, and industry representatives.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Correspondence or approval from the Board of Studies (BoS) and Academic Council.</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PEO and PSO Development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Workshop or committee reports describing how PEOs and PSOs were derived from Vision and Mission.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Mapping tables linking Vision–Mission–PEOs–PSOs.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Departmental review documents showing alignment with institutional goals and NBA outcomes.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Approval and Review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Final approval letters or minutes from BoS and Governing Body.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Records of periodic review (every 3 years or as required by NBA).</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Comparison sheet of </w:t>
      </w:r>
      <w:r>
        <w:rPr>
          <w:rFonts w:ascii="Cambria" w:hAnsi="Cambria" w:eastAsia="Cambria"/>
          <w:b w:val="0"/>
          <w:i/>
          <w:color w:val="000000"/>
          <w:sz w:val="22"/>
        </w:rPr>
        <w:t>Previous vs. Revised</w:t>
      </w:r>
      <w:r>
        <w:rPr>
          <w:rFonts w:ascii="Cambria" w:hAnsi="Cambria" w:eastAsia="Cambria"/>
          <w:b w:val="0"/>
          <w:i w:val="0"/>
          <w:color w:val="000000"/>
          <w:sz w:val="22"/>
        </w:rPr>
        <w:t xml:space="preserve"> Vision/Mission/PEO/PSO statements.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Additional Documentation to Maintain: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Constitution of the Committee</w:t>
      </w:r>
      <w:r>
        <w:rPr>
          <w:rFonts w:ascii="Cambria" w:hAnsi="Cambria" w:eastAsia="Cambria"/>
          <w:b w:val="0"/>
          <w:i w:val="0"/>
          <w:color w:val="000000"/>
          <w:sz w:val="22"/>
        </w:rPr>
        <w:t xml:space="preserve"> for defining Vision, Mission, and PEO/PSO (including names and designations).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Feedback Analysis Reports</w:t>
      </w:r>
      <w:r>
        <w:rPr>
          <w:rFonts w:ascii="Cambria" w:hAnsi="Cambria" w:eastAsia="Cambria"/>
          <w:b w:val="0"/>
          <w:i w:val="0"/>
          <w:color w:val="000000"/>
          <w:sz w:val="22"/>
        </w:rPr>
        <w:t xml:space="preserve"> from stakeholders used to refine statements.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Circulars / Notices</w:t>
      </w:r>
      <w:r>
        <w:rPr>
          <w:rFonts w:ascii="Cambria" w:hAnsi="Cambria" w:eastAsia="Cambria"/>
          <w:b w:val="0"/>
          <w:i w:val="0"/>
          <w:color w:val="000000"/>
          <w:sz w:val="22"/>
        </w:rPr>
        <w:t xml:space="preserve"> issued for meetings and consultations.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Departmental Display Records</w:t>
      </w:r>
      <w:r>
        <w:rPr>
          <w:rFonts w:ascii="Cambria" w:hAnsi="Cambria" w:eastAsia="Cambria"/>
          <w:b w:val="0"/>
          <w:i w:val="0"/>
          <w:color w:val="000000"/>
          <w:sz w:val="22"/>
        </w:rPr>
        <w:t xml:space="preserve"> (photographs showing Vision/Mission displayed in labs, corridors, and website screenshots).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Process Flow (Suggested Format):</w:t>
      </w:r>
    </w:p>
    <w:tbl>
      <w:tblPr>
        <w:tblW w:type="auto" w:w="0"/>
        <w:jc w:val="center"/>
        <w:tblLook w:firstColumn="1" w:firstRow="1" w:lastColumn="0" w:lastRow="0" w:noHBand="0" w:noVBand="1" w:val="04A0"/>
        <w:tblLayout w:type="fixed"/>
        <w:tblLayout w:type="fixed"/>
      </w:tblPr>
      <w:tblGrid>
        <w:gridCol w:w="510"/>
        <w:gridCol w:w="2494"/>
        <w:gridCol w:w="1701"/>
        <w:gridCol w:w="1871"/>
        <w:gridCol w:w="1474"/>
      </w:tblGrid>
      <w:tr>
        <w:tc>
          <w:tcPr>
            <w:tcW w:type="dxa" w:w="510"/>
            <w:tcBorders>
              <w:top w:val="single" w:sz="4" w:space="0" w:color="BFBFBF"/>
              <w:left w:val="single" w:sz="4" w:space="0" w:color="BFBFBF"/>
              <w:bottom w:val="single" w:sz="4" w:space="0" w:color="BFBFBF"/>
              <w:right w:val="single" w:sz="4" w:space="0" w:color="BFBFBF"/>
            </w:tcBorders>
            <w:tcW w:w="510" w:type="dxa"/>
            <w:shd w:val="clear" w:color="auto" w:fill="1F3A5F"/>
            <w:tcW w:w="510" w:type="dxa"/>
          </w:tcPr>
          <w:p>
            <w:pPr>
              <w:spacing w:after="40" w:before="40" w:line="264" w:lineRule="auto"/>
              <w:jc w:val="center"/>
            </w:pPr>
            <w:r/>
            <w:r>
              <w:rPr>
                <w:rFonts w:ascii="Cambria" w:hAnsi="Cambria" w:eastAsia="Cambria"/>
                <w:b/>
                <w:i w:val="0"/>
                <w:color w:val="FFFFFF"/>
                <w:sz w:val="19"/>
              </w:rPr>
              <w:t>Step</w:t>
            </w:r>
          </w:p>
        </w:tc>
        <w:tc>
          <w:tcPr>
            <w:tcW w:type="dxa" w:w="2494"/>
            <w:tcBorders>
              <w:top w:val="single" w:sz="4" w:space="0" w:color="BFBFBF"/>
              <w:left w:val="single" w:sz="4" w:space="0" w:color="BFBFBF"/>
              <w:bottom w:val="single" w:sz="4" w:space="0" w:color="BFBFBF"/>
              <w:right w:val="single" w:sz="4" w:space="0" w:color="BFBFBF"/>
            </w:tcBorders>
            <w:tcW w:w="2494" w:type="dxa"/>
            <w:shd w:val="clear" w:color="auto" w:fill="1F3A5F"/>
            <w:tcW w:w="2494" w:type="dxa"/>
          </w:tcPr>
          <w:p>
            <w:pPr>
              <w:spacing w:after="40" w:before="40" w:line="264" w:lineRule="auto"/>
              <w:jc w:val="center"/>
            </w:pPr>
            <w:r/>
            <w:r>
              <w:rPr>
                <w:rFonts w:ascii="Cambria" w:hAnsi="Cambria" w:eastAsia="Cambria"/>
                <w:b/>
                <w:i w:val="0"/>
                <w:color w:val="FFFFFF"/>
                <w:sz w:val="19"/>
              </w:rPr>
              <w:t>Activity</w:t>
            </w:r>
          </w:p>
        </w:tc>
        <w:tc>
          <w:tcPr>
            <w:tcW w:type="dxa" w:w="1701"/>
            <w:tcBorders>
              <w:top w:val="single" w:sz="4" w:space="0" w:color="BFBFBF"/>
              <w:left w:val="single" w:sz="4" w:space="0" w:color="BFBFBF"/>
              <w:bottom w:val="single" w:sz="4" w:space="0" w:color="BFBFBF"/>
              <w:right w:val="single" w:sz="4" w:space="0" w:color="BFBFBF"/>
            </w:tcBorders>
            <w:tcW w:w="1701" w:type="dxa"/>
            <w:shd w:val="clear" w:color="auto" w:fill="1F3A5F"/>
            <w:tcW w:w="1701" w:type="dxa"/>
          </w:tcPr>
          <w:p>
            <w:pPr>
              <w:spacing w:after="40" w:before="40" w:line="264" w:lineRule="auto"/>
              <w:jc w:val="center"/>
            </w:pPr>
            <w:r/>
            <w:r>
              <w:rPr>
                <w:rFonts w:ascii="Cambria" w:hAnsi="Cambria" w:eastAsia="Cambria"/>
                <w:b/>
                <w:i w:val="0"/>
                <w:color w:val="FFFFFF"/>
                <w:sz w:val="19"/>
              </w:rPr>
              <w:t>Stakeholders Involved</w:t>
            </w:r>
          </w:p>
        </w:tc>
        <w:tc>
          <w:tcPr>
            <w:tcW w:type="dxa" w:w="1871"/>
            <w:tcBorders>
              <w:top w:val="single" w:sz="4" w:space="0" w:color="BFBFBF"/>
              <w:left w:val="single" w:sz="4" w:space="0" w:color="BFBFBF"/>
              <w:bottom w:val="single" w:sz="4" w:space="0" w:color="BFBFBF"/>
              <w:right w:val="single" w:sz="4" w:space="0" w:color="BFBFBF"/>
            </w:tcBorders>
            <w:tcW w:w="1871" w:type="dxa"/>
            <w:shd w:val="clear" w:color="auto" w:fill="1F3A5F"/>
            <w:tcW w:w="1871" w:type="dxa"/>
          </w:tcPr>
          <w:p>
            <w:pPr>
              <w:spacing w:after="40" w:before="40" w:line="264" w:lineRule="auto"/>
              <w:jc w:val="center"/>
            </w:pPr>
            <w:r/>
            <w:r>
              <w:rPr>
                <w:rFonts w:ascii="Cambria" w:hAnsi="Cambria" w:eastAsia="Cambria"/>
                <w:b/>
                <w:i w:val="0"/>
                <w:color w:val="FFFFFF"/>
                <w:sz w:val="19"/>
              </w:rPr>
              <w:t>Output Document</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9"/>
              </w:rPr>
              <w:t>Evidence Reference</w:t>
            </w:r>
          </w:p>
        </w:tc>
      </w:tr>
      <w:tr>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9"/>
              </w:rPr>
              <w:t>1</w:t>
            </w:r>
          </w:p>
        </w:tc>
        <w:tc>
          <w:tcPr>
            <w:tcW w:type="dxa" w:w="2494"/>
            <w:shd w:val="clear" w:color="auto" w:fill="E8ECF2"/>
            <w:tcW w:w="2494" w:type="dxa"/>
          </w:tcPr>
          <w:p>
            <w:pPr>
              <w:spacing w:after="40" w:before="40" w:line="264" w:lineRule="auto"/>
              <w:jc w:val="left"/>
            </w:pPr>
            <w:r/>
            <w:r>
              <w:rPr>
                <w:rFonts w:ascii="Cambria" w:hAnsi="Cambria" w:eastAsia="Cambria"/>
                <w:b w:val="0"/>
                <w:i w:val="0"/>
                <w:color w:val="000000"/>
                <w:sz w:val="19"/>
              </w:rPr>
              <w:t>Drafting Vision &amp; Mission statements</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9"/>
              </w:rPr>
              <w:t>Faculty, HoD</w:t>
            </w:r>
          </w:p>
        </w:tc>
        <w:tc>
          <w:tcPr>
            <w:tcW w:type="dxa" w:w="1871"/>
            <w:shd w:val="clear" w:color="auto" w:fill="E8ECF2"/>
            <w:tcW w:w="1871" w:type="dxa"/>
          </w:tcPr>
          <w:p>
            <w:pPr>
              <w:spacing w:after="40" w:before="40" w:line="264" w:lineRule="auto"/>
              <w:jc w:val="left"/>
            </w:pPr>
            <w:r/>
            <w:r>
              <w:rPr>
                <w:rFonts w:ascii="Cambria" w:hAnsi="Cambria" w:eastAsia="Cambria"/>
                <w:b w:val="0"/>
                <w:i w:val="0"/>
                <w:color w:val="000000"/>
                <w:sz w:val="19"/>
              </w:rPr>
              <w:t>Initial draft minutes</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9"/>
              </w:rPr>
              <w:t>Dept/VM/01</w:t>
            </w:r>
          </w:p>
        </w:tc>
      </w:tr>
      <w:tr>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9"/>
              </w:rPr>
              <w:t>2</w:t>
            </w:r>
          </w:p>
        </w:tc>
        <w:tc>
          <w:tcPr>
            <w:tcW w:type="dxa" w:w="2494"/>
            <w:shd w:val="clear" w:color="auto" w:fill="FFFFFF"/>
            <w:tcW w:w="2494" w:type="dxa"/>
          </w:tcPr>
          <w:p>
            <w:pPr>
              <w:spacing w:after="40" w:before="40" w:line="264" w:lineRule="auto"/>
              <w:jc w:val="left"/>
            </w:pPr>
            <w:r/>
            <w:r>
              <w:rPr>
                <w:rFonts w:ascii="Cambria" w:hAnsi="Cambria" w:eastAsia="Cambria"/>
                <w:b w:val="0"/>
                <w:i w:val="0"/>
                <w:color w:val="000000"/>
                <w:sz w:val="19"/>
              </w:rPr>
              <w:t>Collecting stakeholder feedback</w:t>
            </w:r>
          </w:p>
        </w:tc>
        <w:tc>
          <w:tcPr>
            <w:tcW w:type="dxa" w:w="1701"/>
            <w:shd w:val="clear" w:color="auto" w:fill="FFFFFF"/>
            <w:tcW w:w="1701" w:type="dxa"/>
          </w:tcPr>
          <w:p>
            <w:pPr>
              <w:spacing w:after="40" w:before="40" w:line="264" w:lineRule="auto"/>
              <w:jc w:val="left"/>
            </w:pPr>
            <w:r/>
            <w:r>
              <w:rPr>
                <w:rFonts w:ascii="Cambria" w:hAnsi="Cambria" w:eastAsia="Cambria"/>
                <w:b w:val="0"/>
                <w:i w:val="0"/>
                <w:color w:val="000000"/>
                <w:sz w:val="19"/>
              </w:rPr>
              <w:t>Alumni, Industry, Students</w:t>
            </w:r>
          </w:p>
        </w:tc>
        <w:tc>
          <w:tcPr>
            <w:tcW w:type="dxa" w:w="1871"/>
            <w:shd w:val="clear" w:color="auto" w:fill="FFFFFF"/>
            <w:tcW w:w="1871" w:type="dxa"/>
          </w:tcPr>
          <w:p>
            <w:pPr>
              <w:spacing w:after="40" w:before="40" w:line="264" w:lineRule="auto"/>
              <w:jc w:val="left"/>
            </w:pPr>
            <w:r/>
            <w:r>
              <w:rPr>
                <w:rFonts w:ascii="Cambria" w:hAnsi="Cambria" w:eastAsia="Cambria"/>
                <w:b w:val="0"/>
                <w:i w:val="0"/>
                <w:color w:val="000000"/>
                <w:sz w:val="19"/>
              </w:rPr>
              <w:t>Feedback report</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9"/>
              </w:rPr>
              <w:t>FB/VM/02</w:t>
            </w:r>
          </w:p>
        </w:tc>
      </w:tr>
      <w:tr>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9"/>
              </w:rPr>
              <w:t>3</w:t>
            </w:r>
          </w:p>
        </w:tc>
        <w:tc>
          <w:tcPr>
            <w:tcW w:type="dxa" w:w="2494"/>
            <w:shd w:val="clear" w:color="auto" w:fill="E8ECF2"/>
            <w:tcW w:w="2494" w:type="dxa"/>
          </w:tcPr>
          <w:p>
            <w:pPr>
              <w:spacing w:after="40" w:before="40" w:line="264" w:lineRule="auto"/>
              <w:jc w:val="left"/>
            </w:pPr>
            <w:r/>
            <w:r>
              <w:rPr>
                <w:rFonts w:ascii="Cambria" w:hAnsi="Cambria" w:eastAsia="Cambria"/>
                <w:b w:val="0"/>
                <w:i w:val="0"/>
                <w:color w:val="000000"/>
                <w:sz w:val="19"/>
              </w:rPr>
              <w:t>Revising draft based on inputs</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9"/>
              </w:rPr>
              <w:t>Committee members</w:t>
            </w:r>
          </w:p>
        </w:tc>
        <w:tc>
          <w:tcPr>
            <w:tcW w:type="dxa" w:w="1871"/>
            <w:shd w:val="clear" w:color="auto" w:fill="E8ECF2"/>
            <w:tcW w:w="1871" w:type="dxa"/>
          </w:tcPr>
          <w:p>
            <w:pPr>
              <w:spacing w:after="40" w:before="40" w:line="264" w:lineRule="auto"/>
              <w:jc w:val="left"/>
            </w:pPr>
            <w:r/>
            <w:r>
              <w:rPr>
                <w:rFonts w:ascii="Cambria" w:hAnsi="Cambria" w:eastAsia="Cambria"/>
                <w:b w:val="0"/>
                <w:i w:val="0"/>
                <w:color w:val="000000"/>
                <w:sz w:val="19"/>
              </w:rPr>
              <w:t>Revised version</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9"/>
              </w:rPr>
              <w:t>Rev/VM/03</w:t>
            </w:r>
          </w:p>
        </w:tc>
      </w:tr>
      <w:tr>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9"/>
              </w:rPr>
              <w:t>4</w:t>
            </w:r>
          </w:p>
        </w:tc>
        <w:tc>
          <w:tcPr>
            <w:tcW w:type="dxa" w:w="2494"/>
            <w:shd w:val="clear" w:color="auto" w:fill="FFFFFF"/>
            <w:tcW w:w="2494" w:type="dxa"/>
          </w:tcPr>
          <w:p>
            <w:pPr>
              <w:spacing w:after="40" w:before="40" w:line="264" w:lineRule="auto"/>
              <w:jc w:val="left"/>
            </w:pPr>
            <w:r/>
            <w:r>
              <w:rPr>
                <w:rFonts w:ascii="Cambria" w:hAnsi="Cambria" w:eastAsia="Cambria"/>
                <w:b w:val="0"/>
                <w:i w:val="0"/>
                <w:color w:val="000000"/>
                <w:sz w:val="19"/>
              </w:rPr>
              <w:t>Approval by BoS/Academic Council</w:t>
            </w:r>
          </w:p>
        </w:tc>
        <w:tc>
          <w:tcPr>
            <w:tcW w:type="dxa" w:w="1701"/>
            <w:shd w:val="clear" w:color="auto" w:fill="FFFFFF"/>
            <w:tcW w:w="1701" w:type="dxa"/>
          </w:tcPr>
          <w:p>
            <w:pPr>
              <w:spacing w:after="40" w:before="40" w:line="264" w:lineRule="auto"/>
              <w:jc w:val="left"/>
            </w:pPr>
            <w:r/>
            <w:r>
              <w:rPr>
                <w:rFonts w:ascii="Cambria" w:hAnsi="Cambria" w:eastAsia="Cambria"/>
                <w:b w:val="0"/>
                <w:i w:val="0"/>
                <w:color w:val="000000"/>
                <w:sz w:val="19"/>
              </w:rPr>
              <w:t>BoS Members, Principal</w:t>
            </w:r>
          </w:p>
        </w:tc>
        <w:tc>
          <w:tcPr>
            <w:tcW w:type="dxa" w:w="1871"/>
            <w:shd w:val="clear" w:color="auto" w:fill="FFFFFF"/>
            <w:tcW w:w="1871" w:type="dxa"/>
          </w:tcPr>
          <w:p>
            <w:pPr>
              <w:spacing w:after="40" w:before="40" w:line="264" w:lineRule="auto"/>
              <w:jc w:val="left"/>
            </w:pPr>
            <w:r/>
            <w:r>
              <w:rPr>
                <w:rFonts w:ascii="Cambria" w:hAnsi="Cambria" w:eastAsia="Cambria"/>
                <w:b w:val="0"/>
                <w:i w:val="0"/>
                <w:color w:val="000000"/>
                <w:sz w:val="19"/>
              </w:rPr>
              <w:t>Approved Vision &amp; Mission</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9"/>
              </w:rPr>
              <w:t>BOS/VM/04</w:t>
            </w:r>
          </w:p>
        </w:tc>
      </w:tr>
      <w:tr>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9"/>
              </w:rPr>
              <w:t>5</w:t>
            </w:r>
          </w:p>
        </w:tc>
        <w:tc>
          <w:tcPr>
            <w:tcW w:type="dxa" w:w="2494"/>
            <w:shd w:val="clear" w:color="auto" w:fill="E8ECF2"/>
            <w:tcW w:w="2494" w:type="dxa"/>
          </w:tcPr>
          <w:p>
            <w:pPr>
              <w:spacing w:after="40" w:before="40" w:line="264" w:lineRule="auto"/>
              <w:jc w:val="left"/>
            </w:pPr>
            <w:r/>
            <w:r>
              <w:rPr>
                <w:rFonts w:ascii="Cambria" w:hAnsi="Cambria" w:eastAsia="Cambria"/>
                <w:b w:val="0"/>
                <w:i w:val="0"/>
                <w:color w:val="000000"/>
                <w:sz w:val="19"/>
              </w:rPr>
              <w:t>Deriving PEOs and PSOs</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9"/>
              </w:rPr>
              <w:t>Faculty team</w:t>
            </w:r>
          </w:p>
        </w:tc>
        <w:tc>
          <w:tcPr>
            <w:tcW w:type="dxa" w:w="1871"/>
            <w:shd w:val="clear" w:color="auto" w:fill="E8ECF2"/>
            <w:tcW w:w="1871" w:type="dxa"/>
          </w:tcPr>
          <w:p>
            <w:pPr>
              <w:spacing w:after="40" w:before="40" w:line="264" w:lineRule="auto"/>
              <w:jc w:val="left"/>
            </w:pPr>
            <w:r/>
            <w:r>
              <w:rPr>
                <w:rFonts w:ascii="Cambria" w:hAnsi="Cambria" w:eastAsia="Cambria"/>
                <w:b w:val="0"/>
                <w:i w:val="0"/>
                <w:color w:val="000000"/>
                <w:sz w:val="19"/>
              </w:rPr>
              <w:t>Mapping document</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9"/>
              </w:rPr>
              <w:t>MAP/PEO/PSO/05</w:t>
            </w:r>
          </w:p>
        </w:tc>
      </w:tr>
      <w:tr>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9"/>
              </w:rPr>
              <w:t>6</w:t>
            </w:r>
          </w:p>
        </w:tc>
        <w:tc>
          <w:tcPr>
            <w:tcW w:type="dxa" w:w="2494"/>
            <w:shd w:val="clear" w:color="auto" w:fill="FFFFFF"/>
            <w:tcW w:w="2494" w:type="dxa"/>
          </w:tcPr>
          <w:p>
            <w:pPr>
              <w:spacing w:after="40" w:before="40" w:line="264" w:lineRule="auto"/>
              <w:jc w:val="left"/>
            </w:pPr>
            <w:r/>
            <w:r>
              <w:rPr>
                <w:rFonts w:ascii="Cambria" w:hAnsi="Cambria" w:eastAsia="Cambria"/>
                <w:b w:val="0"/>
                <w:i w:val="0"/>
                <w:color w:val="000000"/>
                <w:sz w:val="19"/>
              </w:rPr>
              <w:t>Final adoption &amp; dissemination</w:t>
            </w:r>
          </w:p>
        </w:tc>
        <w:tc>
          <w:tcPr>
            <w:tcW w:type="dxa" w:w="1701"/>
            <w:shd w:val="clear" w:color="auto" w:fill="FFFFFF"/>
            <w:tcW w:w="1701" w:type="dxa"/>
          </w:tcPr>
          <w:p>
            <w:pPr>
              <w:spacing w:after="40" w:before="40" w:line="264" w:lineRule="auto"/>
              <w:jc w:val="left"/>
            </w:pPr>
            <w:r/>
            <w:r>
              <w:rPr>
                <w:rFonts w:ascii="Cambria" w:hAnsi="Cambria" w:eastAsia="Cambria"/>
                <w:b w:val="0"/>
                <w:i w:val="0"/>
                <w:color w:val="000000"/>
                <w:sz w:val="19"/>
              </w:rPr>
              <w:t>IQAC, Department</w:t>
            </w:r>
          </w:p>
        </w:tc>
        <w:tc>
          <w:tcPr>
            <w:tcW w:type="dxa" w:w="1871"/>
            <w:shd w:val="clear" w:color="auto" w:fill="FFFFFF"/>
            <w:tcW w:w="1871" w:type="dxa"/>
          </w:tcPr>
          <w:p>
            <w:pPr>
              <w:spacing w:after="40" w:before="40" w:line="264" w:lineRule="auto"/>
              <w:jc w:val="left"/>
            </w:pPr>
            <w:r/>
            <w:r>
              <w:rPr>
                <w:rFonts w:ascii="Cambria" w:hAnsi="Cambria" w:eastAsia="Cambria"/>
                <w:b w:val="0"/>
                <w:i w:val="0"/>
                <w:color w:val="000000"/>
                <w:sz w:val="19"/>
              </w:rPr>
              <w:t>Department display &amp; website</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9"/>
              </w:rPr>
              <w:t>DISP/VM/06</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Committee formation orders</w:t>
      </w:r>
      <w:r>
        <w:rPr>
          <w:rFonts w:ascii="Cambria" w:hAnsi="Cambria" w:eastAsia="Cambria"/>
          <w:b w:val="0"/>
          <w:i w:val="0"/>
          <w:color w:val="000000"/>
          <w:sz w:val="22"/>
        </w:rPr>
        <w:t xml:space="preserve"> for Vision, Mission, and PEO/PSO definition.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Meeting minutes and attendance sheets.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Stakeholder feedback forms</w:t>
      </w:r>
      <w:r>
        <w:rPr>
          <w:rFonts w:ascii="Cambria" w:hAnsi="Cambria" w:eastAsia="Cambria"/>
          <w:b w:val="0"/>
          <w:i w:val="0"/>
          <w:color w:val="000000"/>
          <w:sz w:val="22"/>
        </w:rPr>
        <w:t xml:space="preserve"> and </w:t>
      </w:r>
      <w:r>
        <w:rPr>
          <w:rFonts w:ascii="Cambria" w:hAnsi="Cambria" w:eastAsia="Cambria"/>
          <w:b w:val="0"/>
          <w:i/>
          <w:color w:val="000000"/>
          <w:sz w:val="22"/>
        </w:rPr>
        <w:t>analysis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Approval copies</w:t>
      </w:r>
      <w:r>
        <w:rPr>
          <w:rFonts w:ascii="Cambria" w:hAnsi="Cambria" w:eastAsia="Cambria"/>
          <w:b w:val="0"/>
          <w:i w:val="0"/>
          <w:color w:val="000000"/>
          <w:sz w:val="22"/>
        </w:rPr>
        <w:t xml:space="preserve"> from higher authorities (BoS, Academic Council, Governing Body).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Revised versions</w:t>
      </w:r>
      <w:r>
        <w:rPr>
          <w:rFonts w:ascii="Cambria" w:hAnsi="Cambria" w:eastAsia="Cambria"/>
          <w:b w:val="0"/>
          <w:i w:val="0"/>
          <w:color w:val="000000"/>
          <w:sz w:val="22"/>
        </w:rPr>
        <w:t xml:space="preserve"> of Vision, Mission, PEOs, and PSOs (if updated during review).</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each record with Criterion 1 – Vision, Mission and PEOs, and Criterion 2 – Programme Curriculum and Teaching–Learning Processes in the SAR.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traceability between institutional Vision–Mission and departmental PEOs–PSOs.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Transparent, traceable process for defining and periodically reviewing Vision, Mission, PEO, and PSO.</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Demonstrated stakeholder participation and institutional approval.</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Documentation supporting continuous improvement and OBE alignment as per NBA standards.</w:t>
      </w:r>
    </w:p>
    <w:p>
      <w:r>
        <w:br w:type="page"/>
      </w:r>
    </w:p>
    <w:p>
      <w:pPr>
        <w:keepNext/>
        <w:spacing w:before="240" w:after="160"/>
        <w:jc w:val="left"/>
      </w:pPr>
      <w:r>
        <w:rPr>
          <w:rFonts w:ascii="Cambria" w:hAnsi="Cambria" w:eastAsia="Cambria"/>
          <w:b/>
          <w:i w:val="0"/>
          <w:color w:val="1F3A5F"/>
          <w:sz w:val="25"/>
        </w:rPr>
        <w:t>7. P.4 Publication and dissemination among stakeholders &amp; awareness programs on vision, mission &amp; PEO, PO, PSO statements.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that the Vision, Mission, Programme Educational Objectives (PEOs), Programme Outcomes (POs), and Programme Specific Outcomes (PSOs) are effectively communicated, disseminated, and internalized by all stakeholders.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evidence that awareness programs and continuous engagement activities are conducted to ensure stakeholder understanding and alignment.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Records of Publication &amp; Dissemination: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Copies of Vision, Mission, PEO, PO, and PSO statements displayed: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On institutional and departmental websites.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On notice boards, laboratories, classrooms, and corridors.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 college prospectus, handbooks, newsletters, and annual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Screenshots, photographs, and print samples showing dissemination across platforms.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Awareness Programs &amp; Orientation Activities: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of orientation sessions, departmental meetings, and faculty development programs on Vision, Mission, and Outcomes.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Student induction programs or alumni meets where these are discussed.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Awareness campaigns (seminars, posters, digital boards) conducted periodically.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Stakeholder Involvement Evidence: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Feedback forms from students, faculty, alumni, industry experts acknowledging understanding of Vision, Mission, and PEO/PO/PSO.</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Records of meetings where these were discussed with external stakeholders (BoS, Academic Council, Alumni Association).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Departmental circulars or notices issued for awareness sessions.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Attendance sheets of awareness programs.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Photographs of sessions, displays, and posters.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Copies of presentation slides or brochures used in awareness drives.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Email communications or website analytics reports proving online dissemination.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Awareness Program Record Table:</w:t>
      </w:r>
    </w:p>
    <w:tbl>
      <w:tblPr>
        <w:tblW w:type="auto" w:w="0"/>
        <w:jc w:val="center"/>
        <w:tblLook w:firstColumn="1" w:firstRow="1" w:lastColumn="0" w:lastRow="0" w:noHBand="0" w:noVBand="1" w:val="04A0"/>
        <w:tblLayout w:type="fixed"/>
        <w:tblLayout w:type="fixed"/>
      </w:tblPr>
      <w:tblGrid>
        <w:gridCol w:w="737"/>
        <w:gridCol w:w="907"/>
        <w:gridCol w:w="1928"/>
        <w:gridCol w:w="1361"/>
        <w:gridCol w:w="794"/>
        <w:gridCol w:w="1474"/>
        <w:gridCol w:w="1361"/>
      </w:tblGrid>
      <w:tr>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7"/>
              </w:rPr>
              <w:t>Year</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7"/>
              </w:rPr>
              <w:t>Date</w:t>
            </w:r>
          </w:p>
        </w:tc>
        <w:tc>
          <w:tcPr>
            <w:tcW w:type="dxa" w:w="1928"/>
            <w:tcBorders>
              <w:top w:val="single" w:sz="4" w:space="0" w:color="BFBFBF"/>
              <w:left w:val="single" w:sz="4" w:space="0" w:color="BFBFBF"/>
              <w:bottom w:val="single" w:sz="4" w:space="0" w:color="BFBFBF"/>
              <w:right w:val="single" w:sz="4" w:space="0" w:color="BFBFBF"/>
            </w:tcBorders>
            <w:tcW w:w="1928" w:type="dxa"/>
            <w:shd w:val="clear" w:color="auto" w:fill="1F3A5F"/>
            <w:tcW w:w="1928" w:type="dxa"/>
          </w:tcPr>
          <w:p>
            <w:pPr>
              <w:spacing w:after="40" w:before="40" w:line="264" w:lineRule="auto"/>
              <w:jc w:val="center"/>
            </w:pPr>
            <w:r/>
            <w:r>
              <w:rPr>
                <w:rFonts w:ascii="Cambria" w:hAnsi="Cambria" w:eastAsia="Cambria"/>
                <w:b/>
                <w:i w:val="0"/>
                <w:color w:val="FFFFFF"/>
                <w:sz w:val="17"/>
              </w:rPr>
              <w:t>Program Title</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7"/>
              </w:rPr>
              <w:t>Target Audience</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7"/>
              </w:rPr>
              <w:t>Mode</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7"/>
              </w:rPr>
              <w:t>Coordinator</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7"/>
              </w:rPr>
              <w:t>Evidence Reference</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7"/>
              </w:rPr>
              <w:t>2022–23</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7"/>
              </w:rPr>
              <w:t>10 Oct 2022</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7"/>
              </w:rPr>
              <w:t>Orientation on Vision &amp; PEOs</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First-year students</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7"/>
              </w:rPr>
              <w:t>Offline</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IQAC &amp; HoD</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Photos, Feedback forms</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7"/>
              </w:rPr>
              <w:t>2023–24</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7"/>
              </w:rPr>
              <w:t>15 Sep 2023</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7"/>
              </w:rPr>
              <w:t>FDP on Outcome-Based Education</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7"/>
              </w:rPr>
              <w:t>Faculty Members</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7"/>
              </w:rPr>
              <w:t>Online</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NBA Coordinator</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7"/>
              </w:rPr>
              <w:t>Session report</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7"/>
              </w:rPr>
              <w:t>2024–25</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7"/>
              </w:rPr>
              <w:t>05 Jul 2024</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7"/>
              </w:rPr>
              <w:t>Stakeholder Awareness on PO-PSO</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Alumni &amp; Industry Experts</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7"/>
              </w:rPr>
              <w:t>Hybrid</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Department Committee</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Brochure, Minutes</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Dissemination Record Table:</w:t>
      </w:r>
    </w:p>
    <w:tbl>
      <w:tblPr>
        <w:tblW w:type="auto" w:w="0"/>
        <w:jc w:val="center"/>
        <w:tblLook w:firstColumn="1" w:firstRow="1" w:lastColumn="0" w:lastRow="0" w:noHBand="0" w:noVBand="1" w:val="04A0"/>
        <w:tblLayout w:type="fixed"/>
        <w:tblLayout w:type="fixed"/>
      </w:tblPr>
      <w:tblGrid>
        <w:gridCol w:w="1928"/>
        <w:gridCol w:w="1928"/>
        <w:gridCol w:w="1304"/>
        <w:gridCol w:w="1814"/>
        <w:gridCol w:w="1587"/>
      </w:tblGrid>
      <w:tr>
        <w:tc>
          <w:tcPr>
            <w:tcW w:type="dxa" w:w="1928"/>
            <w:tcBorders>
              <w:top w:val="single" w:sz="4" w:space="0" w:color="BFBFBF"/>
              <w:left w:val="single" w:sz="4" w:space="0" w:color="BFBFBF"/>
              <w:bottom w:val="single" w:sz="4" w:space="0" w:color="BFBFBF"/>
              <w:right w:val="single" w:sz="4" w:space="0" w:color="BFBFBF"/>
            </w:tcBorders>
            <w:tcW w:w="1928" w:type="dxa"/>
            <w:shd w:val="clear" w:color="auto" w:fill="1F3A5F"/>
            <w:tcW w:w="1928" w:type="dxa"/>
          </w:tcPr>
          <w:p>
            <w:pPr>
              <w:spacing w:after="40" w:before="40" w:line="264" w:lineRule="auto"/>
              <w:jc w:val="center"/>
            </w:pPr>
            <w:r/>
            <w:r>
              <w:rPr>
                <w:rFonts w:ascii="Cambria" w:hAnsi="Cambria" w:eastAsia="Cambria"/>
                <w:b/>
                <w:i w:val="0"/>
                <w:color w:val="FFFFFF"/>
                <w:sz w:val="19"/>
              </w:rPr>
              <w:t>Dissemination Medium</w:t>
            </w:r>
          </w:p>
        </w:tc>
        <w:tc>
          <w:tcPr>
            <w:tcW w:type="dxa" w:w="1928"/>
            <w:tcBorders>
              <w:top w:val="single" w:sz="4" w:space="0" w:color="BFBFBF"/>
              <w:left w:val="single" w:sz="4" w:space="0" w:color="BFBFBF"/>
              <w:bottom w:val="single" w:sz="4" w:space="0" w:color="BFBFBF"/>
              <w:right w:val="single" w:sz="4" w:space="0" w:color="BFBFBF"/>
            </w:tcBorders>
            <w:tcW w:w="1928" w:type="dxa"/>
            <w:shd w:val="clear" w:color="auto" w:fill="1F3A5F"/>
            <w:tcW w:w="1928" w:type="dxa"/>
          </w:tcPr>
          <w:p>
            <w:pPr>
              <w:spacing w:after="40" w:before="40" w:line="264" w:lineRule="auto"/>
              <w:jc w:val="center"/>
            </w:pPr>
            <w:r/>
            <w:r>
              <w:rPr>
                <w:rFonts w:ascii="Cambria" w:hAnsi="Cambria" w:eastAsia="Cambria"/>
                <w:b/>
                <w:i w:val="0"/>
                <w:color w:val="FFFFFF"/>
                <w:sz w:val="19"/>
              </w:rPr>
              <w:t>Location/Platform</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9"/>
              </w:rPr>
              <w:t>Frequency of Update</w:t>
            </w:r>
          </w:p>
        </w:tc>
        <w:tc>
          <w:tcPr>
            <w:tcW w:type="dxa" w:w="1814"/>
            <w:tcBorders>
              <w:top w:val="single" w:sz="4" w:space="0" w:color="BFBFBF"/>
              <w:left w:val="single" w:sz="4" w:space="0" w:color="BFBFBF"/>
              <w:bottom w:val="single" w:sz="4" w:space="0" w:color="BFBFBF"/>
              <w:right w:val="single" w:sz="4" w:space="0" w:color="BFBFBF"/>
            </w:tcBorders>
            <w:tcW w:w="1814" w:type="dxa"/>
            <w:shd w:val="clear" w:color="auto" w:fill="1F3A5F"/>
            <w:tcW w:w="1814" w:type="dxa"/>
          </w:tcPr>
          <w:p>
            <w:pPr>
              <w:spacing w:after="40" w:before="40" w:line="264" w:lineRule="auto"/>
              <w:jc w:val="center"/>
            </w:pPr>
            <w:r/>
            <w:r>
              <w:rPr>
                <w:rFonts w:ascii="Cambria" w:hAnsi="Cambria" w:eastAsia="Cambria"/>
                <w:b/>
                <w:i w:val="0"/>
                <w:color w:val="FFFFFF"/>
                <w:sz w:val="19"/>
              </w:rPr>
              <w:t>Responsible Person</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9"/>
              </w:rPr>
              <w:t>Evidence Reference</w:t>
            </w:r>
          </w:p>
        </w:tc>
      </w:tr>
      <w:tr>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9"/>
              </w:rPr>
              <w:t>Department Website</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9"/>
              </w:rPr>
              <w:t>www.college.edu/dept</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9"/>
              </w:rPr>
              <w:t>Annual</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9"/>
              </w:rPr>
              <w:t>Web Administrator</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9"/>
              </w:rPr>
              <w:t>Screenshot 2024</w:t>
            </w:r>
          </w:p>
        </w:tc>
      </w:tr>
      <w:tr>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9"/>
              </w:rPr>
              <w:t>Department Notice Board</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9"/>
              </w:rPr>
              <w:t>Ground Floor Corridor</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9"/>
              </w:rPr>
              <w:t>Quarterly</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9"/>
              </w:rPr>
              <w:t>Office Assistant</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9"/>
              </w:rPr>
              <w:t>Photo #NB/2024/03</w:t>
            </w:r>
          </w:p>
        </w:tc>
      </w:tr>
      <w:tr>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9"/>
              </w:rPr>
              <w:t>Student Handbook</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9"/>
              </w:rPr>
              <w:t>Academic Year 2024–25</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9"/>
              </w:rPr>
              <w:t>Yearly</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9"/>
              </w:rPr>
              <w:t>HoD</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9"/>
              </w:rPr>
              <w:t>Handbook Page 5</w:t>
            </w:r>
          </w:p>
        </w:tc>
      </w:tr>
      <w:tr>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9"/>
              </w:rPr>
              <w:t>College Prospectus</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9"/>
              </w:rPr>
              <w:t>Printed &amp; Digital</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9"/>
              </w:rPr>
              <w:t>Annual</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9"/>
              </w:rPr>
              <w:t>IQAC</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9"/>
              </w:rPr>
              <w:t>Prospectus 2024 copy</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dissemination and awareness evidence with SAR Criterion 1 (Vision, Mission and PEOs)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stakeholder involvement documentation is traceable to the SAR annexures.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Transparent communication of Vision, Mission, and Outcome statements to all stakeholders.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Regular awareness and orientation programs reinforcing Outcome-Based Education (OBE) principles.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Stakeholder understanding evidenced through participation records and feedback.</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Compliance assurance for NBA accreditation under </w:t>
      </w:r>
      <w:r>
        <w:rPr>
          <w:rFonts w:ascii="Cambria" w:hAnsi="Cambria" w:eastAsia="Cambria"/>
          <w:b w:val="0"/>
          <w:i/>
          <w:color w:val="000000"/>
          <w:sz w:val="22"/>
        </w:rPr>
        <w:t>Criterion 1 &amp; Criterion 10 – Dissemination and Continuous Improvement.</w:t>
      </w:r>
    </w:p>
    <w:p>
      <w:r>
        <w:br w:type="page"/>
      </w:r>
    </w:p>
    <w:p>
      <w:pPr>
        <w:keepNext/>
        <w:spacing w:before="240" w:after="160"/>
        <w:jc w:val="left"/>
      </w:pPr>
      <w:r>
        <w:rPr>
          <w:rFonts w:ascii="Cambria" w:hAnsi="Cambria" w:eastAsia="Cambria"/>
          <w:b/>
          <w:i w:val="0"/>
          <w:color w:val="1F3A5F"/>
          <w:sz w:val="25"/>
        </w:rPr>
        <w:t>8. P.5 Justification of PEO matrix against department mission elements.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a systematic justification and mapping between the Programme Educational Objectives (PEOs) and the Department Mission statements.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how each PEO aligns with and supports specific mission elements, ensuring consistency and coherence with institutional and departmental goals.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PEO–Mission Mapping Matrix:</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A structured table showing the relationship between </w:t>
      </w:r>
      <w:r>
        <w:rPr>
          <w:rFonts w:ascii="Cambria" w:hAnsi="Cambria" w:eastAsia="Cambria"/>
          <w:b w:val="0"/>
          <w:i/>
          <w:color w:val="000000"/>
          <w:sz w:val="22"/>
        </w:rPr>
        <w:t>each PEO</w:t>
      </w:r>
      <w:r>
        <w:rPr>
          <w:rFonts w:ascii="Cambria" w:hAnsi="Cambria" w:eastAsia="Cambria"/>
          <w:b w:val="0"/>
          <w:i w:val="0"/>
          <w:color w:val="000000"/>
          <w:sz w:val="22"/>
        </w:rPr>
        <w:t xml:space="preserve"> and </w:t>
      </w:r>
      <w:r>
        <w:rPr>
          <w:rFonts w:ascii="Cambria" w:hAnsi="Cambria" w:eastAsia="Cambria"/>
          <w:b w:val="0"/>
          <w:i/>
          <w:color w:val="000000"/>
          <w:sz w:val="22"/>
        </w:rPr>
        <w:t>each Mission element (M1, M2, M3…)</w:t>
      </w:r>
      <w:r>
        <w:rPr>
          <w:rFonts w:ascii="Cambria" w:hAnsi="Cambria" w:eastAsia="Cambria"/>
          <w:b w:val="0"/>
          <w:i w:val="0"/>
          <w:color w:val="000000"/>
          <w:sz w:val="22"/>
        </w:rPr>
        <w: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Assign correlation levels such as High (3), Medium (2), Low (1), or No correlation (0).</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Justification Notes: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Provide a brief justification for each PEO–Mission linkage.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Explain how the activities, curriculum design, and stakeholder engagement within the program support this linkage.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Approval and Review Evidence: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Minutes of Departmental and BoS meetings validating the PEO–Mission matrix.</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Records showing periodic review and modification of the matrix based on feedback and outcomes assessment.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 Vision and Mission statements (latest approved version).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List of Programme Educational Objectives (PEOs) with their descriptions.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PEO–Mission mapping table (matrix) approved by the Department Advisory Board / BoS.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Documented justification sheet for each PEO–Mission correlation.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Correspondence or meeting minutes of faculty/committee involved in review.</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PEO–Mission Mapping Matrix Format:</w:t>
      </w:r>
    </w:p>
    <w:tbl>
      <w:tblPr>
        <w:tblW w:type="auto" w:w="0"/>
        <w:jc w:val="center"/>
        <w:tblLook w:firstColumn="1" w:firstRow="1" w:lastColumn="0" w:lastRow="0" w:noHBand="0" w:noVBand="1" w:val="04A0"/>
        <w:tblLayout w:type="fixed"/>
        <w:tblLayout w:type="fixed"/>
      </w:tblPr>
      <w:tblGrid>
        <w:gridCol w:w="3742"/>
        <w:gridCol w:w="510"/>
        <w:gridCol w:w="510"/>
        <w:gridCol w:w="510"/>
        <w:gridCol w:w="510"/>
        <w:gridCol w:w="1134"/>
        <w:gridCol w:w="1134"/>
      </w:tblGrid>
      <w:tr>
        <w:tc>
          <w:tcPr>
            <w:tcW w:type="dxa" w:w="3742"/>
            <w:tcBorders>
              <w:top w:val="single" w:sz="4" w:space="0" w:color="BFBFBF"/>
              <w:left w:val="single" w:sz="4" w:space="0" w:color="BFBFBF"/>
              <w:bottom w:val="single" w:sz="4" w:space="0" w:color="BFBFBF"/>
              <w:right w:val="single" w:sz="4" w:space="0" w:color="BFBFBF"/>
            </w:tcBorders>
            <w:tcW w:w="3742" w:type="dxa"/>
            <w:shd w:val="clear" w:color="auto" w:fill="1F3A5F"/>
            <w:tcW w:w="3742" w:type="dxa"/>
          </w:tcPr>
          <w:p>
            <w:pPr>
              <w:spacing w:after="40" w:before="40" w:line="264" w:lineRule="auto"/>
              <w:jc w:val="center"/>
            </w:pPr>
            <w:r/>
            <w:r>
              <w:rPr>
                <w:rFonts w:ascii="Cambria" w:hAnsi="Cambria" w:eastAsia="Cambria"/>
                <w:b/>
                <w:i w:val="0"/>
                <w:color w:val="FFFFFF"/>
                <w:sz w:val="18"/>
              </w:rPr>
              <w:t>PEOs \ Mission Elements</w:t>
            </w:r>
          </w:p>
        </w:tc>
        <w:tc>
          <w:tcPr>
            <w:tcW w:type="dxa" w:w="510"/>
            <w:tcBorders>
              <w:top w:val="single" w:sz="4" w:space="0" w:color="BFBFBF"/>
              <w:left w:val="single" w:sz="4" w:space="0" w:color="BFBFBF"/>
              <w:bottom w:val="single" w:sz="4" w:space="0" w:color="BFBFBF"/>
              <w:right w:val="single" w:sz="4" w:space="0" w:color="BFBFBF"/>
            </w:tcBorders>
            <w:tcW w:w="510" w:type="dxa"/>
            <w:shd w:val="clear" w:color="auto" w:fill="1F3A5F"/>
            <w:tcW w:w="510" w:type="dxa"/>
          </w:tcPr>
          <w:p>
            <w:pPr>
              <w:spacing w:after="40" w:before="40" w:line="264" w:lineRule="auto"/>
              <w:jc w:val="center"/>
            </w:pPr>
            <w:r/>
            <w:r>
              <w:rPr>
                <w:rFonts w:ascii="Cambria" w:hAnsi="Cambria" w:eastAsia="Cambria"/>
                <w:b/>
                <w:i w:val="0"/>
                <w:color w:val="FFFFFF"/>
                <w:sz w:val="18"/>
              </w:rPr>
              <w:t>M1</w:t>
            </w:r>
          </w:p>
        </w:tc>
        <w:tc>
          <w:tcPr>
            <w:tcW w:type="dxa" w:w="510"/>
            <w:tcBorders>
              <w:top w:val="single" w:sz="4" w:space="0" w:color="BFBFBF"/>
              <w:left w:val="single" w:sz="4" w:space="0" w:color="BFBFBF"/>
              <w:bottom w:val="single" w:sz="4" w:space="0" w:color="BFBFBF"/>
              <w:right w:val="single" w:sz="4" w:space="0" w:color="BFBFBF"/>
            </w:tcBorders>
            <w:tcW w:w="510" w:type="dxa"/>
            <w:shd w:val="clear" w:color="auto" w:fill="1F3A5F"/>
            <w:tcW w:w="510" w:type="dxa"/>
          </w:tcPr>
          <w:p>
            <w:pPr>
              <w:spacing w:after="40" w:before="40" w:line="264" w:lineRule="auto"/>
              <w:jc w:val="center"/>
            </w:pPr>
            <w:r/>
            <w:r>
              <w:rPr>
                <w:rFonts w:ascii="Cambria" w:hAnsi="Cambria" w:eastAsia="Cambria"/>
                <w:b/>
                <w:i w:val="0"/>
                <w:color w:val="FFFFFF"/>
                <w:sz w:val="18"/>
              </w:rPr>
              <w:t>M2</w:t>
            </w:r>
          </w:p>
        </w:tc>
        <w:tc>
          <w:tcPr>
            <w:tcW w:type="dxa" w:w="510"/>
            <w:tcBorders>
              <w:top w:val="single" w:sz="4" w:space="0" w:color="BFBFBF"/>
              <w:left w:val="single" w:sz="4" w:space="0" w:color="BFBFBF"/>
              <w:bottom w:val="single" w:sz="4" w:space="0" w:color="BFBFBF"/>
              <w:right w:val="single" w:sz="4" w:space="0" w:color="BFBFBF"/>
            </w:tcBorders>
            <w:tcW w:w="510" w:type="dxa"/>
            <w:shd w:val="clear" w:color="auto" w:fill="1F3A5F"/>
            <w:tcW w:w="510" w:type="dxa"/>
          </w:tcPr>
          <w:p>
            <w:pPr>
              <w:spacing w:after="40" w:before="40" w:line="264" w:lineRule="auto"/>
              <w:jc w:val="center"/>
            </w:pPr>
            <w:r/>
            <w:r>
              <w:rPr>
                <w:rFonts w:ascii="Cambria" w:hAnsi="Cambria" w:eastAsia="Cambria"/>
                <w:b/>
                <w:i w:val="0"/>
                <w:color w:val="FFFFFF"/>
                <w:sz w:val="18"/>
              </w:rPr>
              <w:t>M3</w:t>
            </w:r>
          </w:p>
        </w:tc>
        <w:tc>
          <w:tcPr>
            <w:tcW w:type="dxa" w:w="510"/>
            <w:tcBorders>
              <w:top w:val="single" w:sz="4" w:space="0" w:color="BFBFBF"/>
              <w:left w:val="single" w:sz="4" w:space="0" w:color="BFBFBF"/>
              <w:bottom w:val="single" w:sz="4" w:space="0" w:color="BFBFBF"/>
              <w:right w:val="single" w:sz="4" w:space="0" w:color="BFBFBF"/>
            </w:tcBorders>
            <w:tcW w:w="510" w:type="dxa"/>
            <w:shd w:val="clear" w:color="auto" w:fill="1F3A5F"/>
            <w:tcW w:w="510" w:type="dxa"/>
          </w:tcPr>
          <w:p>
            <w:pPr>
              <w:spacing w:after="40" w:before="40" w:line="264" w:lineRule="auto"/>
              <w:jc w:val="center"/>
            </w:pPr>
            <w:r/>
            <w:r>
              <w:rPr>
                <w:rFonts w:ascii="Cambria" w:hAnsi="Cambria" w:eastAsia="Cambria"/>
                <w:b/>
                <w:i w:val="0"/>
                <w:color w:val="FFFFFF"/>
                <w:sz w:val="18"/>
              </w:rPr>
              <w:t>M4</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8"/>
              </w:rPr>
              <w:t>Avg. Correlation</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8"/>
              </w:rPr>
              <w:t>Level of Correlation</w:t>
            </w:r>
          </w:p>
        </w:tc>
      </w:tr>
      <w:tr>
        <w:tc>
          <w:tcPr>
            <w:tcW w:type="dxa" w:w="3742"/>
            <w:shd w:val="clear" w:color="auto" w:fill="E8ECF2"/>
            <w:tcW w:w="3742" w:type="dxa"/>
          </w:tcPr>
          <w:p>
            <w:pPr>
              <w:spacing w:after="40" w:before="40" w:line="264" w:lineRule="auto"/>
              <w:jc w:val="left"/>
            </w:pPr>
            <w:r/>
            <w:r>
              <w:rPr>
                <w:rFonts w:ascii="Cambria" w:hAnsi="Cambria" w:eastAsia="Cambria"/>
                <w:b w:val="0"/>
                <w:i w:val="0"/>
                <w:color w:val="000000"/>
                <w:sz w:val="18"/>
              </w:rPr>
              <w:t>PEO1: Apply engineering knowledge to solve real-world problems.</w:t>
            </w:r>
          </w:p>
        </w:tc>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8"/>
              </w:rPr>
              <w:t>3</w:t>
            </w:r>
          </w:p>
        </w:tc>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8"/>
              </w:rPr>
              <w:t>2</w:t>
            </w:r>
          </w:p>
        </w:tc>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8"/>
              </w:rPr>
              <w:t>2</w:t>
            </w:r>
          </w:p>
        </w:tc>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8"/>
              </w:rPr>
              <w:t>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8"/>
              </w:rPr>
              <w:t>2.5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8"/>
              </w:rPr>
              <w:t>High</w:t>
            </w:r>
          </w:p>
        </w:tc>
      </w:tr>
      <w:tr>
        <w:tc>
          <w:tcPr>
            <w:tcW w:type="dxa" w:w="3742"/>
            <w:shd w:val="clear" w:color="auto" w:fill="FFFFFF"/>
            <w:tcW w:w="3742" w:type="dxa"/>
          </w:tcPr>
          <w:p>
            <w:pPr>
              <w:spacing w:after="40" w:before="40" w:line="264" w:lineRule="auto"/>
              <w:jc w:val="left"/>
            </w:pPr>
            <w:r/>
            <w:r>
              <w:rPr>
                <w:rFonts w:ascii="Cambria" w:hAnsi="Cambria" w:eastAsia="Cambria"/>
                <w:b w:val="0"/>
                <w:i w:val="0"/>
                <w:color w:val="000000"/>
                <w:sz w:val="18"/>
              </w:rPr>
              <w:t>PEO2: Demonstrate leadership and ethical responsibility in professional practice.</w:t>
            </w:r>
          </w:p>
        </w:tc>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8"/>
              </w:rPr>
              <w:t>2</w:t>
            </w:r>
          </w:p>
        </w:tc>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8"/>
              </w:rPr>
              <w:t>3</w:t>
            </w:r>
          </w:p>
        </w:tc>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8"/>
              </w:rPr>
              <w:t>2</w:t>
            </w:r>
          </w:p>
        </w:tc>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8"/>
              </w:rPr>
              <w:t>2</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8"/>
              </w:rPr>
              <w:t>2.25</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8"/>
              </w:rPr>
              <w:t>Medium</w:t>
            </w:r>
          </w:p>
        </w:tc>
      </w:tr>
      <w:tr>
        <w:tc>
          <w:tcPr>
            <w:tcW w:type="dxa" w:w="3742"/>
            <w:shd w:val="clear" w:color="auto" w:fill="E8ECF2"/>
            <w:tcW w:w="3742" w:type="dxa"/>
          </w:tcPr>
          <w:p>
            <w:pPr>
              <w:spacing w:after="40" w:before="40" w:line="264" w:lineRule="auto"/>
              <w:jc w:val="left"/>
            </w:pPr>
            <w:r/>
            <w:r>
              <w:rPr>
                <w:rFonts w:ascii="Cambria" w:hAnsi="Cambria" w:eastAsia="Cambria"/>
                <w:b w:val="0"/>
                <w:i w:val="0"/>
                <w:color w:val="000000"/>
                <w:sz w:val="18"/>
              </w:rPr>
              <w:t>PEO3: Pursue lifelong learning and research in emerging technologies.</w:t>
            </w:r>
          </w:p>
        </w:tc>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8"/>
              </w:rPr>
              <w:t>1</w:t>
            </w:r>
          </w:p>
        </w:tc>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8"/>
              </w:rPr>
              <w:t>2</w:t>
            </w:r>
          </w:p>
        </w:tc>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8"/>
              </w:rPr>
              <w:t>3</w:t>
            </w:r>
          </w:p>
        </w:tc>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8"/>
              </w:rPr>
              <w:t>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8"/>
              </w:rPr>
              <w:t>2.25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8"/>
              </w:rPr>
              <w:t>Medium</w:t>
            </w:r>
          </w:p>
        </w:tc>
      </w:tr>
      <w:tr>
        <w:tc>
          <w:tcPr>
            <w:tcW w:type="dxa" w:w="3742"/>
            <w:shd w:val="clear" w:color="auto" w:fill="FFFFFF"/>
            <w:tcW w:w="3742" w:type="dxa"/>
          </w:tcPr>
          <w:p>
            <w:pPr>
              <w:spacing w:after="40" w:before="40" w:line="264" w:lineRule="auto"/>
              <w:jc w:val="left"/>
            </w:pPr>
            <w:r/>
            <w:r>
              <w:rPr>
                <w:rFonts w:ascii="Cambria" w:hAnsi="Cambria" w:eastAsia="Cambria"/>
                <w:b w:val="0"/>
                <w:i w:val="0"/>
                <w:color w:val="000000"/>
                <w:sz w:val="18"/>
              </w:rPr>
              <w:t>PEO4: Contribute to sustainable development through innovation.</w:t>
            </w:r>
          </w:p>
        </w:tc>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8"/>
              </w:rPr>
              <w:t>3</w:t>
            </w:r>
          </w:p>
        </w:tc>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8"/>
              </w:rPr>
              <w:t>1</w:t>
            </w:r>
          </w:p>
        </w:tc>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8"/>
              </w:rPr>
              <w:t>2</w:t>
            </w:r>
          </w:p>
        </w:tc>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8"/>
              </w:rPr>
              <w:t>3</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8"/>
              </w:rPr>
              <w:t>2.25</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8"/>
              </w:rPr>
              <w:t>Medium</w:t>
            </w:r>
          </w:p>
        </w:tc>
      </w:tr>
    </w:tbl>
    <w:tbl>
      <w:tblPr>
        <w:tblW w:type="auto" w:w="0"/>
        <w:jc w:val="center"/>
        <w:tblLook w:firstColumn="1" w:firstRow="1" w:lastColumn="0" w:lastRow="0" w:noHBand="0" w:noVBand="1" w:val="04A0"/>
        <w:tblLayout w:type="fixed"/>
        <w:tblLayout w:type="fixed"/>
      </w:tblPr>
      <w:tblGrid>
        <w:gridCol w:w="907"/>
        <w:gridCol w:w="1134"/>
        <w:gridCol w:w="4649"/>
        <w:gridCol w:w="1587"/>
      </w:tblGrid>
      <w:tr>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9"/>
              </w:rPr>
              <w:t>PEO Code</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9"/>
              </w:rPr>
              <w:t>Mission Element(s) Mapped</w:t>
            </w:r>
          </w:p>
        </w:tc>
        <w:tc>
          <w:tcPr>
            <w:tcW w:type="dxa" w:w="4649"/>
            <w:tcBorders>
              <w:top w:val="single" w:sz="4" w:space="0" w:color="BFBFBF"/>
              <w:left w:val="single" w:sz="4" w:space="0" w:color="BFBFBF"/>
              <w:bottom w:val="single" w:sz="4" w:space="0" w:color="BFBFBF"/>
              <w:right w:val="single" w:sz="4" w:space="0" w:color="BFBFBF"/>
            </w:tcBorders>
            <w:tcW w:w="4649" w:type="dxa"/>
            <w:shd w:val="clear" w:color="auto" w:fill="1F3A5F"/>
            <w:tcW w:w="4649" w:type="dxa"/>
          </w:tcPr>
          <w:p>
            <w:pPr>
              <w:spacing w:after="40" w:before="40" w:line="264" w:lineRule="auto"/>
              <w:jc w:val="center"/>
            </w:pPr>
            <w:r/>
            <w:r>
              <w:rPr>
                <w:rFonts w:ascii="Cambria" w:hAnsi="Cambria" w:eastAsia="Cambria"/>
                <w:b/>
                <w:i w:val="0"/>
                <w:color w:val="FFFFFF"/>
                <w:sz w:val="19"/>
              </w:rPr>
              <w:t>Justification of Linkage</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9"/>
              </w:rPr>
              <w:t>Evidence Reference</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9"/>
              </w:rPr>
              <w:t>PEO1</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9"/>
              </w:rPr>
              <w:t>M1, M3, M4</w:t>
            </w:r>
          </w:p>
        </w:tc>
        <w:tc>
          <w:tcPr>
            <w:tcW w:type="dxa" w:w="4649"/>
            <w:shd w:val="clear" w:color="auto" w:fill="E8ECF2"/>
            <w:tcW w:w="4649" w:type="dxa"/>
          </w:tcPr>
          <w:p>
            <w:pPr>
              <w:spacing w:after="40" w:before="40" w:line="264" w:lineRule="auto"/>
              <w:jc w:val="left"/>
            </w:pPr>
            <w:r/>
            <w:r>
              <w:rPr>
                <w:rFonts w:ascii="Cambria" w:hAnsi="Cambria" w:eastAsia="Cambria"/>
                <w:b w:val="0"/>
                <w:i w:val="0"/>
                <w:color w:val="000000"/>
                <w:sz w:val="19"/>
              </w:rPr>
              <w:t>Directly supports departmental mission of producing technically competent graduates capable of addressing societal challenges.</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9"/>
              </w:rPr>
              <w:t>Meeting Minutes #DME-2023-01</w:t>
            </w:r>
          </w:p>
        </w:tc>
      </w:tr>
      <w:tr>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9"/>
              </w:rPr>
              <w:t>PEO2</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9"/>
              </w:rPr>
              <w:t>M2, M3</w:t>
            </w:r>
          </w:p>
        </w:tc>
        <w:tc>
          <w:tcPr>
            <w:tcW w:type="dxa" w:w="4649"/>
            <w:shd w:val="clear" w:color="auto" w:fill="FFFFFF"/>
            <w:tcW w:w="4649" w:type="dxa"/>
          </w:tcPr>
          <w:p>
            <w:pPr>
              <w:spacing w:after="40" w:before="40" w:line="264" w:lineRule="auto"/>
              <w:jc w:val="left"/>
            </w:pPr>
            <w:r/>
            <w:r>
              <w:rPr>
                <w:rFonts w:ascii="Cambria" w:hAnsi="Cambria" w:eastAsia="Cambria"/>
                <w:b w:val="0"/>
                <w:i w:val="0"/>
                <w:color w:val="000000"/>
                <w:sz w:val="19"/>
              </w:rPr>
              <w:t>Aligns with mission to inculcate ethical leadership and teamwork.</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9"/>
              </w:rPr>
              <w:t>BoS Approval Document 2023</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9"/>
              </w:rPr>
              <w:t>PEO3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9"/>
              </w:rPr>
              <w:t>M1, M4</w:t>
            </w:r>
          </w:p>
        </w:tc>
        <w:tc>
          <w:tcPr>
            <w:tcW w:type="dxa" w:w="4649"/>
            <w:shd w:val="clear" w:color="auto" w:fill="E8ECF2"/>
            <w:tcW w:w="4649" w:type="dxa"/>
          </w:tcPr>
          <w:p>
            <w:pPr>
              <w:spacing w:after="40" w:before="40" w:line="264" w:lineRule="auto"/>
              <w:jc w:val="left"/>
            </w:pPr>
            <w:r/>
            <w:r>
              <w:rPr>
                <w:rFonts w:ascii="Cambria" w:hAnsi="Cambria" w:eastAsia="Cambria"/>
                <w:b w:val="0"/>
                <w:i w:val="0"/>
                <w:color w:val="000000"/>
                <w:sz w:val="19"/>
              </w:rPr>
              <w:t>Supports mission objective on promoting research and continuous learning.</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9"/>
              </w:rPr>
              <w:t>FDP and Research Workshop Records</w:t>
            </w:r>
          </w:p>
        </w:tc>
      </w:tr>
      <w:tr>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9"/>
              </w:rPr>
              <w:t>PEO4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9"/>
              </w:rPr>
              <w:t>M2, M4</w:t>
            </w:r>
          </w:p>
        </w:tc>
        <w:tc>
          <w:tcPr>
            <w:tcW w:type="dxa" w:w="4649"/>
            <w:shd w:val="clear" w:color="auto" w:fill="FFFFFF"/>
            <w:tcW w:w="4649" w:type="dxa"/>
          </w:tcPr>
          <w:p>
            <w:pPr>
              <w:spacing w:after="40" w:before="40" w:line="264" w:lineRule="auto"/>
              <w:jc w:val="left"/>
            </w:pPr>
            <w:r/>
            <w:r>
              <w:rPr>
                <w:rFonts w:ascii="Cambria" w:hAnsi="Cambria" w:eastAsia="Cambria"/>
                <w:b w:val="0"/>
                <w:i w:val="0"/>
                <w:color w:val="000000"/>
                <w:sz w:val="19"/>
              </w:rPr>
              <w:t>Correlates with mission of encouraging innovation and sustainable development practices.</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9"/>
              </w:rPr>
              <w:t>IQAC Review Report 2024</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this matrix and justification with SAR Criterion 1 – Vision, Mission, and PEOs.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the correlation strength in the matrix matches what is reported in the SAR.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Maintain traceability between </w:t>
      </w:r>
      <w:r>
        <w:rPr>
          <w:rFonts w:ascii="Cambria" w:hAnsi="Cambria" w:eastAsia="Cambria"/>
          <w:b w:val="0"/>
          <w:i/>
          <w:color w:val="000000"/>
          <w:sz w:val="22"/>
        </w:rPr>
        <w:t>Vision → Mission → PEOs → POs → PSOs</w:t>
      </w:r>
      <w:r>
        <w:rPr>
          <w:rFonts w:ascii="Cambria" w:hAnsi="Cambria" w:eastAsia="Cambria"/>
          <w:b w:val="0"/>
          <w:i w:val="0"/>
          <w:color w:val="000000"/>
          <w:sz w:val="22"/>
        </w:rPr>
        <w: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Clear and measurable linkage between departmental mission statements and programme educational objectives.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Demonstrated alignment with institutional philosophy and Outcome-Based Education (OBE) framework.</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Documentation evidence showing continuous review, approval, and improvement of PEO–Mission mapping.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1 requirements for mission consistency and programme goal alignment.</w:t>
      </w:r>
    </w:p>
    <w:p>
      <w:r>
        <w:br w:type="page"/>
      </w:r>
    </w:p>
    <w:p>
      <w:pPr>
        <w:keepNext/>
        <w:spacing w:before="240" w:after="160"/>
        <w:jc w:val="left"/>
      </w:pPr>
      <w:r>
        <w:rPr>
          <w:rFonts w:ascii="Cambria" w:hAnsi="Cambria" w:eastAsia="Cambria"/>
          <w:b/>
          <w:i w:val="0"/>
          <w:color w:val="1F3A5F"/>
          <w:sz w:val="25"/>
        </w:rPr>
        <w:t>9. P.6 Records of program curriculum and process used to identify extent of compliance of curriculum for attaining POs &amp; PSOs.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that the Program Curriculum is systematically designed, reviewed, and assessed to ensure alignment with Programme Outcomes (POs) and Programme Specific Outcomes (PSOs).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evidence that the attainment of POs &amp; PSOs is measurable, traceable, and regularly improved through structured processes.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Program Curriculum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Approved curriculum structure, syllabus, and course outcomes (COs) for each subject.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Course–PO–PSO Mapping Matrix (showing how each course contributes to various outcomes).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Records of curriculum revision meetings, Board of Studies (BoS) approvals, and Academic Council endorsements.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Process for Assessing Compliance with POs &amp; PSOs: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Methodology adopted for mapping COs to POs and PSOs (using correlation levels such as 1–Low, 2–Medium, 3–High).</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Calculation of PO &amp; PSO attainment through direct and indirect assessment methods.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Annual review reports of outcome attainment and continuous improvement actions.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of Stakeholder Feedback:</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Feedback analysis from faculty, students, alumni, and industry used to evaluate curriculum relevance and outcome compliance.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Meeting minutes documenting corrective actions or syllabus updates based on feedback.</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Curriculum structure and detailed syllabus for all courses in the program.</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 Outcome (CO) statements with their CO–PO–PSO mapping sheets.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 files containing lesson plans, assessment records, and attainment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BoS and Academic Council meeting minutes approving curriculum revisions.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Records of external stakeholder consultations on curriculum effectiveness.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Annual attainment reports showing achievement levels of each PO &amp; PSO.</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CO–PO–PSO Mapping Table:</w:t>
      </w:r>
    </w:p>
    <w:p>
      <w:pPr>
        <w:keepNext/>
        <w:spacing w:before="200" w:after="80"/>
      </w:pPr>
      <w:r>
        <w:rPr>
          <w:rFonts w:ascii="Cambria" w:hAnsi="Cambria" w:eastAsia="Cambria"/>
          <w:b/>
          <w:i w:val="0"/>
          <w:color w:val="1F3A5F"/>
          <w:sz w:val="23"/>
        </w:rPr>
        <w:t>CS301 – Data Structures</w:t>
      </w:r>
    </w:p>
    <w:tbl>
      <w:tblPr>
        <w:tblW w:type="auto" w:w="0"/>
        <w:jc w:val="center"/>
        <w:tblLook w:firstColumn="1" w:firstRow="1" w:lastColumn="0" w:lastRow="0" w:noHBand="0" w:noVBand="1" w:val="04A0"/>
        <w:tblLayout w:type="fixed"/>
        <w:tblLayout w:type="fixed"/>
      </w:tblPr>
      <w:tblGrid>
        <w:gridCol w:w="2268"/>
        <w:gridCol w:w="7143"/>
      </w:tblGrid>
      <w:tr>
        <w:tc>
          <w:tcPr>
            <w:tcW w:type="dxa" w:w="2268"/>
            <w:shd w:val="clear" w:color="auto" w:fill="E8ECF2"/>
            <w:tcW w:w="2268" w:type="dxa"/>
          </w:tcPr>
          <w:p>
            <w:pPr>
              <w:spacing w:after="40" w:before="40" w:line="264" w:lineRule="auto"/>
              <w:jc w:val="left"/>
            </w:pPr>
            <w:r/>
            <w:r>
              <w:rPr>
                <w:rFonts w:ascii="Cambria" w:hAnsi="Cambria" w:eastAsia="Cambria"/>
                <w:b/>
                <w:i w:val="0"/>
                <w:color w:val="000000"/>
                <w:sz w:val="22"/>
              </w:rPr>
              <w:t>CO1</w:t>
            </w:r>
          </w:p>
        </w:tc>
        <w:tc>
          <w:tcPr>
            <w:tcW w:type="dxa" w:w="7143"/>
            <w:shd w:val="clear" w:color="auto" w:fill="E8ECF2"/>
            <w:tcW w:w="7143" w:type="dxa"/>
          </w:tcPr>
          <w:p>
            <w:pPr>
              <w:spacing w:after="40" w:before="40" w:line="264" w:lineRule="auto"/>
              <w:jc w:val="both"/>
            </w:pPr>
            <w:r/>
            <w:r>
              <w:rPr>
                <w:rFonts w:ascii="Cambria" w:hAnsi="Cambria" w:eastAsia="Cambria"/>
                <w:b w:val="0"/>
                <w:i w:val="0"/>
                <w:color w:val="000000"/>
                <w:sz w:val="22"/>
              </w:rPr>
              <w:t>3</w:t>
            </w:r>
          </w:p>
        </w:tc>
      </w:tr>
      <w:tr>
        <w:tc>
          <w:tcPr>
            <w:tcW w:type="dxa" w:w="2268"/>
            <w:shd w:val="clear" w:color="auto" w:fill="FFFFFF"/>
            <w:tcW w:w="2268" w:type="dxa"/>
          </w:tcPr>
          <w:p>
            <w:pPr>
              <w:spacing w:after="40" w:before="40" w:line="264" w:lineRule="auto"/>
              <w:jc w:val="left"/>
            </w:pPr>
            <w:r/>
            <w:r>
              <w:rPr>
                <w:rFonts w:ascii="Cambria" w:hAnsi="Cambria" w:eastAsia="Cambria"/>
                <w:b/>
                <w:i w:val="0"/>
                <w:color w:val="000000"/>
                <w:sz w:val="22"/>
              </w:rPr>
              <w:t>CO2</w:t>
            </w:r>
          </w:p>
        </w:tc>
        <w:tc>
          <w:tcPr>
            <w:tcW w:type="dxa" w:w="7143"/>
            <w:shd w:val="clear" w:color="auto" w:fill="FFFFFF"/>
            <w:tcW w:w="7143" w:type="dxa"/>
          </w:tcPr>
          <w:p>
            <w:pPr>
              <w:spacing w:after="40" w:before="40" w:line="264" w:lineRule="auto"/>
              <w:jc w:val="both"/>
            </w:pPr>
            <w:r/>
            <w:r>
              <w:rPr>
                <w:rFonts w:ascii="Cambria" w:hAnsi="Cambria" w:eastAsia="Cambria"/>
                <w:b w:val="0"/>
                <w:i w:val="0"/>
                <w:color w:val="000000"/>
                <w:sz w:val="22"/>
              </w:rPr>
              <w:t>2</w:t>
            </w:r>
          </w:p>
        </w:tc>
      </w:tr>
      <w:tr>
        <w:tc>
          <w:tcPr>
            <w:tcW w:type="dxa" w:w="2268"/>
            <w:shd w:val="clear" w:color="auto" w:fill="E8ECF2"/>
            <w:tcW w:w="2268" w:type="dxa"/>
          </w:tcPr>
          <w:p>
            <w:pPr>
              <w:spacing w:after="40" w:before="40" w:line="264" w:lineRule="auto"/>
              <w:jc w:val="left"/>
            </w:pPr>
            <w:r/>
            <w:r>
              <w:rPr>
                <w:rFonts w:ascii="Cambria" w:hAnsi="Cambria" w:eastAsia="Cambria"/>
                <w:b/>
                <w:i w:val="0"/>
                <w:color w:val="000000"/>
                <w:sz w:val="22"/>
              </w:rPr>
              <w:t>CO3</w:t>
            </w:r>
          </w:p>
        </w:tc>
        <w:tc>
          <w:tcPr>
            <w:tcW w:type="dxa" w:w="7143"/>
            <w:shd w:val="clear" w:color="auto" w:fill="E8ECF2"/>
            <w:tcW w:w="7143" w:type="dxa"/>
          </w:tcPr>
          <w:p>
            <w:pPr>
              <w:spacing w:after="40" w:before="40" w:line="264" w:lineRule="auto"/>
              <w:jc w:val="both"/>
            </w:pPr>
            <w:r/>
            <w:r>
              <w:rPr>
                <w:rFonts w:ascii="Cambria" w:hAnsi="Cambria" w:eastAsia="Cambria"/>
                <w:b w:val="0"/>
                <w:i w:val="0"/>
                <w:color w:val="000000"/>
                <w:sz w:val="22"/>
              </w:rPr>
              <w:t>3</w:t>
            </w:r>
          </w:p>
        </w:tc>
      </w:tr>
      <w:tr>
        <w:tc>
          <w:tcPr>
            <w:tcW w:type="dxa" w:w="2268"/>
            <w:shd w:val="clear" w:color="auto" w:fill="FFFFFF"/>
            <w:tcW w:w="2268" w:type="dxa"/>
          </w:tcPr>
          <w:p>
            <w:pPr>
              <w:spacing w:after="40" w:before="40" w:line="264" w:lineRule="auto"/>
              <w:jc w:val="left"/>
            </w:pPr>
            <w:r/>
            <w:r>
              <w:rPr>
                <w:rFonts w:ascii="Cambria" w:hAnsi="Cambria" w:eastAsia="Cambria"/>
                <w:b/>
                <w:i w:val="0"/>
                <w:color w:val="000000"/>
                <w:sz w:val="22"/>
              </w:rPr>
              <w:t>CO4</w:t>
            </w:r>
          </w:p>
        </w:tc>
        <w:tc>
          <w:tcPr>
            <w:tcW w:type="dxa" w:w="7143"/>
            <w:shd w:val="clear" w:color="auto" w:fill="FFFFFF"/>
            <w:tcW w:w="7143" w:type="dxa"/>
          </w:tcPr>
          <w:p>
            <w:pPr>
              <w:spacing w:after="40" w:before="40" w:line="264" w:lineRule="auto"/>
              <w:jc w:val="both"/>
            </w:pPr>
            <w:r/>
            <w:r>
              <w:rPr>
                <w:rFonts w:ascii="Cambria" w:hAnsi="Cambria" w:eastAsia="Cambria"/>
                <w:b w:val="0"/>
                <w:i w:val="0"/>
                <w:color w:val="000000"/>
                <w:sz w:val="22"/>
              </w:rPr>
              <w:t>2</w:t>
            </w:r>
          </w:p>
        </w:tc>
      </w:tr>
      <w:tr>
        <w:tc>
          <w:tcPr>
            <w:tcW w:type="dxa" w:w="2268"/>
            <w:shd w:val="clear" w:color="auto" w:fill="E8ECF2"/>
            <w:tcW w:w="2268" w:type="dxa"/>
          </w:tcPr>
          <w:p>
            <w:pPr>
              <w:spacing w:after="40" w:before="40" w:line="264" w:lineRule="auto"/>
              <w:jc w:val="left"/>
            </w:pPr>
            <w:r/>
            <w:r>
              <w:rPr>
                <w:rFonts w:ascii="Cambria" w:hAnsi="Cambria" w:eastAsia="Cambria"/>
                <w:b/>
                <w:i w:val="0"/>
                <w:color w:val="000000"/>
                <w:sz w:val="22"/>
              </w:rPr>
              <w:t>CO5</w:t>
            </w:r>
          </w:p>
        </w:tc>
        <w:tc>
          <w:tcPr>
            <w:tcW w:type="dxa" w:w="7143"/>
            <w:shd w:val="clear" w:color="auto" w:fill="E8ECF2"/>
            <w:tcW w:w="7143" w:type="dxa"/>
          </w:tcPr>
          <w:p>
            <w:pPr>
              <w:spacing w:after="40" w:before="40" w:line="264" w:lineRule="auto"/>
              <w:jc w:val="both"/>
            </w:pPr>
            <w:r/>
            <w:r>
              <w:rPr>
                <w:rFonts w:ascii="Cambria" w:hAnsi="Cambria" w:eastAsia="Cambria"/>
                <w:b w:val="0"/>
                <w:i w:val="0"/>
                <w:color w:val="000000"/>
                <w:sz w:val="22"/>
              </w:rPr>
              <w:t>1</w:t>
            </w:r>
          </w:p>
        </w:tc>
      </w:tr>
      <w:tr>
        <w:tc>
          <w:tcPr>
            <w:tcW w:type="dxa" w:w="2268"/>
            <w:shd w:val="clear" w:color="auto" w:fill="FFFFFF"/>
            <w:tcW w:w="2268" w:type="dxa"/>
          </w:tcPr>
          <w:p>
            <w:pPr>
              <w:spacing w:after="40" w:before="40" w:line="264" w:lineRule="auto"/>
              <w:jc w:val="left"/>
            </w:pPr>
            <w:r/>
            <w:r>
              <w:rPr>
                <w:rFonts w:ascii="Cambria" w:hAnsi="Cambria" w:eastAsia="Cambria"/>
                <w:b/>
                <w:i w:val="0"/>
                <w:color w:val="000000"/>
                <w:sz w:val="22"/>
              </w:rPr>
              <w:t>PO1</w:t>
            </w:r>
          </w:p>
        </w:tc>
        <w:tc>
          <w:tcPr>
            <w:tcW w:type="dxa" w:w="7143"/>
            <w:shd w:val="clear" w:color="auto" w:fill="FFFFFF"/>
            <w:tcW w:w="7143" w:type="dxa"/>
          </w:tcPr>
          <w:p>
            <w:pPr>
              <w:spacing w:after="40" w:before="40" w:line="264" w:lineRule="auto"/>
              <w:jc w:val="both"/>
            </w:pPr>
            <w:r/>
            <w:r>
              <w:rPr>
                <w:rFonts w:ascii="Cambria" w:hAnsi="Cambria" w:eastAsia="Cambria"/>
                <w:b w:val="0"/>
                <w:i w:val="0"/>
                <w:color w:val="000000"/>
                <w:sz w:val="22"/>
              </w:rPr>
              <w:t>3</w:t>
            </w:r>
          </w:p>
        </w:tc>
      </w:tr>
      <w:tr>
        <w:tc>
          <w:tcPr>
            <w:tcW w:type="dxa" w:w="2268"/>
            <w:shd w:val="clear" w:color="auto" w:fill="E8ECF2"/>
            <w:tcW w:w="2268" w:type="dxa"/>
          </w:tcPr>
          <w:p>
            <w:pPr>
              <w:spacing w:after="40" w:before="40" w:line="264" w:lineRule="auto"/>
              <w:jc w:val="left"/>
            </w:pPr>
            <w:r/>
            <w:r>
              <w:rPr>
                <w:rFonts w:ascii="Cambria" w:hAnsi="Cambria" w:eastAsia="Cambria"/>
                <w:b/>
                <w:i w:val="0"/>
                <w:color w:val="000000"/>
                <w:sz w:val="22"/>
              </w:rPr>
              <w:t>PO2</w:t>
            </w:r>
          </w:p>
        </w:tc>
        <w:tc>
          <w:tcPr>
            <w:tcW w:type="dxa" w:w="7143"/>
            <w:shd w:val="clear" w:color="auto" w:fill="E8ECF2"/>
            <w:tcW w:w="7143" w:type="dxa"/>
          </w:tcPr>
          <w:p>
            <w:pPr>
              <w:spacing w:after="40" w:before="40" w:line="264" w:lineRule="auto"/>
              <w:jc w:val="both"/>
            </w:pPr>
            <w:r/>
            <w:r>
              <w:rPr>
                <w:rFonts w:ascii="Cambria" w:hAnsi="Cambria" w:eastAsia="Cambria"/>
                <w:b w:val="0"/>
                <w:i w:val="0"/>
                <w:color w:val="000000"/>
                <w:sz w:val="22"/>
              </w:rPr>
              <w:t>2</w:t>
            </w:r>
          </w:p>
        </w:tc>
      </w:tr>
      <w:tr>
        <w:tc>
          <w:tcPr>
            <w:tcW w:type="dxa" w:w="2268"/>
            <w:shd w:val="clear" w:color="auto" w:fill="FFFFFF"/>
            <w:tcW w:w="2268" w:type="dxa"/>
          </w:tcPr>
          <w:p>
            <w:pPr>
              <w:spacing w:after="40" w:before="40" w:line="264" w:lineRule="auto"/>
              <w:jc w:val="left"/>
            </w:pPr>
            <w:r/>
            <w:r>
              <w:rPr>
                <w:rFonts w:ascii="Cambria" w:hAnsi="Cambria" w:eastAsia="Cambria"/>
                <w:b/>
                <w:i w:val="0"/>
                <w:color w:val="000000"/>
                <w:sz w:val="22"/>
              </w:rPr>
              <w:t>PO3</w:t>
            </w:r>
          </w:p>
        </w:tc>
        <w:tc>
          <w:tcPr>
            <w:tcW w:type="dxa" w:w="7143"/>
            <w:shd w:val="clear" w:color="auto" w:fill="FFFFFF"/>
            <w:tcW w:w="7143" w:type="dxa"/>
          </w:tcPr>
          <w:p>
            <w:pPr>
              <w:spacing w:after="40" w:before="40" w:line="264" w:lineRule="auto"/>
              <w:jc w:val="both"/>
            </w:pPr>
            <w:r/>
            <w:r>
              <w:rPr>
                <w:rFonts w:ascii="Cambria" w:hAnsi="Cambria" w:eastAsia="Cambria"/>
                <w:b w:val="0"/>
                <w:i w:val="0"/>
                <w:color w:val="000000"/>
                <w:sz w:val="22"/>
              </w:rPr>
              <w:t>2</w:t>
            </w:r>
          </w:p>
        </w:tc>
      </w:tr>
      <w:tr>
        <w:tc>
          <w:tcPr>
            <w:tcW w:type="dxa" w:w="2268"/>
            <w:shd w:val="clear" w:color="auto" w:fill="E8ECF2"/>
            <w:tcW w:w="2268" w:type="dxa"/>
          </w:tcPr>
          <w:p>
            <w:pPr>
              <w:spacing w:after="40" w:before="40" w:line="264" w:lineRule="auto"/>
              <w:jc w:val="left"/>
            </w:pPr>
            <w:r/>
            <w:r>
              <w:rPr>
                <w:rFonts w:ascii="Cambria" w:hAnsi="Cambria" w:eastAsia="Cambria"/>
                <w:b/>
                <w:i w:val="0"/>
                <w:color w:val="000000"/>
                <w:sz w:val="22"/>
              </w:rPr>
              <w:t>PO4</w:t>
            </w:r>
          </w:p>
        </w:tc>
        <w:tc>
          <w:tcPr>
            <w:tcW w:type="dxa" w:w="7143"/>
            <w:shd w:val="clear" w:color="auto" w:fill="E8ECF2"/>
            <w:tcW w:w="7143" w:type="dxa"/>
          </w:tcPr>
          <w:p>
            <w:pPr>
              <w:spacing w:after="40" w:before="40" w:line="264" w:lineRule="auto"/>
              <w:jc w:val="both"/>
            </w:pPr>
            <w:r/>
            <w:r>
              <w:rPr>
                <w:rFonts w:ascii="Cambria" w:hAnsi="Cambria" w:eastAsia="Cambria"/>
                <w:b w:val="0"/>
                <w:i w:val="0"/>
                <w:color w:val="000000"/>
                <w:sz w:val="22"/>
              </w:rPr>
              <w:t>3</w:t>
            </w:r>
          </w:p>
        </w:tc>
      </w:tr>
      <w:tr>
        <w:tc>
          <w:tcPr>
            <w:tcW w:type="dxa" w:w="2268"/>
            <w:shd w:val="clear" w:color="auto" w:fill="FFFFFF"/>
            <w:tcW w:w="2268" w:type="dxa"/>
          </w:tcPr>
          <w:p>
            <w:pPr>
              <w:spacing w:after="40" w:before="40" w:line="264" w:lineRule="auto"/>
              <w:jc w:val="left"/>
            </w:pPr>
            <w:r/>
            <w:r>
              <w:rPr>
                <w:rFonts w:ascii="Cambria" w:hAnsi="Cambria" w:eastAsia="Cambria"/>
                <w:b/>
                <w:i w:val="0"/>
                <w:color w:val="000000"/>
                <w:sz w:val="22"/>
              </w:rPr>
              <w:t>PO5</w:t>
            </w:r>
          </w:p>
        </w:tc>
        <w:tc>
          <w:tcPr>
            <w:tcW w:type="dxa" w:w="7143"/>
            <w:shd w:val="clear" w:color="auto" w:fill="FFFFFF"/>
            <w:tcW w:w="7143" w:type="dxa"/>
          </w:tcPr>
          <w:p>
            <w:pPr>
              <w:spacing w:after="40" w:before="40" w:line="264" w:lineRule="auto"/>
              <w:jc w:val="both"/>
            </w:pPr>
            <w:r/>
            <w:r>
              <w:rPr>
                <w:rFonts w:ascii="Cambria" w:hAnsi="Cambria" w:eastAsia="Cambria"/>
                <w:b w:val="0"/>
                <w:i w:val="0"/>
                <w:color w:val="000000"/>
                <w:sz w:val="22"/>
              </w:rPr>
              <w:t>1</w:t>
            </w:r>
          </w:p>
        </w:tc>
      </w:tr>
      <w:tr>
        <w:tc>
          <w:tcPr>
            <w:tcW w:type="dxa" w:w="2268"/>
            <w:shd w:val="clear" w:color="auto" w:fill="E8ECF2"/>
            <w:tcW w:w="2268" w:type="dxa"/>
          </w:tcPr>
          <w:p>
            <w:pPr>
              <w:spacing w:after="40" w:before="40" w:line="264" w:lineRule="auto"/>
              <w:jc w:val="left"/>
            </w:pPr>
            <w:r/>
            <w:r>
              <w:rPr>
                <w:rFonts w:ascii="Cambria" w:hAnsi="Cambria" w:eastAsia="Cambria"/>
                <w:b/>
                <w:i w:val="0"/>
                <w:color w:val="000000"/>
                <w:sz w:val="22"/>
              </w:rPr>
              <w:t>PSO1</w:t>
            </w:r>
          </w:p>
        </w:tc>
        <w:tc>
          <w:tcPr>
            <w:tcW w:type="dxa" w:w="7143"/>
            <w:shd w:val="clear" w:color="auto" w:fill="E8ECF2"/>
            <w:tcW w:w="7143" w:type="dxa"/>
          </w:tcPr>
          <w:p>
            <w:pPr>
              <w:spacing w:after="40" w:before="40" w:line="264" w:lineRule="auto"/>
              <w:jc w:val="both"/>
            </w:pPr>
            <w:r/>
            <w:r>
              <w:rPr>
                <w:rFonts w:ascii="Cambria" w:hAnsi="Cambria" w:eastAsia="Cambria"/>
                <w:b w:val="0"/>
                <w:i w:val="0"/>
                <w:color w:val="000000"/>
                <w:sz w:val="22"/>
              </w:rPr>
              <w:t>2</w:t>
            </w:r>
          </w:p>
        </w:tc>
      </w:tr>
      <w:tr>
        <w:tc>
          <w:tcPr>
            <w:tcW w:type="dxa" w:w="2268"/>
            <w:shd w:val="clear" w:color="auto" w:fill="FFFFFF"/>
            <w:tcW w:w="2268" w:type="dxa"/>
          </w:tcPr>
          <w:p>
            <w:pPr>
              <w:spacing w:after="40" w:before="40" w:line="264" w:lineRule="auto"/>
              <w:jc w:val="left"/>
            </w:pPr>
            <w:r/>
            <w:r>
              <w:rPr>
                <w:rFonts w:ascii="Cambria" w:hAnsi="Cambria" w:eastAsia="Cambria"/>
                <w:b/>
                <w:i w:val="0"/>
                <w:color w:val="000000"/>
                <w:sz w:val="22"/>
              </w:rPr>
              <w:t>PSO2</w:t>
            </w:r>
          </w:p>
        </w:tc>
        <w:tc>
          <w:tcPr>
            <w:tcW w:type="dxa" w:w="7143"/>
            <w:shd w:val="clear" w:color="auto" w:fill="FFFFFF"/>
            <w:tcW w:w="7143" w:type="dxa"/>
          </w:tcPr>
          <w:p>
            <w:pPr>
              <w:spacing w:after="40" w:before="40" w:line="264" w:lineRule="auto"/>
              <w:jc w:val="both"/>
            </w:pPr>
            <w:r/>
            <w:r>
              <w:rPr>
                <w:rFonts w:ascii="Cambria" w:hAnsi="Cambria" w:eastAsia="Cambria"/>
                <w:b w:val="0"/>
                <w:i w:val="0"/>
                <w:color w:val="000000"/>
                <w:sz w:val="22"/>
              </w:rPr>
              <w:t>3</w:t>
            </w:r>
          </w:p>
        </w:tc>
      </w:tr>
    </w:tbl>
    <w:p>
      <w:pPr>
        <w:keepNext/>
        <w:spacing w:before="200" w:after="80"/>
      </w:pPr>
      <w:r>
        <w:rPr>
          <w:rFonts w:ascii="Cambria" w:hAnsi="Cambria" w:eastAsia="Cambria"/>
          <w:b/>
          <w:i w:val="0"/>
          <w:color w:val="1F3A5F"/>
          <w:sz w:val="23"/>
        </w:rPr>
        <w:t>CS302 – Database Systems</w:t>
      </w:r>
    </w:p>
    <w:tbl>
      <w:tblPr>
        <w:tblW w:type="auto" w:w="0"/>
        <w:jc w:val="center"/>
        <w:tblLook w:firstColumn="1" w:firstRow="1" w:lastColumn="0" w:lastRow="0" w:noHBand="0" w:noVBand="1" w:val="04A0"/>
        <w:tblLayout w:type="fixed"/>
        <w:tblLayout w:type="fixed"/>
      </w:tblPr>
      <w:tblGrid>
        <w:gridCol w:w="2268"/>
        <w:gridCol w:w="7143"/>
      </w:tblGrid>
      <w:tr>
        <w:tc>
          <w:tcPr>
            <w:tcW w:type="dxa" w:w="2268"/>
            <w:shd w:val="clear" w:color="auto" w:fill="E8ECF2"/>
            <w:tcW w:w="2268" w:type="dxa"/>
          </w:tcPr>
          <w:p>
            <w:pPr>
              <w:spacing w:after="40" w:before="40" w:line="264" w:lineRule="auto"/>
              <w:jc w:val="left"/>
            </w:pPr>
            <w:r/>
            <w:r>
              <w:rPr>
                <w:rFonts w:ascii="Cambria" w:hAnsi="Cambria" w:eastAsia="Cambria"/>
                <w:b/>
                <w:i w:val="0"/>
                <w:color w:val="000000"/>
                <w:sz w:val="22"/>
              </w:rPr>
              <w:t>CO1</w:t>
            </w:r>
          </w:p>
        </w:tc>
        <w:tc>
          <w:tcPr>
            <w:tcW w:type="dxa" w:w="7143"/>
            <w:shd w:val="clear" w:color="auto" w:fill="E8ECF2"/>
            <w:tcW w:w="7143" w:type="dxa"/>
          </w:tcPr>
          <w:p>
            <w:pPr>
              <w:spacing w:after="40" w:before="40" w:line="264" w:lineRule="auto"/>
              <w:jc w:val="both"/>
            </w:pPr>
            <w:r/>
            <w:r>
              <w:rPr>
                <w:rFonts w:ascii="Cambria" w:hAnsi="Cambria" w:eastAsia="Cambria"/>
                <w:b w:val="0"/>
                <w:i w:val="0"/>
                <w:color w:val="000000"/>
                <w:sz w:val="22"/>
              </w:rPr>
              <w:t>2</w:t>
            </w:r>
          </w:p>
        </w:tc>
      </w:tr>
      <w:tr>
        <w:tc>
          <w:tcPr>
            <w:tcW w:type="dxa" w:w="2268"/>
            <w:shd w:val="clear" w:color="auto" w:fill="FFFFFF"/>
            <w:tcW w:w="2268" w:type="dxa"/>
          </w:tcPr>
          <w:p>
            <w:pPr>
              <w:spacing w:after="40" w:before="40" w:line="264" w:lineRule="auto"/>
              <w:jc w:val="left"/>
            </w:pPr>
            <w:r/>
            <w:r>
              <w:rPr>
                <w:rFonts w:ascii="Cambria" w:hAnsi="Cambria" w:eastAsia="Cambria"/>
                <w:b/>
                <w:i w:val="0"/>
                <w:color w:val="000000"/>
                <w:sz w:val="22"/>
              </w:rPr>
              <w:t>CO2</w:t>
            </w:r>
          </w:p>
        </w:tc>
        <w:tc>
          <w:tcPr>
            <w:tcW w:type="dxa" w:w="7143"/>
            <w:shd w:val="clear" w:color="auto" w:fill="FFFFFF"/>
            <w:tcW w:w="7143" w:type="dxa"/>
          </w:tcPr>
          <w:p>
            <w:pPr>
              <w:spacing w:after="40" w:before="40" w:line="264" w:lineRule="auto"/>
              <w:jc w:val="both"/>
            </w:pPr>
            <w:r/>
            <w:r>
              <w:rPr>
                <w:rFonts w:ascii="Cambria" w:hAnsi="Cambria" w:eastAsia="Cambria"/>
                <w:b w:val="0"/>
                <w:i w:val="0"/>
                <w:color w:val="000000"/>
                <w:sz w:val="22"/>
              </w:rPr>
              <w:t>2</w:t>
            </w:r>
          </w:p>
        </w:tc>
      </w:tr>
      <w:tr>
        <w:tc>
          <w:tcPr>
            <w:tcW w:type="dxa" w:w="2268"/>
            <w:shd w:val="clear" w:color="auto" w:fill="E8ECF2"/>
            <w:tcW w:w="2268" w:type="dxa"/>
          </w:tcPr>
          <w:p>
            <w:pPr>
              <w:spacing w:after="40" w:before="40" w:line="264" w:lineRule="auto"/>
              <w:jc w:val="left"/>
            </w:pPr>
            <w:r/>
            <w:r>
              <w:rPr>
                <w:rFonts w:ascii="Cambria" w:hAnsi="Cambria" w:eastAsia="Cambria"/>
                <w:b/>
                <w:i w:val="0"/>
                <w:color w:val="000000"/>
                <w:sz w:val="22"/>
              </w:rPr>
              <w:t>CO3</w:t>
            </w:r>
          </w:p>
        </w:tc>
        <w:tc>
          <w:tcPr>
            <w:tcW w:type="dxa" w:w="7143"/>
            <w:shd w:val="clear" w:color="auto" w:fill="E8ECF2"/>
            <w:tcW w:w="7143" w:type="dxa"/>
          </w:tcPr>
          <w:p>
            <w:pPr>
              <w:spacing w:after="40" w:before="40" w:line="264" w:lineRule="auto"/>
              <w:jc w:val="both"/>
            </w:pPr>
            <w:r/>
            <w:r>
              <w:rPr>
                <w:rFonts w:ascii="Cambria" w:hAnsi="Cambria" w:eastAsia="Cambria"/>
                <w:b w:val="0"/>
                <w:i w:val="0"/>
                <w:color w:val="000000"/>
                <w:sz w:val="22"/>
              </w:rPr>
              <w:t>3</w:t>
            </w:r>
          </w:p>
        </w:tc>
      </w:tr>
      <w:tr>
        <w:tc>
          <w:tcPr>
            <w:tcW w:type="dxa" w:w="2268"/>
            <w:shd w:val="clear" w:color="auto" w:fill="FFFFFF"/>
            <w:tcW w:w="2268" w:type="dxa"/>
          </w:tcPr>
          <w:p>
            <w:pPr>
              <w:spacing w:after="40" w:before="40" w:line="264" w:lineRule="auto"/>
              <w:jc w:val="left"/>
            </w:pPr>
            <w:r/>
            <w:r>
              <w:rPr>
                <w:rFonts w:ascii="Cambria" w:hAnsi="Cambria" w:eastAsia="Cambria"/>
                <w:b/>
                <w:i w:val="0"/>
                <w:color w:val="000000"/>
                <w:sz w:val="22"/>
              </w:rPr>
              <w:t>CO4</w:t>
            </w:r>
          </w:p>
        </w:tc>
        <w:tc>
          <w:tcPr>
            <w:tcW w:type="dxa" w:w="7143"/>
            <w:shd w:val="clear" w:color="auto" w:fill="FFFFFF"/>
            <w:tcW w:w="7143" w:type="dxa"/>
          </w:tcPr>
          <w:p>
            <w:pPr>
              <w:spacing w:after="40" w:before="40" w:line="264" w:lineRule="auto"/>
              <w:jc w:val="both"/>
            </w:pPr>
            <w:r/>
            <w:r>
              <w:rPr>
                <w:rFonts w:ascii="Cambria" w:hAnsi="Cambria" w:eastAsia="Cambria"/>
                <w:b w:val="0"/>
                <w:i w:val="0"/>
                <w:color w:val="000000"/>
                <w:sz w:val="22"/>
              </w:rPr>
              <w:t>3</w:t>
            </w:r>
          </w:p>
        </w:tc>
      </w:tr>
      <w:tr>
        <w:tc>
          <w:tcPr>
            <w:tcW w:type="dxa" w:w="2268"/>
            <w:shd w:val="clear" w:color="auto" w:fill="E8ECF2"/>
            <w:tcW w:w="2268" w:type="dxa"/>
          </w:tcPr>
          <w:p>
            <w:pPr>
              <w:spacing w:after="40" w:before="40" w:line="264" w:lineRule="auto"/>
              <w:jc w:val="left"/>
            </w:pPr>
            <w:r/>
            <w:r>
              <w:rPr>
                <w:rFonts w:ascii="Cambria" w:hAnsi="Cambria" w:eastAsia="Cambria"/>
                <w:b/>
                <w:i w:val="0"/>
                <w:color w:val="000000"/>
                <w:sz w:val="22"/>
              </w:rPr>
              <w:t>CO5</w:t>
            </w:r>
          </w:p>
        </w:tc>
        <w:tc>
          <w:tcPr>
            <w:tcW w:type="dxa" w:w="7143"/>
            <w:shd w:val="clear" w:color="auto" w:fill="E8ECF2"/>
            <w:tcW w:w="7143" w:type="dxa"/>
          </w:tcPr>
          <w:p>
            <w:pPr>
              <w:spacing w:after="40" w:before="40" w:line="264" w:lineRule="auto"/>
              <w:jc w:val="both"/>
            </w:pPr>
            <w:r/>
            <w:r>
              <w:rPr>
                <w:rFonts w:ascii="Cambria" w:hAnsi="Cambria" w:eastAsia="Cambria"/>
                <w:b w:val="0"/>
                <w:i w:val="0"/>
                <w:color w:val="000000"/>
                <w:sz w:val="22"/>
              </w:rPr>
              <w:t>2</w:t>
            </w:r>
          </w:p>
        </w:tc>
      </w:tr>
      <w:tr>
        <w:tc>
          <w:tcPr>
            <w:tcW w:type="dxa" w:w="2268"/>
            <w:shd w:val="clear" w:color="auto" w:fill="FFFFFF"/>
            <w:tcW w:w="2268" w:type="dxa"/>
          </w:tcPr>
          <w:p>
            <w:pPr>
              <w:spacing w:after="40" w:before="40" w:line="264" w:lineRule="auto"/>
              <w:jc w:val="left"/>
            </w:pPr>
            <w:r/>
            <w:r>
              <w:rPr>
                <w:rFonts w:ascii="Cambria" w:hAnsi="Cambria" w:eastAsia="Cambria"/>
                <w:b/>
                <w:i w:val="0"/>
                <w:color w:val="000000"/>
                <w:sz w:val="22"/>
              </w:rPr>
              <w:t>PO1</w:t>
            </w:r>
          </w:p>
        </w:tc>
        <w:tc>
          <w:tcPr>
            <w:tcW w:type="dxa" w:w="7143"/>
            <w:shd w:val="clear" w:color="auto" w:fill="FFFFFF"/>
            <w:tcW w:w="7143" w:type="dxa"/>
          </w:tcPr>
          <w:p>
            <w:pPr>
              <w:spacing w:after="40" w:before="40" w:line="264" w:lineRule="auto"/>
              <w:jc w:val="both"/>
            </w:pPr>
            <w:r/>
            <w:r>
              <w:rPr>
                <w:rFonts w:ascii="Cambria" w:hAnsi="Cambria" w:eastAsia="Cambria"/>
                <w:b w:val="0"/>
                <w:i w:val="0"/>
                <w:color w:val="000000"/>
                <w:sz w:val="22"/>
              </w:rPr>
              <w:t>3</w:t>
            </w:r>
          </w:p>
        </w:tc>
      </w:tr>
      <w:tr>
        <w:tc>
          <w:tcPr>
            <w:tcW w:type="dxa" w:w="2268"/>
            <w:shd w:val="clear" w:color="auto" w:fill="E8ECF2"/>
            <w:tcW w:w="2268" w:type="dxa"/>
          </w:tcPr>
          <w:p>
            <w:pPr>
              <w:spacing w:after="40" w:before="40" w:line="264" w:lineRule="auto"/>
              <w:jc w:val="left"/>
            </w:pPr>
            <w:r/>
            <w:r>
              <w:rPr>
                <w:rFonts w:ascii="Cambria" w:hAnsi="Cambria" w:eastAsia="Cambria"/>
                <w:b/>
                <w:i w:val="0"/>
                <w:color w:val="000000"/>
                <w:sz w:val="22"/>
              </w:rPr>
              <w:t>PO2</w:t>
            </w:r>
          </w:p>
        </w:tc>
        <w:tc>
          <w:tcPr>
            <w:tcW w:type="dxa" w:w="7143"/>
            <w:shd w:val="clear" w:color="auto" w:fill="E8ECF2"/>
            <w:tcW w:w="7143" w:type="dxa"/>
          </w:tcPr>
          <w:p>
            <w:pPr>
              <w:spacing w:after="40" w:before="40" w:line="264" w:lineRule="auto"/>
              <w:jc w:val="both"/>
            </w:pPr>
            <w:r/>
            <w:r>
              <w:rPr>
                <w:rFonts w:ascii="Cambria" w:hAnsi="Cambria" w:eastAsia="Cambria"/>
                <w:b w:val="0"/>
                <w:i w:val="0"/>
                <w:color w:val="000000"/>
                <w:sz w:val="22"/>
              </w:rPr>
              <w:t>3</w:t>
            </w:r>
          </w:p>
        </w:tc>
      </w:tr>
      <w:tr>
        <w:tc>
          <w:tcPr>
            <w:tcW w:type="dxa" w:w="2268"/>
            <w:shd w:val="clear" w:color="auto" w:fill="FFFFFF"/>
            <w:tcW w:w="2268" w:type="dxa"/>
          </w:tcPr>
          <w:p>
            <w:pPr>
              <w:spacing w:after="40" w:before="40" w:line="264" w:lineRule="auto"/>
              <w:jc w:val="left"/>
            </w:pPr>
            <w:r/>
            <w:r>
              <w:rPr>
                <w:rFonts w:ascii="Cambria" w:hAnsi="Cambria" w:eastAsia="Cambria"/>
                <w:b/>
                <w:i w:val="0"/>
                <w:color w:val="000000"/>
                <w:sz w:val="22"/>
              </w:rPr>
              <w:t>PO3</w:t>
            </w:r>
          </w:p>
        </w:tc>
        <w:tc>
          <w:tcPr>
            <w:tcW w:type="dxa" w:w="7143"/>
            <w:shd w:val="clear" w:color="auto" w:fill="FFFFFF"/>
            <w:tcW w:w="7143" w:type="dxa"/>
          </w:tcPr>
          <w:p>
            <w:pPr>
              <w:spacing w:after="40" w:before="40" w:line="264" w:lineRule="auto"/>
              <w:jc w:val="both"/>
            </w:pPr>
            <w:r/>
            <w:r>
              <w:rPr>
                <w:rFonts w:ascii="Cambria" w:hAnsi="Cambria" w:eastAsia="Cambria"/>
                <w:b w:val="0"/>
                <w:i w:val="0"/>
                <w:color w:val="000000"/>
                <w:sz w:val="22"/>
              </w:rPr>
              <w:t>2</w:t>
            </w:r>
          </w:p>
        </w:tc>
      </w:tr>
      <w:tr>
        <w:tc>
          <w:tcPr>
            <w:tcW w:type="dxa" w:w="2268"/>
            <w:shd w:val="clear" w:color="auto" w:fill="E8ECF2"/>
            <w:tcW w:w="2268" w:type="dxa"/>
          </w:tcPr>
          <w:p>
            <w:pPr>
              <w:spacing w:after="40" w:before="40" w:line="264" w:lineRule="auto"/>
              <w:jc w:val="left"/>
            </w:pPr>
            <w:r/>
            <w:r>
              <w:rPr>
                <w:rFonts w:ascii="Cambria" w:hAnsi="Cambria" w:eastAsia="Cambria"/>
                <w:b/>
                <w:i w:val="0"/>
                <w:color w:val="000000"/>
                <w:sz w:val="22"/>
              </w:rPr>
              <w:t>PO4</w:t>
            </w:r>
          </w:p>
        </w:tc>
        <w:tc>
          <w:tcPr>
            <w:tcW w:type="dxa" w:w="7143"/>
            <w:shd w:val="clear" w:color="auto" w:fill="E8ECF2"/>
            <w:tcW w:w="7143" w:type="dxa"/>
          </w:tcPr>
          <w:p>
            <w:pPr>
              <w:spacing w:after="40" w:before="40" w:line="264" w:lineRule="auto"/>
              <w:jc w:val="both"/>
            </w:pPr>
            <w:r/>
            <w:r>
              <w:rPr>
                <w:rFonts w:ascii="Cambria" w:hAnsi="Cambria" w:eastAsia="Cambria"/>
                <w:b w:val="0"/>
                <w:i w:val="0"/>
                <w:color w:val="000000"/>
                <w:sz w:val="22"/>
              </w:rPr>
              <w:t>2</w:t>
            </w:r>
          </w:p>
        </w:tc>
      </w:tr>
      <w:tr>
        <w:tc>
          <w:tcPr>
            <w:tcW w:type="dxa" w:w="2268"/>
            <w:shd w:val="clear" w:color="auto" w:fill="FFFFFF"/>
            <w:tcW w:w="2268" w:type="dxa"/>
          </w:tcPr>
          <w:p>
            <w:pPr>
              <w:spacing w:after="40" w:before="40" w:line="264" w:lineRule="auto"/>
              <w:jc w:val="left"/>
            </w:pPr>
            <w:r/>
            <w:r>
              <w:rPr>
                <w:rFonts w:ascii="Cambria" w:hAnsi="Cambria" w:eastAsia="Cambria"/>
                <w:b/>
                <w:i w:val="0"/>
                <w:color w:val="000000"/>
                <w:sz w:val="22"/>
              </w:rPr>
              <w:t>PO5</w:t>
            </w:r>
          </w:p>
        </w:tc>
        <w:tc>
          <w:tcPr>
            <w:tcW w:type="dxa" w:w="7143"/>
            <w:shd w:val="clear" w:color="auto" w:fill="FFFFFF"/>
            <w:tcW w:w="7143" w:type="dxa"/>
          </w:tcPr>
          <w:p>
            <w:pPr>
              <w:spacing w:after="40" w:before="40" w:line="264" w:lineRule="auto"/>
              <w:jc w:val="both"/>
            </w:pPr>
            <w:r/>
            <w:r>
              <w:rPr>
                <w:rFonts w:ascii="Cambria" w:hAnsi="Cambria" w:eastAsia="Cambria"/>
                <w:b w:val="0"/>
                <w:i w:val="0"/>
                <w:color w:val="000000"/>
                <w:sz w:val="22"/>
              </w:rPr>
              <w:t>3</w:t>
            </w:r>
          </w:p>
        </w:tc>
      </w:tr>
      <w:tr>
        <w:tc>
          <w:tcPr>
            <w:tcW w:type="dxa" w:w="2268"/>
            <w:shd w:val="clear" w:color="auto" w:fill="E8ECF2"/>
            <w:tcW w:w="2268" w:type="dxa"/>
          </w:tcPr>
          <w:p>
            <w:pPr>
              <w:spacing w:after="40" w:before="40" w:line="264" w:lineRule="auto"/>
              <w:jc w:val="left"/>
            </w:pPr>
            <w:r/>
            <w:r>
              <w:rPr>
                <w:rFonts w:ascii="Cambria" w:hAnsi="Cambria" w:eastAsia="Cambria"/>
                <w:b/>
                <w:i w:val="0"/>
                <w:color w:val="000000"/>
                <w:sz w:val="22"/>
              </w:rPr>
              <w:t>PSO1</w:t>
            </w:r>
          </w:p>
        </w:tc>
        <w:tc>
          <w:tcPr>
            <w:tcW w:type="dxa" w:w="7143"/>
            <w:shd w:val="clear" w:color="auto" w:fill="E8ECF2"/>
            <w:tcW w:w="7143" w:type="dxa"/>
          </w:tcPr>
          <w:p>
            <w:pPr>
              <w:spacing w:after="40" w:before="40" w:line="264" w:lineRule="auto"/>
              <w:jc w:val="both"/>
            </w:pPr>
            <w:r/>
            <w:r>
              <w:rPr>
                <w:rFonts w:ascii="Cambria" w:hAnsi="Cambria" w:eastAsia="Cambria"/>
                <w:b w:val="0"/>
                <w:i w:val="0"/>
                <w:color w:val="000000"/>
                <w:sz w:val="22"/>
              </w:rPr>
              <w:t>2</w:t>
            </w:r>
          </w:p>
        </w:tc>
      </w:tr>
      <w:tr>
        <w:tc>
          <w:tcPr>
            <w:tcW w:type="dxa" w:w="2268"/>
            <w:shd w:val="clear" w:color="auto" w:fill="FFFFFF"/>
            <w:tcW w:w="2268" w:type="dxa"/>
          </w:tcPr>
          <w:p>
            <w:pPr>
              <w:spacing w:after="40" w:before="40" w:line="264" w:lineRule="auto"/>
              <w:jc w:val="left"/>
            </w:pPr>
            <w:r/>
            <w:r>
              <w:rPr>
                <w:rFonts w:ascii="Cambria" w:hAnsi="Cambria" w:eastAsia="Cambria"/>
                <w:b/>
                <w:i w:val="0"/>
                <w:color w:val="000000"/>
                <w:sz w:val="22"/>
              </w:rPr>
              <w:t>PSO2</w:t>
            </w:r>
          </w:p>
        </w:tc>
        <w:tc>
          <w:tcPr>
            <w:tcW w:type="dxa" w:w="7143"/>
            <w:shd w:val="clear" w:color="auto" w:fill="FFFFFF"/>
            <w:tcW w:w="7143" w:type="dxa"/>
          </w:tcPr>
          <w:p>
            <w:pPr>
              <w:spacing w:after="40" w:before="40" w:line="264" w:lineRule="auto"/>
              <w:jc w:val="both"/>
            </w:pPr>
            <w:r/>
            <w:r>
              <w:rPr>
                <w:rFonts w:ascii="Cambria" w:hAnsi="Cambria" w:eastAsia="Cambria"/>
                <w:b w:val="0"/>
                <w:i w:val="0"/>
                <w:color w:val="000000"/>
                <w:sz w:val="22"/>
              </w:rPr>
              <w:t>3</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PO–PSO Attainment Calculation Process:</w:t>
      </w:r>
    </w:p>
    <w:tbl>
      <w:tblPr>
        <w:tblW w:type="auto" w:w="0"/>
        <w:jc w:val="center"/>
        <w:tblLook w:firstColumn="1" w:firstRow="1" w:lastColumn="0" w:lastRow="0" w:noHBand="0" w:noVBand="1" w:val="04A0"/>
        <w:tblLayout w:type="fixed"/>
        <w:tblLayout w:type="fixed"/>
      </w:tblPr>
      <w:tblGrid>
        <w:gridCol w:w="510"/>
        <w:gridCol w:w="5953"/>
        <w:gridCol w:w="2494"/>
      </w:tblGrid>
      <w:tr>
        <w:tc>
          <w:tcPr>
            <w:tcW w:type="dxa" w:w="510"/>
            <w:tcBorders>
              <w:top w:val="single" w:sz="4" w:space="0" w:color="BFBFBF"/>
              <w:left w:val="single" w:sz="4" w:space="0" w:color="BFBFBF"/>
              <w:bottom w:val="single" w:sz="4" w:space="0" w:color="BFBFBF"/>
              <w:right w:val="single" w:sz="4" w:space="0" w:color="BFBFBF"/>
            </w:tcBorders>
            <w:tcW w:w="510" w:type="dxa"/>
            <w:shd w:val="clear" w:color="auto" w:fill="1F3A5F"/>
            <w:tcW w:w="510" w:type="dxa"/>
          </w:tcPr>
          <w:p>
            <w:pPr>
              <w:spacing w:after="40" w:before="40" w:line="264" w:lineRule="auto"/>
              <w:jc w:val="center"/>
            </w:pPr>
            <w:r/>
            <w:r>
              <w:rPr>
                <w:rFonts w:ascii="Cambria" w:hAnsi="Cambria" w:eastAsia="Cambria"/>
                <w:b/>
                <w:i w:val="0"/>
                <w:color w:val="FFFFFF"/>
                <w:sz w:val="19"/>
              </w:rPr>
              <w:t>Step</w:t>
            </w:r>
          </w:p>
        </w:tc>
        <w:tc>
          <w:tcPr>
            <w:tcW w:type="dxa" w:w="5953"/>
            <w:tcBorders>
              <w:top w:val="single" w:sz="4" w:space="0" w:color="BFBFBF"/>
              <w:left w:val="single" w:sz="4" w:space="0" w:color="BFBFBF"/>
              <w:bottom w:val="single" w:sz="4" w:space="0" w:color="BFBFBF"/>
              <w:right w:val="single" w:sz="4" w:space="0" w:color="BFBFBF"/>
            </w:tcBorders>
            <w:tcW w:w="5953" w:type="dxa"/>
            <w:shd w:val="clear" w:color="auto" w:fill="1F3A5F"/>
            <w:tcW w:w="5953" w:type="dxa"/>
          </w:tcPr>
          <w:p>
            <w:pPr>
              <w:spacing w:after="40" w:before="40" w:line="264" w:lineRule="auto"/>
              <w:jc w:val="center"/>
            </w:pPr>
            <w:r/>
            <w:r>
              <w:rPr>
                <w:rFonts w:ascii="Cambria" w:hAnsi="Cambria" w:eastAsia="Cambria"/>
                <w:b/>
                <w:i w:val="0"/>
                <w:color w:val="FFFFFF"/>
                <w:sz w:val="19"/>
              </w:rPr>
              <w:t>Description</w:t>
            </w:r>
          </w:p>
        </w:tc>
        <w:tc>
          <w:tcPr>
            <w:tcW w:type="dxa" w:w="2494"/>
            <w:tcBorders>
              <w:top w:val="single" w:sz="4" w:space="0" w:color="BFBFBF"/>
              <w:left w:val="single" w:sz="4" w:space="0" w:color="BFBFBF"/>
              <w:bottom w:val="single" w:sz="4" w:space="0" w:color="BFBFBF"/>
              <w:right w:val="single" w:sz="4" w:space="0" w:color="BFBFBF"/>
            </w:tcBorders>
            <w:tcW w:w="2494" w:type="dxa"/>
            <w:shd w:val="clear" w:color="auto" w:fill="1F3A5F"/>
            <w:tcW w:w="2494" w:type="dxa"/>
          </w:tcPr>
          <w:p>
            <w:pPr>
              <w:spacing w:after="40" w:before="40" w:line="264" w:lineRule="auto"/>
              <w:jc w:val="center"/>
            </w:pPr>
            <w:r/>
            <w:r>
              <w:rPr>
                <w:rFonts w:ascii="Cambria" w:hAnsi="Cambria" w:eastAsia="Cambria"/>
                <w:b/>
                <w:i w:val="0"/>
                <w:color w:val="FFFFFF"/>
                <w:sz w:val="19"/>
              </w:rPr>
              <w:t>Evidence</w:t>
            </w:r>
          </w:p>
        </w:tc>
      </w:tr>
      <w:tr>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9"/>
              </w:rPr>
              <w:t>1</w:t>
            </w:r>
          </w:p>
        </w:tc>
        <w:tc>
          <w:tcPr>
            <w:tcW w:type="dxa" w:w="5953"/>
            <w:shd w:val="clear" w:color="auto" w:fill="E8ECF2"/>
            <w:tcW w:w="5953" w:type="dxa"/>
          </w:tcPr>
          <w:p>
            <w:pPr>
              <w:spacing w:after="40" w:before="40" w:line="264" w:lineRule="auto"/>
              <w:jc w:val="left"/>
            </w:pPr>
            <w:r/>
            <w:r>
              <w:rPr>
                <w:rFonts w:ascii="Cambria" w:hAnsi="Cambria" w:eastAsia="Cambria"/>
                <w:b w:val="0"/>
                <w:i w:val="0"/>
                <w:color w:val="000000"/>
                <w:sz w:val="19"/>
              </w:rPr>
              <w:t>Collect CO attainment from each course through exam results, assignments, and projects.</w:t>
            </w:r>
          </w:p>
        </w:tc>
        <w:tc>
          <w:tcPr>
            <w:tcW w:type="dxa" w:w="2494"/>
            <w:shd w:val="clear" w:color="auto" w:fill="E8ECF2"/>
            <w:tcW w:w="2494" w:type="dxa"/>
          </w:tcPr>
          <w:p>
            <w:pPr>
              <w:spacing w:after="40" w:before="40" w:line="264" w:lineRule="auto"/>
              <w:jc w:val="left"/>
            </w:pPr>
            <w:r/>
            <w:r>
              <w:rPr>
                <w:rFonts w:ascii="Cambria" w:hAnsi="Cambria" w:eastAsia="Cambria"/>
                <w:b w:val="0"/>
                <w:i w:val="0"/>
                <w:color w:val="000000"/>
                <w:sz w:val="19"/>
              </w:rPr>
              <w:t>Course file summaries</w:t>
            </w:r>
          </w:p>
        </w:tc>
      </w:tr>
      <w:tr>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9"/>
              </w:rPr>
              <w:t>2</w:t>
            </w:r>
          </w:p>
        </w:tc>
        <w:tc>
          <w:tcPr>
            <w:tcW w:type="dxa" w:w="5953"/>
            <w:shd w:val="clear" w:color="auto" w:fill="FFFFFF"/>
            <w:tcW w:w="5953" w:type="dxa"/>
          </w:tcPr>
          <w:p>
            <w:pPr>
              <w:spacing w:after="40" w:before="40" w:line="264" w:lineRule="auto"/>
              <w:jc w:val="left"/>
            </w:pPr>
            <w:r/>
            <w:r>
              <w:rPr>
                <w:rFonts w:ascii="Cambria" w:hAnsi="Cambria" w:eastAsia="Cambria"/>
                <w:b w:val="0"/>
                <w:i w:val="0"/>
                <w:color w:val="000000"/>
                <w:sz w:val="19"/>
              </w:rPr>
              <w:t>Map COs to POs and PSOs with correlation weights.</w:t>
            </w:r>
          </w:p>
        </w:tc>
        <w:tc>
          <w:tcPr>
            <w:tcW w:type="dxa" w:w="2494"/>
            <w:shd w:val="clear" w:color="auto" w:fill="FFFFFF"/>
            <w:tcW w:w="2494" w:type="dxa"/>
          </w:tcPr>
          <w:p>
            <w:pPr>
              <w:spacing w:after="40" w:before="40" w:line="264" w:lineRule="auto"/>
              <w:jc w:val="left"/>
            </w:pPr>
            <w:r/>
            <w:r>
              <w:rPr>
                <w:rFonts w:ascii="Cambria" w:hAnsi="Cambria" w:eastAsia="Cambria"/>
                <w:b w:val="0"/>
                <w:i w:val="0"/>
                <w:color w:val="000000"/>
                <w:sz w:val="19"/>
              </w:rPr>
              <w:t>CO–PO–PSO matrix</w:t>
            </w:r>
          </w:p>
        </w:tc>
      </w:tr>
      <w:tr>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9"/>
              </w:rPr>
              <w:t>3</w:t>
            </w:r>
          </w:p>
        </w:tc>
        <w:tc>
          <w:tcPr>
            <w:tcW w:type="dxa" w:w="5953"/>
            <w:shd w:val="clear" w:color="auto" w:fill="E8ECF2"/>
            <w:tcW w:w="5953" w:type="dxa"/>
          </w:tcPr>
          <w:p>
            <w:pPr>
              <w:spacing w:after="40" w:before="40" w:line="264" w:lineRule="auto"/>
              <w:jc w:val="left"/>
            </w:pPr>
            <w:r/>
            <w:r>
              <w:rPr>
                <w:rFonts w:ascii="Cambria" w:hAnsi="Cambria" w:eastAsia="Cambria"/>
                <w:b w:val="0"/>
                <w:i w:val="0"/>
                <w:color w:val="000000"/>
                <w:sz w:val="19"/>
              </w:rPr>
              <w:t>Compute PO and PSO attainment using weighted average method.</w:t>
            </w:r>
          </w:p>
        </w:tc>
        <w:tc>
          <w:tcPr>
            <w:tcW w:type="dxa" w:w="2494"/>
            <w:shd w:val="clear" w:color="auto" w:fill="E8ECF2"/>
            <w:tcW w:w="2494" w:type="dxa"/>
          </w:tcPr>
          <w:p>
            <w:pPr>
              <w:spacing w:after="40" w:before="40" w:line="264" w:lineRule="auto"/>
              <w:jc w:val="left"/>
            </w:pPr>
            <w:r/>
            <w:r>
              <w:rPr>
                <w:rFonts w:ascii="Cambria" w:hAnsi="Cambria" w:eastAsia="Cambria"/>
                <w:b w:val="0"/>
                <w:i w:val="0"/>
                <w:color w:val="000000"/>
                <w:sz w:val="19"/>
              </w:rPr>
              <w:t>Attainment calculation sheets</w:t>
            </w:r>
          </w:p>
        </w:tc>
      </w:tr>
      <w:tr>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9"/>
              </w:rPr>
              <w:t>4</w:t>
            </w:r>
          </w:p>
        </w:tc>
        <w:tc>
          <w:tcPr>
            <w:tcW w:type="dxa" w:w="5953"/>
            <w:shd w:val="clear" w:color="auto" w:fill="FFFFFF"/>
            <w:tcW w:w="5953" w:type="dxa"/>
          </w:tcPr>
          <w:p>
            <w:pPr>
              <w:spacing w:after="40" w:before="40" w:line="264" w:lineRule="auto"/>
              <w:jc w:val="left"/>
            </w:pPr>
            <w:r/>
            <w:r>
              <w:rPr>
                <w:rFonts w:ascii="Cambria" w:hAnsi="Cambria" w:eastAsia="Cambria"/>
                <w:b w:val="0"/>
                <w:i w:val="0"/>
                <w:color w:val="000000"/>
                <w:sz w:val="19"/>
              </w:rPr>
              <w:t>Compare attainment with target levels (e.g., 70% threshold).</w:t>
            </w:r>
          </w:p>
        </w:tc>
        <w:tc>
          <w:tcPr>
            <w:tcW w:type="dxa" w:w="2494"/>
            <w:shd w:val="clear" w:color="auto" w:fill="FFFFFF"/>
            <w:tcW w:w="2494" w:type="dxa"/>
          </w:tcPr>
          <w:p>
            <w:pPr>
              <w:spacing w:after="40" w:before="40" w:line="264" w:lineRule="auto"/>
              <w:jc w:val="left"/>
            </w:pPr>
            <w:r/>
            <w:r>
              <w:rPr>
                <w:rFonts w:ascii="Cambria" w:hAnsi="Cambria" w:eastAsia="Cambria"/>
                <w:b w:val="0"/>
                <w:i w:val="0"/>
                <w:color w:val="000000"/>
                <w:sz w:val="19"/>
              </w:rPr>
              <w:t>Annual attainment report</w:t>
            </w:r>
          </w:p>
        </w:tc>
      </w:tr>
      <w:tr>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9"/>
              </w:rPr>
              <w:t>5</w:t>
            </w:r>
          </w:p>
        </w:tc>
        <w:tc>
          <w:tcPr>
            <w:tcW w:type="dxa" w:w="5953"/>
            <w:shd w:val="clear" w:color="auto" w:fill="E8ECF2"/>
            <w:tcW w:w="5953" w:type="dxa"/>
          </w:tcPr>
          <w:p>
            <w:pPr>
              <w:spacing w:after="40" w:before="40" w:line="264" w:lineRule="auto"/>
              <w:jc w:val="left"/>
            </w:pPr>
            <w:r/>
            <w:r>
              <w:rPr>
                <w:rFonts w:ascii="Cambria" w:hAnsi="Cambria" w:eastAsia="Cambria"/>
                <w:b w:val="0"/>
                <w:i w:val="0"/>
                <w:color w:val="000000"/>
                <w:sz w:val="19"/>
              </w:rPr>
              <w:t>Identify gaps and initiate corrective actions (syllabus update, additional lab sessions).</w:t>
            </w:r>
          </w:p>
        </w:tc>
        <w:tc>
          <w:tcPr>
            <w:tcW w:type="dxa" w:w="2494"/>
            <w:shd w:val="clear" w:color="auto" w:fill="E8ECF2"/>
            <w:tcW w:w="2494" w:type="dxa"/>
          </w:tcPr>
          <w:p>
            <w:pPr>
              <w:spacing w:after="40" w:before="40" w:line="264" w:lineRule="auto"/>
              <w:jc w:val="left"/>
            </w:pPr>
            <w:r/>
            <w:r>
              <w:rPr>
                <w:rFonts w:ascii="Cambria" w:hAnsi="Cambria" w:eastAsia="Cambria"/>
                <w:b w:val="0"/>
                <w:i w:val="0"/>
                <w:color w:val="000000"/>
                <w:sz w:val="19"/>
              </w:rPr>
              <w:t>IQAC/BoS meeting minutes</w:t>
            </w:r>
          </w:p>
        </w:tc>
      </w:tr>
      <w:tr>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9"/>
              </w:rPr>
              <w:t>6</w:t>
            </w:r>
          </w:p>
        </w:tc>
        <w:tc>
          <w:tcPr>
            <w:tcW w:type="dxa" w:w="5953"/>
            <w:shd w:val="clear" w:color="auto" w:fill="FFFFFF"/>
            <w:tcW w:w="5953" w:type="dxa"/>
          </w:tcPr>
          <w:p>
            <w:pPr>
              <w:spacing w:after="40" w:before="40" w:line="264" w:lineRule="auto"/>
              <w:jc w:val="left"/>
            </w:pPr>
            <w:r/>
            <w:r>
              <w:rPr>
                <w:rFonts w:ascii="Cambria" w:hAnsi="Cambria" w:eastAsia="Cambria"/>
                <w:b w:val="0"/>
                <w:i w:val="0"/>
                <w:color w:val="000000"/>
                <w:sz w:val="19"/>
              </w:rPr>
              <w:t>Document improvements and verify impact in subsequent cycle.</w:t>
            </w:r>
          </w:p>
        </w:tc>
        <w:tc>
          <w:tcPr>
            <w:tcW w:type="dxa" w:w="2494"/>
            <w:shd w:val="clear" w:color="auto" w:fill="FFFFFF"/>
            <w:tcW w:w="2494" w:type="dxa"/>
          </w:tcPr>
          <w:p>
            <w:pPr>
              <w:spacing w:after="40" w:before="40" w:line="264" w:lineRule="auto"/>
              <w:jc w:val="left"/>
            </w:pPr>
            <w:r/>
            <w:r>
              <w:rPr>
                <w:rFonts w:ascii="Cambria" w:hAnsi="Cambria" w:eastAsia="Cambria"/>
                <w:b w:val="0"/>
                <w:i w:val="0"/>
                <w:color w:val="000000"/>
                <w:sz w:val="19"/>
              </w:rPr>
              <w:t>Continuous improvement tracker</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3 (Course Outcomes and Programme Outcomes) and Criterion 5 (Curriculum Design and Delivery).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Maintain traceability from </w:t>
      </w:r>
      <w:r>
        <w:rPr>
          <w:rFonts w:ascii="Cambria" w:hAnsi="Cambria" w:eastAsia="Cambria"/>
          <w:b w:val="0"/>
          <w:i/>
          <w:color w:val="000000"/>
          <w:sz w:val="22"/>
        </w:rPr>
        <w:t>CO → PO → PSO → PEO</w:t>
      </w:r>
      <w:r>
        <w:rPr>
          <w:rFonts w:ascii="Cambria" w:hAnsi="Cambria" w:eastAsia="Cambria"/>
          <w:b w:val="0"/>
          <w:i w:val="0"/>
          <w:color w:val="000000"/>
          <w:sz w:val="22"/>
        </w:rPr>
        <w:t xml:space="preserve"> across all program documentation.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evidence consistency with NBA templates for CO–PO mapping and attainment evaluation.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Well-documented curriculum structure aligned with NBA's Outcome-Based Education (OBE) framework.</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Traceable evidence of how each course contributes to POs and PSOs.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Quantitative and qualitative analysis proving curriculum compliance and attainment achievement.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Continuous improvement mechanism ensuring the program meets desired educational objectives and industry relevance.</w:t>
      </w:r>
    </w:p>
    <w:p>
      <w:r>
        <w:br w:type="page"/>
      </w:r>
    </w:p>
    <w:p>
      <w:pPr>
        <w:keepNext/>
        <w:spacing w:before="240" w:after="160"/>
        <w:jc w:val="left"/>
      </w:pPr>
      <w:r>
        <w:rPr>
          <w:rFonts w:ascii="Cambria" w:hAnsi="Cambria" w:eastAsia="Cambria"/>
          <w:b/>
          <w:i w:val="0"/>
          <w:color w:val="1F3A5F"/>
          <w:sz w:val="25"/>
        </w:rPr>
        <w:t>10. P.7 Records of delivery details of the content beyond the syllabus &amp; list of activities/ events organized for past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that the department promotes learning beyond the prescribed syllabus through additional academic and co-curricular initiatives.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documentary evidence that such activities strengthen the attainment of Programme Outcomes (POs), Programme Specific Outcomes (PSOs), and employability/innovation skills.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Records of Content Beyond the Syllabus: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Topics, modules, or sessions delivered outside the university curriculum but relevant to industry, research, or innovation.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Details of faculty members who delivered additional content (topic name, duration, mode, and resources used).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Integration of industry-recommended content, professional certification modules, or recent technological advancements.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Supporting Evidence: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Attendance sheets, timetables, and session reports for content-beyond-syllabus activities.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PPTs, lesson notes, or study materials shared with students.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Photographs or screenshots of sessions (for online/hybrid events).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List of Departmental Activities &amp; Events (Last 3 Years):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Seminars, workshops, expert lectures, webinars, industrial visits, hackathons, innovation challenges, and student club activities.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Year-wise summary table with title, date, resource person/organization, and outcomes achieved.</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 circulars announcing extra lectures or workshops.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 Activity Reports (signed by HoD/IQAC Coordinator).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Certificates issued to participants (students/faculty).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Feedback forms and analysis from participants.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Press releases, flyers, or brochures of events.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Annual summary reports showing linkage to POs/PSOs.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Content Beyond Syllabus Delivery Details</w:t>
      </w:r>
    </w:p>
    <w:p>
      <w:pPr>
        <w:keepNext/>
        <w:spacing w:before="200" w:after="80"/>
      </w:pPr>
      <w:r>
        <w:rPr>
          <w:rFonts w:ascii="Cambria" w:hAnsi="Cambria" w:eastAsia="Cambria"/>
          <w:b/>
          <w:i w:val="0"/>
          <w:color w:val="1F3A5F"/>
          <w:sz w:val="23"/>
        </w:rPr>
        <w:t>2022–23 – Machine Learning (Dr. R. Mehta)</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Topic Delivered Beyond Syllabus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Transfer Learning Concepts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Duration (Hours)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4 hrs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Offline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Report #CYS/2023/04</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Linked POs/PSOs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PO2, PSO1</w:t>
            </w:r>
          </w:p>
        </w:tc>
      </w:tr>
    </w:tbl>
    <w:p>
      <w:pPr>
        <w:keepNext/>
        <w:spacing w:before="200" w:after="80"/>
      </w:pPr>
      <w:r>
        <w:rPr>
          <w:rFonts w:ascii="Cambria" w:hAnsi="Cambria" w:eastAsia="Cambria"/>
          <w:b/>
          <w:i w:val="0"/>
          <w:color w:val="1F3A5F"/>
          <w:sz w:val="23"/>
        </w:rPr>
        <w:t>2023–24 – Data Structures (Ms. A. Rao)</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Topic Delivered Beyond Syllabus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Advanced Tree Algorithms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Duration (Hours)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3 hrs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Online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Notes, Attendance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Linked POs/PSOs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PO1, PO3</w:t>
            </w:r>
          </w:p>
        </w:tc>
      </w:tr>
    </w:tbl>
    <w:p>
      <w:pPr>
        <w:keepNext/>
        <w:spacing w:before="200" w:after="80"/>
      </w:pPr>
      <w:r>
        <w:rPr>
          <w:rFonts w:ascii="Cambria" w:hAnsi="Cambria" w:eastAsia="Cambria"/>
          <w:b/>
          <w:i w:val="0"/>
          <w:color w:val="1F3A5F"/>
          <w:sz w:val="23"/>
        </w:rPr>
        <w:t>2024–25 – IoT Systems (Mr. V. Iyer)</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Topic Delivered Beyond Syllabus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Edge Computing with MQTT</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Duration (Hours)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5 hrs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Hybrid</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Photographs, Feedback</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Linked POs/PSOs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PO4, PSO2</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Departmental Activities/Events Organized (Past 3 Years)</w:t>
      </w:r>
    </w:p>
    <w:p>
      <w:pPr>
        <w:keepNext/>
        <w:spacing w:before="200" w:after="80"/>
      </w:pPr>
      <w:r>
        <w:rPr>
          <w:rFonts w:ascii="Cambria" w:hAnsi="Cambria" w:eastAsia="Cambria"/>
          <w:b/>
          <w:i w:val="0"/>
          <w:color w:val="1F3A5F"/>
          <w:sz w:val="23"/>
        </w:rPr>
        <w:t>2022–23 – Workshop: AI for Healthcare</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Date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14–15 Mar 2023</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Resource Person/Organization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IBM India Pvt. Ltd.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Offline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Participants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80</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Linked POs/PSOs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PO4, PSO2</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Photos, Report</w:t>
            </w:r>
          </w:p>
        </w:tc>
      </w:tr>
    </w:tbl>
    <w:p>
      <w:pPr>
        <w:keepNext/>
        <w:spacing w:before="200" w:after="80"/>
      </w:pPr>
      <w:r>
        <w:rPr>
          <w:rFonts w:ascii="Cambria" w:hAnsi="Cambria" w:eastAsia="Cambria"/>
          <w:b/>
          <w:i w:val="0"/>
          <w:color w:val="1F3A5F"/>
          <w:sz w:val="23"/>
        </w:rPr>
        <w:t>2023–24 – Industrial Visit: TCS Innovation Lab</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Date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22 Nov 2023</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Resource Person/Organization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TCS, Hyderabad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Offline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Participants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45</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Linked POs/PSOs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PO5, PSO3</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Visit Report</w:t>
            </w:r>
          </w:p>
        </w:tc>
      </w:tr>
    </w:tbl>
    <w:p>
      <w:pPr>
        <w:keepNext/>
        <w:spacing w:before="200" w:after="80"/>
      </w:pPr>
      <w:r>
        <w:rPr>
          <w:rFonts w:ascii="Cambria" w:hAnsi="Cambria" w:eastAsia="Cambria"/>
          <w:b/>
          <w:i w:val="0"/>
          <w:color w:val="1F3A5F"/>
          <w:sz w:val="23"/>
        </w:rPr>
        <w:t>2024–25 – Webinar: Cloud Computing Trends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Date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08 Jun 2024</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Resource Person/Organization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AWS Academy</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Online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Participants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120</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Linked POs/PSOs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PO6, PSO2</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Attendance, Flyer</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Evaluation &amp; Mapping: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Each beyond-syllabus activity must be mapped to the relevant POs/PSOs and reflected in attainment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Periodic review by Department Advisory Board (DAB) to ensure alignment with industry needs.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linkage with NBA Criterion 10 – Continuous Improvement through measurable outcomes.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5 (Curriculum Design and Delivery) and Criterion 7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all activities are traceable to OBE documentation and supported by evidence files.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Clear demonstration that the department extends learning beyond prescribed syllabi.</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Enhanced student employability, innovation, and professional competence.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Comprehensive documentation of 3-year activity records supporting accreditation and quality assurance.</w:t>
      </w:r>
    </w:p>
    <w:p>
      <w:r>
        <w:br w:type="page"/>
      </w:r>
    </w:p>
    <w:p>
      <w:pPr>
        <w:keepNext/>
        <w:spacing w:before="240" w:after="160"/>
        <w:jc w:val="left"/>
      </w:pPr>
      <w:r>
        <w:rPr>
          <w:rFonts w:ascii="Cambria" w:hAnsi="Cambria" w:eastAsia="Cambria"/>
          <w:b/>
          <w:i w:val="0"/>
          <w:color w:val="1F3A5F"/>
          <w:sz w:val="25"/>
        </w:rPr>
        <w:t>11. P.8 Records of instructional methods and pedagogical initiatives used in teaching and learning.</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the adoption of innovative teaching–learning methods and pedagogical initiatives that enhance student engagement, conceptual understanding, and attainment of Course Outcomes (COs), Programme Outcomes (POs), and Programme Specific Outcomes (PSOs).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documented evidence of faculty efforts toward implementing Outcome-Based Education (OBE) practices.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Instructional Methods Adopted: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Records of traditional and ICT-enabled teaching practices such as: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Smart classrooms and multimedia lectures.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Learning Management Systems (LMS) like Moodle, Google Classroom, or MS Teams.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Flipped classroom models and blended learning sessions.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Problem-Based Learning (PBL), Case Studies, Mini-Projects, and Group Discussions.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Simulation, Demonstration, and Experimental Learning practices in labs.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Pedagogical Initiatives Implemented: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Faculty innovations such as Interactive Quizzes, Peer Teaching, Online Assessments, MOOC Integration (NPTEL, SWAYAM), and Mentoring Schemes.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of continuous improvement through feedback analysis and reflective teaching.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Participation in FDPs (Faculty Development Programs) and Pedagogical Training Workshops.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Departmental records of pedagogy plans and teaching innovations.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Faculty-wise Teaching Methodology Files including lesson plans and activity logs.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Screenshots or reports from LMS platforms (assignments, quizzes, attendance).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Photographs of flipped classroom, group discussions, and hands-on lab sessions.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Attendance and feedback reports from students regarding innovative teaching.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Certificates of FDPs or Pedagogical Training attended by faculty members.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 meeting minutes discussing teaching-learning enhancement strategies.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Instructional Methods Used (Faculty-Wise)</w:t>
      </w:r>
    </w:p>
    <w:p>
      <w:pPr>
        <w:keepNext/>
        <w:spacing w:before="200" w:after="80"/>
      </w:pPr>
      <w:r>
        <w:rPr>
          <w:rFonts w:ascii="Cambria" w:hAnsi="Cambria" w:eastAsia="Cambria"/>
          <w:b/>
          <w:i w:val="0"/>
          <w:color w:val="1F3A5F"/>
          <w:sz w:val="23"/>
        </w:rPr>
        <w:t>2022–23 – Dr. P. Sharma, Data Analytics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Instructional Methods Used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Flipped Classroom, Case Study</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Pedagogical Tool</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Google Classroom</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Screenshot, Lesson Plan</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Linked POs/PSOs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PO2, PO4</w:t>
            </w:r>
          </w:p>
        </w:tc>
      </w:tr>
    </w:tbl>
    <w:p>
      <w:pPr>
        <w:keepNext/>
        <w:spacing w:before="200" w:after="80"/>
      </w:pPr>
      <w:r>
        <w:rPr>
          <w:rFonts w:ascii="Cambria" w:hAnsi="Cambria" w:eastAsia="Cambria"/>
          <w:b/>
          <w:i w:val="0"/>
          <w:color w:val="1F3A5F"/>
          <w:sz w:val="23"/>
        </w:rPr>
        <w:t>2023–24 – Ms. R. Devi, Embedded Systems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Instructional Methods Used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Simulation-Based Learning</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Pedagogical Tool</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MATLAB/Proteus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Lab Records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Linked POs/PSOs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PO3, PSO2</w:t>
            </w:r>
          </w:p>
        </w:tc>
      </w:tr>
    </w:tbl>
    <w:p>
      <w:pPr>
        <w:keepNext/>
        <w:spacing w:before="200" w:after="80"/>
      </w:pPr>
      <w:r>
        <w:rPr>
          <w:rFonts w:ascii="Cambria" w:hAnsi="Cambria" w:eastAsia="Cambria"/>
          <w:b/>
          <w:i w:val="0"/>
          <w:color w:val="1F3A5F"/>
          <w:sz w:val="23"/>
        </w:rPr>
        <w:t>2024–25 – Mr. A. Khan, AI &amp; ML</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Instructional Methods Used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Problem-Based Learning (PBL)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Pedagogical Tool</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LMS + Hackathon</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Report, Photos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Linked POs/PSOs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PO5, PSO3</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Pedagogical Initiatives and Innovations</w:t>
      </w:r>
    </w:p>
    <w:p>
      <w:pPr>
        <w:keepNext/>
        <w:spacing w:before="200" w:after="80"/>
      </w:pPr>
      <w:r>
        <w:rPr>
          <w:rFonts w:ascii="Cambria" w:hAnsi="Cambria" w:eastAsia="Cambria"/>
          <w:b/>
          <w:i w:val="0"/>
          <w:color w:val="1F3A5F"/>
          <w:sz w:val="23"/>
        </w:rPr>
        <w:t>2022–23 – Use of Flipped Classroom (Dr. Sharma)</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Objective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Enhance active learning</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Method/Tool Used</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Pre-class video lectures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15% rise in quiz performance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Feedback Summary</w:t>
            </w:r>
          </w:p>
        </w:tc>
      </w:tr>
    </w:tbl>
    <w:p>
      <w:pPr>
        <w:keepNext/>
        <w:spacing w:before="200" w:after="80"/>
      </w:pPr>
      <w:r>
        <w:rPr>
          <w:rFonts w:ascii="Cambria" w:hAnsi="Cambria" w:eastAsia="Cambria"/>
          <w:b/>
          <w:i w:val="0"/>
          <w:color w:val="1F3A5F"/>
          <w:sz w:val="23"/>
        </w:rPr>
        <w:t>2023–24 – Peer-to-Peer Teaching (Ms. Devi)</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Objective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Improve communication &amp; leadership</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Method/Tool Used</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Group sessions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Increased participation</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Peer Evaluation Sheets</w:t>
            </w:r>
          </w:p>
        </w:tc>
      </w:tr>
    </w:tbl>
    <w:p>
      <w:pPr>
        <w:keepNext/>
        <w:spacing w:before="200" w:after="80"/>
      </w:pPr>
      <w:r>
        <w:rPr>
          <w:rFonts w:ascii="Cambria" w:hAnsi="Cambria" w:eastAsia="Cambria"/>
          <w:b/>
          <w:i w:val="0"/>
          <w:color w:val="1F3A5F"/>
          <w:sz w:val="23"/>
        </w:rPr>
        <w:t>2024–25 – Virtual Labs Integration (Mr. Khan)</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Objective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Bridge theory–practice gap</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Method/Tool Used</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IIT Virtual Lab Platform</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Improved practical skills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Lab Reports</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Pedagogical Evidence Folder Should Contain: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Lesson Plans (with CO-PO mapping).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Teaching Aids &amp; Presentations (PPTs, e-learning videos).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Interactive Tools Evidence (Kahoot, Mentimeter, Padlet screenshots).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Student Activity Reports (quiz results, project summaries).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Feedback and Reflection Reports (semester-wise).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FDP &amp; Workshop Certificates (on pedagogy or ICT tools).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5 (Curriculum Design and Delivery) and Criterion 8 (Teaching–Learning Processes).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that all instructional methods and pedagogical initiatives reflect Outcome-Based Education (OBE) principles.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Maintain traceability between </w:t>
      </w:r>
      <w:r>
        <w:rPr>
          <w:rFonts w:ascii="Cambria" w:hAnsi="Cambria" w:eastAsia="Cambria"/>
          <w:b w:val="0"/>
          <w:i/>
          <w:color w:val="000000"/>
          <w:sz w:val="22"/>
        </w:rPr>
        <w:t>Instructional Method → Activity → Outcome → Attainment</w:t>
      </w:r>
      <w:r>
        <w:rPr>
          <w:rFonts w:ascii="Cambria" w:hAnsi="Cambria" w:eastAsia="Cambria"/>
          <w:b w:val="0"/>
          <w:i w:val="0"/>
          <w:color w:val="000000"/>
          <w:sz w:val="22"/>
        </w:rPr>
        <w: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Evidence-based demonstration of innovative and student-centric teaching methods.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Enhanced learning outcomes, critical thinking, and problem-solving skills among students.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Continuous improvement in teaching quality aligned with NBA accreditation standards.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 requirements for Criterion 5 &amp; 8 – Teaching–Learning and Pedagogical Innovation.</w:t>
      </w:r>
    </w:p>
    <w:p>
      <w:r>
        <w:br w:type="page"/>
      </w:r>
    </w:p>
    <w:p>
      <w:pPr>
        <w:keepNext/>
        <w:spacing w:before="240" w:after="160"/>
        <w:jc w:val="left"/>
      </w:pPr>
      <w:r>
        <w:rPr>
          <w:rFonts w:ascii="Cambria" w:hAnsi="Cambria" w:eastAsia="Cambria"/>
          <w:b/>
          <w:i w:val="0"/>
          <w:color w:val="1F3A5F"/>
          <w:sz w:val="25"/>
        </w:rPr>
        <w:t>12. P.9 Records of list of methodologies used to support weak students and encourage bright students and impact analysis.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document the strategies and interventions adopted by the department to support academically weak students and to motivate and challenge bright students.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that these actions lead to measurable improvement in learning outcomes, retention, and performance, aligning with Outcome-Based Education (OBE) and NBA criteria.</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Identification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Criteria used to identify </w:t>
      </w:r>
      <w:r>
        <w:rPr>
          <w:rFonts w:ascii="Cambria" w:hAnsi="Cambria" w:eastAsia="Cambria"/>
          <w:b w:val="0"/>
          <w:i/>
          <w:color w:val="000000"/>
          <w:sz w:val="22"/>
        </w:rPr>
        <w:t>weak students</w:t>
      </w:r>
      <w:r>
        <w:rPr>
          <w:rFonts w:ascii="Cambria" w:hAnsi="Cambria" w:eastAsia="Cambria"/>
          <w:b w:val="0"/>
          <w:i w:val="0"/>
          <w:color w:val="000000"/>
          <w:sz w:val="22"/>
        </w:rPr>
        <w:t xml:space="preserve"> (e.g., internal marks &lt;40%, poor attendance, continuous assessment performance).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Criteria used to identify </w:t>
      </w:r>
      <w:r>
        <w:rPr>
          <w:rFonts w:ascii="Cambria" w:hAnsi="Cambria" w:eastAsia="Cambria"/>
          <w:b w:val="0"/>
          <w:i/>
          <w:color w:val="000000"/>
          <w:sz w:val="22"/>
        </w:rPr>
        <w:t>bright students</w:t>
      </w:r>
      <w:r>
        <w:rPr>
          <w:rFonts w:ascii="Cambria" w:hAnsi="Cambria" w:eastAsia="Cambria"/>
          <w:b w:val="0"/>
          <w:i w:val="0"/>
          <w:color w:val="000000"/>
          <w:sz w:val="22"/>
        </w:rPr>
        <w:t xml:space="preserve"> (e.g., consistent academic excellence, top percentile in class, research participation).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Records of analysis (exam reports, attendance logs, feedback forms).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Methodologies Adopted for Weak Students: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Remedial classes and bridge courses conducted post-assessments.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Mentoring and counseling sessions by assigned faculty advisors.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Peer tutoring or buddy systems to promote collaborative learning.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Extra tutorial hours, assignments, and practice problem sessions.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Slow Learner Improvement Plans (signed and monitored by mentors).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Continuous performance tracking through periodic tests and progress sheets.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Methodologies Adopted for Bright Students: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Advanced learning modules beyond syllabus (mini-projects, MOOC courses).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Research and innovation encouragement (publications, hackathons, paper presentations).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Leadership roles in clubs, workshops, and mentoring juniors.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Internships or industry-linked assignments.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NPTEL/SWAYAM certifications and skill development programs.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Impact Analysis: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Comparative analysis of student performance </w:t>
      </w:r>
      <w:r>
        <w:rPr>
          <w:rFonts w:ascii="Cambria" w:hAnsi="Cambria" w:eastAsia="Cambria"/>
          <w:b w:val="0"/>
          <w:i/>
          <w:color w:val="000000"/>
          <w:sz w:val="22"/>
        </w:rPr>
        <w:t>before and after intervention</w:t>
      </w:r>
      <w:r>
        <w:rPr>
          <w:rFonts w:ascii="Cambria" w:hAnsi="Cambria" w:eastAsia="Cambria"/>
          <w:b w:val="0"/>
          <w:i w:val="0"/>
          <w:color w:val="000000"/>
          <w:sz w:val="22"/>
        </w:rPr>
        <w: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Improvement metrics (exam scores, placement data, participation rates).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Student feedback and mentor reports confirming positive outcomes.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Summary of progression (weak → average → good performers).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Departmental circulars and timetables for remedial classes.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Attendance and performance registers for remedial/advanced sessions.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Mentor–mentee meeting logs.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Feedback forms and satisfaction analysis from students.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Reports of student participation in competitions, FDPs, or conferences.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Methodologies for Weak Students</w:t>
      </w:r>
    </w:p>
    <w:p>
      <w:pPr>
        <w:keepNext/>
        <w:spacing w:before="200" w:after="80"/>
      </w:pPr>
      <w:r>
        <w:rPr>
          <w:rFonts w:ascii="Cambria" w:hAnsi="Cambria" w:eastAsia="Cambria"/>
          <w:b/>
          <w:i w:val="0"/>
          <w:color w:val="1F3A5F"/>
          <w:sz w:val="23"/>
        </w:rPr>
        <w:t>2022–23 – 18 weak students identified</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Method Adopted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Remedial Classes in Mathematics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Duration/Frequency</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Weekly (8 hrs)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Coordinator</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Dr. S. Rao</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Average marks improved by 15%</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Attendance Sheet, Test Report</w:t>
            </w:r>
          </w:p>
        </w:tc>
      </w:tr>
    </w:tbl>
    <w:p>
      <w:pPr>
        <w:keepNext/>
        <w:spacing w:before="200" w:after="80"/>
      </w:pPr>
      <w:r>
        <w:rPr>
          <w:rFonts w:ascii="Cambria" w:hAnsi="Cambria" w:eastAsia="Cambria"/>
          <w:b/>
          <w:i w:val="0"/>
          <w:color w:val="1F3A5F"/>
          <w:sz w:val="23"/>
        </w:rPr>
        <w:t>2023–24 – 22 weak students identified</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Method Adopted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Peer Tutoring &amp; Mentoring</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Duration/Frequency</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Bi-weekly</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Coordinator</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Ms. K. Devi</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5 students moved from fail to pass category</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Mentor Log</w:t>
            </w:r>
          </w:p>
        </w:tc>
      </w:tr>
    </w:tbl>
    <w:p>
      <w:pPr>
        <w:keepNext/>
        <w:spacing w:before="200" w:after="80"/>
      </w:pPr>
      <w:r>
        <w:rPr>
          <w:rFonts w:ascii="Cambria" w:hAnsi="Cambria" w:eastAsia="Cambria"/>
          <w:b/>
          <w:i w:val="0"/>
          <w:color w:val="1F3A5F"/>
          <w:sz w:val="23"/>
        </w:rPr>
        <w:t>2024–25 – 20 weak students identified</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Method Adopted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Bridge Course in Programming</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Duration/Frequency</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4 weeks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Coordinator</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Mr. P. Iyer</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20% rise in internal scores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Course Feedback</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Methodologies for Bright Students</w:t>
      </w:r>
    </w:p>
    <w:p>
      <w:pPr>
        <w:keepNext/>
        <w:spacing w:before="200" w:after="80"/>
      </w:pPr>
      <w:r>
        <w:rPr>
          <w:rFonts w:ascii="Cambria" w:hAnsi="Cambria" w:eastAsia="Cambria"/>
          <w:b/>
          <w:i w:val="0"/>
          <w:color w:val="1F3A5F"/>
          <w:sz w:val="23"/>
        </w:rPr>
        <w:t>2022–23 – 12 bright students identified</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Initiative Taken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Mini-Project on IoT Systems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Objective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Encourage innovation</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Outcome/Achievement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3 projects presented at TechFest 2023</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Project Reports</w:t>
            </w:r>
          </w:p>
        </w:tc>
      </w:tr>
    </w:tbl>
    <w:p>
      <w:pPr>
        <w:keepNext/>
        <w:spacing w:before="200" w:after="80"/>
      </w:pPr>
      <w:r>
        <w:rPr>
          <w:rFonts w:ascii="Cambria" w:hAnsi="Cambria" w:eastAsia="Cambria"/>
          <w:b/>
          <w:i w:val="0"/>
          <w:color w:val="1F3A5F"/>
          <w:sz w:val="23"/>
        </w:rPr>
        <w:t>2023–24 – 10 bright students identified</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Initiative Taken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Advanced Python MOOC via NPTEL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Objective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Skill enhancement</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Outcome/Achievement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7 students scored Elite+Silver</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NPTEL Certificates</w:t>
            </w:r>
          </w:p>
        </w:tc>
      </w:tr>
    </w:tbl>
    <w:p>
      <w:pPr>
        <w:keepNext/>
        <w:spacing w:before="200" w:after="80"/>
      </w:pPr>
      <w:r>
        <w:rPr>
          <w:rFonts w:ascii="Cambria" w:hAnsi="Cambria" w:eastAsia="Cambria"/>
          <w:b/>
          <w:i w:val="0"/>
          <w:color w:val="1F3A5F"/>
          <w:sz w:val="23"/>
        </w:rPr>
        <w:t>2024–25 – 8 bright students identified</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Initiative Taken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Research Paper Presentation</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Objective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Promote research culture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Outcome/Achievement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2 papers accepted at IEEE Conference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Conference Certificate</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Impact Analysis Summary</w:t>
      </w:r>
    </w:p>
    <w:tbl>
      <w:tblPr>
        <w:tblW w:type="auto" w:w="0"/>
        <w:jc w:val="center"/>
        <w:tblLook w:firstColumn="1" w:firstRow="1" w:lastColumn="0" w:lastRow="0" w:noHBand="0" w:noVBand="1" w:val="04A0"/>
        <w:tblLayout w:type="fixed"/>
        <w:tblLayout w:type="fixed"/>
      </w:tblPr>
      <w:tblGrid>
        <w:gridCol w:w="794"/>
        <w:gridCol w:w="964"/>
        <w:gridCol w:w="1701"/>
        <w:gridCol w:w="964"/>
        <w:gridCol w:w="964"/>
        <w:gridCol w:w="850"/>
        <w:gridCol w:w="1701"/>
      </w:tblGrid>
      <w:tr>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7"/>
              </w:rPr>
              <w:t>Year</w:t>
            </w:r>
          </w:p>
        </w:tc>
        <w:tc>
          <w:tcPr>
            <w:tcW w:type="dxa" w:w="964"/>
            <w:tcBorders>
              <w:top w:val="single" w:sz="4" w:space="0" w:color="BFBFBF"/>
              <w:left w:val="single" w:sz="4" w:space="0" w:color="BFBFBF"/>
              <w:bottom w:val="single" w:sz="4" w:space="0" w:color="BFBFBF"/>
              <w:right w:val="single" w:sz="4" w:space="0" w:color="BFBFBF"/>
            </w:tcBorders>
            <w:tcW w:w="964" w:type="dxa"/>
            <w:shd w:val="clear" w:color="auto" w:fill="1F3A5F"/>
            <w:tcW w:w="964" w:type="dxa"/>
          </w:tcPr>
          <w:p>
            <w:pPr>
              <w:spacing w:after="40" w:before="40" w:line="264" w:lineRule="auto"/>
              <w:jc w:val="center"/>
            </w:pPr>
            <w:r/>
            <w:r>
              <w:rPr>
                <w:rFonts w:ascii="Cambria" w:hAnsi="Cambria" w:eastAsia="Cambria"/>
                <w:b/>
                <w:i w:val="0"/>
                <w:color w:val="FFFFFF"/>
                <w:sz w:val="17"/>
              </w:rPr>
              <w:t>Category</w:t>
            </w:r>
          </w:p>
        </w:tc>
        <w:tc>
          <w:tcPr>
            <w:tcW w:type="dxa" w:w="1701"/>
            <w:tcBorders>
              <w:top w:val="single" w:sz="4" w:space="0" w:color="BFBFBF"/>
              <w:left w:val="single" w:sz="4" w:space="0" w:color="BFBFBF"/>
              <w:bottom w:val="single" w:sz="4" w:space="0" w:color="BFBFBF"/>
              <w:right w:val="single" w:sz="4" w:space="0" w:color="BFBFBF"/>
            </w:tcBorders>
            <w:tcW w:w="1701" w:type="dxa"/>
            <w:shd w:val="clear" w:color="auto" w:fill="1F3A5F"/>
            <w:tcW w:w="1701" w:type="dxa"/>
          </w:tcPr>
          <w:p>
            <w:pPr>
              <w:spacing w:after="40" w:before="40" w:line="264" w:lineRule="auto"/>
              <w:jc w:val="center"/>
            </w:pPr>
            <w:r/>
            <w:r>
              <w:rPr>
                <w:rFonts w:ascii="Cambria" w:hAnsi="Cambria" w:eastAsia="Cambria"/>
                <w:b/>
                <w:i w:val="0"/>
                <w:color w:val="FFFFFF"/>
                <w:sz w:val="17"/>
              </w:rPr>
              <w:t>Performance Indicator</w:t>
            </w:r>
          </w:p>
        </w:tc>
        <w:tc>
          <w:tcPr>
            <w:tcW w:type="dxa" w:w="964"/>
            <w:tcBorders>
              <w:top w:val="single" w:sz="4" w:space="0" w:color="BFBFBF"/>
              <w:left w:val="single" w:sz="4" w:space="0" w:color="BFBFBF"/>
              <w:bottom w:val="single" w:sz="4" w:space="0" w:color="BFBFBF"/>
              <w:right w:val="single" w:sz="4" w:space="0" w:color="BFBFBF"/>
            </w:tcBorders>
            <w:tcW w:w="964" w:type="dxa"/>
            <w:shd w:val="clear" w:color="auto" w:fill="1F3A5F"/>
            <w:tcW w:w="964" w:type="dxa"/>
          </w:tcPr>
          <w:p>
            <w:pPr>
              <w:spacing w:after="40" w:before="40" w:line="264" w:lineRule="auto"/>
              <w:jc w:val="center"/>
            </w:pPr>
            <w:r/>
            <w:r>
              <w:rPr>
                <w:rFonts w:ascii="Cambria" w:hAnsi="Cambria" w:eastAsia="Cambria"/>
                <w:b/>
                <w:i w:val="0"/>
                <w:color w:val="FFFFFF"/>
                <w:sz w:val="17"/>
              </w:rPr>
              <w:t>Pre-Intervention Avg (%)</w:t>
            </w:r>
          </w:p>
        </w:tc>
        <w:tc>
          <w:tcPr>
            <w:tcW w:type="dxa" w:w="964"/>
            <w:tcBorders>
              <w:top w:val="single" w:sz="4" w:space="0" w:color="BFBFBF"/>
              <w:left w:val="single" w:sz="4" w:space="0" w:color="BFBFBF"/>
              <w:bottom w:val="single" w:sz="4" w:space="0" w:color="BFBFBF"/>
              <w:right w:val="single" w:sz="4" w:space="0" w:color="BFBFBF"/>
            </w:tcBorders>
            <w:tcW w:w="964" w:type="dxa"/>
            <w:shd w:val="clear" w:color="auto" w:fill="1F3A5F"/>
            <w:tcW w:w="964" w:type="dxa"/>
          </w:tcPr>
          <w:p>
            <w:pPr>
              <w:spacing w:after="40" w:before="40" w:line="264" w:lineRule="auto"/>
              <w:jc w:val="center"/>
            </w:pPr>
            <w:r/>
            <w:r>
              <w:rPr>
                <w:rFonts w:ascii="Cambria" w:hAnsi="Cambria" w:eastAsia="Cambria"/>
                <w:b/>
                <w:i w:val="0"/>
                <w:color w:val="FFFFFF"/>
                <w:sz w:val="17"/>
              </w:rPr>
              <w:t>Post-Intervention Avg (%)</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7"/>
              </w:rPr>
              <w:t>Improvement (%)</w:t>
            </w:r>
          </w:p>
        </w:tc>
        <w:tc>
          <w:tcPr>
            <w:tcW w:type="dxa" w:w="1701"/>
            <w:tcBorders>
              <w:top w:val="single" w:sz="4" w:space="0" w:color="BFBFBF"/>
              <w:left w:val="single" w:sz="4" w:space="0" w:color="BFBFBF"/>
              <w:bottom w:val="single" w:sz="4" w:space="0" w:color="BFBFBF"/>
              <w:right w:val="single" w:sz="4" w:space="0" w:color="BFBFBF"/>
            </w:tcBorders>
            <w:tcW w:w="1701" w:type="dxa"/>
            <w:shd w:val="clear" w:color="auto" w:fill="1F3A5F"/>
            <w:tcW w:w="1701" w:type="dxa"/>
          </w:tcPr>
          <w:p>
            <w:pPr>
              <w:spacing w:after="40" w:before="40" w:line="264" w:lineRule="auto"/>
              <w:jc w:val="center"/>
            </w:pPr>
            <w:r/>
            <w:r>
              <w:rPr>
                <w:rFonts w:ascii="Cambria" w:hAnsi="Cambria" w:eastAsia="Cambria"/>
                <w:b/>
                <w:i w:val="0"/>
                <w:color w:val="FFFFFF"/>
                <w:sz w:val="17"/>
              </w:rPr>
              <w:t>Remarks</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7"/>
              </w:rPr>
              <w:t>2022–23</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7"/>
              </w:rPr>
              <w:t>Weak Students</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7"/>
              </w:rPr>
              <w:t>Internal Assessment Marks</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7"/>
              </w:rPr>
              <w:t>42</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7"/>
              </w:rPr>
              <w:t>57</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7"/>
              </w:rPr>
              <w:t>+15</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7"/>
              </w:rPr>
              <w:t>Improvement in pass rate</w:t>
            </w:r>
          </w:p>
        </w:tc>
      </w:tr>
      <w:tr>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7"/>
              </w:rPr>
              <w:t>2023–24</w:t>
            </w:r>
          </w:p>
        </w:tc>
        <w:tc>
          <w:tcPr>
            <w:tcW w:type="dxa" w:w="964"/>
            <w:shd w:val="clear" w:color="auto" w:fill="FFFFFF"/>
            <w:tcW w:w="964" w:type="dxa"/>
          </w:tcPr>
          <w:p>
            <w:pPr>
              <w:spacing w:after="40" w:before="40" w:line="264" w:lineRule="auto"/>
              <w:jc w:val="left"/>
            </w:pPr>
            <w:r/>
            <w:r>
              <w:rPr>
                <w:rFonts w:ascii="Cambria" w:hAnsi="Cambria" w:eastAsia="Cambria"/>
                <w:b w:val="0"/>
                <w:i w:val="0"/>
                <w:color w:val="000000"/>
                <w:sz w:val="17"/>
              </w:rPr>
              <w:t>Bright Students</w:t>
            </w:r>
          </w:p>
        </w:tc>
        <w:tc>
          <w:tcPr>
            <w:tcW w:type="dxa" w:w="1701"/>
            <w:shd w:val="clear" w:color="auto" w:fill="FFFFFF"/>
            <w:tcW w:w="1701" w:type="dxa"/>
          </w:tcPr>
          <w:p>
            <w:pPr>
              <w:spacing w:after="40" w:before="40" w:line="264" w:lineRule="auto"/>
              <w:jc w:val="left"/>
            </w:pPr>
            <w:r/>
            <w:r>
              <w:rPr>
                <w:rFonts w:ascii="Cambria" w:hAnsi="Cambria" w:eastAsia="Cambria"/>
                <w:b w:val="0"/>
                <w:i w:val="0"/>
                <w:color w:val="000000"/>
                <w:sz w:val="17"/>
              </w:rPr>
              <w:t>Research / Innovation Participation</w:t>
            </w:r>
          </w:p>
        </w:tc>
        <w:tc>
          <w:tcPr>
            <w:tcW w:type="dxa" w:w="964"/>
            <w:shd w:val="clear" w:color="auto" w:fill="FFFFFF"/>
            <w:tcW w:w="964" w:type="dxa"/>
          </w:tcPr>
          <w:p>
            <w:pPr>
              <w:spacing w:after="40" w:before="40" w:line="264" w:lineRule="auto"/>
              <w:jc w:val="left"/>
            </w:pPr>
            <w:r/>
            <w:r>
              <w:rPr>
                <w:rFonts w:ascii="Cambria" w:hAnsi="Cambria" w:eastAsia="Cambria"/>
                <w:b w:val="0"/>
                <w:i w:val="0"/>
                <w:color w:val="000000"/>
                <w:sz w:val="17"/>
              </w:rPr>
              <w:t>20</w:t>
            </w:r>
          </w:p>
        </w:tc>
        <w:tc>
          <w:tcPr>
            <w:tcW w:type="dxa" w:w="964"/>
            <w:shd w:val="clear" w:color="auto" w:fill="FFFFFF"/>
            <w:tcW w:w="964" w:type="dxa"/>
          </w:tcPr>
          <w:p>
            <w:pPr>
              <w:spacing w:after="40" w:before="40" w:line="264" w:lineRule="auto"/>
              <w:jc w:val="left"/>
            </w:pPr>
            <w:r/>
            <w:r>
              <w:rPr>
                <w:rFonts w:ascii="Cambria" w:hAnsi="Cambria" w:eastAsia="Cambria"/>
                <w:b w:val="0"/>
                <w:i w:val="0"/>
                <w:color w:val="000000"/>
                <w:sz w:val="17"/>
              </w:rPr>
              <w:t>38</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7"/>
              </w:rPr>
              <w:t>+18</w:t>
            </w:r>
          </w:p>
        </w:tc>
        <w:tc>
          <w:tcPr>
            <w:tcW w:type="dxa" w:w="1701"/>
            <w:shd w:val="clear" w:color="auto" w:fill="FFFFFF"/>
            <w:tcW w:w="1701" w:type="dxa"/>
          </w:tcPr>
          <w:p>
            <w:pPr>
              <w:spacing w:after="40" w:before="40" w:line="264" w:lineRule="auto"/>
              <w:jc w:val="left"/>
            </w:pPr>
            <w:r/>
            <w:r>
              <w:rPr>
                <w:rFonts w:ascii="Cambria" w:hAnsi="Cambria" w:eastAsia="Cambria"/>
                <w:b w:val="0"/>
                <w:i w:val="0"/>
                <w:color w:val="000000"/>
                <w:sz w:val="17"/>
              </w:rPr>
              <w:t>Increased external exposure</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7"/>
              </w:rPr>
              <w:t>2024–25</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7"/>
              </w:rPr>
              <w:t>Both Groups</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7"/>
              </w:rPr>
              <w:t>Overall Course Attainment</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7"/>
              </w:rPr>
              <w:t>68</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7"/>
              </w:rPr>
              <w:t>79</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7"/>
              </w:rPr>
              <w:t>+11</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7"/>
              </w:rPr>
              <w:t>Significant enhancement in PO attainment</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8 (Teaching–Learning Process)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Include evidence of both </w:t>
      </w:r>
      <w:r>
        <w:rPr>
          <w:rFonts w:ascii="Cambria" w:hAnsi="Cambria" w:eastAsia="Cambria"/>
          <w:b w:val="0"/>
          <w:i/>
          <w:color w:val="000000"/>
          <w:sz w:val="22"/>
        </w:rPr>
        <w:t>support mechanisms</w:t>
      </w:r>
      <w:r>
        <w:rPr>
          <w:rFonts w:ascii="Cambria" w:hAnsi="Cambria" w:eastAsia="Cambria"/>
          <w:b w:val="0"/>
          <w:i w:val="0"/>
          <w:color w:val="000000"/>
          <w:sz w:val="22"/>
        </w:rPr>
        <w:t xml:space="preserve"> (for weak learners) and </w:t>
      </w:r>
      <w:r>
        <w:rPr>
          <w:rFonts w:ascii="Cambria" w:hAnsi="Cambria" w:eastAsia="Cambria"/>
          <w:b w:val="0"/>
          <w:i/>
          <w:color w:val="000000"/>
          <w:sz w:val="22"/>
        </w:rPr>
        <w:t>enrichment mechanisms</w:t>
      </w:r>
      <w:r>
        <w:rPr>
          <w:rFonts w:ascii="Cambria" w:hAnsi="Cambria" w:eastAsia="Cambria"/>
          <w:b w:val="0"/>
          <w:i w:val="0"/>
          <w:color w:val="000000"/>
          <w:sz w:val="22"/>
        </w:rPr>
        <w:t xml:space="preserve"> (for bright learners).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impact is measurable and traceable through data analytics and feedback records.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Demonstrated inclusivity in teaching–learning practices.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Improved academic performance and reduced dropout rates among weak students.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Enhanced research, innovation, and leadership participation among bright students.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Documented evidence of continuous quality improvement in student development aligned with NBA accreditation standards.</w:t>
      </w:r>
    </w:p>
    <w:p>
      <w:r>
        <w:br w:type="page"/>
      </w:r>
    </w:p>
    <w:p>
      <w:pPr>
        <w:keepNext/>
        <w:spacing w:before="240" w:after="160"/>
        <w:jc w:val="left"/>
      </w:pPr>
      <w:r>
        <w:rPr>
          <w:rFonts w:ascii="Cambria" w:hAnsi="Cambria" w:eastAsia="Cambria"/>
          <w:b/>
          <w:i w:val="0"/>
          <w:color w:val="1F3A5F"/>
          <w:sz w:val="25"/>
        </w:rPr>
        <w:t>13. P.10 Records of quality assessment in continuous internal evaluation-internal question paper, assignment, quiz, etc.</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documentary evidence of the Continuous Internal Evaluation (CIE) process and its quality assurance mechanisms in alignment with Outcome-Based Education (OBE) and NBA guidelines.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how internal assessments (tests, assignments, quizzes, viva, and lab evaluations) are systematically designed, moderated, and evaluated to ensure fairness, consistency, and attainment of Course Outcomes (COs) and Programme Outcomes (POs).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CIE Policy and Framework:</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Copy of institutional or departmental policy outlining the CIE structure, weightage, and evaluation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Distribution of marks across components — internal tests, assignments, class participation, laboratory work, and projects.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Internal Assessment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Question papers, answer keys, and evaluation rubrics of internal tests.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Records of assignments, tutorials, open-book tests, and online quizzes.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Lab assessments including viva schedules, rubrics, and mark sheets.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Quality Control Mechanisms: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of question paper moderation and CO–PO mapping.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Verification and approval records by Head of Department / Exam Committee.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Model answers or evaluation schemes used for uniform grading.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Feedback forms from students and faculty on assessment quality.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Evaluation and Result Analysis: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Course-wise and CO-wise internal assessment analysis.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Comparison reports of average marks, pass percentage, and standard deviation across sections.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Summary of improvement actions taken based on analysis (e.g., revising difficulty level, updating question bank).</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Internal exam schedules and circulars.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Copies of internal question papers (CIE–1, CIE–2, CIE–3).</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Answer keys and sample evaluated answer scripts.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Assignment topics, rubrics, and grading sheets.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Quiz questions (MCQ / online) with screenshots of platforms used (e.g., Google Forms, Moodle).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Record of moderation committee meetings.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Result analysis reports and improvement action plans.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Student feedback on evaluation transparency and fairness.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CIE Components and Assessment Weightage</w:t>
      </w:r>
    </w:p>
    <w:tbl>
      <w:tblPr>
        <w:tblW w:type="auto" w:w="0"/>
        <w:jc w:val="center"/>
        <w:tblLook w:firstColumn="1" w:firstRow="1" w:lastColumn="0" w:lastRow="0" w:noHBand="0" w:noVBand="1" w:val="04A0"/>
        <w:tblLayout w:type="fixed"/>
        <w:tblLayout w:type="fixed"/>
        <w:tblLayout w:type="fixed"/>
      </w:tblPr>
      <w:tblGrid>
        <w:gridCol w:w="1361"/>
        <w:gridCol w:w="1134"/>
        <w:gridCol w:w="850"/>
        <w:gridCol w:w="1474"/>
        <w:gridCol w:w="1587"/>
        <w:gridCol w:w="1134"/>
        <w:gridCol w:w="1757"/>
      </w:tblGrid>
      <w:tr>
        <w:tc>
          <w:tcPr>
            <w:tcW w:type="dxa" w:w="1361"/>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W w:w="1361" w:type="dxa"/>
          </w:tcPr>
          <w:p>
            <w:pPr>
              <w:spacing w:after="40" w:before="40" w:line="264" w:lineRule="auto"/>
              <w:jc w:val="center"/>
            </w:pPr>
            <w:r/>
            <w:r>
              <w:rPr>
                <w:rFonts w:ascii="Cambria" w:hAnsi="Cambria" w:eastAsia="Cambria"/>
                <w:b/>
                <w:i w:val="0"/>
                <w:color w:val="FFFFFF"/>
                <w:sz w:val="17"/>
              </w:rPr>
              <w:t>Component</w:t>
            </w:r>
          </w:p>
        </w:tc>
        <w:tc>
          <w:tcPr>
            <w:tcW w:type="dxa" w:w="1134"/>
            <w:tcBorders>
              <w:top w:val="single" w:sz="4" w:space="0" w:color="BFBFBF"/>
              <w:left w:val="single" w:sz="4" w:space="0" w:color="BFBFBF"/>
              <w:bottom w:val="single" w:sz="4" w:space="0" w:color="BFBFBF"/>
              <w:right w:val="single" w:sz="4" w:space="0" w:color="BFBFBF"/>
            </w:tcBorders>
            <w:tcW w:w="907" w:type="dxa"/>
            <w:shd w:val="clear" w:color="auto" w:fill="1F3A5F"/>
            <w:tcW w:w="907" w:type="dxa"/>
            <w:tcW w:w="1134" w:type="dxa"/>
          </w:tcPr>
          <w:p>
            <w:pPr>
              <w:spacing w:after="40" w:before="40" w:line="264" w:lineRule="auto"/>
              <w:jc w:val="center"/>
            </w:pPr>
            <w:r/>
            <w:r>
              <w:rPr>
                <w:rFonts w:ascii="Cambria" w:hAnsi="Cambria" w:eastAsia="Cambria"/>
                <w:b/>
                <w:i w:val="0"/>
                <w:color w:val="FFFFFF"/>
                <w:sz w:val="17"/>
              </w:rPr>
              <w:t>Frequency</w:t>
            </w:r>
          </w:p>
        </w:tc>
        <w:tc>
          <w:tcPr>
            <w:tcW w:type="dxa" w:w="850"/>
            <w:tcBorders>
              <w:top w:val="single" w:sz="4" w:space="0" w:color="BFBFBF"/>
              <w:left w:val="single" w:sz="4" w:space="0" w:color="BFBFBF"/>
              <w:bottom w:val="single" w:sz="4" w:space="0" w:color="BFBFBF"/>
              <w:right w:val="single" w:sz="4" w:space="0" w:color="BFBFBF"/>
            </w:tcBorders>
            <w:tcW w:w="624" w:type="dxa"/>
            <w:shd w:val="clear" w:color="auto" w:fill="1F3A5F"/>
            <w:tcW w:w="624" w:type="dxa"/>
            <w:tcW w:w="850" w:type="dxa"/>
          </w:tcPr>
          <w:p>
            <w:pPr>
              <w:spacing w:after="40" w:before="40" w:line="264" w:lineRule="auto"/>
              <w:jc w:val="center"/>
            </w:pPr>
            <w:r/>
            <w:r>
              <w:rPr>
                <w:rFonts w:ascii="Cambria" w:hAnsi="Cambria" w:eastAsia="Cambria"/>
                <w:b/>
                <w:i w:val="0"/>
                <w:color w:val="FFFFFF"/>
                <w:sz w:val="17"/>
              </w:rPr>
              <w:t>Weight %</w:t>
            </w:r>
          </w:p>
        </w:tc>
        <w:tc>
          <w:tcPr>
            <w:tcW w:type="dxa" w:w="147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W w:w="1474" w:type="dxa"/>
          </w:tcPr>
          <w:p>
            <w:pPr>
              <w:spacing w:after="40" w:before="40" w:line="264" w:lineRule="auto"/>
              <w:jc w:val="center"/>
            </w:pPr>
            <w:r/>
            <w:r>
              <w:rPr>
                <w:rFonts w:ascii="Cambria" w:hAnsi="Cambria" w:eastAsia="Cambria"/>
                <w:b/>
                <w:i w:val="0"/>
                <w:color w:val="FFFFFF"/>
                <w:sz w:val="17"/>
              </w:rPr>
              <w:t>Nature of Assessment</w:t>
            </w:r>
          </w:p>
        </w:tc>
        <w:tc>
          <w:tcPr>
            <w:tcW w:type="dxa" w:w="1587"/>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W w:w="1587" w:type="dxa"/>
          </w:tcPr>
          <w:p>
            <w:pPr>
              <w:spacing w:after="40" w:before="40" w:line="264" w:lineRule="auto"/>
              <w:jc w:val="center"/>
            </w:pPr>
            <w:r/>
            <w:r>
              <w:rPr>
                <w:rFonts w:ascii="Cambria" w:hAnsi="Cambria" w:eastAsia="Cambria"/>
                <w:b/>
                <w:i w:val="0"/>
                <w:color w:val="FFFFFF"/>
                <w:sz w:val="17"/>
              </w:rPr>
              <w:t>Tools/Method Used</w:t>
            </w:r>
          </w:p>
        </w:tc>
        <w:tc>
          <w:tcPr>
            <w:tcW w:type="dxa" w:w="1134"/>
            <w:tcBorders>
              <w:top w:val="single" w:sz="4" w:space="0" w:color="BFBFBF"/>
              <w:left w:val="single" w:sz="4" w:space="0" w:color="BFBFBF"/>
              <w:bottom w:val="single" w:sz="4" w:space="0" w:color="BFBFBF"/>
              <w:right w:val="single" w:sz="4" w:space="0" w:color="BFBFBF"/>
            </w:tcBorders>
            <w:tcW w:w="907" w:type="dxa"/>
            <w:shd w:val="clear" w:color="auto" w:fill="1F3A5F"/>
            <w:tcW w:w="907" w:type="dxa"/>
            <w:tcW w:w="1134" w:type="dxa"/>
          </w:tcPr>
          <w:p>
            <w:pPr>
              <w:spacing w:after="40" w:before="40" w:line="264" w:lineRule="auto"/>
              <w:jc w:val="center"/>
            </w:pPr>
            <w:r/>
            <w:r>
              <w:rPr>
                <w:rFonts w:ascii="Cambria" w:hAnsi="Cambria" w:eastAsia="Cambria"/>
                <w:b/>
                <w:i w:val="0"/>
                <w:color w:val="FFFFFF"/>
                <w:sz w:val="17"/>
              </w:rPr>
              <w:t>COs Assessed</w:t>
            </w:r>
          </w:p>
        </w:tc>
        <w:tc>
          <w:tcPr>
            <w:tcW w:type="dxa" w:w="1757"/>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W w:w="1757" w:type="dxa"/>
          </w:tcPr>
          <w:p>
            <w:pPr>
              <w:spacing w:after="40" w:before="40" w:line="264" w:lineRule="auto"/>
              <w:jc w:val="center"/>
            </w:pPr>
            <w:r/>
            <w:r>
              <w:rPr>
                <w:rFonts w:ascii="Cambria" w:hAnsi="Cambria" w:eastAsia="Cambria"/>
                <w:b/>
                <w:i w:val="0"/>
                <w:color w:val="FFFFFF"/>
                <w:sz w:val="17"/>
              </w:rPr>
              <w:t>Evidence Reference</w:t>
            </w:r>
          </w:p>
        </w:tc>
      </w:tr>
      <w:tr>
        <w:tc>
          <w:tcPr>
            <w:tcW w:type="dxa" w:w="1361"/>
            <w:shd w:val="clear" w:color="auto" w:fill="E8ECF2"/>
            <w:tcW w:w="1247" w:type="dxa"/>
            <w:tcW w:w="1361" w:type="dxa"/>
          </w:tcPr>
          <w:p>
            <w:pPr>
              <w:spacing w:after="40" w:before="40" w:line="264" w:lineRule="auto"/>
              <w:jc w:val="left"/>
            </w:pPr>
            <w:r/>
            <w:r>
              <w:rPr>
                <w:rFonts w:ascii="Cambria" w:hAnsi="Cambria" w:eastAsia="Cambria"/>
                <w:b w:val="0"/>
                <w:i w:val="0"/>
                <w:color w:val="000000"/>
                <w:sz w:val="17"/>
              </w:rPr>
              <w:t>Internal Test–1</w:t>
            </w:r>
          </w:p>
        </w:tc>
        <w:tc>
          <w:tcPr>
            <w:tcW w:type="dxa" w:w="1134"/>
            <w:shd w:val="clear" w:color="auto" w:fill="E8ECF2"/>
            <w:tcW w:w="907" w:type="dxa"/>
            <w:tcW w:w="1134" w:type="dxa"/>
          </w:tcPr>
          <w:p>
            <w:pPr>
              <w:spacing w:after="40" w:before="40" w:line="264" w:lineRule="auto"/>
              <w:jc w:val="left"/>
            </w:pPr>
            <w:r/>
            <w:r>
              <w:rPr>
                <w:rFonts w:ascii="Cambria" w:hAnsi="Cambria" w:eastAsia="Cambria"/>
                <w:b w:val="0"/>
                <w:i w:val="0"/>
                <w:color w:val="000000"/>
                <w:sz w:val="17"/>
              </w:rPr>
              <w:t>Twice / Semester</w:t>
            </w:r>
          </w:p>
        </w:tc>
        <w:tc>
          <w:tcPr>
            <w:tcW w:type="dxa" w:w="850"/>
            <w:shd w:val="clear" w:color="auto" w:fill="E8ECF2"/>
            <w:tcW w:w="624" w:type="dxa"/>
            <w:tcW w:w="850" w:type="dxa"/>
          </w:tcPr>
          <w:p>
            <w:pPr>
              <w:spacing w:after="40" w:before="40" w:line="264" w:lineRule="auto"/>
              <w:jc w:val="left"/>
            </w:pPr>
            <w:r/>
            <w:r>
              <w:rPr>
                <w:rFonts w:ascii="Cambria" w:hAnsi="Cambria" w:eastAsia="Cambria"/>
                <w:b w:val="0"/>
                <w:i w:val="0"/>
                <w:color w:val="000000"/>
                <w:sz w:val="17"/>
              </w:rPr>
              <w:t>20</w:t>
            </w:r>
          </w:p>
        </w:tc>
        <w:tc>
          <w:tcPr>
            <w:tcW w:type="dxa" w:w="1474"/>
            <w:shd w:val="clear" w:color="auto" w:fill="E8ECF2"/>
            <w:tcW w:w="1134" w:type="dxa"/>
            <w:tcW w:w="1474" w:type="dxa"/>
          </w:tcPr>
          <w:p>
            <w:pPr>
              <w:spacing w:after="40" w:before="40" w:line="264" w:lineRule="auto"/>
              <w:jc w:val="left"/>
            </w:pPr>
            <w:r/>
            <w:r>
              <w:rPr>
                <w:rFonts w:ascii="Cambria" w:hAnsi="Cambria" w:eastAsia="Cambria"/>
                <w:b w:val="0"/>
                <w:i w:val="0"/>
                <w:color w:val="000000"/>
                <w:sz w:val="17"/>
              </w:rPr>
              <w:t>Written Test</w:t>
            </w:r>
          </w:p>
        </w:tc>
        <w:tc>
          <w:tcPr>
            <w:tcW w:type="dxa" w:w="1587"/>
            <w:shd w:val="clear" w:color="auto" w:fill="E8ECF2"/>
            <w:tcW w:w="1361" w:type="dxa"/>
            <w:tcW w:w="1587" w:type="dxa"/>
          </w:tcPr>
          <w:p>
            <w:pPr>
              <w:spacing w:after="40" w:before="40" w:line="264" w:lineRule="auto"/>
              <w:jc w:val="left"/>
            </w:pPr>
            <w:r/>
            <w:r>
              <w:rPr>
                <w:rFonts w:ascii="Cambria" w:hAnsi="Cambria" w:eastAsia="Cambria"/>
                <w:b w:val="0"/>
                <w:i w:val="0"/>
                <w:color w:val="000000"/>
                <w:sz w:val="17"/>
              </w:rPr>
              <w:t>Question Paper + Rubric</w:t>
            </w:r>
          </w:p>
        </w:tc>
        <w:tc>
          <w:tcPr>
            <w:tcW w:type="dxa" w:w="1134"/>
            <w:shd w:val="clear" w:color="auto" w:fill="E8ECF2"/>
            <w:tcW w:w="907" w:type="dxa"/>
            <w:tcW w:w="1134" w:type="dxa"/>
          </w:tcPr>
          <w:p>
            <w:pPr>
              <w:spacing w:after="40" w:before="40" w:line="264" w:lineRule="auto"/>
              <w:jc w:val="left"/>
            </w:pPr>
            <w:r/>
            <w:r>
              <w:rPr>
                <w:rFonts w:ascii="Cambria" w:hAnsi="Cambria" w:eastAsia="Cambria"/>
                <w:b w:val="0"/>
                <w:i w:val="0"/>
                <w:color w:val="000000"/>
                <w:sz w:val="17"/>
              </w:rPr>
              <w:t>CO1, CO2</w:t>
            </w:r>
          </w:p>
        </w:tc>
        <w:tc>
          <w:tcPr>
            <w:tcW w:type="dxa" w:w="1757"/>
            <w:shd w:val="clear" w:color="auto" w:fill="E8ECF2"/>
            <w:tcW w:w="1361" w:type="dxa"/>
            <w:tcW w:w="1757" w:type="dxa"/>
          </w:tcPr>
          <w:p>
            <w:pPr>
              <w:spacing w:after="40" w:before="40" w:line="264" w:lineRule="auto"/>
              <w:jc w:val="left"/>
            </w:pPr>
            <w:r/>
            <w:r>
              <w:rPr>
                <w:rFonts w:ascii="Cambria" w:hAnsi="Cambria" w:eastAsia="Cambria"/>
                <w:b w:val="0"/>
                <w:i w:val="0"/>
                <w:color w:val="000000"/>
                <w:sz w:val="17"/>
              </w:rPr>
              <w:t>IQAC/CIE/2023/01</w:t>
            </w:r>
          </w:p>
        </w:tc>
      </w:tr>
      <w:tr>
        <w:tc>
          <w:tcPr>
            <w:tcW w:type="dxa" w:w="1361"/>
            <w:shd w:val="clear" w:color="auto" w:fill="FFFFFF"/>
            <w:tcW w:w="1247" w:type="dxa"/>
            <w:tcW w:w="1361" w:type="dxa"/>
          </w:tcPr>
          <w:p>
            <w:pPr>
              <w:spacing w:after="40" w:before="40" w:line="264" w:lineRule="auto"/>
              <w:jc w:val="left"/>
            </w:pPr>
            <w:r/>
            <w:r>
              <w:rPr>
                <w:rFonts w:ascii="Cambria" w:hAnsi="Cambria" w:eastAsia="Cambria"/>
                <w:b w:val="0"/>
                <w:i w:val="0"/>
                <w:color w:val="000000"/>
                <w:sz w:val="17"/>
              </w:rPr>
              <w:t>Assignment</w:t>
            </w:r>
          </w:p>
        </w:tc>
        <w:tc>
          <w:tcPr>
            <w:tcW w:type="dxa" w:w="1134"/>
            <w:shd w:val="clear" w:color="auto" w:fill="FFFFFF"/>
            <w:tcW w:w="907" w:type="dxa"/>
            <w:tcW w:w="1134" w:type="dxa"/>
          </w:tcPr>
          <w:p>
            <w:pPr>
              <w:spacing w:after="40" w:before="40" w:line="264" w:lineRule="auto"/>
              <w:jc w:val="left"/>
            </w:pPr>
            <w:r/>
            <w:r>
              <w:rPr>
                <w:rFonts w:ascii="Cambria" w:hAnsi="Cambria" w:eastAsia="Cambria"/>
                <w:b w:val="0"/>
                <w:i w:val="0"/>
                <w:color w:val="000000"/>
                <w:sz w:val="17"/>
              </w:rPr>
              <w:t>Once / Unit</w:t>
            </w:r>
          </w:p>
        </w:tc>
        <w:tc>
          <w:tcPr>
            <w:tcW w:type="dxa" w:w="850"/>
            <w:shd w:val="clear" w:color="auto" w:fill="FFFFFF"/>
            <w:tcW w:w="624" w:type="dxa"/>
            <w:tcW w:w="850" w:type="dxa"/>
          </w:tcPr>
          <w:p>
            <w:pPr>
              <w:spacing w:after="40" w:before="40" w:line="264" w:lineRule="auto"/>
              <w:jc w:val="left"/>
            </w:pPr>
            <w:r/>
            <w:r>
              <w:rPr>
                <w:rFonts w:ascii="Cambria" w:hAnsi="Cambria" w:eastAsia="Cambria"/>
                <w:b w:val="0"/>
                <w:i w:val="0"/>
                <w:color w:val="000000"/>
                <w:sz w:val="17"/>
              </w:rPr>
              <w:t>10</w:t>
            </w:r>
          </w:p>
        </w:tc>
        <w:tc>
          <w:tcPr>
            <w:tcW w:type="dxa" w:w="1474"/>
            <w:shd w:val="clear" w:color="auto" w:fill="FFFFFF"/>
            <w:tcW w:w="1134" w:type="dxa"/>
            <w:tcW w:w="1474" w:type="dxa"/>
          </w:tcPr>
          <w:p>
            <w:pPr>
              <w:spacing w:after="40" w:before="40" w:line="264" w:lineRule="auto"/>
              <w:jc w:val="left"/>
            </w:pPr>
            <w:r/>
            <w:r>
              <w:rPr>
                <w:rFonts w:ascii="Cambria" w:hAnsi="Cambria" w:eastAsia="Cambria"/>
                <w:b w:val="0"/>
                <w:i w:val="0"/>
                <w:color w:val="000000"/>
                <w:sz w:val="17"/>
              </w:rPr>
              <w:t>Analytical / Research</w:t>
            </w:r>
          </w:p>
        </w:tc>
        <w:tc>
          <w:tcPr>
            <w:tcW w:type="dxa" w:w="1587"/>
            <w:shd w:val="clear" w:color="auto" w:fill="FFFFFF"/>
            <w:tcW w:w="1361" w:type="dxa"/>
            <w:tcW w:w="1587" w:type="dxa"/>
          </w:tcPr>
          <w:p>
            <w:pPr>
              <w:spacing w:after="40" w:before="40" w:line="264" w:lineRule="auto"/>
              <w:jc w:val="left"/>
            </w:pPr>
            <w:r/>
            <w:r>
              <w:rPr>
                <w:rFonts w:ascii="Cambria" w:hAnsi="Cambria" w:eastAsia="Cambria"/>
                <w:b w:val="0"/>
                <w:i w:val="0"/>
                <w:color w:val="000000"/>
                <w:sz w:val="17"/>
              </w:rPr>
              <w:t>Google Classroom / LMS</w:t>
            </w:r>
          </w:p>
        </w:tc>
        <w:tc>
          <w:tcPr>
            <w:tcW w:type="dxa" w:w="1134"/>
            <w:shd w:val="clear" w:color="auto" w:fill="FFFFFF"/>
            <w:tcW w:w="907" w:type="dxa"/>
            <w:tcW w:w="1134" w:type="dxa"/>
          </w:tcPr>
          <w:p>
            <w:pPr>
              <w:spacing w:after="40" w:before="40" w:line="264" w:lineRule="auto"/>
              <w:jc w:val="left"/>
            </w:pPr>
            <w:r/>
            <w:r>
              <w:rPr>
                <w:rFonts w:ascii="Cambria" w:hAnsi="Cambria" w:eastAsia="Cambria"/>
                <w:b w:val="0"/>
                <w:i w:val="0"/>
                <w:color w:val="000000"/>
                <w:sz w:val="17"/>
              </w:rPr>
              <w:t>CO2, CO3</w:t>
            </w:r>
          </w:p>
        </w:tc>
        <w:tc>
          <w:tcPr>
            <w:tcW w:type="dxa" w:w="1757"/>
            <w:shd w:val="clear" w:color="auto" w:fill="FFFFFF"/>
            <w:tcW w:w="1361" w:type="dxa"/>
            <w:tcW w:w="1757" w:type="dxa"/>
          </w:tcPr>
          <w:p>
            <w:pPr>
              <w:spacing w:after="40" w:before="40" w:line="264" w:lineRule="auto"/>
              <w:jc w:val="left"/>
            </w:pPr>
            <w:r/>
            <w:r>
              <w:rPr>
                <w:rFonts w:ascii="Cambria" w:hAnsi="Cambria" w:eastAsia="Cambria"/>
                <w:b w:val="0"/>
                <w:i w:val="0"/>
                <w:color w:val="000000"/>
                <w:sz w:val="17"/>
              </w:rPr>
              <w:t>Assignment Record</w:t>
            </w:r>
          </w:p>
        </w:tc>
      </w:tr>
      <w:tr>
        <w:tc>
          <w:tcPr>
            <w:tcW w:type="dxa" w:w="1361"/>
            <w:shd w:val="clear" w:color="auto" w:fill="E8ECF2"/>
            <w:tcW w:w="1247" w:type="dxa"/>
            <w:tcW w:w="1361" w:type="dxa"/>
          </w:tcPr>
          <w:p>
            <w:pPr>
              <w:spacing w:after="40" w:before="40" w:line="264" w:lineRule="auto"/>
              <w:jc w:val="left"/>
            </w:pPr>
            <w:r/>
            <w:r>
              <w:rPr>
                <w:rFonts w:ascii="Cambria" w:hAnsi="Cambria" w:eastAsia="Cambria"/>
                <w:b w:val="0"/>
                <w:i w:val="0"/>
                <w:color w:val="000000"/>
                <w:sz w:val="17"/>
              </w:rPr>
              <w:t>Quiz</w:t>
            </w:r>
          </w:p>
        </w:tc>
        <w:tc>
          <w:tcPr>
            <w:tcW w:type="dxa" w:w="1134"/>
            <w:shd w:val="clear" w:color="auto" w:fill="E8ECF2"/>
            <w:tcW w:w="907" w:type="dxa"/>
            <w:tcW w:w="1134" w:type="dxa"/>
          </w:tcPr>
          <w:p>
            <w:pPr>
              <w:spacing w:after="40" w:before="40" w:line="264" w:lineRule="auto"/>
              <w:jc w:val="left"/>
            </w:pPr>
            <w:r/>
            <w:r>
              <w:rPr>
                <w:rFonts w:ascii="Cambria" w:hAnsi="Cambria" w:eastAsia="Cambria"/>
                <w:b w:val="0"/>
                <w:i w:val="0"/>
                <w:color w:val="000000"/>
                <w:sz w:val="17"/>
              </w:rPr>
              <w:t>Monthly</w:t>
            </w:r>
          </w:p>
        </w:tc>
        <w:tc>
          <w:tcPr>
            <w:tcW w:type="dxa" w:w="850"/>
            <w:shd w:val="clear" w:color="auto" w:fill="E8ECF2"/>
            <w:tcW w:w="624" w:type="dxa"/>
            <w:tcW w:w="850" w:type="dxa"/>
          </w:tcPr>
          <w:p>
            <w:pPr>
              <w:spacing w:after="40" w:before="40" w:line="264" w:lineRule="auto"/>
              <w:jc w:val="left"/>
            </w:pPr>
            <w:r/>
            <w:r>
              <w:rPr>
                <w:rFonts w:ascii="Cambria" w:hAnsi="Cambria" w:eastAsia="Cambria"/>
                <w:b w:val="0"/>
                <w:i w:val="0"/>
                <w:color w:val="000000"/>
                <w:sz w:val="17"/>
              </w:rPr>
              <w:t>10</w:t>
            </w:r>
          </w:p>
        </w:tc>
        <w:tc>
          <w:tcPr>
            <w:tcW w:type="dxa" w:w="1474"/>
            <w:shd w:val="clear" w:color="auto" w:fill="E8ECF2"/>
            <w:tcW w:w="1134" w:type="dxa"/>
            <w:tcW w:w="1474" w:type="dxa"/>
          </w:tcPr>
          <w:p>
            <w:pPr>
              <w:spacing w:after="40" w:before="40" w:line="264" w:lineRule="auto"/>
              <w:jc w:val="left"/>
            </w:pPr>
            <w:r/>
            <w:r>
              <w:rPr>
                <w:rFonts w:ascii="Cambria" w:hAnsi="Cambria" w:eastAsia="Cambria"/>
                <w:b w:val="0"/>
                <w:i w:val="0"/>
                <w:color w:val="000000"/>
                <w:sz w:val="17"/>
              </w:rPr>
              <w:t>MCQ / Short Answers</w:t>
            </w:r>
          </w:p>
        </w:tc>
        <w:tc>
          <w:tcPr>
            <w:tcW w:type="dxa" w:w="1587"/>
            <w:shd w:val="clear" w:color="auto" w:fill="E8ECF2"/>
            <w:tcW w:w="1361" w:type="dxa"/>
            <w:tcW w:w="1587" w:type="dxa"/>
          </w:tcPr>
          <w:p>
            <w:pPr>
              <w:spacing w:after="40" w:before="40" w:line="264" w:lineRule="auto"/>
              <w:jc w:val="left"/>
            </w:pPr>
            <w:r/>
            <w:r>
              <w:rPr>
                <w:rFonts w:ascii="Cambria" w:hAnsi="Cambria" w:eastAsia="Cambria"/>
                <w:b w:val="0"/>
                <w:i w:val="0"/>
                <w:color w:val="000000"/>
                <w:sz w:val="17"/>
              </w:rPr>
              <w:t>Moodle / Google Forms</w:t>
            </w:r>
          </w:p>
        </w:tc>
        <w:tc>
          <w:tcPr>
            <w:tcW w:type="dxa" w:w="1134"/>
            <w:shd w:val="clear" w:color="auto" w:fill="E8ECF2"/>
            <w:tcW w:w="907" w:type="dxa"/>
            <w:tcW w:w="1134" w:type="dxa"/>
          </w:tcPr>
          <w:p>
            <w:pPr>
              <w:spacing w:after="40" w:before="40" w:line="264" w:lineRule="auto"/>
              <w:jc w:val="left"/>
            </w:pPr>
            <w:r/>
            <w:r>
              <w:rPr>
                <w:rFonts w:ascii="Cambria" w:hAnsi="Cambria" w:eastAsia="Cambria"/>
                <w:b w:val="0"/>
                <w:i w:val="0"/>
                <w:color w:val="000000"/>
                <w:sz w:val="17"/>
              </w:rPr>
              <w:t>CO1</w:t>
            </w:r>
          </w:p>
        </w:tc>
        <w:tc>
          <w:tcPr>
            <w:tcW w:type="dxa" w:w="1757"/>
            <w:shd w:val="clear" w:color="auto" w:fill="E8ECF2"/>
            <w:tcW w:w="1361" w:type="dxa"/>
            <w:tcW w:w="1757" w:type="dxa"/>
          </w:tcPr>
          <w:p>
            <w:pPr>
              <w:spacing w:after="40" w:before="40" w:line="264" w:lineRule="auto"/>
              <w:jc w:val="left"/>
            </w:pPr>
            <w:r/>
            <w:r>
              <w:rPr>
                <w:rFonts w:ascii="Cambria" w:hAnsi="Cambria" w:eastAsia="Cambria"/>
                <w:b w:val="0"/>
                <w:i w:val="0"/>
                <w:color w:val="000000"/>
                <w:sz w:val="17"/>
              </w:rPr>
              <w:t>Quiz Report</w:t>
            </w:r>
          </w:p>
        </w:tc>
      </w:tr>
      <w:tr>
        <w:tc>
          <w:tcPr>
            <w:tcW w:type="dxa" w:w="1361"/>
            <w:shd w:val="clear" w:color="auto" w:fill="FFFFFF"/>
            <w:tcW w:w="1247" w:type="dxa"/>
            <w:tcW w:w="1361" w:type="dxa"/>
          </w:tcPr>
          <w:p>
            <w:pPr>
              <w:spacing w:after="40" w:before="40" w:line="264" w:lineRule="auto"/>
              <w:jc w:val="left"/>
            </w:pPr>
            <w:r/>
            <w:r>
              <w:rPr>
                <w:rFonts w:ascii="Cambria" w:hAnsi="Cambria" w:eastAsia="Cambria"/>
                <w:b w:val="0"/>
                <w:i w:val="0"/>
                <w:color w:val="000000"/>
                <w:sz w:val="17"/>
              </w:rPr>
              <w:t>Lab Evaluation</w:t>
            </w:r>
          </w:p>
        </w:tc>
        <w:tc>
          <w:tcPr>
            <w:tcW w:type="dxa" w:w="1134"/>
            <w:shd w:val="clear" w:color="auto" w:fill="FFFFFF"/>
            <w:tcW w:w="907" w:type="dxa"/>
            <w:tcW w:w="1134" w:type="dxa"/>
          </w:tcPr>
          <w:p>
            <w:pPr>
              <w:spacing w:after="40" w:before="40" w:line="264" w:lineRule="auto"/>
              <w:jc w:val="left"/>
            </w:pPr>
            <w:r/>
            <w:r>
              <w:rPr>
                <w:rFonts w:ascii="Cambria" w:hAnsi="Cambria" w:eastAsia="Cambria"/>
                <w:b w:val="0"/>
                <w:i w:val="0"/>
                <w:color w:val="000000"/>
                <w:sz w:val="17"/>
              </w:rPr>
              <w:t>Weekly</w:t>
            </w:r>
          </w:p>
        </w:tc>
        <w:tc>
          <w:tcPr>
            <w:tcW w:type="dxa" w:w="850"/>
            <w:shd w:val="clear" w:color="auto" w:fill="FFFFFF"/>
            <w:tcW w:w="624" w:type="dxa"/>
            <w:tcW w:w="850" w:type="dxa"/>
          </w:tcPr>
          <w:p>
            <w:pPr>
              <w:spacing w:after="40" w:before="40" w:line="264" w:lineRule="auto"/>
              <w:jc w:val="left"/>
            </w:pPr>
            <w:r/>
            <w:r>
              <w:rPr>
                <w:rFonts w:ascii="Cambria" w:hAnsi="Cambria" w:eastAsia="Cambria"/>
                <w:b w:val="0"/>
                <w:i w:val="0"/>
                <w:color w:val="000000"/>
                <w:sz w:val="17"/>
              </w:rPr>
              <w:t>20</w:t>
            </w:r>
          </w:p>
        </w:tc>
        <w:tc>
          <w:tcPr>
            <w:tcW w:type="dxa" w:w="1474"/>
            <w:shd w:val="clear" w:color="auto" w:fill="FFFFFF"/>
            <w:tcW w:w="1134" w:type="dxa"/>
            <w:tcW w:w="1474" w:type="dxa"/>
          </w:tcPr>
          <w:p>
            <w:pPr>
              <w:spacing w:after="40" w:before="40" w:line="264" w:lineRule="auto"/>
              <w:jc w:val="left"/>
            </w:pPr>
            <w:r/>
            <w:r>
              <w:rPr>
                <w:rFonts w:ascii="Cambria" w:hAnsi="Cambria" w:eastAsia="Cambria"/>
                <w:b w:val="0"/>
                <w:i w:val="0"/>
                <w:color w:val="000000"/>
                <w:sz w:val="17"/>
              </w:rPr>
              <w:t>Practical + Viva</w:t>
            </w:r>
          </w:p>
        </w:tc>
        <w:tc>
          <w:tcPr>
            <w:tcW w:type="dxa" w:w="1587"/>
            <w:shd w:val="clear" w:color="auto" w:fill="FFFFFF"/>
            <w:tcW w:w="1361" w:type="dxa"/>
            <w:tcW w:w="1587" w:type="dxa"/>
          </w:tcPr>
          <w:p>
            <w:pPr>
              <w:spacing w:after="40" w:before="40" w:line="264" w:lineRule="auto"/>
              <w:jc w:val="left"/>
            </w:pPr>
            <w:r/>
            <w:r>
              <w:rPr>
                <w:rFonts w:ascii="Cambria" w:hAnsi="Cambria" w:eastAsia="Cambria"/>
                <w:b w:val="0"/>
                <w:i w:val="0"/>
                <w:color w:val="000000"/>
                <w:sz w:val="17"/>
              </w:rPr>
              <w:t>Lab Rubric Sheet</w:t>
            </w:r>
          </w:p>
        </w:tc>
        <w:tc>
          <w:tcPr>
            <w:tcW w:type="dxa" w:w="1134"/>
            <w:shd w:val="clear" w:color="auto" w:fill="FFFFFF"/>
            <w:tcW w:w="907" w:type="dxa"/>
            <w:tcW w:w="1134" w:type="dxa"/>
          </w:tcPr>
          <w:p>
            <w:pPr>
              <w:spacing w:after="40" w:before="40" w:line="264" w:lineRule="auto"/>
              <w:jc w:val="left"/>
            </w:pPr>
            <w:r/>
            <w:r>
              <w:rPr>
                <w:rFonts w:ascii="Cambria" w:hAnsi="Cambria" w:eastAsia="Cambria"/>
                <w:b w:val="0"/>
                <w:i w:val="0"/>
                <w:color w:val="000000"/>
                <w:sz w:val="17"/>
              </w:rPr>
              <w:t>CO4, CO5</w:t>
            </w:r>
          </w:p>
        </w:tc>
        <w:tc>
          <w:tcPr>
            <w:tcW w:type="dxa" w:w="1757"/>
            <w:shd w:val="clear" w:color="auto" w:fill="FFFFFF"/>
            <w:tcW w:w="1361" w:type="dxa"/>
            <w:tcW w:w="1757" w:type="dxa"/>
          </w:tcPr>
          <w:p>
            <w:pPr>
              <w:spacing w:after="40" w:before="40" w:line="264" w:lineRule="auto"/>
              <w:jc w:val="left"/>
            </w:pPr>
            <w:r/>
            <w:r>
              <w:rPr>
                <w:rFonts w:ascii="Cambria" w:hAnsi="Cambria" w:eastAsia="Cambria"/>
                <w:b w:val="0"/>
                <w:i w:val="0"/>
                <w:color w:val="000000"/>
                <w:sz w:val="17"/>
              </w:rPr>
              <w:t>Lab Register</w:t>
            </w:r>
          </w:p>
        </w:tc>
      </w:tr>
      <w:tr>
        <w:tc>
          <w:tcPr>
            <w:tcW w:type="dxa" w:w="1361"/>
            <w:shd w:val="clear" w:color="auto" w:fill="E8ECF2"/>
            <w:tcW w:w="1247" w:type="dxa"/>
            <w:tcW w:w="1361" w:type="dxa"/>
          </w:tcPr>
          <w:p>
            <w:pPr>
              <w:spacing w:after="40" w:before="40" w:line="264" w:lineRule="auto"/>
              <w:jc w:val="left"/>
            </w:pPr>
            <w:r/>
            <w:r>
              <w:rPr>
                <w:rFonts w:ascii="Cambria" w:hAnsi="Cambria" w:eastAsia="Cambria"/>
                <w:b w:val="0"/>
                <w:i w:val="0"/>
                <w:color w:val="000000"/>
                <w:sz w:val="17"/>
              </w:rPr>
              <w:t>Project / Mini Project</w:t>
            </w:r>
          </w:p>
        </w:tc>
        <w:tc>
          <w:tcPr>
            <w:tcW w:type="dxa" w:w="1134"/>
            <w:shd w:val="clear" w:color="auto" w:fill="E8ECF2"/>
            <w:tcW w:w="907" w:type="dxa"/>
            <w:tcW w:w="1134" w:type="dxa"/>
          </w:tcPr>
          <w:p>
            <w:pPr>
              <w:spacing w:after="40" w:before="40" w:line="264" w:lineRule="auto"/>
              <w:jc w:val="left"/>
            </w:pPr>
            <w:r/>
            <w:r>
              <w:rPr>
                <w:rFonts w:ascii="Cambria" w:hAnsi="Cambria" w:eastAsia="Cambria"/>
                <w:b w:val="0"/>
                <w:i w:val="0"/>
                <w:color w:val="000000"/>
                <w:sz w:val="17"/>
              </w:rPr>
              <w:t>End of Semester</w:t>
            </w:r>
          </w:p>
        </w:tc>
        <w:tc>
          <w:tcPr>
            <w:tcW w:type="dxa" w:w="850"/>
            <w:shd w:val="clear" w:color="auto" w:fill="E8ECF2"/>
            <w:tcW w:w="624" w:type="dxa"/>
            <w:tcW w:w="850" w:type="dxa"/>
          </w:tcPr>
          <w:p>
            <w:pPr>
              <w:spacing w:after="40" w:before="40" w:line="264" w:lineRule="auto"/>
              <w:jc w:val="left"/>
            </w:pPr>
            <w:r/>
            <w:r>
              <w:rPr>
                <w:rFonts w:ascii="Cambria" w:hAnsi="Cambria" w:eastAsia="Cambria"/>
                <w:b w:val="0"/>
                <w:i w:val="0"/>
                <w:color w:val="000000"/>
                <w:sz w:val="17"/>
              </w:rPr>
              <w:t>40</w:t>
            </w:r>
          </w:p>
        </w:tc>
        <w:tc>
          <w:tcPr>
            <w:tcW w:type="dxa" w:w="1474"/>
            <w:shd w:val="clear" w:color="auto" w:fill="E8ECF2"/>
            <w:tcW w:w="1134" w:type="dxa"/>
            <w:tcW w:w="1474" w:type="dxa"/>
          </w:tcPr>
          <w:p>
            <w:pPr>
              <w:spacing w:after="40" w:before="40" w:line="264" w:lineRule="auto"/>
              <w:jc w:val="left"/>
            </w:pPr>
            <w:r/>
            <w:r>
              <w:rPr>
                <w:rFonts w:ascii="Cambria" w:hAnsi="Cambria" w:eastAsia="Cambria"/>
                <w:b w:val="0"/>
                <w:i w:val="0"/>
                <w:color w:val="000000"/>
                <w:sz w:val="17"/>
              </w:rPr>
              <w:t>Presentation + Report</w:t>
            </w:r>
          </w:p>
        </w:tc>
        <w:tc>
          <w:tcPr>
            <w:tcW w:type="dxa" w:w="1587"/>
            <w:shd w:val="clear" w:color="auto" w:fill="E8ECF2"/>
            <w:tcW w:w="1361" w:type="dxa"/>
            <w:tcW w:w="1587" w:type="dxa"/>
          </w:tcPr>
          <w:p>
            <w:pPr>
              <w:spacing w:after="40" w:before="40" w:line="264" w:lineRule="auto"/>
              <w:jc w:val="left"/>
            </w:pPr>
            <w:r/>
            <w:r>
              <w:rPr>
                <w:rFonts w:ascii="Cambria" w:hAnsi="Cambria" w:eastAsia="Cambria"/>
                <w:b w:val="0"/>
                <w:i w:val="0"/>
                <w:color w:val="000000"/>
                <w:sz w:val="17"/>
              </w:rPr>
              <w:t>Evaluation Panel</w:t>
            </w:r>
          </w:p>
        </w:tc>
        <w:tc>
          <w:tcPr>
            <w:tcW w:type="dxa" w:w="1134"/>
            <w:shd w:val="clear" w:color="auto" w:fill="E8ECF2"/>
            <w:tcW w:w="907" w:type="dxa"/>
            <w:tcW w:w="1134" w:type="dxa"/>
          </w:tcPr>
          <w:p>
            <w:pPr>
              <w:spacing w:after="40" w:before="40" w:line="264" w:lineRule="auto"/>
              <w:jc w:val="left"/>
            </w:pPr>
            <w:r/>
            <w:r>
              <w:rPr>
                <w:rFonts w:ascii="Cambria" w:hAnsi="Cambria" w:eastAsia="Cambria"/>
                <w:b w:val="0"/>
                <w:i w:val="0"/>
                <w:color w:val="000000"/>
                <w:sz w:val="17"/>
              </w:rPr>
              <w:t>CO3, CO5</w:t>
            </w:r>
          </w:p>
        </w:tc>
        <w:tc>
          <w:tcPr>
            <w:tcW w:type="dxa" w:w="1757"/>
            <w:shd w:val="clear" w:color="auto" w:fill="E8ECF2"/>
            <w:tcW w:w="1361" w:type="dxa"/>
            <w:tcW w:w="1757" w:type="dxa"/>
          </w:tcPr>
          <w:p>
            <w:pPr>
              <w:spacing w:after="40" w:before="40" w:line="264" w:lineRule="auto"/>
              <w:jc w:val="left"/>
            </w:pPr>
            <w:r/>
            <w:r>
              <w:rPr>
                <w:rFonts w:ascii="Cambria" w:hAnsi="Cambria" w:eastAsia="Cambria"/>
                <w:b w:val="0"/>
                <w:i w:val="0"/>
                <w:color w:val="000000"/>
                <w:sz w:val="17"/>
              </w:rPr>
              <w:t>Project Report</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Quality Assessment &amp; Review</w:t>
      </w:r>
    </w:p>
    <w:tbl>
      <w:tblPr>
        <w:tblW w:type="auto" w:w="0"/>
        <w:jc w:val="center"/>
        <w:tblLook w:firstColumn="1" w:firstRow="1" w:lastColumn="0" w:lastRow="0" w:noHBand="0" w:noVBand="1" w:val="04A0"/>
        <w:tblLayout w:type="fixed"/>
        <w:tblLayout w:type="fixed"/>
        <w:tblLayout w:type="fixed"/>
      </w:tblPr>
      <w:tblGrid>
        <w:gridCol w:w="737"/>
        <w:gridCol w:w="907"/>
        <w:gridCol w:w="1077"/>
        <w:gridCol w:w="1191"/>
        <w:gridCol w:w="1191"/>
        <w:gridCol w:w="1304"/>
        <w:gridCol w:w="1134"/>
        <w:gridCol w:w="1531"/>
      </w:tblGrid>
      <w:tr>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W w:w="737" w:type="dxa"/>
          </w:tcPr>
          <w:p>
            <w:pPr>
              <w:spacing w:after="40" w:before="40" w:line="264" w:lineRule="auto"/>
              <w:jc w:val="center"/>
            </w:pPr>
            <w:r/>
            <w:r>
              <w:rPr>
                <w:rFonts w:ascii="Cambria" w:hAnsi="Cambria" w:eastAsia="Cambria"/>
                <w:b/>
                <w:i w:val="0"/>
                <w:color w:val="FFFFFF"/>
                <w:sz w:val="16"/>
              </w:rPr>
              <w:t>Year</w:t>
            </w:r>
          </w:p>
        </w:tc>
        <w:tc>
          <w:tcPr>
            <w:tcW w:type="dxa" w:w="907"/>
            <w:tcBorders>
              <w:top w:val="single" w:sz="4" w:space="0" w:color="BFBFBF"/>
              <w:left w:val="single" w:sz="4" w:space="0" w:color="BFBFBF"/>
              <w:bottom w:val="single" w:sz="4" w:space="0" w:color="BFBFBF"/>
              <w:right w:val="single" w:sz="4" w:space="0" w:color="BFBFBF"/>
            </w:tcBorders>
            <w:tcW w:w="737" w:type="dxa"/>
            <w:shd w:val="clear" w:color="auto" w:fill="1F3A5F"/>
            <w:tcW w:w="737" w:type="dxa"/>
            <w:tcW w:w="907" w:type="dxa"/>
          </w:tcPr>
          <w:p>
            <w:pPr>
              <w:spacing w:after="40" w:before="40" w:line="264" w:lineRule="auto"/>
              <w:jc w:val="center"/>
            </w:pPr>
            <w:r/>
            <w:r>
              <w:rPr>
                <w:rFonts w:ascii="Cambria" w:hAnsi="Cambria" w:eastAsia="Cambria"/>
                <w:b/>
                <w:i w:val="0"/>
                <w:color w:val="FFFFFF"/>
                <w:sz w:val="16"/>
              </w:rPr>
              <w:t>Course Code</w:t>
            </w:r>
          </w:p>
        </w:tc>
        <w:tc>
          <w:tcPr>
            <w:tcW w:type="dxa" w:w="1077"/>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W w:w="1077" w:type="dxa"/>
          </w:tcPr>
          <w:p>
            <w:pPr>
              <w:spacing w:after="40" w:before="40" w:line="264" w:lineRule="auto"/>
              <w:jc w:val="center"/>
            </w:pPr>
            <w:r/>
            <w:r>
              <w:rPr>
                <w:rFonts w:ascii="Cambria" w:hAnsi="Cambria" w:eastAsia="Cambria"/>
                <w:b/>
                <w:i w:val="0"/>
                <w:color w:val="FFFFFF"/>
                <w:sz w:val="16"/>
              </w:rPr>
              <w:t>Type of Assessment</w:t>
            </w:r>
          </w:p>
        </w:tc>
        <w:tc>
          <w:tcPr>
            <w:tcW w:type="dxa" w:w="1191"/>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W w:w="1191" w:type="dxa"/>
          </w:tcPr>
          <w:p>
            <w:pPr>
              <w:spacing w:after="40" w:before="40" w:line="264" w:lineRule="auto"/>
              <w:jc w:val="center"/>
            </w:pPr>
            <w:r/>
            <w:r>
              <w:rPr>
                <w:rFonts w:ascii="Cambria" w:hAnsi="Cambria" w:eastAsia="Cambria"/>
                <w:b/>
                <w:i w:val="0"/>
                <w:color w:val="FFFFFF"/>
                <w:sz w:val="16"/>
              </w:rPr>
              <w:t>Reviewer/Moderator</w:t>
            </w:r>
          </w:p>
        </w:tc>
        <w:tc>
          <w:tcPr>
            <w:tcW w:type="dxa" w:w="1191"/>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W w:w="1191" w:type="dxa"/>
          </w:tcPr>
          <w:p>
            <w:pPr>
              <w:spacing w:after="40" w:before="40" w:line="264" w:lineRule="auto"/>
              <w:jc w:val="center"/>
            </w:pPr>
            <w:r/>
            <w:r>
              <w:rPr>
                <w:rFonts w:ascii="Cambria" w:hAnsi="Cambria" w:eastAsia="Cambria"/>
                <w:b/>
                <w:i w:val="0"/>
                <w:color w:val="FFFFFF"/>
                <w:sz w:val="16"/>
              </w:rPr>
              <w:t>Method of Review</w:t>
            </w:r>
          </w:p>
        </w:tc>
        <w:tc>
          <w:tcPr>
            <w:tcW w:type="dxa" w:w="1304"/>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W w:w="1304" w:type="dxa"/>
          </w:tcPr>
          <w:p>
            <w:pPr>
              <w:spacing w:after="40" w:before="40" w:line="264" w:lineRule="auto"/>
              <w:jc w:val="center"/>
            </w:pPr>
            <w:r/>
            <w:r>
              <w:rPr>
                <w:rFonts w:ascii="Cambria" w:hAnsi="Cambria" w:eastAsia="Cambria"/>
                <w:b/>
                <w:i w:val="0"/>
                <w:color w:val="FFFFFF"/>
                <w:sz w:val="16"/>
              </w:rPr>
              <w:t>Improvement Suggested</w:t>
            </w:r>
          </w:p>
        </w:tc>
        <w:tc>
          <w:tcPr>
            <w:tcW w:type="dxa" w:w="1134"/>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W w:w="1134" w:type="dxa"/>
          </w:tcPr>
          <w:p>
            <w:pPr>
              <w:spacing w:after="40" w:before="40" w:line="264" w:lineRule="auto"/>
              <w:jc w:val="center"/>
            </w:pPr>
            <w:r/>
            <w:r>
              <w:rPr>
                <w:rFonts w:ascii="Cambria" w:hAnsi="Cambria" w:eastAsia="Cambria"/>
                <w:b/>
                <w:i w:val="0"/>
                <w:color w:val="FFFFFF"/>
                <w:sz w:val="16"/>
              </w:rPr>
              <w:t>Action Taken</w:t>
            </w:r>
          </w:p>
        </w:tc>
        <w:tc>
          <w:tcPr>
            <w:tcW w:type="dxa" w:w="153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W w:w="1531" w:type="dxa"/>
          </w:tcPr>
          <w:p>
            <w:pPr>
              <w:spacing w:after="40" w:before="40" w:line="264" w:lineRule="auto"/>
              <w:jc w:val="center"/>
            </w:pPr>
            <w:r/>
            <w:r>
              <w:rPr>
                <w:rFonts w:ascii="Cambria" w:hAnsi="Cambria" w:eastAsia="Cambria"/>
                <w:b/>
                <w:i w:val="0"/>
                <w:color w:val="FFFFFF"/>
                <w:sz w:val="16"/>
              </w:rPr>
              <w:t>Evidence Reference</w:t>
            </w:r>
          </w:p>
        </w:tc>
      </w:tr>
      <w:tr>
        <w:tc>
          <w:tcPr>
            <w:tcW w:type="dxa" w:w="737"/>
            <w:shd w:val="clear" w:color="auto" w:fill="E8ECF2"/>
            <w:tcW w:w="737" w:type="dxa"/>
            <w:tcW w:w="737" w:type="dxa"/>
          </w:tcPr>
          <w:p>
            <w:pPr>
              <w:spacing w:after="40" w:before="40" w:line="264" w:lineRule="auto"/>
              <w:jc w:val="left"/>
            </w:pPr>
            <w:r/>
            <w:r>
              <w:rPr>
                <w:rFonts w:ascii="Cambria" w:hAnsi="Cambria" w:eastAsia="Cambria"/>
                <w:b w:val="0"/>
                <w:i w:val="0"/>
                <w:color w:val="000000"/>
                <w:sz w:val="16"/>
              </w:rPr>
              <w:t>2022–23</w:t>
            </w:r>
          </w:p>
        </w:tc>
        <w:tc>
          <w:tcPr>
            <w:tcW w:type="dxa" w:w="907"/>
            <w:shd w:val="clear" w:color="auto" w:fill="E8ECF2"/>
            <w:tcW w:w="737" w:type="dxa"/>
            <w:tcW w:w="907" w:type="dxa"/>
          </w:tcPr>
          <w:p>
            <w:pPr>
              <w:spacing w:after="40" w:before="40" w:line="264" w:lineRule="auto"/>
              <w:jc w:val="left"/>
            </w:pPr>
            <w:r/>
            <w:r>
              <w:rPr>
                <w:rFonts w:ascii="Cambria" w:hAnsi="Cambria" w:eastAsia="Cambria"/>
                <w:b w:val="0"/>
                <w:i w:val="0"/>
                <w:color w:val="000000"/>
                <w:sz w:val="16"/>
              </w:rPr>
              <w:t>CS302</w:t>
            </w:r>
          </w:p>
        </w:tc>
        <w:tc>
          <w:tcPr>
            <w:tcW w:type="dxa" w:w="1077"/>
            <w:shd w:val="clear" w:color="auto" w:fill="E8ECF2"/>
            <w:tcW w:w="1020" w:type="dxa"/>
            <w:tcW w:w="1077" w:type="dxa"/>
          </w:tcPr>
          <w:p>
            <w:pPr>
              <w:spacing w:after="40" w:before="40" w:line="264" w:lineRule="auto"/>
              <w:jc w:val="left"/>
            </w:pPr>
            <w:r/>
            <w:r>
              <w:rPr>
                <w:rFonts w:ascii="Cambria" w:hAnsi="Cambria" w:eastAsia="Cambria"/>
                <w:b w:val="0"/>
                <w:i w:val="0"/>
                <w:color w:val="000000"/>
                <w:sz w:val="16"/>
              </w:rPr>
              <w:t>Internal Test–1</w:t>
            </w:r>
          </w:p>
        </w:tc>
        <w:tc>
          <w:tcPr>
            <w:tcW w:type="dxa" w:w="1191"/>
            <w:shd w:val="clear" w:color="auto" w:fill="E8ECF2"/>
            <w:tcW w:w="1134" w:type="dxa"/>
            <w:tcW w:w="1191" w:type="dxa"/>
          </w:tcPr>
          <w:p>
            <w:pPr>
              <w:spacing w:after="40" w:before="40" w:line="264" w:lineRule="auto"/>
              <w:jc w:val="left"/>
            </w:pPr>
            <w:r/>
            <w:r>
              <w:rPr>
                <w:rFonts w:ascii="Cambria" w:hAnsi="Cambria" w:eastAsia="Cambria"/>
                <w:b w:val="0"/>
                <w:i w:val="0"/>
                <w:color w:val="000000"/>
                <w:sz w:val="16"/>
              </w:rPr>
              <w:t>HoD + Senior Faculty</w:t>
            </w:r>
          </w:p>
        </w:tc>
        <w:tc>
          <w:tcPr>
            <w:tcW w:type="dxa" w:w="1191"/>
            <w:shd w:val="clear" w:color="auto" w:fill="E8ECF2"/>
            <w:tcW w:w="1134" w:type="dxa"/>
            <w:tcW w:w="1191" w:type="dxa"/>
          </w:tcPr>
          <w:p>
            <w:pPr>
              <w:spacing w:after="40" w:before="40" w:line="264" w:lineRule="auto"/>
              <w:jc w:val="left"/>
            </w:pPr>
            <w:r/>
            <w:r>
              <w:rPr>
                <w:rFonts w:ascii="Cambria" w:hAnsi="Cambria" w:eastAsia="Cambria"/>
                <w:b w:val="0"/>
                <w:i w:val="0"/>
                <w:color w:val="000000"/>
                <w:sz w:val="16"/>
              </w:rPr>
              <w:t>Question Paper Moderation</w:t>
            </w:r>
          </w:p>
        </w:tc>
        <w:tc>
          <w:tcPr>
            <w:tcW w:type="dxa" w:w="1304"/>
            <w:shd w:val="clear" w:color="auto" w:fill="E8ECF2"/>
            <w:tcW w:w="1020" w:type="dxa"/>
            <w:tcW w:w="1304" w:type="dxa"/>
          </w:tcPr>
          <w:p>
            <w:pPr>
              <w:spacing w:after="40" w:before="40" w:line="264" w:lineRule="auto"/>
              <w:jc w:val="left"/>
            </w:pPr>
            <w:r/>
            <w:r>
              <w:rPr>
                <w:rFonts w:ascii="Cambria" w:hAnsi="Cambria" w:eastAsia="Cambria"/>
                <w:b w:val="0"/>
                <w:i w:val="0"/>
                <w:color w:val="000000"/>
                <w:sz w:val="16"/>
              </w:rPr>
              <w:t>Difficulty too high</w:t>
            </w:r>
          </w:p>
        </w:tc>
        <w:tc>
          <w:tcPr>
            <w:tcW w:type="dxa" w:w="1134"/>
            <w:shd w:val="clear" w:color="auto" w:fill="E8ECF2"/>
            <w:tcW w:w="1020" w:type="dxa"/>
            <w:tcW w:w="1134" w:type="dxa"/>
          </w:tcPr>
          <w:p>
            <w:pPr>
              <w:spacing w:after="40" w:before="40" w:line="264" w:lineRule="auto"/>
              <w:jc w:val="left"/>
            </w:pPr>
            <w:r/>
            <w:r>
              <w:rPr>
                <w:rFonts w:ascii="Cambria" w:hAnsi="Cambria" w:eastAsia="Cambria"/>
                <w:b w:val="0"/>
                <w:i w:val="0"/>
                <w:color w:val="000000"/>
                <w:sz w:val="16"/>
              </w:rPr>
              <w:t>Adjusted Bloom's level</w:t>
            </w:r>
          </w:p>
        </w:tc>
        <w:tc>
          <w:tcPr>
            <w:tcW w:type="dxa" w:w="1531"/>
            <w:shd w:val="clear" w:color="auto" w:fill="E8ECF2"/>
            <w:tcW w:w="1361" w:type="dxa"/>
            <w:tcW w:w="1531" w:type="dxa"/>
          </w:tcPr>
          <w:p>
            <w:pPr>
              <w:spacing w:after="40" w:before="40" w:line="264" w:lineRule="auto"/>
              <w:jc w:val="left"/>
            </w:pPr>
            <w:r/>
            <w:r>
              <w:rPr>
                <w:rFonts w:ascii="Cambria" w:hAnsi="Cambria" w:eastAsia="Cambria"/>
                <w:b w:val="0"/>
                <w:i w:val="0"/>
                <w:color w:val="000000"/>
                <w:sz w:val="16"/>
              </w:rPr>
              <w:t>CIE_Moderation_Report_2023</w:t>
            </w:r>
          </w:p>
        </w:tc>
      </w:tr>
      <w:tr>
        <w:tc>
          <w:tcPr>
            <w:tcW w:type="dxa" w:w="737"/>
            <w:shd w:val="clear" w:color="auto" w:fill="FFFFFF"/>
            <w:tcW w:w="737" w:type="dxa"/>
            <w:tcW w:w="737" w:type="dxa"/>
          </w:tcPr>
          <w:p>
            <w:pPr>
              <w:spacing w:after="40" w:before="40" w:line="264" w:lineRule="auto"/>
              <w:jc w:val="left"/>
            </w:pPr>
            <w:r/>
            <w:r>
              <w:rPr>
                <w:rFonts w:ascii="Cambria" w:hAnsi="Cambria" w:eastAsia="Cambria"/>
                <w:b w:val="0"/>
                <w:i w:val="0"/>
                <w:color w:val="000000"/>
                <w:sz w:val="16"/>
              </w:rPr>
              <w:t>2023–24</w:t>
            </w:r>
          </w:p>
        </w:tc>
        <w:tc>
          <w:tcPr>
            <w:tcW w:type="dxa" w:w="907"/>
            <w:shd w:val="clear" w:color="auto" w:fill="FFFFFF"/>
            <w:tcW w:w="737" w:type="dxa"/>
            <w:tcW w:w="907" w:type="dxa"/>
          </w:tcPr>
          <w:p>
            <w:pPr>
              <w:spacing w:after="40" w:before="40" w:line="264" w:lineRule="auto"/>
              <w:jc w:val="left"/>
            </w:pPr>
            <w:r/>
            <w:r>
              <w:rPr>
                <w:rFonts w:ascii="Cambria" w:hAnsi="Cambria" w:eastAsia="Cambria"/>
                <w:b w:val="0"/>
                <w:i w:val="0"/>
                <w:color w:val="000000"/>
                <w:sz w:val="16"/>
              </w:rPr>
              <w:t>EE205</w:t>
            </w:r>
          </w:p>
        </w:tc>
        <w:tc>
          <w:tcPr>
            <w:tcW w:type="dxa" w:w="1077"/>
            <w:shd w:val="clear" w:color="auto" w:fill="FFFFFF"/>
            <w:tcW w:w="1020" w:type="dxa"/>
            <w:tcW w:w="1077" w:type="dxa"/>
          </w:tcPr>
          <w:p>
            <w:pPr>
              <w:spacing w:after="40" w:before="40" w:line="264" w:lineRule="auto"/>
              <w:jc w:val="left"/>
            </w:pPr>
            <w:r/>
            <w:r>
              <w:rPr>
                <w:rFonts w:ascii="Cambria" w:hAnsi="Cambria" w:eastAsia="Cambria"/>
                <w:b w:val="0"/>
                <w:i w:val="0"/>
                <w:color w:val="000000"/>
                <w:sz w:val="16"/>
              </w:rPr>
              <w:t>Assignment</w:t>
            </w:r>
          </w:p>
        </w:tc>
        <w:tc>
          <w:tcPr>
            <w:tcW w:type="dxa" w:w="1191"/>
            <w:shd w:val="clear" w:color="auto" w:fill="FFFFFF"/>
            <w:tcW w:w="1134" w:type="dxa"/>
            <w:tcW w:w="1191" w:type="dxa"/>
          </w:tcPr>
          <w:p>
            <w:pPr>
              <w:spacing w:after="40" w:before="40" w:line="264" w:lineRule="auto"/>
              <w:jc w:val="left"/>
            </w:pPr>
            <w:r/>
            <w:r>
              <w:rPr>
                <w:rFonts w:ascii="Cambria" w:hAnsi="Cambria" w:eastAsia="Cambria"/>
                <w:b w:val="0"/>
                <w:i w:val="0"/>
                <w:color w:val="000000"/>
                <w:sz w:val="16"/>
              </w:rPr>
              <w:t>Course Coordinator</w:t>
            </w:r>
          </w:p>
        </w:tc>
        <w:tc>
          <w:tcPr>
            <w:tcW w:type="dxa" w:w="1191"/>
            <w:shd w:val="clear" w:color="auto" w:fill="FFFFFF"/>
            <w:tcW w:w="1134" w:type="dxa"/>
            <w:tcW w:w="1191" w:type="dxa"/>
          </w:tcPr>
          <w:p>
            <w:pPr>
              <w:spacing w:after="40" w:before="40" w:line="264" w:lineRule="auto"/>
              <w:jc w:val="left"/>
            </w:pPr>
            <w:r/>
            <w:r>
              <w:rPr>
                <w:rFonts w:ascii="Cambria" w:hAnsi="Cambria" w:eastAsia="Cambria"/>
                <w:b w:val="0"/>
                <w:i w:val="0"/>
                <w:color w:val="000000"/>
                <w:sz w:val="16"/>
              </w:rPr>
              <w:t>Rubric Evaluation</w:t>
            </w:r>
          </w:p>
        </w:tc>
        <w:tc>
          <w:tcPr>
            <w:tcW w:type="dxa" w:w="1304"/>
            <w:shd w:val="clear" w:color="auto" w:fill="FFFFFF"/>
            <w:tcW w:w="1020" w:type="dxa"/>
            <w:tcW w:w="1304" w:type="dxa"/>
          </w:tcPr>
          <w:p>
            <w:pPr>
              <w:spacing w:after="40" w:before="40" w:line="264" w:lineRule="auto"/>
              <w:jc w:val="left"/>
            </w:pPr>
            <w:r/>
            <w:r>
              <w:rPr>
                <w:rFonts w:ascii="Cambria" w:hAnsi="Cambria" w:eastAsia="Cambria"/>
                <w:b w:val="0"/>
                <w:i w:val="0"/>
                <w:color w:val="000000"/>
                <w:sz w:val="16"/>
              </w:rPr>
              <w:t>Add analytical questions</w:t>
            </w:r>
          </w:p>
        </w:tc>
        <w:tc>
          <w:tcPr>
            <w:tcW w:type="dxa" w:w="1134"/>
            <w:shd w:val="clear" w:color="auto" w:fill="FFFFFF"/>
            <w:tcW w:w="1020" w:type="dxa"/>
            <w:tcW w:w="1134" w:type="dxa"/>
          </w:tcPr>
          <w:p>
            <w:pPr>
              <w:spacing w:after="40" w:before="40" w:line="264" w:lineRule="auto"/>
              <w:jc w:val="left"/>
            </w:pPr>
            <w:r/>
            <w:r>
              <w:rPr>
                <w:rFonts w:ascii="Cambria" w:hAnsi="Cambria" w:eastAsia="Cambria"/>
                <w:b w:val="0"/>
                <w:i w:val="0"/>
                <w:color w:val="000000"/>
                <w:sz w:val="16"/>
              </w:rPr>
              <w:t>Implemented next cycle</w:t>
            </w:r>
          </w:p>
        </w:tc>
        <w:tc>
          <w:tcPr>
            <w:tcW w:type="dxa" w:w="1531"/>
            <w:shd w:val="clear" w:color="auto" w:fill="FFFFFF"/>
            <w:tcW w:w="1361" w:type="dxa"/>
            <w:tcW w:w="1531" w:type="dxa"/>
          </w:tcPr>
          <w:p>
            <w:pPr>
              <w:spacing w:after="40" w:before="40" w:line="264" w:lineRule="auto"/>
              <w:jc w:val="left"/>
            </w:pPr>
            <w:r/>
            <w:r>
              <w:rPr>
                <w:rFonts w:ascii="Cambria" w:hAnsi="Cambria" w:eastAsia="Cambria"/>
                <w:b w:val="0"/>
                <w:i w:val="0"/>
                <w:color w:val="000000"/>
                <w:sz w:val="16"/>
              </w:rPr>
              <w:t>IQAC/ATR/2024</w:t>
            </w:r>
          </w:p>
        </w:tc>
      </w:tr>
      <w:tr>
        <w:tc>
          <w:tcPr>
            <w:tcW w:type="dxa" w:w="737"/>
            <w:shd w:val="clear" w:color="auto" w:fill="E8ECF2"/>
            <w:tcW w:w="737" w:type="dxa"/>
            <w:tcW w:w="737" w:type="dxa"/>
          </w:tcPr>
          <w:p>
            <w:pPr>
              <w:spacing w:after="40" w:before="40" w:line="264" w:lineRule="auto"/>
              <w:jc w:val="left"/>
            </w:pPr>
            <w:r/>
            <w:r>
              <w:rPr>
                <w:rFonts w:ascii="Cambria" w:hAnsi="Cambria" w:eastAsia="Cambria"/>
                <w:b w:val="0"/>
                <w:i w:val="0"/>
                <w:color w:val="000000"/>
                <w:sz w:val="16"/>
              </w:rPr>
              <w:t>2024–25</w:t>
            </w:r>
          </w:p>
        </w:tc>
        <w:tc>
          <w:tcPr>
            <w:tcW w:type="dxa" w:w="907"/>
            <w:shd w:val="clear" w:color="auto" w:fill="E8ECF2"/>
            <w:tcW w:w="737" w:type="dxa"/>
            <w:tcW w:w="907" w:type="dxa"/>
          </w:tcPr>
          <w:p>
            <w:pPr>
              <w:spacing w:after="40" w:before="40" w:line="264" w:lineRule="auto"/>
              <w:jc w:val="left"/>
            </w:pPr>
            <w:r/>
            <w:r>
              <w:rPr>
                <w:rFonts w:ascii="Cambria" w:hAnsi="Cambria" w:eastAsia="Cambria"/>
                <w:b w:val="0"/>
                <w:i w:val="0"/>
                <w:color w:val="000000"/>
                <w:sz w:val="16"/>
              </w:rPr>
              <w:t>ME310</w:t>
            </w:r>
          </w:p>
        </w:tc>
        <w:tc>
          <w:tcPr>
            <w:tcW w:type="dxa" w:w="1077"/>
            <w:shd w:val="clear" w:color="auto" w:fill="E8ECF2"/>
            <w:tcW w:w="1020" w:type="dxa"/>
            <w:tcW w:w="1077" w:type="dxa"/>
          </w:tcPr>
          <w:p>
            <w:pPr>
              <w:spacing w:after="40" w:before="40" w:line="264" w:lineRule="auto"/>
              <w:jc w:val="left"/>
            </w:pPr>
            <w:r/>
            <w:r>
              <w:rPr>
                <w:rFonts w:ascii="Cambria" w:hAnsi="Cambria" w:eastAsia="Cambria"/>
                <w:b w:val="0"/>
                <w:i w:val="0"/>
                <w:color w:val="000000"/>
                <w:sz w:val="16"/>
              </w:rPr>
              <w:t>Quiz</w:t>
            </w:r>
          </w:p>
        </w:tc>
        <w:tc>
          <w:tcPr>
            <w:tcW w:type="dxa" w:w="1191"/>
            <w:shd w:val="clear" w:color="auto" w:fill="E8ECF2"/>
            <w:tcW w:w="1134" w:type="dxa"/>
            <w:tcW w:w="1191" w:type="dxa"/>
          </w:tcPr>
          <w:p>
            <w:pPr>
              <w:spacing w:after="40" w:before="40" w:line="264" w:lineRule="auto"/>
              <w:jc w:val="left"/>
            </w:pPr>
            <w:r/>
            <w:r>
              <w:rPr>
                <w:rFonts w:ascii="Cambria" w:hAnsi="Cambria" w:eastAsia="Cambria"/>
                <w:b w:val="0"/>
                <w:i w:val="0"/>
                <w:color w:val="000000"/>
                <w:sz w:val="16"/>
              </w:rPr>
              <w:t>Exam Committee</w:t>
            </w:r>
          </w:p>
        </w:tc>
        <w:tc>
          <w:tcPr>
            <w:tcW w:type="dxa" w:w="1191"/>
            <w:shd w:val="clear" w:color="auto" w:fill="E8ECF2"/>
            <w:tcW w:w="1134" w:type="dxa"/>
            <w:tcW w:w="1191" w:type="dxa"/>
          </w:tcPr>
          <w:p>
            <w:pPr>
              <w:spacing w:after="40" w:before="40" w:line="264" w:lineRule="auto"/>
              <w:jc w:val="left"/>
            </w:pPr>
            <w:r/>
            <w:r>
              <w:rPr>
                <w:rFonts w:ascii="Cambria" w:hAnsi="Cambria" w:eastAsia="Cambria"/>
                <w:b w:val="0"/>
                <w:i w:val="0"/>
                <w:color w:val="000000"/>
                <w:sz w:val="16"/>
              </w:rPr>
              <w:t>Random Verification</w:t>
            </w:r>
          </w:p>
        </w:tc>
        <w:tc>
          <w:tcPr>
            <w:tcW w:type="dxa" w:w="1304"/>
            <w:shd w:val="clear" w:color="auto" w:fill="E8ECF2"/>
            <w:tcW w:w="1020" w:type="dxa"/>
            <w:tcW w:w="1304" w:type="dxa"/>
          </w:tcPr>
          <w:p>
            <w:pPr>
              <w:spacing w:after="40" w:before="40" w:line="264" w:lineRule="auto"/>
              <w:jc w:val="left"/>
            </w:pPr>
            <w:r/>
            <w:r>
              <w:rPr>
                <w:rFonts w:ascii="Cambria" w:hAnsi="Cambria" w:eastAsia="Cambria"/>
                <w:b w:val="0"/>
                <w:i w:val="0"/>
                <w:color w:val="000000"/>
                <w:sz w:val="16"/>
              </w:rPr>
              <w:t>Reduce repetition</w:t>
            </w:r>
          </w:p>
        </w:tc>
        <w:tc>
          <w:tcPr>
            <w:tcW w:type="dxa" w:w="1134"/>
            <w:shd w:val="clear" w:color="auto" w:fill="E8ECF2"/>
            <w:tcW w:w="1020" w:type="dxa"/>
            <w:tcW w:w="1134" w:type="dxa"/>
          </w:tcPr>
          <w:p>
            <w:pPr>
              <w:spacing w:after="40" w:before="40" w:line="264" w:lineRule="auto"/>
              <w:jc w:val="left"/>
            </w:pPr>
            <w:r/>
            <w:r>
              <w:rPr>
                <w:rFonts w:ascii="Cambria" w:hAnsi="Cambria" w:eastAsia="Cambria"/>
                <w:b w:val="0"/>
                <w:i w:val="0"/>
                <w:color w:val="000000"/>
                <w:sz w:val="16"/>
              </w:rPr>
              <w:t>Updated question bank</w:t>
            </w:r>
          </w:p>
        </w:tc>
        <w:tc>
          <w:tcPr>
            <w:tcW w:type="dxa" w:w="1531"/>
            <w:shd w:val="clear" w:color="auto" w:fill="E8ECF2"/>
            <w:tcW w:w="1361" w:type="dxa"/>
            <w:tcW w:w="1531" w:type="dxa"/>
          </w:tcPr>
          <w:p>
            <w:pPr>
              <w:spacing w:after="40" w:before="40" w:line="264" w:lineRule="auto"/>
              <w:jc w:val="left"/>
            </w:pPr>
            <w:r/>
            <w:r>
              <w:rPr>
                <w:rFonts w:ascii="Cambria" w:hAnsi="Cambria" w:eastAsia="Cambria"/>
                <w:b w:val="0"/>
                <w:i w:val="0"/>
                <w:color w:val="000000"/>
                <w:sz w:val="16"/>
              </w:rPr>
              <w:t>CIE_Audit_2025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Mechanisms: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Moderation of question papers by a senior faculty panel before exams.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Random verification of answer scripts post-evaluation by HoD.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Use of Bloom's Taxonomy levels in question paper setting to ensure varied cognitive assessment.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Digital record maintenance of all internal evaluations in the department's repository.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Periodic review of CIE outcomes in Department Academic Committee (DAC) and IQAC meetings.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8 (Teaching–Learning and Evaluation Process)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every CIE document has traceability to COs and POs.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evidence of feedback–action–impact cycle for evaluation quality improvement.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Transparent, fair, and structured Continuous Internal Evaluation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Documented linkage between CIE components and outcome attainment.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Continuous enhancement of internal assessment quality through moderation, feedback, and review.</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8 – Teaching–Learning Process &amp; Evaluation Quality Assurance.</w:t>
      </w:r>
    </w:p>
    <w:p>
      <w:r>
        <w:br w:type="page"/>
      </w:r>
    </w:p>
    <w:p>
      <w:pPr>
        <w:keepNext/>
        <w:spacing w:before="240" w:after="160"/>
        <w:jc w:val="left"/>
      </w:pPr>
      <w:r>
        <w:rPr>
          <w:rFonts w:ascii="Cambria" w:hAnsi="Cambria" w:eastAsia="Cambria"/>
          <w:b/>
          <w:i w:val="0"/>
          <w:color w:val="1F3A5F"/>
          <w:sz w:val="25"/>
        </w:rPr>
        <w:t>14. P.11 Evidences of quality students' projects &amp; rubrics used to access the student projects and its outcomes in the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that the department promotes high-quality student projects that address real-world problems, align with Programme Outcomes (POs) and Programme Specific Outcomes (PSOs), and support innovation and research culture.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evidence that standardized rubrics are used to assess projects objectively, ensuring fair evaluation and measurable learning outcomes over the past three academic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Project Records (Last 3 Years):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List of all final-year and mini-projects completed in the last 3 academic years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Project titles, objectives, domains, and supervising faculty details.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of project reports, abstracts, and evaluation sheets.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Quality Assessment Rubrics: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Clearly defined rubrics/criteria used for project evaluation: problem identification, literature review, methodology, innovation, technical depth, teamwork, report quality, and presentation.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Rubrics approved by the Department Project Review Committee (PRC) or BoS.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of Quality Projects: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Projects linked with research publications, patents, prototypes, start-ups, or social impact.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Projects carried out in collaboration with industries, research centers, or incubation hubs.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Awards, recognitions, or best project titles won at intercollegiate or national levels.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Outcome Analysis: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Evaluation of project outcomes mapped to POs and PSOs.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Comparative analysis of student performance and project impact over 3 years.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Summary of improvements in innovation, research output, and industry readiness.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Departmental circulars for project selection and evaluation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Project allocation list with supervisor–student mapping.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Mid-term and final evaluation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Approved evaluation rubrics (hard copy and digital).</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Photographs or screenshots of prototype demonstrations and presentations.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Project outcome reports (publications, awards, implementations).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Student feedback and external examiner comments.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Summary of Student Projects (3 Years)</w:t>
      </w:r>
    </w:p>
    <w:p>
      <w:pPr>
        <w:keepNext/>
        <w:spacing w:before="200" w:after="80"/>
      </w:pPr>
      <w:r>
        <w:rPr>
          <w:rFonts w:ascii="Cambria" w:hAnsi="Cambria" w:eastAsia="Cambria"/>
          <w:b/>
          <w:i w:val="0"/>
          <w:color w:val="1F3A5F"/>
          <w:sz w:val="23"/>
        </w:rPr>
        <w:t>2022–23 – 18 Projects – IoT-Based Smart Water System (Major)</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Faculty Supervisor</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Dr. R. Nair</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 (Publication/Prototype/Award)</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Prototype Demonstrated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Linked POs/PSOs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PO1, PSO2</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Project Report / Photos</w:t>
            </w:r>
          </w:p>
        </w:tc>
      </w:tr>
    </w:tbl>
    <w:p>
      <w:pPr>
        <w:keepNext/>
        <w:spacing w:before="200" w:after="80"/>
      </w:pPr>
      <w:r>
        <w:rPr>
          <w:rFonts w:ascii="Cambria" w:hAnsi="Cambria" w:eastAsia="Cambria"/>
          <w:b/>
          <w:i w:val="0"/>
          <w:color w:val="1F3A5F"/>
          <w:sz w:val="23"/>
        </w:rPr>
        <w:t>2023–24 – 22 Projects – AI Model for Crop Prediction (Major)</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Faculty Supervisor</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Ms. P. Rao</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 (Publication/Prototype/Award)</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IEEE Paper Published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Linked POs/PSOs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PO4, PSO3</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Paper Link / Evaluation Sheet</w:t>
            </w:r>
          </w:p>
        </w:tc>
      </w:tr>
    </w:tbl>
    <w:p>
      <w:pPr>
        <w:keepNext/>
        <w:spacing w:before="200" w:after="80"/>
      </w:pPr>
      <w:r>
        <w:rPr>
          <w:rFonts w:ascii="Cambria" w:hAnsi="Cambria" w:eastAsia="Cambria"/>
          <w:b/>
          <w:i w:val="0"/>
          <w:color w:val="1F3A5F"/>
          <w:sz w:val="23"/>
        </w:rPr>
        <w:t>2024–25 – 25 Projects – Blockchain for Supply Chain (Major)</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Faculty Supervisor</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Mr. S. Iyer</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 (Publication/Prototype/Award)</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Presented at National Symposium</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Linked POs/PSOs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PO5, PSO1</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Certificate / Report</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Project Evaluation Rubrics (Sample Format)</w:t>
      </w:r>
    </w:p>
    <w:tbl>
      <w:tblPr>
        <w:tblW w:type="auto" w:w="0"/>
        <w:jc w:val="center"/>
        <w:tblLook w:firstColumn="1" w:firstRow="1" w:lastColumn="0" w:lastRow="0" w:noHBand="0" w:noVBand="1" w:val="04A0"/>
        <w:tblLayout w:type="fixed"/>
        <w:tblLayout w:type="fixed"/>
      </w:tblPr>
      <w:tblGrid>
        <w:gridCol w:w="1928"/>
        <w:gridCol w:w="624"/>
        <w:gridCol w:w="1474"/>
        <w:gridCol w:w="1134"/>
        <w:gridCol w:w="1077"/>
        <w:gridCol w:w="1077"/>
      </w:tblGrid>
      <w:tr>
        <w:tc>
          <w:tcPr>
            <w:tcW w:type="dxa" w:w="1928"/>
            <w:tcBorders>
              <w:top w:val="single" w:sz="4" w:space="0" w:color="BFBFBF"/>
              <w:left w:val="single" w:sz="4" w:space="0" w:color="BFBFBF"/>
              <w:bottom w:val="single" w:sz="4" w:space="0" w:color="BFBFBF"/>
              <w:right w:val="single" w:sz="4" w:space="0" w:color="BFBFBF"/>
            </w:tcBorders>
            <w:tcW w:w="1928" w:type="dxa"/>
            <w:shd w:val="clear" w:color="auto" w:fill="1F3A5F"/>
            <w:tcW w:w="1928" w:type="dxa"/>
          </w:tcPr>
          <w:p>
            <w:pPr>
              <w:spacing w:after="40" w:before="40" w:line="264" w:lineRule="auto"/>
              <w:jc w:val="center"/>
            </w:pPr>
            <w:r/>
            <w:r>
              <w:rPr>
                <w:rFonts w:ascii="Cambria" w:hAnsi="Cambria" w:eastAsia="Cambria"/>
                <w:b/>
                <w:i w:val="0"/>
                <w:color w:val="FFFFFF"/>
                <w:sz w:val="17"/>
              </w:rPr>
              <w:t>Evaluation Criteria</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7"/>
              </w:rPr>
              <w:t>Weight %</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7"/>
              </w:rPr>
              <w:t>Excellent (4)</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7"/>
              </w:rPr>
              <w:t>Good (3)</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7"/>
              </w:rPr>
              <w:t>Average (2)</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7"/>
              </w:rPr>
              <w:t>Poor (1)</w:t>
            </w:r>
          </w:p>
        </w:tc>
      </w:tr>
      <w:tr>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7"/>
              </w:rPr>
              <w:t>Problem Identification &amp; Objectives</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7"/>
              </w:rPr>
              <w:t>10</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Clear, Innovative</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7"/>
              </w:rPr>
              <w:t>Clear</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Basic</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Unclear</w:t>
            </w:r>
          </w:p>
        </w:tc>
      </w:tr>
      <w:tr>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7"/>
              </w:rPr>
              <w:t>Literature Review &amp; Research Depth</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7"/>
              </w:rPr>
              <w:t>10</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Comprehensive</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7"/>
              </w:rPr>
              <w:t>Adequate</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7"/>
              </w:rPr>
              <w:t>Limited</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7"/>
              </w:rPr>
              <w:t>Incomplete</w:t>
            </w:r>
          </w:p>
        </w:tc>
      </w:tr>
      <w:tr>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7"/>
              </w:rPr>
              <w:t>Methodology &amp; Technical Approach</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7"/>
              </w:rPr>
              <w:t>25</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Robust, Original</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7"/>
              </w:rPr>
              <w:t>Appropriate</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Basic</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Weak</w:t>
            </w:r>
          </w:p>
        </w:tc>
      </w:tr>
      <w:tr>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7"/>
              </w:rPr>
              <w:t>Implementation &amp; Results</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7"/>
              </w:rPr>
              <w:t>25</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Functional Prototype / Tested Model</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7"/>
              </w:rPr>
              <w:t>Working Partially</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7"/>
              </w:rPr>
              <w:t>Conceptual</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7"/>
              </w:rPr>
              <w:t>Not Working</w:t>
            </w:r>
          </w:p>
        </w:tc>
      </w:tr>
      <w:tr>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7"/>
              </w:rPr>
              <w:t>Teamwork &amp; Project Management</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7"/>
              </w:rPr>
              <w:t>10</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Excellent Collaboration</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7"/>
              </w:rPr>
              <w:t>Good</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Moderate</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Poor</w:t>
            </w:r>
          </w:p>
        </w:tc>
      </w:tr>
      <w:tr>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7"/>
              </w:rPr>
              <w:t>Documentation &amp; Report Writing</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7"/>
              </w:rPr>
              <w:t>10</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Professionally Structured</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7"/>
              </w:rPr>
              <w:t>Well Written</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7"/>
              </w:rPr>
              <w:t>Fair</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7"/>
              </w:rPr>
              <w:t>Poor</w:t>
            </w:r>
          </w:p>
        </w:tc>
      </w:tr>
      <w:tr>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7"/>
              </w:rPr>
              <w:t>Presentation &amp; Viva</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7"/>
              </w:rPr>
              <w:t>10</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Excellent Communication</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7"/>
              </w:rPr>
              <w:t>Good</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Satisfactory</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Poor</w:t>
            </w:r>
          </w:p>
        </w:tc>
      </w:tr>
    </w:tbl>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Total Marks: 100</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Passing Threshold: 50% minimum overall and no criterion &lt;2.</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Impact Analysis of Student Projects</w:t>
      </w:r>
    </w:p>
    <w:tbl>
      <w:tblPr>
        <w:tblW w:type="auto" w:w="0"/>
        <w:jc w:val="center"/>
        <w:tblLook w:firstColumn="1" w:firstRow="1" w:lastColumn="0" w:lastRow="0" w:noHBand="0" w:noVBand="1" w:val="04A0"/>
        <w:tblLayout w:type="fixed"/>
        <w:tblLayout w:type="fixed"/>
      </w:tblPr>
      <w:tblGrid>
        <w:gridCol w:w="737"/>
        <w:gridCol w:w="1134"/>
        <w:gridCol w:w="1134"/>
        <w:gridCol w:w="1020"/>
        <w:gridCol w:w="794"/>
        <w:gridCol w:w="850"/>
        <w:gridCol w:w="1587"/>
      </w:tblGrid>
      <w:tr>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6"/>
              </w:rPr>
              <w:t>Year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6"/>
              </w:rPr>
              <w:t>No. of Projects with Innovation/Research</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6"/>
              </w:rPr>
              <w:t>No. of Industry/External Collaborations</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6"/>
              </w:rPr>
              <w:t>No. of Publications / Patents</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6"/>
              </w:rPr>
              <w:t>Avg. Project Score (%)</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6"/>
              </w:rPr>
              <w:t>Improvement over Prev. Year (%)</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6"/>
              </w:rPr>
              <w:t>Remarks</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6"/>
              </w:rPr>
              <w:t>2022–23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8</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3</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6"/>
              </w:rPr>
              <w:t>4</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6"/>
              </w:rPr>
              <w:t>74</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6"/>
              </w:rPr>
              <w:t>–</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6"/>
              </w:rPr>
              <w:t>Baseline Year</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6"/>
              </w:rPr>
              <w:t>2023–24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12</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5</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6"/>
              </w:rPr>
              <w:t>7</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6"/>
              </w:rPr>
              <w:t>80</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6"/>
              </w:rPr>
              <w:t>+6</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6"/>
              </w:rPr>
              <w:t>Increase in applied research output</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6"/>
              </w:rPr>
              <w:t>2024–25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16</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7</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6"/>
              </w:rPr>
              <w:t>10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6"/>
              </w:rPr>
              <w:t>86</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6"/>
              </w:rPr>
              <w:t>+6</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6"/>
              </w:rPr>
              <w:t>Significant innovation and prototype growth</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Department Project Review Committee (PRC)</w:t>
      </w:r>
      <w:r>
        <w:rPr>
          <w:rFonts w:ascii="Cambria" w:hAnsi="Cambria" w:eastAsia="Cambria"/>
          <w:b w:val="0"/>
          <w:i w:val="0"/>
          <w:color w:val="000000"/>
          <w:sz w:val="22"/>
        </w:rPr>
        <w:t xml:space="preserve"> conducts three-level evaluation — topic approval, mid-review, and final viva.</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Use of standardized rubrics</w:t>
      </w:r>
      <w:r>
        <w:rPr>
          <w:rFonts w:ascii="Cambria" w:hAnsi="Cambria" w:eastAsia="Cambria"/>
          <w:b w:val="0"/>
          <w:i w:val="0"/>
          <w:color w:val="000000"/>
          <w:sz w:val="22"/>
        </w:rPr>
        <w:t xml:space="preserve"> for unbiased assessment.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External examiner evaluation</w:t>
      </w:r>
      <w:r>
        <w:rPr>
          <w:rFonts w:ascii="Cambria" w:hAnsi="Cambria" w:eastAsia="Cambria"/>
          <w:b w:val="0"/>
          <w:i w:val="0"/>
          <w:color w:val="000000"/>
          <w:sz w:val="22"/>
        </w:rPr>
        <w:t xml:space="preserve"> for final project review.</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Feedback loop</w:t>
      </w:r>
      <w:r>
        <w:rPr>
          <w:rFonts w:ascii="Cambria" w:hAnsi="Cambria" w:eastAsia="Cambria"/>
          <w:b w:val="0"/>
          <w:i w:val="0"/>
          <w:color w:val="000000"/>
          <w:sz w:val="22"/>
        </w:rPr>
        <w:t>: Project outcomes and evaluation reports used for curriculum enrichment and improvement of research components.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Integration with PO/PSO attainment calculation</w:t>
      </w:r>
      <w:r>
        <w:rPr>
          <w:rFonts w:ascii="Cambria" w:hAnsi="Cambria" w:eastAsia="Cambria"/>
          <w:b w:val="0"/>
          <w:i w:val="0"/>
          <w:color w:val="000000"/>
          <w:sz w:val="22"/>
        </w:rPr>
        <w:t xml:space="preserve"> for continuous improvement.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9 (Student Performance and Learning Outcomes)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rubrics, outcomes, and evidence directly traceable to CO–PO–PSO attainment sheets.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digital repository of all project documentation year-wise (CAY, CAYm1, CAYm2).</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Consistent evidence of high-quality, outcome-oriented projects.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Systematic and transparent evaluation mechanism using rubrics.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Improved research, innovation, and employability skills among students.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expectations for Criterion 9 – Student Project Quality &amp; Assessment and Criterion 10 – Continuous Improvement.</w:t>
      </w:r>
    </w:p>
    <w:p>
      <w:r>
        <w:br w:type="page"/>
      </w:r>
    </w:p>
    <w:p>
      <w:pPr>
        <w:keepNext/>
        <w:spacing w:before="240" w:after="160"/>
        <w:jc w:val="left"/>
      </w:pPr>
      <w:r>
        <w:rPr>
          <w:rFonts w:ascii="Cambria" w:hAnsi="Cambria" w:eastAsia="Cambria"/>
          <w:b/>
          <w:i w:val="0"/>
          <w:color w:val="1F3A5F"/>
          <w:sz w:val="25"/>
        </w:rPr>
        <w:t>15. P.12 Records of initiatives related to industry interaction &amp; partial delivery of lectures by expert from Industry/research Institutes and its impact analysis in the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documented evidence of the department's initiatives for strengthening industry–academia collaboration and enhancing students' practical exposure.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the impact of guest lectures, expert sessions, industrial collaborations, and partial course delivery by professionals from industry or research organizations over the past three academic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Industry Interaction Initiatives: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Memoranda of Understanding (MoUs) or partnerships signed with industries/research institutes.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Records of collaborative activities such as internships, industrial visits, training sessions, live projects, hackathons, and joint R&amp;D.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Industry involvement in curriculum design, BoS meetings, and advisory boards.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Partial Delivery of Courses by Industry Experts: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List of courses/topics where lectures were delivered by industry professionals.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Details of resource persons (designation, organization, expertise area).</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Schedules, attendance sheets, and lecture materials.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Feedback forms from students and faculty on session effectiveness.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Impact Analysis: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Evaluation of how industry lectures improved student understanding, employability, and PO/PSO attainment.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Comparative data showing placement improvement, project quality enhancement, or skill acquisition outcomes.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Invitation letters and correspondence with industry/research experts.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Event circulars, schedules, and attendance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Photographs, certificates, and presentation slides of sessions.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Signed MoUs and summary of activities under each MoU.</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Feedback reports from students, faculty, and industry partners.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Minutes of meetings of Industry Advisory Board (IAB) and BoS.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Annual impact analysis reports showing qualitative and quantitative outcomes.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Industry Interaction Activities (Last 3 Years)</w:t>
      </w:r>
    </w:p>
    <w:p>
      <w:pPr>
        <w:keepNext/>
        <w:spacing w:before="200" w:after="80"/>
      </w:pPr>
      <w:r>
        <w:rPr>
          <w:rFonts w:ascii="Cambria" w:hAnsi="Cambria" w:eastAsia="Cambria"/>
          <w:b/>
          <w:i w:val="0"/>
          <w:color w:val="1F3A5F"/>
          <w:sz w:val="23"/>
        </w:rPr>
        <w:t>2022–23 – MoU Signed – Infosys Springboard</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Activity Title/Focus Area</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Joint FDP &amp; Internship Drive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Date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15 May 2023</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No. of Participants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60</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10 internships secured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MoU Copy, Photos</w:t>
            </w:r>
          </w:p>
        </w:tc>
      </w:tr>
    </w:tbl>
    <w:p>
      <w:pPr>
        <w:keepNext/>
        <w:spacing w:before="200" w:after="80"/>
      </w:pPr>
      <w:r>
        <w:rPr>
          <w:rFonts w:ascii="Cambria" w:hAnsi="Cambria" w:eastAsia="Cambria"/>
          <w:b/>
          <w:i w:val="0"/>
          <w:color w:val="1F3A5F"/>
          <w:sz w:val="23"/>
        </w:rPr>
        <w:t>2023–24 – Industrial Visit – Tata Consultancy Services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Activity Title/Focus Area</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Exposure to Software Lifecycle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Date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10 Oct 2023</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No. of Participants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45</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Industry Process Awareness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Visit Report</w:t>
            </w:r>
          </w:p>
        </w:tc>
      </w:tr>
    </w:tbl>
    <w:p>
      <w:pPr>
        <w:keepNext/>
        <w:spacing w:before="200" w:after="80"/>
      </w:pPr>
      <w:r>
        <w:rPr>
          <w:rFonts w:ascii="Cambria" w:hAnsi="Cambria" w:eastAsia="Cambria"/>
          <w:b/>
          <w:i w:val="0"/>
          <w:color w:val="1F3A5F"/>
          <w:sz w:val="23"/>
        </w:rPr>
        <w:t>2024–25 – Hackathon Collaboration – Siemens Research Center</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Activity Title/Focus Area</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AI for Smart Manufacturing</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Date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05 Apr 2025</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No. of Participants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80</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3 projects shortlisted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Report, Photos</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Partial Lecture Delivery by Industry/Research Experts</w:t>
      </w:r>
    </w:p>
    <w:p>
      <w:pPr>
        <w:keepNext/>
        <w:spacing w:before="200" w:after="80"/>
      </w:pPr>
      <w:r>
        <w:rPr>
          <w:rFonts w:ascii="Cambria" w:hAnsi="Cambria" w:eastAsia="Cambria"/>
          <w:b/>
          <w:i w:val="0"/>
          <w:color w:val="1F3A5F"/>
          <w:sz w:val="23"/>
        </w:rPr>
        <w:t>2022–23 – Machine Learning – Neural Networks Applications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Expert Name &amp; Designation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Mr. Arjun Mehta, Data Scientist</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Organization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Google India</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Duration (Hours)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6</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Online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Impact/Feedback Summary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95% positive feedback</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Attendance, Feedback</w:t>
            </w:r>
          </w:p>
        </w:tc>
      </w:tr>
    </w:tbl>
    <w:p>
      <w:pPr>
        <w:keepNext/>
        <w:spacing w:before="200" w:after="80"/>
      </w:pPr>
      <w:r>
        <w:rPr>
          <w:rFonts w:ascii="Cambria" w:hAnsi="Cambria" w:eastAsia="Cambria"/>
          <w:b/>
          <w:i w:val="0"/>
          <w:color w:val="1F3A5F"/>
          <w:sz w:val="23"/>
        </w:rPr>
        <w:t>2023–24 – Renewable Energy Systems – Solar Microgrid Design</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Expert Name &amp; Designation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Dr. Kavita Rao, Research Fellow</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Organization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IISc Bangalore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Duration (Hours)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4</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Offline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Impact/Feedback Summary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Improved project quality</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Session Report</w:t>
            </w:r>
          </w:p>
        </w:tc>
      </w:tr>
    </w:tbl>
    <w:p>
      <w:pPr>
        <w:keepNext/>
        <w:spacing w:before="200" w:after="80"/>
      </w:pPr>
      <w:r>
        <w:rPr>
          <w:rFonts w:ascii="Cambria" w:hAnsi="Cambria" w:eastAsia="Cambria"/>
          <w:b/>
          <w:i w:val="0"/>
          <w:color w:val="1F3A5F"/>
          <w:sz w:val="23"/>
        </w:rPr>
        <w:t>2024–25 – Cybersecurity – Ethical Hacking &amp; Threat Detection</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Expert Name &amp; Designation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Ms. Sneha Pillai, Cyber Analyst</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Organization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KPMG</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Duration (Hours)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8</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Hybrid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Impact/Feedback Summary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12 students completed certifications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Photos, Certificates</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Impact Analysis Summary (3 Years)</w:t>
      </w:r>
    </w:p>
    <w:tbl>
      <w:tblPr>
        <w:tblW w:type="auto" w:w="0"/>
        <w:jc w:val="center"/>
        <w:tblLook w:firstColumn="1" w:firstRow="1" w:lastColumn="0" w:lastRow="0" w:noHBand="0" w:noVBand="1" w:val="04A0"/>
        <w:tblLayout w:type="fixed"/>
        <w:tblLayout w:type="fixed"/>
      </w:tblPr>
      <w:tblGrid>
        <w:gridCol w:w="737"/>
        <w:gridCol w:w="1077"/>
        <w:gridCol w:w="1077"/>
        <w:gridCol w:w="907"/>
        <w:gridCol w:w="737"/>
        <w:gridCol w:w="1701"/>
        <w:gridCol w:w="1587"/>
      </w:tblGrid>
      <w:tr>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6"/>
              </w:rPr>
              <w:t>Year</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6"/>
              </w:rPr>
              <w:t>No. of Industry Sessions</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6"/>
              </w:rPr>
              <w:t>Student Participation (%)</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6"/>
              </w:rPr>
              <w:t>PO/PSO Improved</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6"/>
              </w:rPr>
              <w:t>Placement/Internship Improvement (%)</w:t>
            </w:r>
          </w:p>
        </w:tc>
        <w:tc>
          <w:tcPr>
            <w:tcW w:type="dxa" w:w="1701"/>
            <w:tcBorders>
              <w:top w:val="single" w:sz="4" w:space="0" w:color="BFBFBF"/>
              <w:left w:val="single" w:sz="4" w:space="0" w:color="BFBFBF"/>
              <w:bottom w:val="single" w:sz="4" w:space="0" w:color="BFBFBF"/>
              <w:right w:val="single" w:sz="4" w:space="0" w:color="BFBFBF"/>
            </w:tcBorders>
            <w:tcW w:w="1701" w:type="dxa"/>
            <w:shd w:val="clear" w:color="auto" w:fill="1F3A5F"/>
            <w:tcW w:w="1701" w:type="dxa"/>
          </w:tcPr>
          <w:p>
            <w:pPr>
              <w:spacing w:after="40" w:before="40" w:line="264" w:lineRule="auto"/>
              <w:jc w:val="center"/>
            </w:pPr>
            <w:r/>
            <w:r>
              <w:rPr>
                <w:rFonts w:ascii="Cambria" w:hAnsi="Cambria" w:eastAsia="Cambria"/>
                <w:b/>
                <w:i w:val="0"/>
                <w:color w:val="FFFFFF"/>
                <w:sz w:val="16"/>
              </w:rPr>
              <w:t>Key Outcomes</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6"/>
              </w:rPr>
              <w:t>Remarks</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6"/>
              </w:rPr>
              <w:t>2022–23</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6"/>
              </w:rPr>
              <w:t>6</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6"/>
              </w:rPr>
              <w:t>78</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PO5, PSO1</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6"/>
              </w:rPr>
              <w:t>+8</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6"/>
              </w:rPr>
              <w:t>Improved technical exposure</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6"/>
              </w:rPr>
              <w:t>Baseline data year</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6"/>
              </w:rPr>
              <w:t>2023–24</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6"/>
              </w:rPr>
              <w:t>9</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6"/>
              </w:rPr>
              <w:t>85</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6"/>
              </w:rPr>
              <w:t>PO4, PSO2</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6"/>
              </w:rPr>
              <w:t>+12</w:t>
            </w:r>
          </w:p>
        </w:tc>
        <w:tc>
          <w:tcPr>
            <w:tcW w:type="dxa" w:w="1701"/>
            <w:shd w:val="clear" w:color="auto" w:fill="FFFFFF"/>
            <w:tcW w:w="1701" w:type="dxa"/>
          </w:tcPr>
          <w:p>
            <w:pPr>
              <w:spacing w:after="40" w:before="40" w:line="264" w:lineRule="auto"/>
              <w:jc w:val="left"/>
            </w:pPr>
            <w:r/>
            <w:r>
              <w:rPr>
                <w:rFonts w:ascii="Cambria" w:hAnsi="Cambria" w:eastAsia="Cambria"/>
                <w:b w:val="0"/>
                <w:i w:val="0"/>
                <w:color w:val="000000"/>
                <w:sz w:val="16"/>
              </w:rPr>
              <w:t>Enhanced analytical and project skills</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6"/>
              </w:rPr>
              <w:t>Significant rise in employability</w:t>
            </w:r>
          </w:p>
        </w:tc>
      </w:tr>
    </w:tbl>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&amp; Monitoring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Industry Interaction Committee (IIC)</w:t>
      </w:r>
      <w:r>
        <w:rPr>
          <w:rFonts w:ascii="Cambria" w:hAnsi="Cambria" w:eastAsia="Cambria"/>
          <w:b w:val="0"/>
          <w:i w:val="0"/>
          <w:color w:val="000000"/>
          <w:sz w:val="22"/>
        </w:rPr>
        <w:t xml:space="preserve"> coordinates events and monitors outcomes.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Feedback–Action–Improvement cycle</w:t>
      </w:r>
      <w:r>
        <w:rPr>
          <w:rFonts w:ascii="Cambria" w:hAnsi="Cambria" w:eastAsia="Cambria"/>
          <w:b w:val="0"/>
          <w:i w:val="0"/>
          <w:color w:val="000000"/>
          <w:sz w:val="22"/>
        </w:rPr>
        <w:t xml:space="preserve"> executed through IQAC and HoD review.</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Annual evaluation of impact</w:t>
      </w:r>
      <w:r>
        <w:rPr>
          <w:rFonts w:ascii="Cambria" w:hAnsi="Cambria" w:eastAsia="Cambria"/>
          <w:b w:val="0"/>
          <w:i w:val="0"/>
          <w:color w:val="000000"/>
          <w:sz w:val="22"/>
        </w:rPr>
        <w:t xml:space="preserve"> included in Department Academic Committee (DAC)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Integration of industry inputs</w:t>
      </w:r>
      <w:r>
        <w:rPr>
          <w:rFonts w:ascii="Cambria" w:hAnsi="Cambria" w:eastAsia="Cambria"/>
          <w:b w:val="0"/>
          <w:i w:val="0"/>
          <w:color w:val="000000"/>
          <w:sz w:val="22"/>
        </w:rPr>
        <w:t xml:space="preserve"> in syllabus updates via BoS meetings.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6 (Governance and Industry Interaction)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Ensure traceability between </w:t>
      </w:r>
      <w:r>
        <w:rPr>
          <w:rFonts w:ascii="Cambria" w:hAnsi="Cambria" w:eastAsia="Cambria"/>
          <w:b w:val="0"/>
          <w:i/>
          <w:color w:val="000000"/>
          <w:sz w:val="22"/>
        </w:rPr>
        <w:t>Industry Activity</w:t>
      </w:r>
      <w:r>
        <w:rPr>
          <w:rFonts w:ascii="Cambria" w:hAnsi="Cambria" w:eastAsia="Cambria"/>
          <w:b w:val="0"/>
          <w:i w:val="0"/>
          <w:color w:val="000000"/>
          <w:sz w:val="22"/>
        </w:rPr>
        <w:t xml:space="preserve"> → </w:t>
      </w:r>
      <w:r>
        <w:rPr>
          <w:rFonts w:ascii="Cambria" w:hAnsi="Cambria" w:eastAsia="Cambria"/>
          <w:b w:val="0"/>
          <w:i/>
          <w:color w:val="000000"/>
          <w:sz w:val="22"/>
        </w:rPr>
        <w:t>Student Outcome</w:t>
      </w:r>
      <w:r>
        <w:rPr>
          <w:rFonts w:ascii="Cambria" w:hAnsi="Cambria" w:eastAsia="Cambria"/>
          <w:b w:val="0"/>
          <w:i w:val="0"/>
          <w:color w:val="000000"/>
          <w:sz w:val="22"/>
        </w:rPr>
        <w:t xml:space="preserve"> → </w:t>
      </w:r>
      <w:r>
        <w:rPr>
          <w:rFonts w:ascii="Cambria" w:hAnsi="Cambria" w:eastAsia="Cambria"/>
          <w:b w:val="0"/>
          <w:i/>
          <w:color w:val="000000"/>
          <w:sz w:val="22"/>
        </w:rPr>
        <w:t>PO/PSO Attainment</w:t>
      </w:r>
      <w:r>
        <w:rPr>
          <w:rFonts w:ascii="Cambria" w:hAnsi="Cambria" w:eastAsia="Cambria"/>
          <w:b w:val="0"/>
          <w:i w:val="0"/>
          <w:color w:val="000000"/>
          <w:sz w:val="22"/>
        </w:rPr>
        <w: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MoUs and event records organized year-wise (CAY, CAYm1, CAYm2).</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Strengthened academia–industry linkages and experiential learning culture.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Documented improvement in technical skills, employability, and project innovation.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Evidence-based demonstration of impact from expert interactions and partial lectures.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6 &amp; 10 – Industry Collaboration and Continuous Improvement standards.</w:t>
      </w:r>
    </w:p>
    <w:p>
      <w:r>
        <w:br w:type="page"/>
      </w:r>
    </w:p>
    <w:p>
      <w:pPr>
        <w:keepNext/>
        <w:spacing w:before="240" w:after="160"/>
        <w:jc w:val="left"/>
      </w:pPr>
      <w:r>
        <w:rPr>
          <w:rFonts w:ascii="Cambria" w:hAnsi="Cambria" w:eastAsia="Cambria"/>
          <w:b/>
          <w:i w:val="0"/>
          <w:color w:val="1F3A5F"/>
          <w:sz w:val="25"/>
        </w:rPr>
        <w:t>16. P.13 Records of industry internships/summer training and its impact analysis in the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comprehensive evidence of student participation in industry internships and summer training during the last three academic years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how these experiences contribute to achieving Programme Outcomes (POs), Programme Specific Outcomes (PSOs), and improving students' employability, practical exposure, and professional competence.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Internship / Summer Training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List of students who completed internships, with details such as company name, duration, mentor, and nature of work.</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Copies of internship offer letters, completion certificates, and evaluation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 approval letters or official communications permitting the internship.</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Assessment and Evaluation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Rubrics used to assess internship performance (criteria: technical skills, communication, teamwork, punctuality, report quality).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Internship reports and presentations evaluated by departmental review committees.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Feedback forms from industry supervisors.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Impact Analysis: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Comparative analysis of student performance, employability, and skill enhancement before and after internships.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Number of students receiving pre-placement offers (PPOs) or extended projects from the same companies.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Integration of internship learnings into mini-projects, final-year projects, or research outputs.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Internship notification circulars and approval formats.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Student-wise internship allotment and tracking sheets.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Copies of offer/acceptance and completion certificates.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Industry mentor feedback forms and evaluation sheets.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 internship report evaluation and viva schedules.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Student presentation files, photos, and attendance.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Year-wise consolidated internship summary and impact report.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Summary of Student Internships / Summer Trainings (Last 3 Years)</w:t>
      </w:r>
    </w:p>
    <w:p>
      <w:pPr>
        <w:keepNext/>
        <w:spacing w:before="200" w:after="80"/>
      </w:pPr>
      <w:r>
        <w:rPr>
          <w:rFonts w:ascii="Cambria" w:hAnsi="Cambria" w:eastAsia="Cambria"/>
          <w:b/>
          <w:i w:val="0"/>
          <w:color w:val="1F3A5F"/>
          <w:sz w:val="23"/>
        </w:rPr>
        <w:t>2022–23 – Priya Nair – Infosys Pvt. Ltd.</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Duration (Weeks)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6</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Online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Area of Work</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Data Analytics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Faculty Mentor</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Dr. Rao</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Outcome/Achievement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Project on Customer Retention Model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Offer &amp; Completion Letters</w:t>
            </w:r>
          </w:p>
        </w:tc>
      </w:tr>
    </w:tbl>
    <w:p>
      <w:pPr>
        <w:keepNext/>
        <w:spacing w:before="200" w:after="80"/>
      </w:pPr>
      <w:r>
        <w:rPr>
          <w:rFonts w:ascii="Cambria" w:hAnsi="Cambria" w:eastAsia="Cambria"/>
          <w:b/>
          <w:i w:val="0"/>
          <w:color w:val="1F3A5F"/>
          <w:sz w:val="23"/>
        </w:rPr>
        <w:t>2023–24 – Arjun Patel – Bosch India</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Duration (Weeks)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8</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Offline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Area of Work</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IoT Automation</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Faculty Mentor</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Ms. Sharma</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Outcome/Achievement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Prototype implemented in mini project</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Internship Report</w:t>
            </w:r>
          </w:p>
        </w:tc>
      </w:tr>
    </w:tbl>
    <w:p>
      <w:pPr>
        <w:keepNext/>
        <w:spacing w:before="200" w:after="80"/>
      </w:pPr>
      <w:r>
        <w:rPr>
          <w:rFonts w:ascii="Cambria" w:hAnsi="Cambria" w:eastAsia="Cambria"/>
          <w:b/>
          <w:i w:val="0"/>
          <w:color w:val="1F3A5F"/>
          <w:sz w:val="23"/>
        </w:rPr>
        <w:t>2024–25 – Sneha Reddy – TCS R&amp;D Lab</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Duration (Weeks)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10</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Hybrid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Area of Work</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Machine Learning</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Faculty Mentor</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Mr. Iyer</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Outcome/Achievement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PPO Offered</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Completion Certificate</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Internship Evaluation Rubrics (Sample Format)</w:t>
      </w:r>
    </w:p>
    <w:tbl>
      <w:tblPr>
        <w:tblW w:type="auto" w:w="0"/>
        <w:jc w:val="center"/>
        <w:tblLook w:firstColumn="1" w:firstRow="1" w:lastColumn="0" w:lastRow="0" w:noHBand="0" w:noVBand="1" w:val="04A0"/>
        <w:tblLayout w:type="fixed"/>
        <w:tblLayout w:type="fixed"/>
      </w:tblPr>
      <w:tblGrid>
        <w:gridCol w:w="1928"/>
        <w:gridCol w:w="624"/>
        <w:gridCol w:w="1474"/>
        <w:gridCol w:w="1134"/>
        <w:gridCol w:w="1077"/>
        <w:gridCol w:w="1077"/>
      </w:tblGrid>
      <w:tr>
        <w:tc>
          <w:tcPr>
            <w:tcW w:type="dxa" w:w="1928"/>
            <w:tcBorders>
              <w:top w:val="single" w:sz="4" w:space="0" w:color="BFBFBF"/>
              <w:left w:val="single" w:sz="4" w:space="0" w:color="BFBFBF"/>
              <w:bottom w:val="single" w:sz="4" w:space="0" w:color="BFBFBF"/>
              <w:right w:val="single" w:sz="4" w:space="0" w:color="BFBFBF"/>
            </w:tcBorders>
            <w:tcW w:w="1928" w:type="dxa"/>
            <w:shd w:val="clear" w:color="auto" w:fill="1F3A5F"/>
            <w:tcW w:w="1928" w:type="dxa"/>
          </w:tcPr>
          <w:p>
            <w:pPr>
              <w:spacing w:after="40" w:before="40" w:line="264" w:lineRule="auto"/>
              <w:jc w:val="center"/>
            </w:pPr>
            <w:r/>
            <w:r>
              <w:rPr>
                <w:rFonts w:ascii="Cambria" w:hAnsi="Cambria" w:eastAsia="Cambria"/>
                <w:b/>
                <w:i w:val="0"/>
                <w:color w:val="FFFFFF"/>
                <w:sz w:val="17"/>
              </w:rPr>
              <w:t>Evaluation Criteria</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7"/>
              </w:rPr>
              <w:t>Weight %</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7"/>
              </w:rPr>
              <w:t>Excellent (4)</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7"/>
              </w:rPr>
              <w:t>Good (3)</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7"/>
              </w:rPr>
              <w:t>Average (2)</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7"/>
              </w:rPr>
              <w:t>Poor (1)</w:t>
            </w:r>
          </w:p>
        </w:tc>
      </w:tr>
      <w:tr>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7"/>
              </w:rPr>
              <w:t>Technical Skills Demonstrated</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7"/>
              </w:rPr>
              <w:t>25</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Expertly applied</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7"/>
              </w:rPr>
              <w:t>Applied independently</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Needed guidance</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Minimal contribution</w:t>
            </w:r>
          </w:p>
        </w:tc>
      </w:tr>
      <w:tr>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7"/>
              </w:rPr>
              <w:t>Problem Solving / Innovation</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7"/>
              </w:rPr>
              <w:t>20</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Highly creative</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7"/>
              </w:rPr>
              <w:t>Adequate approach</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7"/>
              </w:rPr>
              <w:t>Partial initiative</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7"/>
              </w:rPr>
              <w:t>No initiative</w:t>
            </w:r>
          </w:p>
        </w:tc>
      </w:tr>
      <w:tr>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7"/>
              </w:rPr>
              <w:t>Professionalism &amp; Discipline</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7"/>
              </w:rPr>
              <w:t>15</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Exemplary</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7"/>
              </w:rPr>
              <w:t>Good</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Average</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Poor</w:t>
            </w:r>
          </w:p>
        </w:tc>
      </w:tr>
      <w:tr>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7"/>
              </w:rPr>
              <w:t>Teamwork &amp; Communication</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7"/>
              </w:rPr>
              <w:t>15</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Excellent</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7"/>
              </w:rPr>
              <w:t>Good</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7"/>
              </w:rPr>
              <w:t>Fair</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7"/>
              </w:rPr>
              <w:t>Weak</w:t>
            </w:r>
          </w:p>
        </w:tc>
      </w:tr>
      <w:tr>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7"/>
              </w:rPr>
              <w:t>Report &amp; Presentation Quality</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7"/>
              </w:rPr>
              <w:t>15</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Comprehensive</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7"/>
              </w:rPr>
              <w:t>Well-written</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Average</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Poor</w:t>
            </w:r>
          </w:p>
        </w:tc>
      </w:tr>
      <w:tr>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7"/>
              </w:rPr>
              <w:t>Industry Feedback / Evaluation</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7"/>
              </w:rPr>
              <w:t>10</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Outstanding</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7"/>
              </w:rPr>
              <w:t>Satisfactory</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7"/>
              </w:rPr>
              <w:t>Needs Improvement</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7"/>
              </w:rPr>
              <w:t>Unsatisfactory</w:t>
            </w:r>
          </w:p>
        </w:tc>
      </w:tr>
    </w:tbl>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Total Marks: 100</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Passing Threshold: Minimum 50% overall and no criterion below 2.</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Internship Impact Analysis (3-Year Summary)</w:t>
      </w:r>
    </w:p>
    <w:p>
      <w:pPr>
        <w:keepNext/>
        <w:spacing w:before="200" w:after="80"/>
      </w:pPr>
      <w:r>
        <w:rPr>
          <w:rFonts w:ascii="Cambria" w:hAnsi="Cambria" w:eastAsia="Cambria"/>
          <w:b/>
          <w:i w:val="0"/>
          <w:color w:val="1F3A5F"/>
          <w:sz w:val="23"/>
        </w:rPr>
        <w:t>2022–23</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No. of Students Interned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40</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 of Batch</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55%</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PPOs / Job Offers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3</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Projects Derived from Internship</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5</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PO/PSO Improved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PO5, PSO1</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Notable Outcomes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Improvement in technical exposure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Summary Report</w:t>
            </w:r>
          </w:p>
        </w:tc>
      </w:tr>
    </w:tbl>
    <w:p>
      <w:pPr>
        <w:keepNext/>
        <w:spacing w:before="200" w:after="80"/>
      </w:pPr>
      <w:r>
        <w:rPr>
          <w:rFonts w:ascii="Cambria" w:hAnsi="Cambria" w:eastAsia="Cambria"/>
          <w:b/>
          <w:i w:val="0"/>
          <w:color w:val="1F3A5F"/>
          <w:sz w:val="23"/>
        </w:rPr>
        <w:t>2023–24</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No. of Students Interned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52</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 of Batch</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65%</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PPOs / Job Offers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5</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Projects Derived from Internship</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8</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PO/PSO Improved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PO4, PSO2</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Notable Outcomes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Better problem-solving &amp; design skills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Feedback Analysis</w:t>
            </w:r>
          </w:p>
        </w:tc>
      </w:tr>
    </w:tbl>
    <w:p>
      <w:pPr>
        <w:keepNext/>
        <w:spacing w:before="200" w:after="80"/>
      </w:pPr>
      <w:r>
        <w:rPr>
          <w:rFonts w:ascii="Cambria" w:hAnsi="Cambria" w:eastAsia="Cambria"/>
          <w:b/>
          <w:i w:val="0"/>
          <w:color w:val="1F3A5F"/>
          <w:sz w:val="23"/>
        </w:rPr>
        <w:t>2024–25</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No. of Students Interned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60</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 of Batch</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70%</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PPOs / Job Offers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8</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Projects Derived from Internship</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10</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PO/PSO Improved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PO6, PSO3</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Notable Outcomes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Enhanced employability &amp; innovation</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Department Report</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Department Internship Committee (DIC)</w:t>
      </w:r>
      <w:r>
        <w:rPr>
          <w:rFonts w:ascii="Cambria" w:hAnsi="Cambria" w:eastAsia="Cambria"/>
          <w:b w:val="0"/>
          <w:i w:val="0"/>
          <w:color w:val="000000"/>
          <w:sz w:val="22"/>
        </w:rPr>
        <w:t xml:space="preserve"> monitors internship allocation, progress, and evaluation.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Mentor–Industry Supervisor feedback</w:t>
      </w:r>
      <w:r>
        <w:rPr>
          <w:rFonts w:ascii="Cambria" w:hAnsi="Cambria" w:eastAsia="Cambria"/>
          <w:b w:val="0"/>
          <w:i w:val="0"/>
          <w:color w:val="000000"/>
          <w:sz w:val="22"/>
        </w:rPr>
        <w:t xml:space="preserve"> considered for student grading.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Viva-voce and report assessment</w:t>
      </w:r>
      <w:r>
        <w:rPr>
          <w:rFonts w:ascii="Cambria" w:hAnsi="Cambria" w:eastAsia="Cambria"/>
          <w:b w:val="0"/>
          <w:i w:val="0"/>
          <w:color w:val="000000"/>
          <w:sz w:val="22"/>
        </w:rPr>
        <w:t xml:space="preserve"> conducted at semester-end.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Impact reports</w:t>
      </w:r>
      <w:r>
        <w:rPr>
          <w:rFonts w:ascii="Cambria" w:hAnsi="Cambria" w:eastAsia="Cambria"/>
          <w:b w:val="0"/>
          <w:i w:val="0"/>
          <w:color w:val="000000"/>
          <w:sz w:val="22"/>
        </w:rPr>
        <w:t xml:space="preserve"> compiled by IQAC for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Integration with CO–PO–PSO attainment</w:t>
      </w:r>
      <w:r>
        <w:rPr>
          <w:rFonts w:ascii="Cambria" w:hAnsi="Cambria" w:eastAsia="Cambria"/>
          <w:b w:val="0"/>
          <w:i w:val="0"/>
          <w:color w:val="000000"/>
          <w:sz w:val="22"/>
        </w:rPr>
        <w:t xml:space="preserve"> included in academic performance reports.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9 (Student Performance and Learning Outcomes)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all evidence is year-wise (CAY, CAYm1, CAYm2) and verified by the HoD / Industry Interaction Cell.</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Maintain traceability between </w:t>
      </w:r>
      <w:r>
        <w:rPr>
          <w:rFonts w:ascii="Cambria" w:hAnsi="Cambria" w:eastAsia="Cambria"/>
          <w:b w:val="0"/>
          <w:i/>
          <w:color w:val="000000"/>
          <w:sz w:val="22"/>
        </w:rPr>
        <w:t>Internship</w:t>
      </w:r>
      <w:r>
        <w:rPr>
          <w:rFonts w:ascii="Cambria" w:hAnsi="Cambria" w:eastAsia="Cambria"/>
          <w:b w:val="0"/>
          <w:i w:val="0"/>
          <w:color w:val="000000"/>
          <w:sz w:val="22"/>
        </w:rPr>
        <w:t xml:space="preserve"> → </w:t>
      </w:r>
      <w:r>
        <w:rPr>
          <w:rFonts w:ascii="Cambria" w:hAnsi="Cambria" w:eastAsia="Cambria"/>
          <w:b w:val="0"/>
          <w:i/>
          <w:color w:val="000000"/>
          <w:sz w:val="22"/>
        </w:rPr>
        <w:t>Skills Acquired</w:t>
      </w:r>
      <w:r>
        <w:rPr>
          <w:rFonts w:ascii="Cambria" w:hAnsi="Cambria" w:eastAsia="Cambria"/>
          <w:b w:val="0"/>
          <w:i w:val="0"/>
          <w:color w:val="000000"/>
          <w:sz w:val="22"/>
        </w:rPr>
        <w:t xml:space="preserve"> → </w:t>
      </w:r>
      <w:r>
        <w:rPr>
          <w:rFonts w:ascii="Cambria" w:hAnsi="Cambria" w:eastAsia="Cambria"/>
          <w:b w:val="0"/>
          <w:i/>
          <w:color w:val="000000"/>
          <w:sz w:val="22"/>
        </w:rPr>
        <w:t>PO/PSO Attainment</w:t>
      </w:r>
      <w:r>
        <w:rPr>
          <w:rFonts w:ascii="Cambria" w:hAnsi="Cambria" w:eastAsia="Cambria"/>
          <w:b w:val="0"/>
          <w:i w:val="0"/>
          <w:color w:val="000000"/>
          <w:sz w:val="22"/>
        </w:rPr>
        <w:t xml:space="preserve"> → </w:t>
      </w:r>
      <w:r>
        <w:rPr>
          <w:rFonts w:ascii="Cambria" w:hAnsi="Cambria" w:eastAsia="Cambria"/>
          <w:b w:val="0"/>
          <w:i/>
          <w:color w:val="000000"/>
          <w:sz w:val="22"/>
        </w:rPr>
        <w:t>Employability Outcome</w:t>
      </w:r>
      <w:r>
        <w:rPr>
          <w:rFonts w:ascii="Cambria" w:hAnsi="Cambria" w:eastAsia="Cambria"/>
          <w:b w:val="0"/>
          <w:i w:val="0"/>
          <w:color w:val="000000"/>
          <w:sz w:val="22"/>
        </w:rPr>
        <w: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Enhanced student exposure to real-world industrial practices.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Improved employability, technical proficiency, and professional behavior.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Documented evidence of internship impact on innovation and career readiness.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9 &amp; 10 – Student Development, Industry Readiness, and Continuous Improvement.</w:t>
      </w:r>
    </w:p>
    <w:p>
      <w:r>
        <w:br w:type="page"/>
      </w:r>
    </w:p>
    <w:p>
      <w:pPr>
        <w:keepNext/>
        <w:spacing w:before="240" w:after="160"/>
        <w:jc w:val="left"/>
      </w:pPr>
      <w:r>
        <w:rPr>
          <w:rFonts w:ascii="Cambria" w:hAnsi="Cambria" w:eastAsia="Cambria"/>
          <w:b/>
          <w:i w:val="0"/>
          <w:color w:val="1F3A5F"/>
          <w:sz w:val="25"/>
        </w:rPr>
        <w:t>17. P.14 Records of course outcomes (COs) of all courses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maintain comprehensive documentation of Course Outcomes (COs) for every course offered under each program.</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clear alignment of COs with Programme Outcomes (POs) and Programme Specific Outcomes (PSOs) as per NBA's Outcome-Based Education (OBE) framework.</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ensure that COs are measurable, assessable, and continuously improved based on attainment analysis and stakeholder feedback.</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 Outcome Statements (COs):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Clearly defined CO statements for every theory, lab, and elective course.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COs must be specific, measurable, and action-oriented, generally 5–6 per course.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COs framed using Bloom's Taxonomy verbs (e.g., analyze, design, evaluate, demonstrate).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CO–PO and CO–PSO Mapping: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Tabular mapping showing the correlation between COs, POs, and PSOs using scales such as 1 (Low), 2 (Medium), 3 (High).</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Mapping reviewed and approved by the Course Coordinator / BoS Committee.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 Attainment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 attainment calculation based on direct assessments (internal/external exams) and indirect assessments (feedback, surveys).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Year-wise attainment summary and comparison with target levels.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Continuous Improvement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of curriculum or pedagogy changes made based on CO attainment analysis.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Meeting minutes from Course File Reviews / Academic Audit / DAC meetings recommending improvements.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Course Files</w:t>
      </w:r>
      <w:r>
        <w:rPr>
          <w:rFonts w:ascii="Cambria" w:hAnsi="Cambria" w:eastAsia="Cambria"/>
          <w:b w:val="0"/>
          <w:i w:val="0"/>
          <w:color w:val="000000"/>
          <w:sz w:val="22"/>
        </w:rPr>
        <w:t xml:space="preserve"> for all subjects (theory, lab, and elective) including: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 syllabus and objectives.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Defined CO statements (CO1–CO6).</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CO–PO–PSO mapping matrix.</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 attainment calculation sheet.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Question paper with CO tags and Bloom's level identification.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Result analysis and feedback summary.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Consolidated CO Repository</w:t>
      </w:r>
      <w:r>
        <w:rPr>
          <w:rFonts w:ascii="Cambria" w:hAnsi="Cambria" w:eastAsia="Cambria"/>
          <w:b w:val="0"/>
          <w:i w:val="0"/>
          <w:color w:val="000000"/>
          <w:sz w:val="22"/>
        </w:rPr>
        <w:t xml:space="preserve"> (Department-wise).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Approval documents</w:t>
      </w:r>
      <w:r>
        <w:rPr>
          <w:rFonts w:ascii="Cambria" w:hAnsi="Cambria" w:eastAsia="Cambria"/>
          <w:b w:val="0"/>
          <w:i w:val="0"/>
          <w:color w:val="000000"/>
          <w:sz w:val="22"/>
        </w:rPr>
        <w:t xml:space="preserve"> from Board of Studies (BoS) or Academic Council.</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IQAC / HoD review reports</w:t>
      </w:r>
      <w:r>
        <w:rPr>
          <w:rFonts w:ascii="Cambria" w:hAnsi="Cambria" w:eastAsia="Cambria"/>
          <w:b w:val="0"/>
          <w:i w:val="0"/>
          <w:color w:val="000000"/>
          <w:sz w:val="22"/>
        </w:rPr>
        <w:t xml:space="preserve"> validating CO consistency across courses.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Example of Course Outcomes (COs)</w:t>
      </w:r>
    </w:p>
    <w:p>
      <w:pPr>
        <w:keepNext/>
        <w:spacing w:before="200" w:after="80"/>
      </w:pPr>
      <w:r>
        <w:rPr>
          <w:rFonts w:ascii="Cambria" w:hAnsi="Cambria" w:eastAsia="Cambria"/>
          <w:b/>
          <w:i w:val="0"/>
          <w:color w:val="1F3A5F"/>
          <w:sz w:val="23"/>
        </w:rPr>
        <w:t>CS301 – Data Structures – CO1</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Course Outcome Statement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Apply fundamental data structures for problem solving.</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Bloom's Level</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L3 – Apply</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Assessment Tools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Internal Test, Lab Eval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Linked POs/PSOs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PO1, PO2</w:t>
            </w:r>
          </w:p>
        </w:tc>
      </w:tr>
    </w:tbl>
    <w:p>
      <w:pPr>
        <w:keepNext/>
        <w:spacing w:before="200" w:after="80"/>
      </w:pPr>
      <w:r>
        <w:rPr>
          <w:rFonts w:ascii="Cambria" w:hAnsi="Cambria" w:eastAsia="Cambria"/>
          <w:b/>
          <w:i w:val="0"/>
          <w:color w:val="1F3A5F"/>
          <w:sz w:val="23"/>
        </w:rPr>
        <w:t>CS301 – Data Structures – CO2</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Course Outcome Statement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Implement algorithms for searching and sorting techniques.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Bloom's Level</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L4 – Analyze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Assessment Tools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Lab, Quiz</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Linked POs/PSOs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PO1, PO3</w:t>
            </w:r>
          </w:p>
        </w:tc>
      </w:tr>
    </w:tbl>
    <w:p>
      <w:pPr>
        <w:keepNext/>
        <w:spacing w:before="200" w:after="80"/>
      </w:pPr>
      <w:r>
        <w:rPr>
          <w:rFonts w:ascii="Cambria" w:hAnsi="Cambria" w:eastAsia="Cambria"/>
          <w:b/>
          <w:i w:val="0"/>
          <w:color w:val="1F3A5F"/>
          <w:sz w:val="23"/>
        </w:rPr>
        <w:t>CS301 – Data Structures – CO3</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Course Outcome Statement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Evaluate time and space complexity of algorithms.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Bloom's Level</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L5 – Evaluate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Assessment Tools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End Exam</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Linked POs/PSOs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PO2</w:t>
            </w:r>
          </w:p>
        </w:tc>
      </w:tr>
    </w:tbl>
    <w:p>
      <w:pPr>
        <w:keepNext/>
        <w:spacing w:before="200" w:after="80"/>
      </w:pPr>
      <w:r>
        <w:rPr>
          <w:rFonts w:ascii="Cambria" w:hAnsi="Cambria" w:eastAsia="Cambria"/>
          <w:b/>
          <w:i w:val="0"/>
          <w:color w:val="1F3A5F"/>
          <w:sz w:val="23"/>
        </w:rPr>
        <w:t>CS301 – Data Structures – CO4</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Course Outcome Statement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Design solutions for real-world applications using data structures.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Bloom's Level</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L6 – Create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Assessment Tools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Mini Project</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Linked POs/PSOs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PO3, PSO1</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CO–PO–PSO Mapping Matrix (Sample)</w:t>
      </w:r>
    </w:p>
    <w:tbl>
      <w:tblPr>
        <w:tblW w:type="auto" w:w="0"/>
        <w:jc w:val="center"/>
        <w:tblLook w:firstColumn="1" w:firstRow="1" w:lastColumn="0" w:lastRow="0" w:noHBand="0" w:noVBand="1" w:val="04A0"/>
        <w:tblLayout w:type="fixed"/>
        <w:tblLayout w:type="fixed"/>
      </w:tblPr>
      <w:tblGrid>
        <w:gridCol w:w="907"/>
        <w:gridCol w:w="794"/>
        <w:gridCol w:w="794"/>
        <w:gridCol w:w="794"/>
        <w:gridCol w:w="794"/>
        <w:gridCol w:w="794"/>
        <w:gridCol w:w="794"/>
        <w:gridCol w:w="794"/>
      </w:tblGrid>
      <w:tr>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8"/>
              </w:rPr>
              <w:t>COs \ POs</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8"/>
              </w:rPr>
              <w:t>PO1</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8"/>
              </w:rPr>
              <w:t>PO2</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8"/>
              </w:rPr>
              <w:t>PO3</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8"/>
              </w:rPr>
              <w:t>PO4</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8"/>
              </w:rPr>
              <w:t>PO5</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8"/>
              </w:rPr>
              <w:t>PSO1</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8"/>
              </w:rPr>
              <w:t>PSO2</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8"/>
              </w:rPr>
              <w:t>CO1</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8"/>
              </w:rPr>
              <w:t>3</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8"/>
              </w:rPr>
              <w:t>2</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8"/>
              </w:rPr>
              <w:t>1</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8"/>
              </w:rPr>
              <w:t>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8"/>
              </w:rPr>
              <w:t>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8"/>
              </w:rPr>
              <w:t>2</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8"/>
              </w:rPr>
              <w:t>1</w:t>
            </w:r>
          </w:p>
        </w:tc>
      </w:tr>
      <w:tr>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8"/>
              </w:rPr>
              <w:t>CO2</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8"/>
              </w:rPr>
              <w:t>2</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8"/>
              </w:rPr>
              <w:t>3</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8"/>
              </w:rPr>
              <w:t>2</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8"/>
              </w:rPr>
              <w:t>1</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8"/>
              </w:rPr>
              <w:t>0</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8"/>
              </w:rPr>
              <w:t>2</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8"/>
              </w:rPr>
              <w:t>1</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8"/>
              </w:rPr>
              <w:t>CO3</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8"/>
              </w:rPr>
              <w:t>1</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8"/>
              </w:rPr>
              <w:t>3</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8"/>
              </w:rPr>
              <w:t>2</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8"/>
              </w:rPr>
              <w:t>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8"/>
              </w:rPr>
              <w:t>1</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8"/>
              </w:rPr>
              <w:t>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8"/>
              </w:rPr>
              <w:t>2</w:t>
            </w:r>
          </w:p>
        </w:tc>
      </w:tr>
      <w:tr>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8"/>
              </w:rPr>
              <w:t>CO4</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8"/>
              </w:rPr>
              <w:t>3</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8"/>
              </w:rPr>
              <w:t>2</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8"/>
              </w:rPr>
              <w:t>3</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8"/>
              </w:rPr>
              <w:t>2</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8"/>
              </w:rPr>
              <w:t>1</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8"/>
              </w:rPr>
              <w:t>3</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8"/>
              </w:rPr>
              <w:t>2</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 Attainment Summary (Sample)</w:t>
      </w:r>
    </w:p>
    <w:p>
      <w:pPr>
        <w:keepNext/>
        <w:spacing w:before="200" w:after="80"/>
      </w:pPr>
      <w:r>
        <w:rPr>
          <w:rFonts w:ascii="Cambria" w:hAnsi="Cambria" w:eastAsia="Cambria"/>
          <w:b/>
          <w:i w:val="0"/>
          <w:color w:val="1F3A5F"/>
          <w:sz w:val="23"/>
        </w:rPr>
        <w:t>CS301 – Data Structures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Target Attainment Level</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70%</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Attained Level</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76%</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Achievement Status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Achieved</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Improvement Action Suggested</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Maintain same teaching plan</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Attainment Sheet 2023</w:t>
            </w:r>
          </w:p>
        </w:tc>
      </w:tr>
    </w:tbl>
    <w:p>
      <w:pPr>
        <w:keepNext/>
        <w:spacing w:before="200" w:after="80"/>
      </w:pPr>
      <w:r>
        <w:rPr>
          <w:rFonts w:ascii="Cambria" w:hAnsi="Cambria" w:eastAsia="Cambria"/>
          <w:b/>
          <w:i w:val="0"/>
          <w:color w:val="1F3A5F"/>
          <w:sz w:val="23"/>
        </w:rPr>
        <w:t>CS302 – DBMS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Target Attainment Level</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70%</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Attained Level</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65%</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Achievement Status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Not Achieved</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Improvement Action Suggested</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Revise CO3 assessment weightage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CO Review 2024</w:t>
            </w:r>
          </w:p>
        </w:tc>
      </w:tr>
    </w:tbl>
    <w:p>
      <w:pPr>
        <w:keepNext/>
        <w:spacing w:before="200" w:after="80"/>
      </w:pPr>
      <w:r>
        <w:rPr>
          <w:rFonts w:ascii="Cambria" w:hAnsi="Cambria" w:eastAsia="Cambria"/>
          <w:b/>
          <w:i w:val="0"/>
          <w:color w:val="1F3A5F"/>
          <w:sz w:val="23"/>
        </w:rPr>
        <w:t>CS303 – AI Fundamentals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Target Attainment Level</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70%</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Attained Level</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81%</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Achievement Status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Achieved</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Improvement Action Suggested</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Include real-time datasets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IQAC Minutes 2024</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COs designed</w:t>
      </w:r>
      <w:r>
        <w:rPr>
          <w:rFonts w:ascii="Cambria" w:hAnsi="Cambria" w:eastAsia="Cambria"/>
          <w:b w:val="0"/>
          <w:i w:val="0"/>
          <w:color w:val="000000"/>
          <w:sz w:val="22"/>
        </w:rPr>
        <w:t xml:space="preserve"> using Bloom's Taxonomy and approved by BoS.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CO–PO–PSO mapping verified</w:t>
      </w:r>
      <w:r>
        <w:rPr>
          <w:rFonts w:ascii="Cambria" w:hAnsi="Cambria" w:eastAsia="Cambria"/>
          <w:b w:val="0"/>
          <w:i w:val="0"/>
          <w:color w:val="000000"/>
          <w:sz w:val="22"/>
        </w:rPr>
        <w:t xml:space="preserve"> by departmental academic committee.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Attainment analysis performed</w:t>
      </w:r>
      <w:r>
        <w:rPr>
          <w:rFonts w:ascii="Cambria" w:hAnsi="Cambria" w:eastAsia="Cambria"/>
          <w:b w:val="0"/>
          <w:i w:val="0"/>
          <w:color w:val="000000"/>
          <w:sz w:val="22"/>
        </w:rPr>
        <w:t xml:space="preserve"> each semester by course coordinator.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Feedback loop applied</w:t>
      </w:r>
      <w:r>
        <w:rPr>
          <w:rFonts w:ascii="Cambria" w:hAnsi="Cambria" w:eastAsia="Cambria"/>
          <w:b w:val="0"/>
          <w:i w:val="0"/>
          <w:color w:val="000000"/>
          <w:sz w:val="22"/>
        </w:rPr>
        <w:t xml:space="preserve"> for continuous curriculum and pedagogy enhancement.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IQAC validation</w:t>
      </w:r>
      <w:r>
        <w:rPr>
          <w:rFonts w:ascii="Cambria" w:hAnsi="Cambria" w:eastAsia="Cambria"/>
          <w:b w:val="0"/>
          <w:i w:val="0"/>
          <w:color w:val="000000"/>
          <w:sz w:val="22"/>
        </w:rPr>
        <w:t xml:space="preserve"> to ensure uniformity and alignment with institutional mission.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3 (Course Outcomes and Programme Outcomes)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CO records for all courses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Ensure traceability: </w:t>
      </w:r>
      <w:r>
        <w:rPr>
          <w:rFonts w:ascii="Cambria" w:hAnsi="Cambria" w:eastAsia="Cambria"/>
          <w:b w:val="0"/>
          <w:i/>
          <w:color w:val="000000"/>
          <w:sz w:val="22"/>
        </w:rPr>
        <w:t>CO → PO/PSO → PEO → Mission Alignment</w:t>
      </w:r>
      <w:r>
        <w:rPr>
          <w:rFonts w:ascii="Cambria" w:hAnsi="Cambria" w:eastAsia="Cambria"/>
          <w:b w:val="0"/>
          <w:i w:val="0"/>
          <w:color w:val="000000"/>
          <w:sz w:val="22"/>
        </w:rPr>
        <w: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Clearly articulated and measurable COs for all courses.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Traceable alignment between course-level and program-level outcomes.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Evidence-based improvement in teaching–learning quality through CO attainment analysis.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3 &amp; 10 – Outcome-Based Education and Continuous Improvement standards.</w:t>
      </w:r>
    </w:p>
    <w:p>
      <w:r>
        <w:br w:type="page"/>
      </w:r>
    </w:p>
    <w:p>
      <w:pPr>
        <w:keepNext/>
        <w:spacing w:before="240" w:after="160"/>
        <w:jc w:val="left"/>
      </w:pPr>
      <w:r>
        <w:rPr>
          <w:rFonts w:ascii="Cambria" w:hAnsi="Cambria" w:eastAsia="Cambria"/>
          <w:b/>
          <w:i w:val="0"/>
          <w:color w:val="1F3A5F"/>
          <w:sz w:val="25"/>
        </w:rPr>
        <w:t>18. P.15 Records of CO-PO/PSO mapping of all courses as well as courses-PO/PSO mapping.</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systematic and verifiable evidence showing how each Course Outcome (CO) contributes to the Programme Outcomes (POs) and Programme Specific Outcomes (PSOs).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that the curriculum and teaching–learning processes are aligned with Outcome-Based Education (OBE) principles and are evaluated for attainment and continuous improvement.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CO–PO/PSO Mapping for Each Course: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For every course (theory, lab, elective), a matrix showing the correlation between COs and POs/PSOs using correlation levels —</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3 = High, 2 = Medium, 1 = Low, 0 = No correlation.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Each mapping must be approved by the course coordinator and verified by the HoD / Academic Committee.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Mapping should be justified based on course objectives, syllabus content, teaching methods, and assessment tools.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Course–PO/PSO Summary Mapping: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 consolidated table that shows how the overall program curriculum covers all POs and PSOs through various courses.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Ensures that every PO and PSO is adequately addressed through multiple courses across semesters.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Supporting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Department-approved CO statements for all courses.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POs and PSOs defined by the department/program.</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Mapping sheets, review minutes, and attainment reports validated by IQAC or DAC (Department Academic Committee).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Course-wise CO–PO/PSO mapping matrices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Department-wise Course–PO/PSO summary matrix.</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Meeting minutes of Board of Studies (BoS) and Academic Council approving mappings.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 files with justification notes for each mapping.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Attainment calculation sheets showing PO/PSO level achievements derived from COs.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Revision records showing improvements based on feedback and previous assessments.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Example of CO–PO/PSO Mapping for a Single Course</w:t>
      </w:r>
    </w:p>
    <w:tbl>
      <w:tblPr>
        <w:tblW w:type="auto" w:w="0"/>
        <w:jc w:val="center"/>
        <w:tblLook w:firstColumn="1" w:firstRow="1" w:lastColumn="0" w:lastRow="0" w:noHBand="0" w:noVBand="1" w:val="04A0"/>
        <w:tblLayout w:type="fixed"/>
        <w:tblLayout w:type="fixed"/>
      </w:tblPr>
      <w:tblGrid>
        <w:gridCol w:w="794"/>
        <w:gridCol w:w="737"/>
        <w:gridCol w:w="737"/>
        <w:gridCol w:w="737"/>
        <w:gridCol w:w="737"/>
        <w:gridCol w:w="737"/>
        <w:gridCol w:w="737"/>
        <w:gridCol w:w="794"/>
        <w:gridCol w:w="794"/>
      </w:tblGrid>
      <w:tr>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7"/>
              </w:rPr>
              <w:t>COs \ POs</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7"/>
              </w:rPr>
              <w:t>PO1</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7"/>
              </w:rPr>
              <w:t>PO2</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7"/>
              </w:rPr>
              <w:t>PO3</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7"/>
              </w:rPr>
              <w:t>PO4</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7"/>
              </w:rPr>
              <w:t>PO5</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7"/>
              </w:rPr>
              <w:t>PO6</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7"/>
              </w:rPr>
              <w:t>PSO1</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7"/>
              </w:rPr>
              <w:t>PSO2</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7"/>
              </w:rPr>
              <w:t>CO1</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7"/>
              </w:rPr>
              <w:t>3</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7"/>
              </w:rPr>
              <w:t>2</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7"/>
              </w:rPr>
              <w:t>2</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7"/>
              </w:rPr>
              <w:t>1</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7"/>
              </w:rPr>
              <w:t>0</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7"/>
              </w:rPr>
              <w:t>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7"/>
              </w:rPr>
              <w:t>2</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7"/>
              </w:rPr>
              <w:t>1</w:t>
            </w:r>
          </w:p>
        </w:tc>
      </w:tr>
      <w:tr>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7"/>
              </w:rPr>
              <w:t>CO2</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7"/>
              </w:rPr>
              <w:t>2</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7"/>
              </w:rPr>
              <w:t>3</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7"/>
              </w:rPr>
              <w:t>3</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7"/>
              </w:rPr>
              <w:t>1</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7"/>
              </w:rPr>
              <w:t>1</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7"/>
              </w:rPr>
              <w:t>0</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7"/>
              </w:rPr>
              <w:t>2</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7"/>
              </w:rPr>
              <w:t>1</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7"/>
              </w:rPr>
              <w:t>CO3</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7"/>
              </w:rPr>
              <w:t>1</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7"/>
              </w:rPr>
              <w:t>2</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7"/>
              </w:rPr>
              <w:t>3</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7"/>
              </w:rPr>
              <w:t>2</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7"/>
              </w:rPr>
              <w:t>0</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7"/>
              </w:rPr>
              <w:t>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7"/>
              </w:rPr>
              <w:t>1</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7"/>
              </w:rPr>
              <w:t>2</w:t>
            </w:r>
          </w:p>
        </w:tc>
      </w:tr>
      <w:tr>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7"/>
              </w:rPr>
              <w:t>CO4</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7"/>
              </w:rPr>
              <w:t>3</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7"/>
              </w:rPr>
              <w:t>2</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7"/>
              </w:rPr>
              <w:t>3</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7"/>
              </w:rPr>
              <w:t>2</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7"/>
              </w:rPr>
              <w:t>1</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7"/>
              </w:rPr>
              <w:t>0</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7"/>
              </w:rPr>
              <w:t>3</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7"/>
              </w:rPr>
              <w:t>2</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Interpretation: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The course strongly supports PO3 (Design/Development Solutions) and PSO1 (Domain-Specific Technical Skill).</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Moderate correlation with PO1 and PO2 (Engineering Knowledge and Problem Analysis).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Course–PO/PSO Mapping Summary (Department-Level)</w:t>
      </w:r>
    </w:p>
    <w:tbl>
      <w:tblPr>
        <w:tblW w:type="auto" w:w="0"/>
        <w:jc w:val="center"/>
        <w:tblLook w:firstColumn="1" w:firstRow="1" w:lastColumn="0" w:lastRow="0" w:noHBand="0" w:noVBand="1" w:val="04A0"/>
        <w:tblLayout w:type="fixed"/>
        <w:tblLayout w:type="fixed"/>
      </w:tblPr>
      <w:tblGrid>
        <w:gridCol w:w="737"/>
        <w:gridCol w:w="1474"/>
        <w:gridCol w:w="482"/>
        <w:gridCol w:w="482"/>
        <w:gridCol w:w="482"/>
        <w:gridCol w:w="482"/>
        <w:gridCol w:w="482"/>
        <w:gridCol w:w="482"/>
        <w:gridCol w:w="482"/>
        <w:gridCol w:w="482"/>
        <w:gridCol w:w="482"/>
        <w:gridCol w:w="510"/>
        <w:gridCol w:w="567"/>
        <w:gridCol w:w="567"/>
      </w:tblGrid>
      <w:tr>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4"/>
              </w:rPr>
              <w:t>Course</w:t>
              <w:br/>
              <w:t>Code</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4"/>
              </w:rPr>
              <w:t>Course Title</w:t>
            </w:r>
          </w:p>
        </w:tc>
        <w:tc>
          <w:tcPr>
            <w:tcW w:type="dxa" w:w="482"/>
            <w:tcBorders>
              <w:top w:val="single" w:sz="4" w:space="0" w:color="BFBFBF"/>
              <w:left w:val="single" w:sz="4" w:space="0" w:color="BFBFBF"/>
              <w:bottom w:val="single" w:sz="4" w:space="0" w:color="BFBFBF"/>
              <w:right w:val="single" w:sz="4" w:space="0" w:color="BFBFBF"/>
            </w:tcBorders>
            <w:tcW w:w="482" w:type="dxa"/>
            <w:shd w:val="clear" w:color="auto" w:fill="1F3A5F"/>
            <w:tcW w:w="482" w:type="dxa"/>
          </w:tcPr>
          <w:p>
            <w:pPr>
              <w:spacing w:after="40" w:before="40" w:line="264" w:lineRule="auto"/>
              <w:jc w:val="center"/>
            </w:pPr>
            <w:r/>
            <w:r>
              <w:rPr>
                <w:rFonts w:ascii="Cambria" w:hAnsi="Cambria" w:eastAsia="Cambria"/>
                <w:b/>
                <w:i w:val="0"/>
                <w:color w:val="FFFFFF"/>
                <w:sz w:val="14"/>
              </w:rPr>
              <w:t>PO1</w:t>
            </w:r>
          </w:p>
        </w:tc>
        <w:tc>
          <w:tcPr>
            <w:tcW w:type="dxa" w:w="482"/>
            <w:tcBorders>
              <w:top w:val="single" w:sz="4" w:space="0" w:color="BFBFBF"/>
              <w:left w:val="single" w:sz="4" w:space="0" w:color="BFBFBF"/>
              <w:bottom w:val="single" w:sz="4" w:space="0" w:color="BFBFBF"/>
              <w:right w:val="single" w:sz="4" w:space="0" w:color="BFBFBF"/>
            </w:tcBorders>
            <w:tcW w:w="482" w:type="dxa"/>
            <w:shd w:val="clear" w:color="auto" w:fill="1F3A5F"/>
            <w:tcW w:w="482" w:type="dxa"/>
          </w:tcPr>
          <w:p>
            <w:pPr>
              <w:spacing w:after="40" w:before="40" w:line="264" w:lineRule="auto"/>
              <w:jc w:val="center"/>
            </w:pPr>
            <w:r/>
            <w:r>
              <w:rPr>
                <w:rFonts w:ascii="Cambria" w:hAnsi="Cambria" w:eastAsia="Cambria"/>
                <w:b/>
                <w:i w:val="0"/>
                <w:color w:val="FFFFFF"/>
                <w:sz w:val="14"/>
              </w:rPr>
              <w:t>PO2</w:t>
            </w:r>
          </w:p>
        </w:tc>
        <w:tc>
          <w:tcPr>
            <w:tcW w:type="dxa" w:w="482"/>
            <w:tcBorders>
              <w:top w:val="single" w:sz="4" w:space="0" w:color="BFBFBF"/>
              <w:left w:val="single" w:sz="4" w:space="0" w:color="BFBFBF"/>
              <w:bottom w:val="single" w:sz="4" w:space="0" w:color="BFBFBF"/>
              <w:right w:val="single" w:sz="4" w:space="0" w:color="BFBFBF"/>
            </w:tcBorders>
            <w:tcW w:w="482" w:type="dxa"/>
            <w:shd w:val="clear" w:color="auto" w:fill="1F3A5F"/>
            <w:tcW w:w="482" w:type="dxa"/>
          </w:tcPr>
          <w:p>
            <w:pPr>
              <w:spacing w:after="40" w:before="40" w:line="264" w:lineRule="auto"/>
              <w:jc w:val="center"/>
            </w:pPr>
            <w:r/>
            <w:r>
              <w:rPr>
                <w:rFonts w:ascii="Cambria" w:hAnsi="Cambria" w:eastAsia="Cambria"/>
                <w:b/>
                <w:i w:val="0"/>
                <w:color w:val="FFFFFF"/>
                <w:sz w:val="14"/>
              </w:rPr>
              <w:t>PO3</w:t>
            </w:r>
          </w:p>
        </w:tc>
        <w:tc>
          <w:tcPr>
            <w:tcW w:type="dxa" w:w="482"/>
            <w:tcBorders>
              <w:top w:val="single" w:sz="4" w:space="0" w:color="BFBFBF"/>
              <w:left w:val="single" w:sz="4" w:space="0" w:color="BFBFBF"/>
              <w:bottom w:val="single" w:sz="4" w:space="0" w:color="BFBFBF"/>
              <w:right w:val="single" w:sz="4" w:space="0" w:color="BFBFBF"/>
            </w:tcBorders>
            <w:tcW w:w="482" w:type="dxa"/>
            <w:shd w:val="clear" w:color="auto" w:fill="1F3A5F"/>
            <w:tcW w:w="482" w:type="dxa"/>
          </w:tcPr>
          <w:p>
            <w:pPr>
              <w:spacing w:after="40" w:before="40" w:line="264" w:lineRule="auto"/>
              <w:jc w:val="center"/>
            </w:pPr>
            <w:r/>
            <w:r>
              <w:rPr>
                <w:rFonts w:ascii="Cambria" w:hAnsi="Cambria" w:eastAsia="Cambria"/>
                <w:b/>
                <w:i w:val="0"/>
                <w:color w:val="FFFFFF"/>
                <w:sz w:val="14"/>
              </w:rPr>
              <w:t>PO4</w:t>
            </w:r>
          </w:p>
        </w:tc>
        <w:tc>
          <w:tcPr>
            <w:tcW w:type="dxa" w:w="482"/>
            <w:tcBorders>
              <w:top w:val="single" w:sz="4" w:space="0" w:color="BFBFBF"/>
              <w:left w:val="single" w:sz="4" w:space="0" w:color="BFBFBF"/>
              <w:bottom w:val="single" w:sz="4" w:space="0" w:color="BFBFBF"/>
              <w:right w:val="single" w:sz="4" w:space="0" w:color="BFBFBF"/>
            </w:tcBorders>
            <w:tcW w:w="482" w:type="dxa"/>
            <w:shd w:val="clear" w:color="auto" w:fill="1F3A5F"/>
            <w:tcW w:w="482" w:type="dxa"/>
          </w:tcPr>
          <w:p>
            <w:pPr>
              <w:spacing w:after="40" w:before="40" w:line="264" w:lineRule="auto"/>
              <w:jc w:val="center"/>
            </w:pPr>
            <w:r/>
            <w:r>
              <w:rPr>
                <w:rFonts w:ascii="Cambria" w:hAnsi="Cambria" w:eastAsia="Cambria"/>
                <w:b/>
                <w:i w:val="0"/>
                <w:color w:val="FFFFFF"/>
                <w:sz w:val="14"/>
              </w:rPr>
              <w:t>PO5</w:t>
            </w:r>
          </w:p>
        </w:tc>
        <w:tc>
          <w:tcPr>
            <w:tcW w:type="dxa" w:w="482"/>
            <w:tcBorders>
              <w:top w:val="single" w:sz="4" w:space="0" w:color="BFBFBF"/>
              <w:left w:val="single" w:sz="4" w:space="0" w:color="BFBFBF"/>
              <w:bottom w:val="single" w:sz="4" w:space="0" w:color="BFBFBF"/>
              <w:right w:val="single" w:sz="4" w:space="0" w:color="BFBFBF"/>
            </w:tcBorders>
            <w:tcW w:w="482" w:type="dxa"/>
            <w:shd w:val="clear" w:color="auto" w:fill="1F3A5F"/>
            <w:tcW w:w="482" w:type="dxa"/>
          </w:tcPr>
          <w:p>
            <w:pPr>
              <w:spacing w:after="40" w:before="40" w:line="264" w:lineRule="auto"/>
              <w:jc w:val="center"/>
            </w:pPr>
            <w:r/>
            <w:r>
              <w:rPr>
                <w:rFonts w:ascii="Cambria" w:hAnsi="Cambria" w:eastAsia="Cambria"/>
                <w:b/>
                <w:i w:val="0"/>
                <w:color w:val="FFFFFF"/>
                <w:sz w:val="14"/>
              </w:rPr>
              <w:t>PO6</w:t>
            </w:r>
          </w:p>
        </w:tc>
        <w:tc>
          <w:tcPr>
            <w:tcW w:type="dxa" w:w="482"/>
            <w:tcBorders>
              <w:top w:val="single" w:sz="4" w:space="0" w:color="BFBFBF"/>
              <w:left w:val="single" w:sz="4" w:space="0" w:color="BFBFBF"/>
              <w:bottom w:val="single" w:sz="4" w:space="0" w:color="BFBFBF"/>
              <w:right w:val="single" w:sz="4" w:space="0" w:color="BFBFBF"/>
            </w:tcBorders>
            <w:tcW w:w="482" w:type="dxa"/>
            <w:shd w:val="clear" w:color="auto" w:fill="1F3A5F"/>
            <w:tcW w:w="482" w:type="dxa"/>
          </w:tcPr>
          <w:p>
            <w:pPr>
              <w:spacing w:after="40" w:before="40" w:line="264" w:lineRule="auto"/>
              <w:jc w:val="center"/>
            </w:pPr>
            <w:r/>
            <w:r>
              <w:rPr>
                <w:rFonts w:ascii="Cambria" w:hAnsi="Cambria" w:eastAsia="Cambria"/>
                <w:b/>
                <w:i w:val="0"/>
                <w:color w:val="FFFFFF"/>
                <w:sz w:val="14"/>
              </w:rPr>
              <w:t>PO7</w:t>
            </w:r>
          </w:p>
        </w:tc>
        <w:tc>
          <w:tcPr>
            <w:tcW w:type="dxa" w:w="482"/>
            <w:tcBorders>
              <w:top w:val="single" w:sz="4" w:space="0" w:color="BFBFBF"/>
              <w:left w:val="single" w:sz="4" w:space="0" w:color="BFBFBF"/>
              <w:bottom w:val="single" w:sz="4" w:space="0" w:color="BFBFBF"/>
              <w:right w:val="single" w:sz="4" w:space="0" w:color="BFBFBF"/>
            </w:tcBorders>
            <w:tcW w:w="482" w:type="dxa"/>
            <w:shd w:val="clear" w:color="auto" w:fill="1F3A5F"/>
            <w:tcW w:w="482" w:type="dxa"/>
          </w:tcPr>
          <w:p>
            <w:pPr>
              <w:spacing w:after="40" w:before="40" w:line="264" w:lineRule="auto"/>
              <w:jc w:val="center"/>
            </w:pPr>
            <w:r/>
            <w:r>
              <w:rPr>
                <w:rFonts w:ascii="Cambria" w:hAnsi="Cambria" w:eastAsia="Cambria"/>
                <w:b/>
                <w:i w:val="0"/>
                <w:color w:val="FFFFFF"/>
                <w:sz w:val="14"/>
              </w:rPr>
              <w:t>PO8</w:t>
            </w:r>
          </w:p>
        </w:tc>
        <w:tc>
          <w:tcPr>
            <w:tcW w:type="dxa" w:w="482"/>
            <w:tcBorders>
              <w:top w:val="single" w:sz="4" w:space="0" w:color="BFBFBF"/>
              <w:left w:val="single" w:sz="4" w:space="0" w:color="BFBFBF"/>
              <w:bottom w:val="single" w:sz="4" w:space="0" w:color="BFBFBF"/>
              <w:right w:val="single" w:sz="4" w:space="0" w:color="BFBFBF"/>
            </w:tcBorders>
            <w:tcW w:w="482" w:type="dxa"/>
            <w:shd w:val="clear" w:color="auto" w:fill="1F3A5F"/>
            <w:tcW w:w="482" w:type="dxa"/>
          </w:tcPr>
          <w:p>
            <w:pPr>
              <w:spacing w:after="40" w:before="40" w:line="264" w:lineRule="auto"/>
              <w:jc w:val="center"/>
            </w:pPr>
            <w:r/>
            <w:r>
              <w:rPr>
                <w:rFonts w:ascii="Cambria" w:hAnsi="Cambria" w:eastAsia="Cambria"/>
                <w:b/>
                <w:i w:val="0"/>
                <w:color w:val="FFFFFF"/>
                <w:sz w:val="14"/>
              </w:rPr>
              <w:t>PO9</w:t>
            </w:r>
          </w:p>
        </w:tc>
        <w:tc>
          <w:tcPr>
            <w:tcW w:type="dxa" w:w="510"/>
            <w:tcBorders>
              <w:top w:val="single" w:sz="4" w:space="0" w:color="BFBFBF"/>
              <w:left w:val="single" w:sz="4" w:space="0" w:color="BFBFBF"/>
              <w:bottom w:val="single" w:sz="4" w:space="0" w:color="BFBFBF"/>
              <w:right w:val="single" w:sz="4" w:space="0" w:color="BFBFBF"/>
            </w:tcBorders>
            <w:tcW w:w="510" w:type="dxa"/>
            <w:shd w:val="clear" w:color="auto" w:fill="1F3A5F"/>
            <w:tcW w:w="510" w:type="dxa"/>
          </w:tcPr>
          <w:p>
            <w:pPr>
              <w:spacing w:after="40" w:before="40" w:line="264" w:lineRule="auto"/>
              <w:jc w:val="center"/>
            </w:pPr>
            <w:r/>
            <w:r>
              <w:rPr>
                <w:rFonts w:ascii="Cambria" w:hAnsi="Cambria" w:eastAsia="Cambria"/>
                <w:b/>
                <w:i w:val="0"/>
                <w:color w:val="FFFFFF"/>
                <w:sz w:val="14"/>
              </w:rPr>
              <w:t>PO10</w:t>
            </w:r>
          </w:p>
        </w:tc>
        <w:tc>
          <w:tcPr>
            <w:tcW w:type="dxa" w:w="567"/>
            <w:tcBorders>
              <w:top w:val="single" w:sz="4" w:space="0" w:color="BFBFBF"/>
              <w:left w:val="single" w:sz="4" w:space="0" w:color="BFBFBF"/>
              <w:bottom w:val="single" w:sz="4" w:space="0" w:color="BFBFBF"/>
              <w:right w:val="single" w:sz="4" w:space="0" w:color="BFBFBF"/>
            </w:tcBorders>
            <w:tcW w:w="567" w:type="dxa"/>
            <w:shd w:val="clear" w:color="auto" w:fill="1F3A5F"/>
            <w:tcW w:w="567" w:type="dxa"/>
          </w:tcPr>
          <w:p>
            <w:pPr>
              <w:spacing w:after="40" w:before="40" w:line="264" w:lineRule="auto"/>
              <w:jc w:val="center"/>
            </w:pPr>
            <w:r/>
            <w:r>
              <w:rPr>
                <w:rFonts w:ascii="Cambria" w:hAnsi="Cambria" w:eastAsia="Cambria"/>
                <w:b/>
                <w:i w:val="0"/>
                <w:color w:val="FFFFFF"/>
                <w:sz w:val="14"/>
              </w:rPr>
              <w:t>PSO1</w:t>
            </w:r>
          </w:p>
        </w:tc>
        <w:tc>
          <w:tcPr>
            <w:tcW w:type="dxa" w:w="567"/>
            <w:tcBorders>
              <w:top w:val="single" w:sz="4" w:space="0" w:color="BFBFBF"/>
              <w:left w:val="single" w:sz="4" w:space="0" w:color="BFBFBF"/>
              <w:bottom w:val="single" w:sz="4" w:space="0" w:color="BFBFBF"/>
              <w:right w:val="single" w:sz="4" w:space="0" w:color="BFBFBF"/>
            </w:tcBorders>
            <w:tcW w:w="567" w:type="dxa"/>
            <w:shd w:val="clear" w:color="auto" w:fill="1F3A5F"/>
            <w:tcW w:w="567" w:type="dxa"/>
          </w:tcPr>
          <w:p>
            <w:pPr>
              <w:spacing w:after="40" w:before="40" w:line="264" w:lineRule="auto"/>
              <w:jc w:val="center"/>
            </w:pPr>
            <w:r/>
            <w:r>
              <w:rPr>
                <w:rFonts w:ascii="Cambria" w:hAnsi="Cambria" w:eastAsia="Cambria"/>
                <w:b/>
                <w:i w:val="0"/>
                <w:color w:val="FFFFFF"/>
                <w:sz w:val="14"/>
              </w:rPr>
              <w:t>PSO2</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4"/>
              </w:rPr>
              <w:t>CS301</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4"/>
              </w:rPr>
              <w:t>Data Structures</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3</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2</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3</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2</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1</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0</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0</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0</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0</w:t>
            </w:r>
          </w:p>
        </w:tc>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4"/>
              </w:rPr>
              <w:t>0</w:t>
            </w:r>
          </w:p>
        </w:tc>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4"/>
              </w:rPr>
              <w:t>3</w:t>
            </w:r>
          </w:p>
        </w:tc>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4"/>
              </w:rPr>
              <w:t>2</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4"/>
              </w:rPr>
              <w:t>CS302</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4"/>
              </w:rPr>
              <w:t>Database Systems</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3</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3</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2</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2</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1</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0</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0</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0</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0</w:t>
            </w:r>
          </w:p>
        </w:tc>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4"/>
              </w:rPr>
              <w:t>0</w:t>
            </w:r>
          </w:p>
        </w:tc>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4"/>
              </w:rPr>
              <w:t>2</w:t>
            </w:r>
          </w:p>
        </w:tc>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4"/>
              </w:rPr>
              <w:t>3</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4"/>
              </w:rPr>
              <w:t>CS303</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4"/>
              </w:rPr>
              <w:t>Operating Systems</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2</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3</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3</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2</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1</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0</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0</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0</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0</w:t>
            </w:r>
          </w:p>
        </w:tc>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4"/>
              </w:rPr>
              <w:t>0</w:t>
            </w:r>
          </w:p>
        </w:tc>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4"/>
              </w:rPr>
              <w:t>2</w:t>
            </w:r>
          </w:p>
        </w:tc>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4"/>
              </w:rPr>
              <w:t>2</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4"/>
              </w:rPr>
              <w:t>CS304</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4"/>
              </w:rPr>
              <w:t>Computer Networks</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3</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2</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2</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3</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1</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0</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0</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0</w:t>
            </w:r>
          </w:p>
        </w:tc>
        <w:tc>
          <w:tcPr>
            <w:tcW w:type="dxa" w:w="482"/>
            <w:shd w:val="clear" w:color="auto" w:fill="FFFFFF"/>
            <w:tcW w:w="482" w:type="dxa"/>
          </w:tcPr>
          <w:p>
            <w:pPr>
              <w:spacing w:after="40" w:before="40" w:line="264" w:lineRule="auto"/>
              <w:jc w:val="left"/>
            </w:pPr>
            <w:r/>
            <w:r>
              <w:rPr>
                <w:rFonts w:ascii="Cambria" w:hAnsi="Cambria" w:eastAsia="Cambria"/>
                <w:b w:val="0"/>
                <w:i w:val="0"/>
                <w:color w:val="000000"/>
                <w:sz w:val="14"/>
              </w:rPr>
              <w:t>0</w:t>
            </w:r>
          </w:p>
        </w:tc>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4"/>
              </w:rPr>
              <w:t>0</w:t>
            </w:r>
          </w:p>
        </w:tc>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4"/>
              </w:rPr>
              <w:t>2</w:t>
            </w:r>
          </w:p>
        </w:tc>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4"/>
              </w:rPr>
              <w:t>2</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4"/>
              </w:rPr>
              <w:t>CS305</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4"/>
              </w:rPr>
              <w:t>AI Fundamentals</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2</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2</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3</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3</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2</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0</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0</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0</w:t>
            </w:r>
          </w:p>
        </w:tc>
        <w:tc>
          <w:tcPr>
            <w:tcW w:type="dxa" w:w="482"/>
            <w:shd w:val="clear" w:color="auto" w:fill="E8ECF2"/>
            <w:tcW w:w="482" w:type="dxa"/>
          </w:tcPr>
          <w:p>
            <w:pPr>
              <w:spacing w:after="40" w:before="40" w:line="264" w:lineRule="auto"/>
              <w:jc w:val="left"/>
            </w:pPr>
            <w:r/>
            <w:r>
              <w:rPr>
                <w:rFonts w:ascii="Cambria" w:hAnsi="Cambria" w:eastAsia="Cambria"/>
                <w:b w:val="0"/>
                <w:i w:val="0"/>
                <w:color w:val="000000"/>
                <w:sz w:val="14"/>
              </w:rPr>
              <w:t>0</w:t>
            </w:r>
          </w:p>
        </w:tc>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4"/>
              </w:rPr>
              <w:t>0</w:t>
            </w:r>
          </w:p>
        </w:tc>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4"/>
              </w:rPr>
              <w:t>3</w:t>
            </w:r>
          </w:p>
        </w:tc>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4"/>
              </w:rPr>
              <w:t>3</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Analysis: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Ensures all POs (PO1–PO10) and PSOs (PSO1–PSO2) are covered through multiple courses.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Highlights the contribution of each course towards holistic program outcomes.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PO/PSO Attainment Summary Based on CO Mapping</w:t>
      </w:r>
    </w:p>
    <w:tbl>
      <w:tblPr>
        <w:tblW w:type="auto" w:w="0"/>
        <w:jc w:val="center"/>
        <w:tblLook w:firstColumn="1" w:firstRow="1" w:lastColumn="0" w:lastRow="0" w:noHBand="0" w:noVBand="1" w:val="04A0"/>
        <w:tblLayout w:type="fixed"/>
        <w:tblLayout w:type="fixed"/>
      </w:tblPr>
      <w:tblGrid>
        <w:gridCol w:w="624"/>
        <w:gridCol w:w="425"/>
        <w:gridCol w:w="425"/>
        <w:gridCol w:w="425"/>
        <w:gridCol w:w="425"/>
        <w:gridCol w:w="425"/>
        <w:gridCol w:w="425"/>
        <w:gridCol w:w="454"/>
        <w:gridCol w:w="454"/>
        <w:gridCol w:w="567"/>
        <w:gridCol w:w="624"/>
        <w:gridCol w:w="425"/>
        <w:gridCol w:w="1701"/>
      </w:tblGrid>
      <w:tr>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4"/>
              </w:rPr>
              <w:t>Year</w:t>
            </w:r>
          </w:p>
        </w:tc>
        <w:tc>
          <w:tcPr>
            <w:tcW w:type="dxa" w:w="425"/>
            <w:tcBorders>
              <w:top w:val="single" w:sz="4" w:space="0" w:color="BFBFBF"/>
              <w:left w:val="single" w:sz="4" w:space="0" w:color="BFBFBF"/>
              <w:bottom w:val="single" w:sz="4" w:space="0" w:color="BFBFBF"/>
              <w:right w:val="single" w:sz="4" w:space="0" w:color="BFBFBF"/>
            </w:tcBorders>
            <w:tcW w:w="425" w:type="dxa"/>
            <w:shd w:val="clear" w:color="auto" w:fill="1F3A5F"/>
            <w:tcW w:w="425" w:type="dxa"/>
          </w:tcPr>
          <w:p>
            <w:pPr>
              <w:spacing w:after="40" w:before="40" w:line="264" w:lineRule="auto"/>
              <w:jc w:val="center"/>
            </w:pPr>
            <w:r/>
            <w:r>
              <w:rPr>
                <w:rFonts w:ascii="Cambria" w:hAnsi="Cambria" w:eastAsia="Cambria"/>
                <w:b/>
                <w:i w:val="0"/>
                <w:color w:val="FFFFFF"/>
                <w:sz w:val="14"/>
              </w:rPr>
              <w:t>PO1</w:t>
            </w:r>
          </w:p>
        </w:tc>
        <w:tc>
          <w:tcPr>
            <w:tcW w:type="dxa" w:w="425"/>
            <w:tcBorders>
              <w:top w:val="single" w:sz="4" w:space="0" w:color="BFBFBF"/>
              <w:left w:val="single" w:sz="4" w:space="0" w:color="BFBFBF"/>
              <w:bottom w:val="single" w:sz="4" w:space="0" w:color="BFBFBF"/>
              <w:right w:val="single" w:sz="4" w:space="0" w:color="BFBFBF"/>
            </w:tcBorders>
            <w:tcW w:w="425" w:type="dxa"/>
            <w:shd w:val="clear" w:color="auto" w:fill="1F3A5F"/>
            <w:tcW w:w="425" w:type="dxa"/>
          </w:tcPr>
          <w:p>
            <w:pPr>
              <w:spacing w:after="40" w:before="40" w:line="264" w:lineRule="auto"/>
              <w:jc w:val="center"/>
            </w:pPr>
            <w:r/>
            <w:r>
              <w:rPr>
                <w:rFonts w:ascii="Cambria" w:hAnsi="Cambria" w:eastAsia="Cambria"/>
                <w:b/>
                <w:i w:val="0"/>
                <w:color w:val="FFFFFF"/>
                <w:sz w:val="14"/>
              </w:rPr>
              <w:t>PO2</w:t>
            </w:r>
          </w:p>
        </w:tc>
        <w:tc>
          <w:tcPr>
            <w:tcW w:type="dxa" w:w="425"/>
            <w:tcBorders>
              <w:top w:val="single" w:sz="4" w:space="0" w:color="BFBFBF"/>
              <w:left w:val="single" w:sz="4" w:space="0" w:color="BFBFBF"/>
              <w:bottom w:val="single" w:sz="4" w:space="0" w:color="BFBFBF"/>
              <w:right w:val="single" w:sz="4" w:space="0" w:color="BFBFBF"/>
            </w:tcBorders>
            <w:tcW w:w="425" w:type="dxa"/>
            <w:shd w:val="clear" w:color="auto" w:fill="1F3A5F"/>
            <w:tcW w:w="425" w:type="dxa"/>
          </w:tcPr>
          <w:p>
            <w:pPr>
              <w:spacing w:after="40" w:before="40" w:line="264" w:lineRule="auto"/>
              <w:jc w:val="center"/>
            </w:pPr>
            <w:r/>
            <w:r>
              <w:rPr>
                <w:rFonts w:ascii="Cambria" w:hAnsi="Cambria" w:eastAsia="Cambria"/>
                <w:b/>
                <w:i w:val="0"/>
                <w:color w:val="FFFFFF"/>
                <w:sz w:val="14"/>
              </w:rPr>
              <w:t>PO3</w:t>
            </w:r>
          </w:p>
        </w:tc>
        <w:tc>
          <w:tcPr>
            <w:tcW w:type="dxa" w:w="425"/>
            <w:tcBorders>
              <w:top w:val="single" w:sz="4" w:space="0" w:color="BFBFBF"/>
              <w:left w:val="single" w:sz="4" w:space="0" w:color="BFBFBF"/>
              <w:bottom w:val="single" w:sz="4" w:space="0" w:color="BFBFBF"/>
              <w:right w:val="single" w:sz="4" w:space="0" w:color="BFBFBF"/>
            </w:tcBorders>
            <w:tcW w:w="425" w:type="dxa"/>
            <w:shd w:val="clear" w:color="auto" w:fill="1F3A5F"/>
            <w:tcW w:w="425" w:type="dxa"/>
          </w:tcPr>
          <w:p>
            <w:pPr>
              <w:spacing w:after="40" w:before="40" w:line="264" w:lineRule="auto"/>
              <w:jc w:val="center"/>
            </w:pPr>
            <w:r/>
            <w:r>
              <w:rPr>
                <w:rFonts w:ascii="Cambria" w:hAnsi="Cambria" w:eastAsia="Cambria"/>
                <w:b/>
                <w:i w:val="0"/>
                <w:color w:val="FFFFFF"/>
                <w:sz w:val="14"/>
              </w:rPr>
              <w:t>PO4</w:t>
            </w:r>
          </w:p>
        </w:tc>
        <w:tc>
          <w:tcPr>
            <w:tcW w:type="dxa" w:w="425"/>
            <w:tcBorders>
              <w:top w:val="single" w:sz="4" w:space="0" w:color="BFBFBF"/>
              <w:left w:val="single" w:sz="4" w:space="0" w:color="BFBFBF"/>
              <w:bottom w:val="single" w:sz="4" w:space="0" w:color="BFBFBF"/>
              <w:right w:val="single" w:sz="4" w:space="0" w:color="BFBFBF"/>
            </w:tcBorders>
            <w:tcW w:w="425" w:type="dxa"/>
            <w:shd w:val="clear" w:color="auto" w:fill="1F3A5F"/>
            <w:tcW w:w="425" w:type="dxa"/>
          </w:tcPr>
          <w:p>
            <w:pPr>
              <w:spacing w:after="40" w:before="40" w:line="264" w:lineRule="auto"/>
              <w:jc w:val="center"/>
            </w:pPr>
            <w:r/>
            <w:r>
              <w:rPr>
                <w:rFonts w:ascii="Cambria" w:hAnsi="Cambria" w:eastAsia="Cambria"/>
                <w:b/>
                <w:i w:val="0"/>
                <w:color w:val="FFFFFF"/>
                <w:sz w:val="14"/>
              </w:rPr>
              <w:t>PO5</w:t>
            </w:r>
          </w:p>
        </w:tc>
        <w:tc>
          <w:tcPr>
            <w:tcW w:type="dxa" w:w="425"/>
            <w:tcBorders>
              <w:top w:val="single" w:sz="4" w:space="0" w:color="BFBFBF"/>
              <w:left w:val="single" w:sz="4" w:space="0" w:color="BFBFBF"/>
              <w:bottom w:val="single" w:sz="4" w:space="0" w:color="BFBFBF"/>
              <w:right w:val="single" w:sz="4" w:space="0" w:color="BFBFBF"/>
            </w:tcBorders>
            <w:tcW w:w="425" w:type="dxa"/>
            <w:shd w:val="clear" w:color="auto" w:fill="1F3A5F"/>
            <w:tcW w:w="425" w:type="dxa"/>
          </w:tcPr>
          <w:p>
            <w:pPr>
              <w:spacing w:after="40" w:before="40" w:line="264" w:lineRule="auto"/>
              <w:jc w:val="center"/>
            </w:pPr>
            <w:r/>
            <w:r>
              <w:rPr>
                <w:rFonts w:ascii="Cambria" w:hAnsi="Cambria" w:eastAsia="Cambria"/>
                <w:b/>
                <w:i w:val="0"/>
                <w:color w:val="FFFFFF"/>
                <w:sz w:val="14"/>
              </w:rPr>
              <w:t>PO6</w:t>
            </w:r>
          </w:p>
        </w:tc>
        <w:tc>
          <w:tcPr>
            <w:tcW w:type="dxa" w:w="454"/>
            <w:tcBorders>
              <w:top w:val="single" w:sz="4" w:space="0" w:color="BFBFBF"/>
              <w:left w:val="single" w:sz="4" w:space="0" w:color="BFBFBF"/>
              <w:bottom w:val="single" w:sz="4" w:space="0" w:color="BFBFBF"/>
              <w:right w:val="single" w:sz="4" w:space="0" w:color="BFBFBF"/>
            </w:tcBorders>
            <w:tcW w:w="454" w:type="dxa"/>
            <w:shd w:val="clear" w:color="auto" w:fill="1F3A5F"/>
            <w:tcW w:w="454" w:type="dxa"/>
          </w:tcPr>
          <w:p>
            <w:pPr>
              <w:spacing w:after="40" w:before="40" w:line="264" w:lineRule="auto"/>
              <w:jc w:val="center"/>
            </w:pPr>
            <w:r/>
            <w:r>
              <w:rPr>
                <w:rFonts w:ascii="Cambria" w:hAnsi="Cambria" w:eastAsia="Cambria"/>
                <w:b/>
                <w:i w:val="0"/>
                <w:color w:val="FFFFFF"/>
                <w:sz w:val="14"/>
              </w:rPr>
              <w:t>PSO1</w:t>
            </w:r>
          </w:p>
        </w:tc>
        <w:tc>
          <w:tcPr>
            <w:tcW w:type="dxa" w:w="454"/>
            <w:tcBorders>
              <w:top w:val="single" w:sz="4" w:space="0" w:color="BFBFBF"/>
              <w:left w:val="single" w:sz="4" w:space="0" w:color="BFBFBF"/>
              <w:bottom w:val="single" w:sz="4" w:space="0" w:color="BFBFBF"/>
              <w:right w:val="single" w:sz="4" w:space="0" w:color="BFBFBF"/>
            </w:tcBorders>
            <w:tcW w:w="454" w:type="dxa"/>
            <w:shd w:val="clear" w:color="auto" w:fill="1F3A5F"/>
            <w:tcW w:w="454" w:type="dxa"/>
          </w:tcPr>
          <w:p>
            <w:pPr>
              <w:spacing w:after="40" w:before="40" w:line="264" w:lineRule="auto"/>
              <w:jc w:val="center"/>
            </w:pPr>
            <w:r/>
            <w:r>
              <w:rPr>
                <w:rFonts w:ascii="Cambria" w:hAnsi="Cambria" w:eastAsia="Cambria"/>
                <w:b/>
                <w:i w:val="0"/>
                <w:color w:val="FFFFFF"/>
                <w:sz w:val="14"/>
              </w:rPr>
              <w:t>PSO2</w:t>
            </w:r>
          </w:p>
        </w:tc>
        <w:tc>
          <w:tcPr>
            <w:tcW w:type="dxa" w:w="567"/>
            <w:tcBorders>
              <w:top w:val="single" w:sz="4" w:space="0" w:color="BFBFBF"/>
              <w:left w:val="single" w:sz="4" w:space="0" w:color="BFBFBF"/>
              <w:bottom w:val="single" w:sz="4" w:space="0" w:color="BFBFBF"/>
              <w:right w:val="single" w:sz="4" w:space="0" w:color="BFBFBF"/>
            </w:tcBorders>
            <w:tcW w:w="567" w:type="dxa"/>
            <w:shd w:val="clear" w:color="auto" w:fill="1F3A5F"/>
            <w:tcW w:w="567" w:type="dxa"/>
          </w:tcPr>
          <w:p>
            <w:pPr>
              <w:spacing w:after="40" w:before="40" w:line="264" w:lineRule="auto"/>
              <w:jc w:val="center"/>
            </w:pPr>
            <w:r/>
            <w:r>
              <w:rPr>
                <w:rFonts w:ascii="Cambria" w:hAnsi="Cambria" w:eastAsia="Cambria"/>
                <w:b/>
                <w:i w:val="0"/>
                <w:color w:val="FFFFFF"/>
                <w:sz w:val="14"/>
              </w:rPr>
              <w:t>Target</w:t>
              <w:br/>
              <w:t>(%)</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4"/>
              </w:rPr>
              <w:t>Attained</w:t>
              <w:br/>
              <w:t>(%)</w:t>
            </w:r>
          </w:p>
        </w:tc>
        <w:tc>
          <w:tcPr>
            <w:tcW w:type="dxa" w:w="425"/>
            <w:tcBorders>
              <w:top w:val="single" w:sz="4" w:space="0" w:color="BFBFBF"/>
              <w:left w:val="single" w:sz="4" w:space="0" w:color="BFBFBF"/>
              <w:bottom w:val="single" w:sz="4" w:space="0" w:color="BFBFBF"/>
              <w:right w:val="single" w:sz="4" w:space="0" w:color="BFBFBF"/>
            </w:tcBorders>
            <w:tcW w:w="425" w:type="dxa"/>
            <w:shd w:val="clear" w:color="auto" w:fill="1F3A5F"/>
            <w:tcW w:w="425" w:type="dxa"/>
          </w:tcPr>
          <w:p>
            <w:pPr>
              <w:spacing w:after="40" w:before="40" w:line="264" w:lineRule="auto"/>
              <w:jc w:val="center"/>
            </w:pPr>
            <w:r/>
            <w:r>
              <w:rPr>
                <w:rFonts w:ascii="Cambria" w:hAnsi="Cambria" w:eastAsia="Cambria"/>
                <w:b/>
                <w:i w:val="0"/>
                <w:color w:val="FFFFFF"/>
                <w:sz w:val="14"/>
              </w:rPr>
              <w:t>Gap</w:t>
              <w:br/>
              <w:t>(%)</w:t>
            </w:r>
          </w:p>
        </w:tc>
        <w:tc>
          <w:tcPr>
            <w:tcW w:type="dxa" w:w="1701"/>
            <w:tcBorders>
              <w:top w:val="single" w:sz="4" w:space="0" w:color="BFBFBF"/>
              <w:left w:val="single" w:sz="4" w:space="0" w:color="BFBFBF"/>
              <w:bottom w:val="single" w:sz="4" w:space="0" w:color="BFBFBF"/>
              <w:right w:val="single" w:sz="4" w:space="0" w:color="BFBFBF"/>
            </w:tcBorders>
            <w:tcW w:w="1701" w:type="dxa"/>
            <w:shd w:val="clear" w:color="auto" w:fill="1F3A5F"/>
            <w:tcW w:w="1701" w:type="dxa"/>
          </w:tcPr>
          <w:p>
            <w:pPr>
              <w:spacing w:after="40" w:before="40" w:line="264" w:lineRule="auto"/>
              <w:jc w:val="center"/>
            </w:pPr>
            <w:r/>
            <w:r>
              <w:rPr>
                <w:rFonts w:ascii="Cambria" w:hAnsi="Cambria" w:eastAsia="Cambria"/>
                <w:b/>
                <w:i w:val="0"/>
                <w:color w:val="FFFFFF"/>
                <w:sz w:val="14"/>
              </w:rPr>
              <w:t>Action Taken</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2022–23</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72</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68</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75</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70</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65</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60</w:t>
            </w:r>
          </w:p>
        </w:tc>
        <w:tc>
          <w:tcPr>
            <w:tcW w:type="dxa" w:w="454"/>
            <w:shd w:val="clear" w:color="auto" w:fill="E8ECF2"/>
            <w:tcW w:w="454" w:type="dxa"/>
          </w:tcPr>
          <w:p>
            <w:pPr>
              <w:spacing w:after="40" w:before="40" w:line="264" w:lineRule="auto"/>
              <w:jc w:val="left"/>
            </w:pPr>
            <w:r/>
            <w:r>
              <w:rPr>
                <w:rFonts w:ascii="Cambria" w:hAnsi="Cambria" w:eastAsia="Cambria"/>
                <w:b w:val="0"/>
                <w:i w:val="0"/>
                <w:color w:val="000000"/>
                <w:sz w:val="14"/>
              </w:rPr>
              <w:t>74</w:t>
            </w:r>
          </w:p>
        </w:tc>
        <w:tc>
          <w:tcPr>
            <w:tcW w:type="dxa" w:w="454"/>
            <w:shd w:val="clear" w:color="auto" w:fill="E8ECF2"/>
            <w:tcW w:w="454" w:type="dxa"/>
          </w:tcPr>
          <w:p>
            <w:pPr>
              <w:spacing w:after="40" w:before="40" w:line="264" w:lineRule="auto"/>
              <w:jc w:val="left"/>
            </w:pPr>
            <w:r/>
            <w:r>
              <w:rPr>
                <w:rFonts w:ascii="Cambria" w:hAnsi="Cambria" w:eastAsia="Cambria"/>
                <w:b w:val="0"/>
                <w:i w:val="0"/>
                <w:color w:val="000000"/>
                <w:sz w:val="14"/>
              </w:rPr>
              <w:t>69</w:t>
            </w:r>
          </w:p>
        </w:tc>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4"/>
              </w:rPr>
              <w:t>70</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69</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1</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4"/>
              </w:rPr>
              <w:t>More practical sessions</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2023–24</w:t>
            </w:r>
          </w:p>
        </w:tc>
        <w:tc>
          <w:tcPr>
            <w:tcW w:type="dxa" w:w="425"/>
            <w:shd w:val="clear" w:color="auto" w:fill="FFFFFF"/>
            <w:tcW w:w="425" w:type="dxa"/>
          </w:tcPr>
          <w:p>
            <w:pPr>
              <w:spacing w:after="40" w:before="40" w:line="264" w:lineRule="auto"/>
              <w:jc w:val="left"/>
            </w:pPr>
            <w:r/>
            <w:r>
              <w:rPr>
                <w:rFonts w:ascii="Cambria" w:hAnsi="Cambria" w:eastAsia="Cambria"/>
                <w:b w:val="0"/>
                <w:i w:val="0"/>
                <w:color w:val="000000"/>
                <w:sz w:val="14"/>
              </w:rPr>
              <w:t>74</w:t>
            </w:r>
          </w:p>
        </w:tc>
        <w:tc>
          <w:tcPr>
            <w:tcW w:type="dxa" w:w="425"/>
            <w:shd w:val="clear" w:color="auto" w:fill="FFFFFF"/>
            <w:tcW w:w="425" w:type="dxa"/>
          </w:tcPr>
          <w:p>
            <w:pPr>
              <w:spacing w:after="40" w:before="40" w:line="264" w:lineRule="auto"/>
              <w:jc w:val="left"/>
            </w:pPr>
            <w:r/>
            <w:r>
              <w:rPr>
                <w:rFonts w:ascii="Cambria" w:hAnsi="Cambria" w:eastAsia="Cambria"/>
                <w:b w:val="0"/>
                <w:i w:val="0"/>
                <w:color w:val="000000"/>
                <w:sz w:val="14"/>
              </w:rPr>
              <w:t>70</w:t>
            </w:r>
          </w:p>
        </w:tc>
        <w:tc>
          <w:tcPr>
            <w:tcW w:type="dxa" w:w="425"/>
            <w:shd w:val="clear" w:color="auto" w:fill="FFFFFF"/>
            <w:tcW w:w="425" w:type="dxa"/>
          </w:tcPr>
          <w:p>
            <w:pPr>
              <w:spacing w:after="40" w:before="40" w:line="264" w:lineRule="auto"/>
              <w:jc w:val="left"/>
            </w:pPr>
            <w:r/>
            <w:r>
              <w:rPr>
                <w:rFonts w:ascii="Cambria" w:hAnsi="Cambria" w:eastAsia="Cambria"/>
                <w:b w:val="0"/>
                <w:i w:val="0"/>
                <w:color w:val="000000"/>
                <w:sz w:val="14"/>
              </w:rPr>
              <w:t>78</w:t>
            </w:r>
          </w:p>
        </w:tc>
        <w:tc>
          <w:tcPr>
            <w:tcW w:type="dxa" w:w="425"/>
            <w:shd w:val="clear" w:color="auto" w:fill="FFFFFF"/>
            <w:tcW w:w="425" w:type="dxa"/>
          </w:tcPr>
          <w:p>
            <w:pPr>
              <w:spacing w:after="40" w:before="40" w:line="264" w:lineRule="auto"/>
              <w:jc w:val="left"/>
            </w:pPr>
            <w:r/>
            <w:r>
              <w:rPr>
                <w:rFonts w:ascii="Cambria" w:hAnsi="Cambria" w:eastAsia="Cambria"/>
                <w:b w:val="0"/>
                <w:i w:val="0"/>
                <w:color w:val="000000"/>
                <w:sz w:val="14"/>
              </w:rPr>
              <w:t>73</w:t>
            </w:r>
          </w:p>
        </w:tc>
        <w:tc>
          <w:tcPr>
            <w:tcW w:type="dxa" w:w="425"/>
            <w:shd w:val="clear" w:color="auto" w:fill="FFFFFF"/>
            <w:tcW w:w="425" w:type="dxa"/>
          </w:tcPr>
          <w:p>
            <w:pPr>
              <w:spacing w:after="40" w:before="40" w:line="264" w:lineRule="auto"/>
              <w:jc w:val="left"/>
            </w:pPr>
            <w:r/>
            <w:r>
              <w:rPr>
                <w:rFonts w:ascii="Cambria" w:hAnsi="Cambria" w:eastAsia="Cambria"/>
                <w:b w:val="0"/>
                <w:i w:val="0"/>
                <w:color w:val="000000"/>
                <w:sz w:val="14"/>
              </w:rPr>
              <w:t>68</w:t>
            </w:r>
          </w:p>
        </w:tc>
        <w:tc>
          <w:tcPr>
            <w:tcW w:type="dxa" w:w="425"/>
            <w:shd w:val="clear" w:color="auto" w:fill="FFFFFF"/>
            <w:tcW w:w="425" w:type="dxa"/>
          </w:tcPr>
          <w:p>
            <w:pPr>
              <w:spacing w:after="40" w:before="40" w:line="264" w:lineRule="auto"/>
              <w:jc w:val="left"/>
            </w:pPr>
            <w:r/>
            <w:r>
              <w:rPr>
                <w:rFonts w:ascii="Cambria" w:hAnsi="Cambria" w:eastAsia="Cambria"/>
                <w:b w:val="0"/>
                <w:i w:val="0"/>
                <w:color w:val="000000"/>
                <w:sz w:val="14"/>
              </w:rPr>
              <w:t>65</w:t>
            </w:r>
          </w:p>
        </w:tc>
        <w:tc>
          <w:tcPr>
            <w:tcW w:type="dxa" w:w="454"/>
            <w:shd w:val="clear" w:color="auto" w:fill="FFFFFF"/>
            <w:tcW w:w="454" w:type="dxa"/>
          </w:tcPr>
          <w:p>
            <w:pPr>
              <w:spacing w:after="40" w:before="40" w:line="264" w:lineRule="auto"/>
              <w:jc w:val="left"/>
            </w:pPr>
            <w:r/>
            <w:r>
              <w:rPr>
                <w:rFonts w:ascii="Cambria" w:hAnsi="Cambria" w:eastAsia="Cambria"/>
                <w:b w:val="0"/>
                <w:i w:val="0"/>
                <w:color w:val="000000"/>
                <w:sz w:val="14"/>
              </w:rPr>
              <w:t>77</w:t>
            </w:r>
          </w:p>
        </w:tc>
        <w:tc>
          <w:tcPr>
            <w:tcW w:type="dxa" w:w="454"/>
            <w:shd w:val="clear" w:color="auto" w:fill="FFFFFF"/>
            <w:tcW w:w="454" w:type="dxa"/>
          </w:tcPr>
          <w:p>
            <w:pPr>
              <w:spacing w:after="40" w:before="40" w:line="264" w:lineRule="auto"/>
              <w:jc w:val="left"/>
            </w:pPr>
            <w:r/>
            <w:r>
              <w:rPr>
                <w:rFonts w:ascii="Cambria" w:hAnsi="Cambria" w:eastAsia="Cambria"/>
                <w:b w:val="0"/>
                <w:i w:val="0"/>
                <w:color w:val="000000"/>
                <w:sz w:val="14"/>
              </w:rPr>
              <w:t>72</w:t>
            </w:r>
          </w:p>
        </w:tc>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4"/>
              </w:rPr>
              <w:t>70</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71</w:t>
            </w:r>
          </w:p>
        </w:tc>
        <w:tc>
          <w:tcPr>
            <w:tcW w:type="dxa" w:w="425"/>
            <w:shd w:val="clear" w:color="auto" w:fill="FFFFFF"/>
            <w:tcW w:w="425" w:type="dxa"/>
          </w:tcPr>
          <w:p>
            <w:pPr>
              <w:spacing w:after="40" w:before="40" w:line="264" w:lineRule="auto"/>
              <w:jc w:val="left"/>
            </w:pPr>
            <w:r/>
            <w:r>
              <w:rPr>
                <w:rFonts w:ascii="Cambria" w:hAnsi="Cambria" w:eastAsia="Cambria"/>
                <w:b w:val="0"/>
                <w:i w:val="0"/>
                <w:color w:val="000000"/>
                <w:sz w:val="14"/>
              </w:rPr>
              <w:t>−1</w:t>
            </w:r>
          </w:p>
        </w:tc>
        <w:tc>
          <w:tcPr>
            <w:tcW w:type="dxa" w:w="1701"/>
            <w:shd w:val="clear" w:color="auto" w:fill="FFFFFF"/>
            <w:tcW w:w="1701" w:type="dxa"/>
          </w:tcPr>
          <w:p>
            <w:pPr>
              <w:spacing w:after="40" w:before="40" w:line="264" w:lineRule="auto"/>
              <w:jc w:val="left"/>
            </w:pPr>
            <w:r/>
            <w:r>
              <w:rPr>
                <w:rFonts w:ascii="Cambria" w:hAnsi="Cambria" w:eastAsia="Cambria"/>
                <w:b w:val="0"/>
                <w:i w:val="0"/>
                <w:color w:val="000000"/>
                <w:sz w:val="14"/>
              </w:rPr>
              <w:t>Maintain strategy</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2024–25</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78</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74</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80</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76</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72</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68</w:t>
            </w:r>
          </w:p>
        </w:tc>
        <w:tc>
          <w:tcPr>
            <w:tcW w:type="dxa" w:w="454"/>
            <w:shd w:val="clear" w:color="auto" w:fill="E8ECF2"/>
            <w:tcW w:w="454" w:type="dxa"/>
          </w:tcPr>
          <w:p>
            <w:pPr>
              <w:spacing w:after="40" w:before="40" w:line="264" w:lineRule="auto"/>
              <w:jc w:val="left"/>
            </w:pPr>
            <w:r/>
            <w:r>
              <w:rPr>
                <w:rFonts w:ascii="Cambria" w:hAnsi="Cambria" w:eastAsia="Cambria"/>
                <w:b w:val="0"/>
                <w:i w:val="0"/>
                <w:color w:val="000000"/>
                <w:sz w:val="14"/>
              </w:rPr>
              <w:t>80</w:t>
            </w:r>
          </w:p>
        </w:tc>
        <w:tc>
          <w:tcPr>
            <w:tcW w:type="dxa" w:w="454"/>
            <w:shd w:val="clear" w:color="auto" w:fill="E8ECF2"/>
            <w:tcW w:w="454" w:type="dxa"/>
          </w:tcPr>
          <w:p>
            <w:pPr>
              <w:spacing w:after="40" w:before="40" w:line="264" w:lineRule="auto"/>
              <w:jc w:val="left"/>
            </w:pPr>
            <w:r/>
            <w:r>
              <w:rPr>
                <w:rFonts w:ascii="Cambria" w:hAnsi="Cambria" w:eastAsia="Cambria"/>
                <w:b w:val="0"/>
                <w:i w:val="0"/>
                <w:color w:val="000000"/>
                <w:sz w:val="14"/>
              </w:rPr>
              <w:t>75</w:t>
            </w:r>
          </w:p>
        </w:tc>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4"/>
              </w:rPr>
              <w:t>70</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73</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−3</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4"/>
              </w:rPr>
              <w:t>Introduced guest lectures</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CO–PO/PSO mappings are verified annually by the Department Academic Committee (DAC) and approved by the BoS.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The Course Coordinator ensures consistency between COs and mapped POs/PSOs.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 attainment data feeds into PO/PSO attainment evaluation each semester.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Review and revision are carried out based on gap analysis and stakeholder feedback.</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3 (Course Outcomes and Programme Outcomes)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evidence for each academic year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every PO and PSO is addressed through at least one course, with measurable mapping.</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Comprehensive, validated, and traceable CO–PO/PSO and Course–PO/PSO mapping records for all courses.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Quantitative evidence showing alignment between course-level and program-level outcomes.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Continuous improvement mechanism based on PO/PSO attainment analysis.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Full compliance with NBA's Criterion 3 &amp; 10 – Outcome Mapping and Continuous Improvement requirements.</w:t>
      </w:r>
    </w:p>
    <w:p>
      <w:pPr>
        <w:keepNext/>
        <w:spacing w:before="240" w:after="160"/>
        <w:jc w:val="left"/>
      </w:pPr>
      <w:r>
        <w:rPr>
          <w:rFonts w:ascii="Cambria" w:hAnsi="Cambria" w:eastAsia="Cambria"/>
          <w:b/>
          <w:i w:val="0"/>
          <w:color w:val="1F3A5F"/>
          <w:sz w:val="25"/>
        </w:rPr>
        <w:t>19. P.16 Course file with plan of course delivery, question papers, answer scripts, assignments, reports of assignments, project reports, report of design projects, list of laboratory experiments, etc</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maintain a comprehensive Course File for each course (theory, lab, and elective) as mandatory evidence for NBA accreditation.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systematic planning, delivery, assessment, and continuous improvement in every course offered.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ensure traceability of Course Outcomes (COs), Programme Outcomes (POs), and Programme Specific Outcomes (PSOs) through documented teaching–learning materials and evaluations.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 Delivery Plan (Teaching Plan):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Academic calendar and lecture schedule (week-wise and unit-wise).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Mapping of COs to lecture topics and assessment components.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Use of pedagogical innovations (flipped classroom, case studies, ICT tools).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 Material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Lecture notes, PPTs, handouts, and supplementary references.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Record of online resources used (MOOCs, NPTEL, LMS materials).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Assessment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Internal question papers (CIE 1, CIE 2, assignments, quizzes).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Answer scripts with evaluation rubrics or grading criteria.</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Assignment topics, submission records, and grading sheets.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Viva and seminar reports (for labs or design projects).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Project and Design Work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Mini-project reports, case studies, and design documentation.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Evaluation rubrics and feedback from project guides or industry mentors.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Laboratory Records (for practical courses):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List of experiments aligned with COs.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Lab manuals, experiment sheets, and sample observations.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Evaluation format for lab experiments and viva sessions.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 in Each Course File: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Cover Page and Course Details Sheet (Course code, title, semester, faculty, credits).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 objectives, COs, CO–PO/PSO mapping matrix.</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 attainment and improvement summary.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Lesson plan and course delivery schedule.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Student attendance record.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Assessment records: question papers, assignments, and internal test results.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Sample evaluated answer scripts (top, average, low).</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Rubrics for evaluation (assignments, design projects, presentations).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Laboratory experiment list and sample readings.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 feedback and reflection report (with action taken).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Course Delivery Plan (Sample)</w:t>
      </w:r>
    </w:p>
    <w:tbl>
      <w:tblPr>
        <w:tblW w:type="auto" w:w="0"/>
        <w:jc w:val="center"/>
        <w:tblLook w:firstColumn="1" w:firstRow="1" w:lastColumn="0" w:lastRow="0" w:noHBand="0" w:noVBand="1" w:val="04A0"/>
        <w:tblLayout w:type="fixed"/>
        <w:tblLayout w:type="fixed"/>
      </w:tblPr>
      <w:tblGrid>
        <w:gridCol w:w="680"/>
        <w:gridCol w:w="1814"/>
        <w:gridCol w:w="1361"/>
        <w:gridCol w:w="680"/>
        <w:gridCol w:w="1474"/>
        <w:gridCol w:w="1474"/>
      </w:tblGrid>
      <w:tr>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7"/>
              </w:rPr>
              <w:t>Week</w:t>
            </w:r>
          </w:p>
        </w:tc>
        <w:tc>
          <w:tcPr>
            <w:tcW w:type="dxa" w:w="1814"/>
            <w:tcBorders>
              <w:top w:val="single" w:sz="4" w:space="0" w:color="BFBFBF"/>
              <w:left w:val="single" w:sz="4" w:space="0" w:color="BFBFBF"/>
              <w:bottom w:val="single" w:sz="4" w:space="0" w:color="BFBFBF"/>
              <w:right w:val="single" w:sz="4" w:space="0" w:color="BFBFBF"/>
            </w:tcBorders>
            <w:tcW w:w="1814" w:type="dxa"/>
            <w:shd w:val="clear" w:color="auto" w:fill="1F3A5F"/>
            <w:tcW w:w="1814" w:type="dxa"/>
          </w:tcPr>
          <w:p>
            <w:pPr>
              <w:spacing w:after="40" w:before="40" w:line="264" w:lineRule="auto"/>
              <w:jc w:val="center"/>
            </w:pPr>
            <w:r/>
            <w:r>
              <w:rPr>
                <w:rFonts w:ascii="Cambria" w:hAnsi="Cambria" w:eastAsia="Cambria"/>
                <w:b/>
                <w:i w:val="0"/>
                <w:color w:val="FFFFFF"/>
                <w:sz w:val="17"/>
              </w:rPr>
              <w:t>Unit / Topic</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7"/>
              </w:rPr>
              <w:t>Teaching Method</w:t>
            </w:r>
          </w:p>
        </w:tc>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7"/>
              </w:rPr>
              <w:t>COs Mapped</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7"/>
              </w:rPr>
              <w:t>Assessment Method</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7"/>
              </w:rPr>
              <w:t>Remarks</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1–2</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7"/>
              </w:rPr>
              <w:t>Introduction to Data Structures</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Lecture + Video</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CO1</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Quiz / Class Discussion</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Covered basics</w:t>
            </w:r>
          </w:p>
        </w:tc>
      </w:tr>
      <w:tr>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7"/>
              </w:rPr>
              <w:t>3–4</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7"/>
              </w:rPr>
              <w:t>Arrays and Linked Lists</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7"/>
              </w:rPr>
              <w:t>PPT + Demo</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7"/>
              </w:rPr>
              <w:t>CO2</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Assignment #1</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Implemented in C</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5–6</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7"/>
              </w:rPr>
              <w:t>Stacks and Queues</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Problem-Based Learning</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CO3</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Internal Test #1</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Medium complexity</w:t>
            </w:r>
          </w:p>
        </w:tc>
      </w:tr>
      <w:tr>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7"/>
              </w:rPr>
              <w:t>7–8</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7"/>
              </w:rPr>
              <w:t>Trees and Graphs</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7"/>
              </w:rPr>
              <w:t>Case Study + Lab</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7"/>
              </w:rPr>
              <w:t>CO4</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Lab Evaluation</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Integrated with design project</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9–10</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7"/>
              </w:rPr>
              <w:t>Sorting Algorithms</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Flipped Classroom</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CO5</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Project Report</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Comparative analysis</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Laboratory Experiment Record (Sample)</w:t>
      </w:r>
    </w:p>
    <w:tbl>
      <w:tblPr>
        <w:tblW w:type="auto" w:w="0"/>
        <w:jc w:val="center"/>
        <w:tblLook w:firstColumn="1" w:firstRow="1" w:lastColumn="0" w:lastRow="0" w:noHBand="0" w:noVBand="1" w:val="04A0"/>
        <w:tblLayout w:type="fixed"/>
        <w:tblLayout w:type="fixed"/>
      </w:tblPr>
      <w:tblGrid>
        <w:gridCol w:w="567"/>
        <w:gridCol w:w="1814"/>
        <w:gridCol w:w="680"/>
        <w:gridCol w:w="1247"/>
        <w:gridCol w:w="1474"/>
        <w:gridCol w:w="1474"/>
      </w:tblGrid>
      <w:tr>
        <w:tc>
          <w:tcPr>
            <w:tcW w:type="dxa" w:w="567"/>
            <w:tcBorders>
              <w:top w:val="single" w:sz="4" w:space="0" w:color="BFBFBF"/>
              <w:left w:val="single" w:sz="4" w:space="0" w:color="BFBFBF"/>
              <w:bottom w:val="single" w:sz="4" w:space="0" w:color="BFBFBF"/>
              <w:right w:val="single" w:sz="4" w:space="0" w:color="BFBFBF"/>
            </w:tcBorders>
            <w:tcW w:w="567" w:type="dxa"/>
            <w:shd w:val="clear" w:color="auto" w:fill="1F3A5F"/>
            <w:tcW w:w="567" w:type="dxa"/>
          </w:tcPr>
          <w:p>
            <w:pPr>
              <w:spacing w:after="40" w:before="40" w:line="264" w:lineRule="auto"/>
              <w:jc w:val="center"/>
            </w:pPr>
            <w:r/>
            <w:r>
              <w:rPr>
                <w:rFonts w:ascii="Cambria" w:hAnsi="Cambria" w:eastAsia="Cambria"/>
                <w:b/>
                <w:i w:val="0"/>
                <w:color w:val="FFFFFF"/>
                <w:sz w:val="17"/>
              </w:rPr>
              <w:t>Exp. No.</w:t>
            </w:r>
          </w:p>
        </w:tc>
        <w:tc>
          <w:tcPr>
            <w:tcW w:type="dxa" w:w="1814"/>
            <w:tcBorders>
              <w:top w:val="single" w:sz="4" w:space="0" w:color="BFBFBF"/>
              <w:left w:val="single" w:sz="4" w:space="0" w:color="BFBFBF"/>
              <w:bottom w:val="single" w:sz="4" w:space="0" w:color="BFBFBF"/>
              <w:right w:val="single" w:sz="4" w:space="0" w:color="BFBFBF"/>
            </w:tcBorders>
            <w:tcW w:w="1814" w:type="dxa"/>
            <w:shd w:val="clear" w:color="auto" w:fill="1F3A5F"/>
            <w:tcW w:w="1814" w:type="dxa"/>
          </w:tcPr>
          <w:p>
            <w:pPr>
              <w:spacing w:after="40" w:before="40" w:line="264" w:lineRule="auto"/>
              <w:jc w:val="center"/>
            </w:pPr>
            <w:r/>
            <w:r>
              <w:rPr>
                <w:rFonts w:ascii="Cambria" w:hAnsi="Cambria" w:eastAsia="Cambria"/>
                <w:b/>
                <w:i w:val="0"/>
                <w:color w:val="FFFFFF"/>
                <w:sz w:val="17"/>
              </w:rPr>
              <w:t>Title of Experiment</w:t>
            </w:r>
          </w:p>
        </w:tc>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7"/>
              </w:rPr>
              <w:t>COs Mapped</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7"/>
              </w:rPr>
              <w:t>Tools / Software Used</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7"/>
              </w:rPr>
              <w:t>Evaluation Method</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7"/>
              </w:rPr>
              <w:t>Evidence Reference</w:t>
            </w:r>
          </w:p>
        </w:tc>
      </w:tr>
      <w:tr>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7"/>
              </w:rPr>
              <w:t>1</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7"/>
              </w:rPr>
              <w:t>Implement Stack Operations</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CO1</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7"/>
              </w:rPr>
              <w:t>Python / C</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Viva + Report</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Lab Manual Pg. 5</w:t>
            </w:r>
          </w:p>
        </w:tc>
      </w:tr>
      <w:tr>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7"/>
              </w:rPr>
              <w:t>2</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7"/>
              </w:rPr>
              <w:t>Binary Search Tree Traversal</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7"/>
              </w:rPr>
              <w:t>CO2</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7"/>
              </w:rPr>
              <w:t>C++</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Code Review + Output</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Lab Record Pg. 10</w:t>
            </w:r>
          </w:p>
        </w:tc>
      </w:tr>
      <w:tr>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7"/>
              </w:rPr>
              <w:t>3</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7"/>
              </w:rPr>
              <w:t>Graph Traversal Techniques</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CO3</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7"/>
              </w:rPr>
              <w:t>Python</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Output + Viva</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Report Pg. 14</w:t>
            </w:r>
          </w:p>
        </w:tc>
      </w:tr>
      <w:tr>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7"/>
              </w:rPr>
              <w:t>4</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7"/>
              </w:rPr>
              <w:t>Sorting Algorithm Comparison</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7"/>
              </w:rPr>
              <w:t>CO4</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7"/>
              </w:rPr>
              <w:t>MATLAB</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Report + Discussion</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Assignment File</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Course Assessment Summary</w:t>
      </w:r>
    </w:p>
    <w:tbl>
      <w:tblPr>
        <w:tblW w:type="auto" w:w="0"/>
        <w:jc w:val="center"/>
        <w:tblLook w:firstColumn="1" w:firstRow="1" w:lastColumn="0" w:lastRow="0" w:noHBand="0" w:noVBand="1" w:val="04A0"/>
        <w:tblLayout w:type="fixed"/>
        <w:tblLayout w:type="fixed"/>
      </w:tblPr>
      <w:tblGrid>
        <w:gridCol w:w="1247"/>
        <w:gridCol w:w="680"/>
        <w:gridCol w:w="680"/>
        <w:gridCol w:w="1020"/>
        <w:gridCol w:w="850"/>
        <w:gridCol w:w="850"/>
        <w:gridCol w:w="1757"/>
      </w:tblGrid>
      <w:tr>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7"/>
              </w:rPr>
              <w:t>Assessment Component</w:t>
            </w:r>
          </w:p>
        </w:tc>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7"/>
              </w:rPr>
              <w:t>Max Marks</w:t>
            </w:r>
          </w:p>
        </w:tc>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7"/>
              </w:rPr>
              <w:t>Weightage (%)</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7"/>
              </w:rPr>
              <w:t>Tools Used</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7"/>
              </w:rPr>
              <w:t>COs Covered</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7"/>
              </w:rPr>
              <w:t>Average Score (%)</w:t>
            </w:r>
          </w:p>
        </w:tc>
        <w:tc>
          <w:tcPr>
            <w:tcW w:type="dxa" w:w="1757"/>
            <w:tcBorders>
              <w:top w:val="single" w:sz="4" w:space="0" w:color="BFBFBF"/>
              <w:left w:val="single" w:sz="4" w:space="0" w:color="BFBFBF"/>
              <w:bottom w:val="single" w:sz="4" w:space="0" w:color="BFBFBF"/>
              <w:right w:val="single" w:sz="4" w:space="0" w:color="BFBFBF"/>
            </w:tcBorders>
            <w:tcW w:w="1757" w:type="dxa"/>
            <w:shd w:val="clear" w:color="auto" w:fill="1F3A5F"/>
            <w:tcW w:w="1757" w:type="dxa"/>
          </w:tcPr>
          <w:p>
            <w:pPr>
              <w:spacing w:after="40" w:before="40" w:line="264" w:lineRule="auto"/>
              <w:jc w:val="center"/>
            </w:pPr>
            <w:r/>
            <w:r>
              <w:rPr>
                <w:rFonts w:ascii="Cambria" w:hAnsi="Cambria" w:eastAsia="Cambria"/>
                <w:b/>
                <w:i w:val="0"/>
                <w:color w:val="FFFFFF"/>
                <w:sz w:val="17"/>
              </w:rPr>
              <w:t>Remarks</w:t>
            </w:r>
          </w:p>
        </w:tc>
      </w:tr>
      <w:tr>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7"/>
              </w:rPr>
              <w:t>Internal Test 1</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30</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20</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7"/>
              </w:rPr>
              <w:t>Written</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7"/>
              </w:rPr>
              <w:t>CO1, CO2</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7"/>
              </w:rPr>
              <w:t>68</w:t>
            </w:r>
          </w:p>
        </w:tc>
        <w:tc>
          <w:tcPr>
            <w:tcW w:type="dxa" w:w="1757"/>
            <w:shd w:val="clear" w:color="auto" w:fill="E8ECF2"/>
            <w:tcW w:w="1757" w:type="dxa"/>
          </w:tcPr>
          <w:p>
            <w:pPr>
              <w:spacing w:after="40" w:before="40" w:line="264" w:lineRule="auto"/>
              <w:jc w:val="left"/>
            </w:pPr>
            <w:r/>
            <w:r>
              <w:rPr>
                <w:rFonts w:ascii="Cambria" w:hAnsi="Cambria" w:eastAsia="Cambria"/>
                <w:b w:val="0"/>
                <w:i w:val="0"/>
                <w:color w:val="000000"/>
                <w:sz w:val="17"/>
              </w:rPr>
              <w:t>Moderate difficulty</w:t>
            </w:r>
          </w:p>
        </w:tc>
      </w:tr>
      <w:tr>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7"/>
              </w:rPr>
              <w:t>Internal Test 2</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7"/>
              </w:rPr>
              <w:t>30</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7"/>
              </w:rPr>
              <w:t>20</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7"/>
              </w:rPr>
              <w:t>Written</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7"/>
              </w:rPr>
              <w:t>CO3, CO4</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7"/>
              </w:rPr>
              <w:t>72</w:t>
            </w:r>
          </w:p>
        </w:tc>
        <w:tc>
          <w:tcPr>
            <w:tcW w:type="dxa" w:w="1757"/>
            <w:shd w:val="clear" w:color="auto" w:fill="FFFFFF"/>
            <w:tcW w:w="1757" w:type="dxa"/>
          </w:tcPr>
          <w:p>
            <w:pPr>
              <w:spacing w:after="40" w:before="40" w:line="264" w:lineRule="auto"/>
              <w:jc w:val="left"/>
            </w:pPr>
            <w:r/>
            <w:r>
              <w:rPr>
                <w:rFonts w:ascii="Cambria" w:hAnsi="Cambria" w:eastAsia="Cambria"/>
                <w:b w:val="0"/>
                <w:i w:val="0"/>
                <w:color w:val="000000"/>
                <w:sz w:val="17"/>
              </w:rPr>
              <w:t>Improved performance</w:t>
            </w:r>
          </w:p>
        </w:tc>
      </w:tr>
      <w:tr>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7"/>
              </w:rPr>
              <w:t>Assignments</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20</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15</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7"/>
              </w:rPr>
              <w:t>LMS Submission</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7"/>
              </w:rPr>
              <w:t>CO2, CO5</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7"/>
              </w:rPr>
              <w:t>75</w:t>
            </w:r>
          </w:p>
        </w:tc>
        <w:tc>
          <w:tcPr>
            <w:tcW w:type="dxa" w:w="1757"/>
            <w:shd w:val="clear" w:color="auto" w:fill="E8ECF2"/>
            <w:tcW w:w="1757" w:type="dxa"/>
          </w:tcPr>
          <w:p>
            <w:pPr>
              <w:spacing w:after="40" w:before="40" w:line="264" w:lineRule="auto"/>
              <w:jc w:val="left"/>
            </w:pPr>
            <w:r/>
            <w:r>
              <w:rPr>
                <w:rFonts w:ascii="Cambria" w:hAnsi="Cambria" w:eastAsia="Cambria"/>
                <w:b w:val="0"/>
                <w:i w:val="0"/>
                <w:color w:val="000000"/>
                <w:sz w:val="17"/>
              </w:rPr>
              <w:t>Practical understanding</w:t>
            </w:r>
          </w:p>
        </w:tc>
      </w:tr>
      <w:tr>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7"/>
              </w:rPr>
              <w:t>Quiz</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7"/>
              </w:rPr>
              <w:t>10</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7"/>
              </w:rPr>
              <w:t>10</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7"/>
              </w:rPr>
              <w:t>Google Forms</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7"/>
              </w:rPr>
              <w:t>CO1</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7"/>
              </w:rPr>
              <w:t>81</w:t>
            </w:r>
          </w:p>
        </w:tc>
        <w:tc>
          <w:tcPr>
            <w:tcW w:type="dxa" w:w="1757"/>
            <w:shd w:val="clear" w:color="auto" w:fill="FFFFFF"/>
            <w:tcW w:w="1757" w:type="dxa"/>
          </w:tcPr>
          <w:p>
            <w:pPr>
              <w:spacing w:after="40" w:before="40" w:line="264" w:lineRule="auto"/>
              <w:jc w:val="left"/>
            </w:pPr>
            <w:r/>
            <w:r>
              <w:rPr>
                <w:rFonts w:ascii="Cambria" w:hAnsi="Cambria" w:eastAsia="Cambria"/>
                <w:b w:val="0"/>
                <w:i w:val="0"/>
                <w:color w:val="000000"/>
                <w:sz w:val="17"/>
              </w:rPr>
              <w:t>Strong conceptual clarity</w:t>
            </w:r>
          </w:p>
        </w:tc>
      </w:tr>
      <w:tr>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7"/>
              </w:rPr>
              <w:t>Project / Design</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50</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35</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7"/>
              </w:rPr>
              <w:t>Presentation</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7"/>
              </w:rPr>
              <w:t>CO3–CO5</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7"/>
              </w:rPr>
              <w:t>85</w:t>
            </w:r>
          </w:p>
        </w:tc>
        <w:tc>
          <w:tcPr>
            <w:tcW w:type="dxa" w:w="1757"/>
            <w:shd w:val="clear" w:color="auto" w:fill="E8ECF2"/>
            <w:tcW w:w="1757" w:type="dxa"/>
          </w:tcPr>
          <w:p>
            <w:pPr>
              <w:spacing w:after="40" w:before="40" w:line="264" w:lineRule="auto"/>
              <w:jc w:val="left"/>
            </w:pPr>
            <w:r/>
            <w:r>
              <w:rPr>
                <w:rFonts w:ascii="Cambria" w:hAnsi="Cambria" w:eastAsia="Cambria"/>
                <w:b w:val="0"/>
                <w:i w:val="0"/>
                <w:color w:val="000000"/>
                <w:sz w:val="17"/>
              </w:rPr>
              <w:t>Innovation achieved</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Course File Checklist</w:t>
      </w:r>
    </w:p>
    <w:tbl>
      <w:tblPr>
        <w:tblW w:type="auto" w:w="0"/>
        <w:jc w:val="center"/>
        <w:tblLook w:firstColumn="1" w:firstRow="1" w:lastColumn="0" w:lastRow="0" w:noHBand="0" w:noVBand="1" w:val="04A0"/>
        <w:tblLayout w:type="fixed"/>
        <w:tblLayout w:type="fixed"/>
      </w:tblPr>
      <w:tblGrid>
        <w:gridCol w:w="624"/>
        <w:gridCol w:w="3402"/>
        <w:gridCol w:w="907"/>
        <w:gridCol w:w="2381"/>
      </w:tblGrid>
      <w:tr>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8"/>
              </w:rPr>
              <w:t>Section</w:t>
            </w:r>
          </w:p>
        </w:tc>
        <w:tc>
          <w:tcPr>
            <w:tcW w:type="dxa" w:w="3402"/>
            <w:tcBorders>
              <w:top w:val="single" w:sz="4" w:space="0" w:color="BFBFBF"/>
              <w:left w:val="single" w:sz="4" w:space="0" w:color="BFBFBF"/>
              <w:bottom w:val="single" w:sz="4" w:space="0" w:color="BFBFBF"/>
              <w:right w:val="single" w:sz="4" w:space="0" w:color="BFBFBF"/>
            </w:tcBorders>
            <w:tcW w:w="3402" w:type="dxa"/>
            <w:shd w:val="clear" w:color="auto" w:fill="1F3A5F"/>
            <w:tcW w:w="3402" w:type="dxa"/>
          </w:tcPr>
          <w:p>
            <w:pPr>
              <w:spacing w:after="40" w:before="40" w:line="264" w:lineRule="auto"/>
              <w:jc w:val="center"/>
            </w:pPr>
            <w:r/>
            <w:r>
              <w:rPr>
                <w:rFonts w:ascii="Cambria" w:hAnsi="Cambria" w:eastAsia="Cambria"/>
                <w:b/>
                <w:i w:val="0"/>
                <w:color w:val="FFFFFF"/>
                <w:sz w:val="18"/>
              </w:rPr>
              <w:t>Description</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8"/>
              </w:rPr>
              <w:t>Included (✓/✗)</w:t>
            </w:r>
          </w:p>
        </w:tc>
        <w:tc>
          <w:tcPr>
            <w:tcW w:type="dxa" w:w="2381"/>
            <w:tcBorders>
              <w:top w:val="single" w:sz="4" w:space="0" w:color="BFBFBF"/>
              <w:left w:val="single" w:sz="4" w:space="0" w:color="BFBFBF"/>
              <w:bottom w:val="single" w:sz="4" w:space="0" w:color="BFBFBF"/>
              <w:right w:val="single" w:sz="4" w:space="0" w:color="BFBFBF"/>
            </w:tcBorders>
            <w:tcW w:w="2381" w:type="dxa"/>
            <w:shd w:val="clear" w:color="auto" w:fill="1F3A5F"/>
            <w:tcW w:w="2381" w:type="dxa"/>
          </w:tcPr>
          <w:p>
            <w:pPr>
              <w:spacing w:after="40" w:before="40" w:line="264" w:lineRule="auto"/>
              <w:jc w:val="center"/>
            </w:pPr>
            <w:r/>
            <w:r>
              <w:rPr>
                <w:rFonts w:ascii="Cambria" w:hAnsi="Cambria" w:eastAsia="Cambria"/>
                <w:b/>
                <w:i w:val="0"/>
                <w:color w:val="FFFFFF"/>
                <w:sz w:val="18"/>
              </w:rPr>
              <w:t>Remarks</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8"/>
              </w:rPr>
              <w:t>1</w:t>
            </w:r>
          </w:p>
        </w:tc>
        <w:tc>
          <w:tcPr>
            <w:tcW w:type="dxa" w:w="3402"/>
            <w:shd w:val="clear" w:color="auto" w:fill="E8ECF2"/>
            <w:tcW w:w="3402" w:type="dxa"/>
          </w:tcPr>
          <w:p>
            <w:pPr>
              <w:spacing w:after="40" w:before="40" w:line="264" w:lineRule="auto"/>
              <w:jc w:val="left"/>
            </w:pPr>
            <w:r/>
            <w:r>
              <w:rPr>
                <w:rFonts w:ascii="Cambria" w:hAnsi="Cambria" w:eastAsia="Cambria"/>
                <w:b w:val="0"/>
                <w:i w:val="0"/>
                <w:color w:val="000000"/>
                <w:sz w:val="18"/>
              </w:rPr>
              <w:t>Course Information &amp; Objectives</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8"/>
              </w:rPr>
              <w:t>✓</w:t>
            </w:r>
          </w:p>
        </w:tc>
        <w:tc>
          <w:tcPr>
            <w:tcW w:type="dxa" w:w="2381"/>
            <w:shd w:val="clear" w:color="auto" w:fill="E8ECF2"/>
            <w:tcW w:w="2381" w:type="dxa"/>
          </w:tcPr>
          <w:p>
            <w:pPr>
              <w:spacing w:after="40" w:before="40" w:line="264" w:lineRule="auto"/>
              <w:jc w:val="left"/>
            </w:pPr>
            <w:r/>
            <w:r>
              <w:rPr>
                <w:rFonts w:ascii="Cambria" w:hAnsi="Cambria" w:eastAsia="Cambria"/>
                <w:b w:val="0"/>
                <w:i w:val="0"/>
                <w:color w:val="000000"/>
                <w:sz w:val="18"/>
              </w:rPr>
              <w:t>Updated for CAY</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8"/>
              </w:rPr>
              <w:t>2</w:t>
            </w:r>
          </w:p>
        </w:tc>
        <w:tc>
          <w:tcPr>
            <w:tcW w:type="dxa" w:w="3402"/>
            <w:shd w:val="clear" w:color="auto" w:fill="FFFFFF"/>
            <w:tcW w:w="3402" w:type="dxa"/>
          </w:tcPr>
          <w:p>
            <w:pPr>
              <w:spacing w:after="40" w:before="40" w:line="264" w:lineRule="auto"/>
              <w:jc w:val="left"/>
            </w:pPr>
            <w:r/>
            <w:r>
              <w:rPr>
                <w:rFonts w:ascii="Cambria" w:hAnsi="Cambria" w:eastAsia="Cambria"/>
                <w:b w:val="0"/>
                <w:i w:val="0"/>
                <w:color w:val="000000"/>
                <w:sz w:val="18"/>
              </w:rPr>
              <w:t>Course Outcomes (COs)</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8"/>
              </w:rPr>
              <w:t>✓</w:t>
            </w:r>
          </w:p>
        </w:tc>
        <w:tc>
          <w:tcPr>
            <w:tcW w:type="dxa" w:w="2381"/>
            <w:shd w:val="clear" w:color="auto" w:fill="FFFFFF"/>
            <w:tcW w:w="2381" w:type="dxa"/>
          </w:tcPr>
          <w:p>
            <w:pPr>
              <w:spacing w:after="40" w:before="40" w:line="264" w:lineRule="auto"/>
              <w:jc w:val="left"/>
            </w:pPr>
            <w:r/>
            <w:r>
              <w:rPr>
                <w:rFonts w:ascii="Cambria" w:hAnsi="Cambria" w:eastAsia="Cambria"/>
                <w:b w:val="0"/>
                <w:i w:val="0"/>
                <w:color w:val="000000"/>
                <w:sz w:val="18"/>
              </w:rPr>
              <w:t>Approved by BoS</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8"/>
              </w:rPr>
              <w:t>3</w:t>
            </w:r>
          </w:p>
        </w:tc>
        <w:tc>
          <w:tcPr>
            <w:tcW w:type="dxa" w:w="3402"/>
            <w:shd w:val="clear" w:color="auto" w:fill="E8ECF2"/>
            <w:tcW w:w="3402" w:type="dxa"/>
          </w:tcPr>
          <w:p>
            <w:pPr>
              <w:spacing w:after="40" w:before="40" w:line="264" w:lineRule="auto"/>
              <w:jc w:val="left"/>
            </w:pPr>
            <w:r/>
            <w:r>
              <w:rPr>
                <w:rFonts w:ascii="Cambria" w:hAnsi="Cambria" w:eastAsia="Cambria"/>
                <w:b w:val="0"/>
                <w:i w:val="0"/>
                <w:color w:val="000000"/>
                <w:sz w:val="18"/>
              </w:rPr>
              <w:t>CO–PO–PSO Mapping</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8"/>
              </w:rPr>
              <w:t>✓</w:t>
            </w:r>
          </w:p>
        </w:tc>
        <w:tc>
          <w:tcPr>
            <w:tcW w:type="dxa" w:w="2381"/>
            <w:shd w:val="clear" w:color="auto" w:fill="E8ECF2"/>
            <w:tcW w:w="2381" w:type="dxa"/>
          </w:tcPr>
          <w:p>
            <w:pPr>
              <w:spacing w:after="40" w:before="40" w:line="264" w:lineRule="auto"/>
              <w:jc w:val="left"/>
            </w:pPr>
            <w:r/>
            <w:r>
              <w:rPr>
                <w:rFonts w:ascii="Cambria" w:hAnsi="Cambria" w:eastAsia="Cambria"/>
                <w:b w:val="0"/>
                <w:i w:val="0"/>
                <w:color w:val="000000"/>
                <w:sz w:val="18"/>
              </w:rPr>
              <w:t>Verified by DAC</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8"/>
              </w:rPr>
              <w:t>4</w:t>
            </w:r>
          </w:p>
        </w:tc>
        <w:tc>
          <w:tcPr>
            <w:tcW w:type="dxa" w:w="3402"/>
            <w:shd w:val="clear" w:color="auto" w:fill="FFFFFF"/>
            <w:tcW w:w="3402" w:type="dxa"/>
          </w:tcPr>
          <w:p>
            <w:pPr>
              <w:spacing w:after="40" w:before="40" w:line="264" w:lineRule="auto"/>
              <w:jc w:val="left"/>
            </w:pPr>
            <w:r/>
            <w:r>
              <w:rPr>
                <w:rFonts w:ascii="Cambria" w:hAnsi="Cambria" w:eastAsia="Cambria"/>
                <w:b w:val="0"/>
                <w:i w:val="0"/>
                <w:color w:val="000000"/>
                <w:sz w:val="18"/>
              </w:rPr>
              <w:t>Lesson Plan &amp; Delivery Schedule</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8"/>
              </w:rPr>
              <w:t>✓</w:t>
            </w:r>
          </w:p>
        </w:tc>
        <w:tc>
          <w:tcPr>
            <w:tcW w:type="dxa" w:w="2381"/>
            <w:shd w:val="clear" w:color="auto" w:fill="FFFFFF"/>
            <w:tcW w:w="2381" w:type="dxa"/>
          </w:tcPr>
          <w:p>
            <w:pPr>
              <w:spacing w:after="40" w:before="40" w:line="264" w:lineRule="auto"/>
              <w:jc w:val="left"/>
            </w:pPr>
            <w:r/>
            <w:r>
              <w:rPr>
                <w:rFonts w:ascii="Cambria" w:hAnsi="Cambria" w:eastAsia="Cambria"/>
                <w:b w:val="0"/>
                <w:i w:val="0"/>
                <w:color w:val="000000"/>
                <w:sz w:val="18"/>
              </w:rPr>
              <w:t>Week-wise plan</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8"/>
              </w:rPr>
              <w:t>5</w:t>
            </w:r>
          </w:p>
        </w:tc>
        <w:tc>
          <w:tcPr>
            <w:tcW w:type="dxa" w:w="3402"/>
            <w:shd w:val="clear" w:color="auto" w:fill="E8ECF2"/>
            <w:tcW w:w="3402" w:type="dxa"/>
          </w:tcPr>
          <w:p>
            <w:pPr>
              <w:spacing w:after="40" w:before="40" w:line="264" w:lineRule="auto"/>
              <w:jc w:val="left"/>
            </w:pPr>
            <w:r/>
            <w:r>
              <w:rPr>
                <w:rFonts w:ascii="Cambria" w:hAnsi="Cambria" w:eastAsia="Cambria"/>
                <w:b w:val="0"/>
                <w:i w:val="0"/>
                <w:color w:val="000000"/>
                <w:sz w:val="18"/>
              </w:rPr>
              <w:t>Assessment Components &amp; Records</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8"/>
              </w:rPr>
              <w:t>✓</w:t>
            </w:r>
          </w:p>
        </w:tc>
        <w:tc>
          <w:tcPr>
            <w:tcW w:type="dxa" w:w="2381"/>
            <w:shd w:val="clear" w:color="auto" w:fill="E8ECF2"/>
            <w:tcW w:w="2381" w:type="dxa"/>
          </w:tcPr>
          <w:p>
            <w:pPr>
              <w:spacing w:after="40" w:before="40" w:line="264" w:lineRule="auto"/>
              <w:jc w:val="left"/>
            </w:pPr>
            <w:r/>
            <w:r>
              <w:rPr>
                <w:rFonts w:ascii="Cambria" w:hAnsi="Cambria" w:eastAsia="Cambria"/>
                <w:b w:val="0"/>
                <w:i w:val="0"/>
                <w:color w:val="000000"/>
                <w:sz w:val="18"/>
              </w:rPr>
              <w:t>Tests, Assignments, Quizzes</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8"/>
              </w:rPr>
              <w:t>6</w:t>
            </w:r>
          </w:p>
        </w:tc>
        <w:tc>
          <w:tcPr>
            <w:tcW w:type="dxa" w:w="3402"/>
            <w:shd w:val="clear" w:color="auto" w:fill="FFFFFF"/>
            <w:tcW w:w="3402" w:type="dxa"/>
          </w:tcPr>
          <w:p>
            <w:pPr>
              <w:spacing w:after="40" w:before="40" w:line="264" w:lineRule="auto"/>
              <w:jc w:val="left"/>
            </w:pPr>
            <w:r/>
            <w:r>
              <w:rPr>
                <w:rFonts w:ascii="Cambria" w:hAnsi="Cambria" w:eastAsia="Cambria"/>
                <w:b w:val="0"/>
                <w:i w:val="0"/>
                <w:color w:val="000000"/>
                <w:sz w:val="18"/>
              </w:rPr>
              <w:t>Laboratory Experiments (if applicable)</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8"/>
              </w:rPr>
              <w:t>✓</w:t>
            </w:r>
          </w:p>
        </w:tc>
        <w:tc>
          <w:tcPr>
            <w:tcW w:type="dxa" w:w="2381"/>
            <w:shd w:val="clear" w:color="auto" w:fill="FFFFFF"/>
            <w:tcW w:w="2381" w:type="dxa"/>
          </w:tcPr>
          <w:p>
            <w:pPr>
              <w:spacing w:after="40" w:before="40" w:line="264" w:lineRule="auto"/>
              <w:jc w:val="left"/>
            </w:pPr>
            <w:r/>
            <w:r>
              <w:rPr>
                <w:rFonts w:ascii="Cambria" w:hAnsi="Cambria" w:eastAsia="Cambria"/>
                <w:b w:val="0"/>
                <w:i w:val="0"/>
                <w:color w:val="000000"/>
                <w:sz w:val="18"/>
              </w:rPr>
              <w:t>10 Experiments mapped</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8"/>
              </w:rPr>
              <w:t>7</w:t>
            </w:r>
          </w:p>
        </w:tc>
        <w:tc>
          <w:tcPr>
            <w:tcW w:type="dxa" w:w="3402"/>
            <w:shd w:val="clear" w:color="auto" w:fill="E8ECF2"/>
            <w:tcW w:w="3402" w:type="dxa"/>
          </w:tcPr>
          <w:p>
            <w:pPr>
              <w:spacing w:after="40" w:before="40" w:line="264" w:lineRule="auto"/>
              <w:jc w:val="left"/>
            </w:pPr>
            <w:r/>
            <w:r>
              <w:rPr>
                <w:rFonts w:ascii="Cambria" w:hAnsi="Cambria" w:eastAsia="Cambria"/>
                <w:b w:val="0"/>
                <w:i w:val="0"/>
                <w:color w:val="000000"/>
                <w:sz w:val="18"/>
              </w:rPr>
              <w:t>Project/Design Reports</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8"/>
              </w:rPr>
              <w:t>✓</w:t>
            </w:r>
          </w:p>
        </w:tc>
        <w:tc>
          <w:tcPr>
            <w:tcW w:type="dxa" w:w="2381"/>
            <w:shd w:val="clear" w:color="auto" w:fill="E8ECF2"/>
            <w:tcW w:w="2381" w:type="dxa"/>
          </w:tcPr>
          <w:p>
            <w:pPr>
              <w:spacing w:after="40" w:before="40" w:line="264" w:lineRule="auto"/>
              <w:jc w:val="left"/>
            </w:pPr>
            <w:r/>
            <w:r>
              <w:rPr>
                <w:rFonts w:ascii="Cambria" w:hAnsi="Cambria" w:eastAsia="Cambria"/>
                <w:b w:val="0"/>
                <w:i w:val="0"/>
                <w:color w:val="000000"/>
                <w:sz w:val="18"/>
              </w:rPr>
              <w:t>Included with rubrics</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8"/>
              </w:rPr>
              <w:t>8</w:t>
            </w:r>
          </w:p>
        </w:tc>
        <w:tc>
          <w:tcPr>
            <w:tcW w:type="dxa" w:w="3402"/>
            <w:shd w:val="clear" w:color="auto" w:fill="FFFFFF"/>
            <w:tcW w:w="3402" w:type="dxa"/>
          </w:tcPr>
          <w:p>
            <w:pPr>
              <w:spacing w:after="40" w:before="40" w:line="264" w:lineRule="auto"/>
              <w:jc w:val="left"/>
            </w:pPr>
            <w:r/>
            <w:r>
              <w:rPr>
                <w:rFonts w:ascii="Cambria" w:hAnsi="Cambria" w:eastAsia="Cambria"/>
                <w:b w:val="0"/>
                <w:i w:val="0"/>
                <w:color w:val="000000"/>
                <w:sz w:val="18"/>
              </w:rPr>
              <w:t>CO Attainment Report</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8"/>
              </w:rPr>
              <w:t>✓</w:t>
            </w:r>
          </w:p>
        </w:tc>
        <w:tc>
          <w:tcPr>
            <w:tcW w:type="dxa" w:w="2381"/>
            <w:shd w:val="clear" w:color="auto" w:fill="FFFFFF"/>
            <w:tcW w:w="2381" w:type="dxa"/>
          </w:tcPr>
          <w:p>
            <w:pPr>
              <w:spacing w:after="40" w:before="40" w:line="264" w:lineRule="auto"/>
              <w:jc w:val="left"/>
            </w:pPr>
            <w:r/>
            <w:r>
              <w:rPr>
                <w:rFonts w:ascii="Cambria" w:hAnsi="Cambria" w:eastAsia="Cambria"/>
                <w:b w:val="0"/>
                <w:i w:val="0"/>
                <w:color w:val="000000"/>
                <w:sz w:val="18"/>
              </w:rPr>
              <w:t>Achieved above target</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8"/>
              </w:rPr>
              <w:t>9</w:t>
            </w:r>
          </w:p>
        </w:tc>
        <w:tc>
          <w:tcPr>
            <w:tcW w:type="dxa" w:w="3402"/>
            <w:shd w:val="clear" w:color="auto" w:fill="E8ECF2"/>
            <w:tcW w:w="3402" w:type="dxa"/>
          </w:tcPr>
          <w:p>
            <w:pPr>
              <w:spacing w:after="40" w:before="40" w:line="264" w:lineRule="auto"/>
              <w:jc w:val="left"/>
            </w:pPr>
            <w:r/>
            <w:r>
              <w:rPr>
                <w:rFonts w:ascii="Cambria" w:hAnsi="Cambria" w:eastAsia="Cambria"/>
                <w:b w:val="0"/>
                <w:i w:val="0"/>
                <w:color w:val="000000"/>
                <w:sz w:val="18"/>
              </w:rPr>
              <w:t>Feedback &amp; Action Taken Report</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8"/>
              </w:rPr>
              <w:t>✓</w:t>
            </w:r>
          </w:p>
        </w:tc>
        <w:tc>
          <w:tcPr>
            <w:tcW w:type="dxa" w:w="2381"/>
            <w:shd w:val="clear" w:color="auto" w:fill="E8ECF2"/>
            <w:tcW w:w="2381" w:type="dxa"/>
          </w:tcPr>
          <w:p>
            <w:pPr>
              <w:spacing w:after="40" w:before="40" w:line="264" w:lineRule="auto"/>
              <w:jc w:val="left"/>
            </w:pPr>
            <w:r/>
            <w:r>
              <w:rPr>
                <w:rFonts w:ascii="Cambria" w:hAnsi="Cambria" w:eastAsia="Cambria"/>
                <w:b w:val="0"/>
                <w:i w:val="0"/>
                <w:color w:val="000000"/>
                <w:sz w:val="18"/>
              </w:rPr>
              <w:t>Continuous Improvement documented</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Course File Verification</w:t>
      </w:r>
      <w:r>
        <w:rPr>
          <w:rFonts w:ascii="Cambria" w:hAnsi="Cambria" w:eastAsia="Cambria"/>
          <w:b w:val="0"/>
          <w:i w:val="0"/>
          <w:color w:val="000000"/>
          <w:sz w:val="22"/>
        </w:rPr>
        <w:t xml:space="preserve"> each semester by the Department Academic Committee (DAC).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Random audit</w:t>
      </w:r>
      <w:r>
        <w:rPr>
          <w:rFonts w:ascii="Cambria" w:hAnsi="Cambria" w:eastAsia="Cambria"/>
          <w:b w:val="0"/>
          <w:i w:val="0"/>
          <w:color w:val="000000"/>
          <w:sz w:val="22"/>
        </w:rPr>
        <w:t xml:space="preserve"> by IQAC/Academic Audit Committee to ensure documentation quality.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CO–PO linkage and attainment analysis</w:t>
      </w:r>
      <w:r>
        <w:rPr>
          <w:rFonts w:ascii="Cambria" w:hAnsi="Cambria" w:eastAsia="Cambria"/>
          <w:b w:val="0"/>
          <w:i w:val="0"/>
          <w:color w:val="000000"/>
          <w:sz w:val="22"/>
        </w:rPr>
        <w:t xml:space="preserve"> validated before result publication.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Action Taken Reports (ATR)</w:t>
      </w:r>
      <w:r>
        <w:rPr>
          <w:rFonts w:ascii="Cambria" w:hAnsi="Cambria" w:eastAsia="Cambria"/>
          <w:b w:val="0"/>
          <w:i w:val="0"/>
          <w:color w:val="000000"/>
          <w:sz w:val="22"/>
        </w:rPr>
        <w:t xml:space="preserve"> documented for improvement in next cycle.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5 (Curriculum Design and Delivery) and Criterion 8 (Teaching–Learning and Evaluation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Course Files are complete for all courses across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both physical and digital repositories for audit and NBA verification.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Comprehensive, standardized course documentation across all departments.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Transparent evidence of teaching–learning quality, assessments, and outcome attainment.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Strengthened academic audit compliance and OBE traceability.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Full conformity with NBA's Criterion 5, 8 &amp; 10 – Course Delivery, Evaluation, and Continuous Improvement.</w:t>
      </w:r>
    </w:p>
    <w:p>
      <w:r>
        <w:br w:type="page"/>
      </w:r>
    </w:p>
    <w:p>
      <w:pPr>
        <w:keepNext/>
        <w:spacing w:before="240" w:after="160"/>
        <w:jc w:val="left"/>
      </w:pPr>
      <w:r>
        <w:rPr>
          <w:rFonts w:ascii="Cambria" w:hAnsi="Cambria" w:eastAsia="Cambria"/>
          <w:b/>
          <w:i w:val="0"/>
          <w:color w:val="1F3A5F"/>
          <w:sz w:val="25"/>
        </w:rPr>
        <w:t>20. P.17 Records of list of assessment tools used for PO and PSO &amp; attainment values. Observation and actions taken based on the results of POs /PSO in the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document the tools, methods, and processes used to assess the Programme Outcomes (POs) and Programme Specific Outcomes (PSOs).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evidence of attainment analysis, observations, and continuous improvement actions taken over the last three academic years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ensure systematic tracking and evaluation of how effectively students achieve the intended program outcomes as required by NBA accreditation.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List of Assessment Tools Used: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Direct Assessment Tools: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 Outcome (CO) Attainment from internal and external examinations.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Laboratory performance, mini-projects, and major projects.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Seminars, internships, and viva-voce evaluations.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Indirect Assessment Tools: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Student exit surveys.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Alumni surveys.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Employer/Industry feedback.</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Higher studies and placement data.</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PO/PSO Attainment Calculation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Weightage-based calculation combining </w:t>
      </w:r>
      <w:r>
        <w:rPr>
          <w:rFonts w:ascii="Cambria" w:hAnsi="Cambria" w:eastAsia="Cambria"/>
          <w:b w:val="0"/>
          <w:i/>
          <w:color w:val="000000"/>
          <w:sz w:val="22"/>
        </w:rPr>
        <w:t>direct</w:t>
      </w:r>
      <w:r>
        <w:rPr>
          <w:rFonts w:ascii="Cambria" w:hAnsi="Cambria" w:eastAsia="Cambria"/>
          <w:b w:val="0"/>
          <w:i w:val="0"/>
          <w:color w:val="000000"/>
          <w:sz w:val="22"/>
        </w:rPr>
        <w:t xml:space="preserve"> and </w:t>
      </w:r>
      <w:r>
        <w:rPr>
          <w:rFonts w:ascii="Cambria" w:hAnsi="Cambria" w:eastAsia="Cambria"/>
          <w:b w:val="0"/>
          <w:i/>
          <w:color w:val="000000"/>
          <w:sz w:val="22"/>
        </w:rPr>
        <w:t>indirect</w:t>
      </w:r>
      <w:r>
        <w:rPr>
          <w:rFonts w:ascii="Cambria" w:hAnsi="Cambria" w:eastAsia="Cambria"/>
          <w:b w:val="0"/>
          <w:i w:val="0"/>
          <w:color w:val="000000"/>
          <w:sz w:val="22"/>
        </w:rPr>
        <w:t xml:space="preserve"> assessments.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Direct Attainment: Derived from CO–PO/PSO mapping and course attainment data.</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Indirect Attainment: Derived from stakeholder feedback (typically weighted 20–30%).</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Formula used for final PO/PSO attainment: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PO/PSO Attainment = (w₁ × Direct) + (w₂ × Indirect), where w₁ + w₂ = 1.</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Observation and Action Taken: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Observations on attainment gaps (target vs achieved).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Corrective actions such as syllabus revision, additional training, or project-based learning.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Review reports by Department Academic Committee (DAC) and IQAC.</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Course-wise CO attainment data (for all semesters).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Consolidated PO and PSO attainment sheets (for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Tools and rubrics used for assessment (direct and indirect).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Surveys and feedback reports (students, alumni, employers).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Minutes of meetings of DAC and BoS regarding PO/PSO review.</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Action Taken Reports (ATR) showing evidence of improvement measures implemented.</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List of Assessment Tools for PO/PSO Attainment</w:t>
      </w:r>
    </w:p>
    <w:tbl>
      <w:tblPr>
        <w:tblW w:type="auto" w:w="0"/>
        <w:jc w:val="center"/>
        <w:tblLook w:firstColumn="1" w:firstRow="1" w:lastColumn="0" w:lastRow="0" w:noHBand="0" w:noVBand="1" w:val="04A0"/>
        <w:tblLayout w:type="fixed"/>
        <w:tblLayout w:type="fixed"/>
      </w:tblPr>
      <w:tblGrid>
        <w:gridCol w:w="737"/>
        <w:gridCol w:w="1587"/>
        <w:gridCol w:w="1020"/>
        <w:gridCol w:w="1134"/>
        <w:gridCol w:w="624"/>
        <w:gridCol w:w="907"/>
        <w:gridCol w:w="1077"/>
      </w:tblGrid>
      <w:tr>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6"/>
              </w:rPr>
              <w:t>Category</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6"/>
              </w:rPr>
              <w:t>Assessment Tool</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6"/>
              </w:rPr>
              <w:t>Frequency</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6"/>
              </w:rPr>
              <w:t>Nature of Assessment</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6"/>
              </w:rPr>
              <w:t>Weightage (%)</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6"/>
              </w:rPr>
              <w:t>POs/PSOs Covered</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6"/>
              </w:rPr>
              <w:t>Evidence Reference</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6"/>
              </w:rPr>
              <w:t>Direct</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6"/>
              </w:rPr>
              <w:t>Internal Assessments (CIE)</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6"/>
              </w:rPr>
              <w:t>Twice per Semester</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Written &amp; Quiz</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6"/>
              </w:rPr>
              <w:t>20</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PO1–PO4</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6"/>
              </w:rPr>
              <w:t>CIE Reports</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6"/>
              </w:rPr>
              <w:t>Direct</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6"/>
              </w:rPr>
              <w:t>End-Semester Exam</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6"/>
              </w:rPr>
              <w:t>Once per Semester</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Theory + Problem Solving</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6"/>
              </w:rPr>
              <w:t>30</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6"/>
              </w:rPr>
              <w:t>PO1–PO5</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6"/>
              </w:rPr>
              <w:t>Exam Results</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6"/>
              </w:rPr>
              <w:t>Direct</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6"/>
              </w:rPr>
              <w:t>Lab / Mini Project Evaluation</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6"/>
              </w:rPr>
              <w:t>Each Semester</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Experimental &amp; Practical</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6"/>
              </w:rPr>
              <w:t>20</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PO3, PO4, PSO1</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6"/>
              </w:rPr>
              <w:t>Lab Records</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6"/>
              </w:rPr>
              <w:t>Direct</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6"/>
              </w:rPr>
              <w:t>Major Project</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6"/>
              </w:rPr>
              <w:t>Final Year</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Presentation &amp; Report</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6"/>
              </w:rPr>
              <w:t>15</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6"/>
              </w:rPr>
              <w:t>PO5–PO6, PSO2</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6"/>
              </w:rPr>
              <w:t>Project Reports</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6"/>
              </w:rPr>
              <w:t>Indirect</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6"/>
              </w:rPr>
              <w:t>Exit Survey</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6"/>
              </w:rPr>
              <w:t>Once per Year</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Student Feedback</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6"/>
              </w:rPr>
              <w:t>10</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All POs</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6"/>
              </w:rPr>
              <w:t>Survey Analysis</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6"/>
              </w:rPr>
              <w:t>Indirect</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6"/>
              </w:rPr>
              <w:t>Alumni Survey</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6"/>
              </w:rPr>
              <w:t>Biennial</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Online Feedback</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6"/>
              </w:rPr>
              <w:t>5</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6"/>
              </w:rPr>
              <w:t>PO6, PO10</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6"/>
              </w:rPr>
              <w:t>Alumni Feedback</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PO and PSO Attainment Summary (3 Years)</w:t>
      </w:r>
    </w:p>
    <w:tbl>
      <w:tblPr>
        <w:tblW w:type="auto" w:w="0"/>
        <w:jc w:val="center"/>
        <w:tblLook w:firstColumn="1" w:firstRow="1" w:lastColumn="0" w:lastRow="0" w:noHBand="0" w:noVBand="1" w:val="04A0"/>
        <w:tblLayout w:type="fixed"/>
        <w:tblLayout w:type="fixed"/>
      </w:tblPr>
      <w:tblGrid>
        <w:gridCol w:w="624"/>
        <w:gridCol w:w="425"/>
        <w:gridCol w:w="425"/>
        <w:gridCol w:w="425"/>
        <w:gridCol w:w="425"/>
        <w:gridCol w:w="425"/>
        <w:gridCol w:w="425"/>
        <w:gridCol w:w="454"/>
        <w:gridCol w:w="454"/>
        <w:gridCol w:w="567"/>
        <w:gridCol w:w="624"/>
        <w:gridCol w:w="425"/>
      </w:tblGrid>
      <w:tr>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4"/>
              </w:rPr>
              <w:t>Year</w:t>
            </w:r>
          </w:p>
        </w:tc>
        <w:tc>
          <w:tcPr>
            <w:tcW w:type="dxa" w:w="425"/>
            <w:tcBorders>
              <w:top w:val="single" w:sz="4" w:space="0" w:color="BFBFBF"/>
              <w:left w:val="single" w:sz="4" w:space="0" w:color="BFBFBF"/>
              <w:bottom w:val="single" w:sz="4" w:space="0" w:color="BFBFBF"/>
              <w:right w:val="single" w:sz="4" w:space="0" w:color="BFBFBF"/>
            </w:tcBorders>
            <w:tcW w:w="425" w:type="dxa"/>
            <w:shd w:val="clear" w:color="auto" w:fill="1F3A5F"/>
            <w:tcW w:w="425" w:type="dxa"/>
          </w:tcPr>
          <w:p>
            <w:pPr>
              <w:spacing w:after="40" w:before="40" w:line="264" w:lineRule="auto"/>
              <w:jc w:val="center"/>
            </w:pPr>
            <w:r/>
            <w:r>
              <w:rPr>
                <w:rFonts w:ascii="Cambria" w:hAnsi="Cambria" w:eastAsia="Cambria"/>
                <w:b/>
                <w:i w:val="0"/>
                <w:color w:val="FFFFFF"/>
                <w:sz w:val="14"/>
              </w:rPr>
              <w:t>PO1</w:t>
            </w:r>
          </w:p>
        </w:tc>
        <w:tc>
          <w:tcPr>
            <w:tcW w:type="dxa" w:w="425"/>
            <w:tcBorders>
              <w:top w:val="single" w:sz="4" w:space="0" w:color="BFBFBF"/>
              <w:left w:val="single" w:sz="4" w:space="0" w:color="BFBFBF"/>
              <w:bottom w:val="single" w:sz="4" w:space="0" w:color="BFBFBF"/>
              <w:right w:val="single" w:sz="4" w:space="0" w:color="BFBFBF"/>
            </w:tcBorders>
            <w:tcW w:w="425" w:type="dxa"/>
            <w:shd w:val="clear" w:color="auto" w:fill="1F3A5F"/>
            <w:tcW w:w="425" w:type="dxa"/>
          </w:tcPr>
          <w:p>
            <w:pPr>
              <w:spacing w:after="40" w:before="40" w:line="264" w:lineRule="auto"/>
              <w:jc w:val="center"/>
            </w:pPr>
            <w:r/>
            <w:r>
              <w:rPr>
                <w:rFonts w:ascii="Cambria" w:hAnsi="Cambria" w:eastAsia="Cambria"/>
                <w:b/>
                <w:i w:val="0"/>
                <w:color w:val="FFFFFF"/>
                <w:sz w:val="14"/>
              </w:rPr>
              <w:t>PO2</w:t>
            </w:r>
          </w:p>
        </w:tc>
        <w:tc>
          <w:tcPr>
            <w:tcW w:type="dxa" w:w="425"/>
            <w:tcBorders>
              <w:top w:val="single" w:sz="4" w:space="0" w:color="BFBFBF"/>
              <w:left w:val="single" w:sz="4" w:space="0" w:color="BFBFBF"/>
              <w:bottom w:val="single" w:sz="4" w:space="0" w:color="BFBFBF"/>
              <w:right w:val="single" w:sz="4" w:space="0" w:color="BFBFBF"/>
            </w:tcBorders>
            <w:tcW w:w="425" w:type="dxa"/>
            <w:shd w:val="clear" w:color="auto" w:fill="1F3A5F"/>
            <w:tcW w:w="425" w:type="dxa"/>
          </w:tcPr>
          <w:p>
            <w:pPr>
              <w:spacing w:after="40" w:before="40" w:line="264" w:lineRule="auto"/>
              <w:jc w:val="center"/>
            </w:pPr>
            <w:r/>
            <w:r>
              <w:rPr>
                <w:rFonts w:ascii="Cambria" w:hAnsi="Cambria" w:eastAsia="Cambria"/>
                <w:b/>
                <w:i w:val="0"/>
                <w:color w:val="FFFFFF"/>
                <w:sz w:val="14"/>
              </w:rPr>
              <w:t>PO3</w:t>
            </w:r>
          </w:p>
        </w:tc>
        <w:tc>
          <w:tcPr>
            <w:tcW w:type="dxa" w:w="425"/>
            <w:tcBorders>
              <w:top w:val="single" w:sz="4" w:space="0" w:color="BFBFBF"/>
              <w:left w:val="single" w:sz="4" w:space="0" w:color="BFBFBF"/>
              <w:bottom w:val="single" w:sz="4" w:space="0" w:color="BFBFBF"/>
              <w:right w:val="single" w:sz="4" w:space="0" w:color="BFBFBF"/>
            </w:tcBorders>
            <w:tcW w:w="425" w:type="dxa"/>
            <w:shd w:val="clear" w:color="auto" w:fill="1F3A5F"/>
            <w:tcW w:w="425" w:type="dxa"/>
          </w:tcPr>
          <w:p>
            <w:pPr>
              <w:spacing w:after="40" w:before="40" w:line="264" w:lineRule="auto"/>
              <w:jc w:val="center"/>
            </w:pPr>
            <w:r/>
            <w:r>
              <w:rPr>
                <w:rFonts w:ascii="Cambria" w:hAnsi="Cambria" w:eastAsia="Cambria"/>
                <w:b/>
                <w:i w:val="0"/>
                <w:color w:val="FFFFFF"/>
                <w:sz w:val="14"/>
              </w:rPr>
              <w:t>PO4</w:t>
            </w:r>
          </w:p>
        </w:tc>
        <w:tc>
          <w:tcPr>
            <w:tcW w:type="dxa" w:w="425"/>
            <w:tcBorders>
              <w:top w:val="single" w:sz="4" w:space="0" w:color="BFBFBF"/>
              <w:left w:val="single" w:sz="4" w:space="0" w:color="BFBFBF"/>
              <w:bottom w:val="single" w:sz="4" w:space="0" w:color="BFBFBF"/>
              <w:right w:val="single" w:sz="4" w:space="0" w:color="BFBFBF"/>
            </w:tcBorders>
            <w:tcW w:w="425" w:type="dxa"/>
            <w:shd w:val="clear" w:color="auto" w:fill="1F3A5F"/>
            <w:tcW w:w="425" w:type="dxa"/>
          </w:tcPr>
          <w:p>
            <w:pPr>
              <w:spacing w:after="40" w:before="40" w:line="264" w:lineRule="auto"/>
              <w:jc w:val="center"/>
            </w:pPr>
            <w:r/>
            <w:r>
              <w:rPr>
                <w:rFonts w:ascii="Cambria" w:hAnsi="Cambria" w:eastAsia="Cambria"/>
                <w:b/>
                <w:i w:val="0"/>
                <w:color w:val="FFFFFF"/>
                <w:sz w:val="14"/>
              </w:rPr>
              <w:t>PO5</w:t>
            </w:r>
          </w:p>
        </w:tc>
        <w:tc>
          <w:tcPr>
            <w:tcW w:type="dxa" w:w="425"/>
            <w:tcBorders>
              <w:top w:val="single" w:sz="4" w:space="0" w:color="BFBFBF"/>
              <w:left w:val="single" w:sz="4" w:space="0" w:color="BFBFBF"/>
              <w:bottom w:val="single" w:sz="4" w:space="0" w:color="BFBFBF"/>
              <w:right w:val="single" w:sz="4" w:space="0" w:color="BFBFBF"/>
            </w:tcBorders>
            <w:tcW w:w="425" w:type="dxa"/>
            <w:shd w:val="clear" w:color="auto" w:fill="1F3A5F"/>
            <w:tcW w:w="425" w:type="dxa"/>
          </w:tcPr>
          <w:p>
            <w:pPr>
              <w:spacing w:after="40" w:before="40" w:line="264" w:lineRule="auto"/>
              <w:jc w:val="center"/>
            </w:pPr>
            <w:r/>
            <w:r>
              <w:rPr>
                <w:rFonts w:ascii="Cambria" w:hAnsi="Cambria" w:eastAsia="Cambria"/>
                <w:b/>
                <w:i w:val="0"/>
                <w:color w:val="FFFFFF"/>
                <w:sz w:val="14"/>
              </w:rPr>
              <w:t>PO6</w:t>
            </w:r>
          </w:p>
        </w:tc>
        <w:tc>
          <w:tcPr>
            <w:tcW w:type="dxa" w:w="454"/>
            <w:tcBorders>
              <w:top w:val="single" w:sz="4" w:space="0" w:color="BFBFBF"/>
              <w:left w:val="single" w:sz="4" w:space="0" w:color="BFBFBF"/>
              <w:bottom w:val="single" w:sz="4" w:space="0" w:color="BFBFBF"/>
              <w:right w:val="single" w:sz="4" w:space="0" w:color="BFBFBF"/>
            </w:tcBorders>
            <w:tcW w:w="454" w:type="dxa"/>
            <w:shd w:val="clear" w:color="auto" w:fill="1F3A5F"/>
            <w:tcW w:w="454" w:type="dxa"/>
          </w:tcPr>
          <w:p>
            <w:pPr>
              <w:spacing w:after="40" w:before="40" w:line="264" w:lineRule="auto"/>
              <w:jc w:val="center"/>
            </w:pPr>
            <w:r/>
            <w:r>
              <w:rPr>
                <w:rFonts w:ascii="Cambria" w:hAnsi="Cambria" w:eastAsia="Cambria"/>
                <w:b/>
                <w:i w:val="0"/>
                <w:color w:val="FFFFFF"/>
                <w:sz w:val="14"/>
              </w:rPr>
              <w:t>PSO1</w:t>
            </w:r>
          </w:p>
        </w:tc>
        <w:tc>
          <w:tcPr>
            <w:tcW w:type="dxa" w:w="454"/>
            <w:tcBorders>
              <w:top w:val="single" w:sz="4" w:space="0" w:color="BFBFBF"/>
              <w:left w:val="single" w:sz="4" w:space="0" w:color="BFBFBF"/>
              <w:bottom w:val="single" w:sz="4" w:space="0" w:color="BFBFBF"/>
              <w:right w:val="single" w:sz="4" w:space="0" w:color="BFBFBF"/>
            </w:tcBorders>
            <w:tcW w:w="454" w:type="dxa"/>
            <w:shd w:val="clear" w:color="auto" w:fill="1F3A5F"/>
            <w:tcW w:w="454" w:type="dxa"/>
          </w:tcPr>
          <w:p>
            <w:pPr>
              <w:spacing w:after="40" w:before="40" w:line="264" w:lineRule="auto"/>
              <w:jc w:val="center"/>
            </w:pPr>
            <w:r/>
            <w:r>
              <w:rPr>
                <w:rFonts w:ascii="Cambria" w:hAnsi="Cambria" w:eastAsia="Cambria"/>
                <w:b/>
                <w:i w:val="0"/>
                <w:color w:val="FFFFFF"/>
                <w:sz w:val="14"/>
              </w:rPr>
              <w:t>PSO2</w:t>
            </w:r>
          </w:p>
        </w:tc>
        <w:tc>
          <w:tcPr>
            <w:tcW w:type="dxa" w:w="567"/>
            <w:tcBorders>
              <w:top w:val="single" w:sz="4" w:space="0" w:color="BFBFBF"/>
              <w:left w:val="single" w:sz="4" w:space="0" w:color="BFBFBF"/>
              <w:bottom w:val="single" w:sz="4" w:space="0" w:color="BFBFBF"/>
              <w:right w:val="single" w:sz="4" w:space="0" w:color="BFBFBF"/>
            </w:tcBorders>
            <w:tcW w:w="567" w:type="dxa"/>
            <w:shd w:val="clear" w:color="auto" w:fill="1F3A5F"/>
            <w:tcW w:w="567" w:type="dxa"/>
          </w:tcPr>
          <w:p>
            <w:pPr>
              <w:spacing w:after="40" w:before="40" w:line="264" w:lineRule="auto"/>
              <w:jc w:val="center"/>
            </w:pPr>
            <w:r/>
            <w:r>
              <w:rPr>
                <w:rFonts w:ascii="Cambria" w:hAnsi="Cambria" w:eastAsia="Cambria"/>
                <w:b/>
                <w:i w:val="0"/>
                <w:color w:val="FFFFFF"/>
                <w:sz w:val="14"/>
              </w:rPr>
              <w:t>Target (%)</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4"/>
              </w:rPr>
              <w:t>Attained (%)</w:t>
            </w:r>
          </w:p>
        </w:tc>
        <w:tc>
          <w:tcPr>
            <w:tcW w:type="dxa" w:w="425"/>
            <w:tcBorders>
              <w:top w:val="single" w:sz="4" w:space="0" w:color="BFBFBF"/>
              <w:left w:val="single" w:sz="4" w:space="0" w:color="BFBFBF"/>
              <w:bottom w:val="single" w:sz="4" w:space="0" w:color="BFBFBF"/>
              <w:right w:val="single" w:sz="4" w:space="0" w:color="BFBFBF"/>
            </w:tcBorders>
            <w:tcW w:w="425" w:type="dxa"/>
            <w:shd w:val="clear" w:color="auto" w:fill="1F3A5F"/>
            <w:tcW w:w="425" w:type="dxa"/>
          </w:tcPr>
          <w:p>
            <w:pPr>
              <w:spacing w:after="40" w:before="40" w:line="264" w:lineRule="auto"/>
              <w:jc w:val="center"/>
            </w:pPr>
            <w:r/>
            <w:r>
              <w:rPr>
                <w:rFonts w:ascii="Cambria" w:hAnsi="Cambria" w:eastAsia="Cambria"/>
                <w:b/>
                <w:i w:val="0"/>
                <w:color w:val="FFFFFF"/>
                <w:sz w:val="14"/>
              </w:rPr>
              <w:t>Gap (%)</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2022–23</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70</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68</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72</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69</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65</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63</w:t>
            </w:r>
          </w:p>
        </w:tc>
        <w:tc>
          <w:tcPr>
            <w:tcW w:type="dxa" w:w="454"/>
            <w:shd w:val="clear" w:color="auto" w:fill="E8ECF2"/>
            <w:tcW w:w="454" w:type="dxa"/>
          </w:tcPr>
          <w:p>
            <w:pPr>
              <w:spacing w:after="40" w:before="40" w:line="264" w:lineRule="auto"/>
              <w:jc w:val="left"/>
            </w:pPr>
            <w:r/>
            <w:r>
              <w:rPr>
                <w:rFonts w:ascii="Cambria" w:hAnsi="Cambria" w:eastAsia="Cambria"/>
                <w:b w:val="0"/>
                <w:i w:val="0"/>
                <w:color w:val="000000"/>
                <w:sz w:val="14"/>
              </w:rPr>
              <w:t>71</w:t>
            </w:r>
          </w:p>
        </w:tc>
        <w:tc>
          <w:tcPr>
            <w:tcW w:type="dxa" w:w="454"/>
            <w:shd w:val="clear" w:color="auto" w:fill="E8ECF2"/>
            <w:tcW w:w="454" w:type="dxa"/>
          </w:tcPr>
          <w:p>
            <w:pPr>
              <w:spacing w:after="40" w:before="40" w:line="264" w:lineRule="auto"/>
              <w:jc w:val="left"/>
            </w:pPr>
            <w:r/>
            <w:r>
              <w:rPr>
                <w:rFonts w:ascii="Cambria" w:hAnsi="Cambria" w:eastAsia="Cambria"/>
                <w:b w:val="0"/>
                <w:i w:val="0"/>
                <w:color w:val="000000"/>
                <w:sz w:val="14"/>
              </w:rPr>
              <w:t>67</w:t>
            </w:r>
          </w:p>
        </w:tc>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4"/>
              </w:rPr>
              <w:t>70</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68</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−2</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2023–24</w:t>
            </w:r>
          </w:p>
        </w:tc>
        <w:tc>
          <w:tcPr>
            <w:tcW w:type="dxa" w:w="425"/>
            <w:shd w:val="clear" w:color="auto" w:fill="FFFFFF"/>
            <w:tcW w:w="425" w:type="dxa"/>
          </w:tcPr>
          <w:p>
            <w:pPr>
              <w:spacing w:after="40" w:before="40" w:line="264" w:lineRule="auto"/>
              <w:jc w:val="left"/>
            </w:pPr>
            <w:r/>
            <w:r>
              <w:rPr>
                <w:rFonts w:ascii="Cambria" w:hAnsi="Cambria" w:eastAsia="Cambria"/>
                <w:b w:val="0"/>
                <w:i w:val="0"/>
                <w:color w:val="000000"/>
                <w:sz w:val="14"/>
              </w:rPr>
              <w:t>74</w:t>
            </w:r>
          </w:p>
        </w:tc>
        <w:tc>
          <w:tcPr>
            <w:tcW w:type="dxa" w:w="425"/>
            <w:shd w:val="clear" w:color="auto" w:fill="FFFFFF"/>
            <w:tcW w:w="425" w:type="dxa"/>
          </w:tcPr>
          <w:p>
            <w:pPr>
              <w:spacing w:after="40" w:before="40" w:line="264" w:lineRule="auto"/>
              <w:jc w:val="left"/>
            </w:pPr>
            <w:r/>
            <w:r>
              <w:rPr>
                <w:rFonts w:ascii="Cambria" w:hAnsi="Cambria" w:eastAsia="Cambria"/>
                <w:b w:val="0"/>
                <w:i w:val="0"/>
                <w:color w:val="000000"/>
                <w:sz w:val="14"/>
              </w:rPr>
              <w:t>71</w:t>
            </w:r>
          </w:p>
        </w:tc>
        <w:tc>
          <w:tcPr>
            <w:tcW w:type="dxa" w:w="425"/>
            <w:shd w:val="clear" w:color="auto" w:fill="FFFFFF"/>
            <w:tcW w:w="425" w:type="dxa"/>
          </w:tcPr>
          <w:p>
            <w:pPr>
              <w:spacing w:after="40" w:before="40" w:line="264" w:lineRule="auto"/>
              <w:jc w:val="left"/>
            </w:pPr>
            <w:r/>
            <w:r>
              <w:rPr>
                <w:rFonts w:ascii="Cambria" w:hAnsi="Cambria" w:eastAsia="Cambria"/>
                <w:b w:val="0"/>
                <w:i w:val="0"/>
                <w:color w:val="000000"/>
                <w:sz w:val="14"/>
              </w:rPr>
              <w:t>76</w:t>
            </w:r>
          </w:p>
        </w:tc>
        <w:tc>
          <w:tcPr>
            <w:tcW w:type="dxa" w:w="425"/>
            <w:shd w:val="clear" w:color="auto" w:fill="FFFFFF"/>
            <w:tcW w:w="425" w:type="dxa"/>
          </w:tcPr>
          <w:p>
            <w:pPr>
              <w:spacing w:after="40" w:before="40" w:line="264" w:lineRule="auto"/>
              <w:jc w:val="left"/>
            </w:pPr>
            <w:r/>
            <w:r>
              <w:rPr>
                <w:rFonts w:ascii="Cambria" w:hAnsi="Cambria" w:eastAsia="Cambria"/>
                <w:b w:val="0"/>
                <w:i w:val="0"/>
                <w:color w:val="000000"/>
                <w:sz w:val="14"/>
              </w:rPr>
              <w:t>73</w:t>
            </w:r>
          </w:p>
        </w:tc>
        <w:tc>
          <w:tcPr>
            <w:tcW w:type="dxa" w:w="425"/>
            <w:shd w:val="clear" w:color="auto" w:fill="FFFFFF"/>
            <w:tcW w:w="425" w:type="dxa"/>
          </w:tcPr>
          <w:p>
            <w:pPr>
              <w:spacing w:after="40" w:before="40" w:line="264" w:lineRule="auto"/>
              <w:jc w:val="left"/>
            </w:pPr>
            <w:r/>
            <w:r>
              <w:rPr>
                <w:rFonts w:ascii="Cambria" w:hAnsi="Cambria" w:eastAsia="Cambria"/>
                <w:b w:val="0"/>
                <w:i w:val="0"/>
                <w:color w:val="000000"/>
                <w:sz w:val="14"/>
              </w:rPr>
              <w:t>70</w:t>
            </w:r>
          </w:p>
        </w:tc>
        <w:tc>
          <w:tcPr>
            <w:tcW w:type="dxa" w:w="425"/>
            <w:shd w:val="clear" w:color="auto" w:fill="FFFFFF"/>
            <w:tcW w:w="425" w:type="dxa"/>
          </w:tcPr>
          <w:p>
            <w:pPr>
              <w:spacing w:after="40" w:before="40" w:line="264" w:lineRule="auto"/>
              <w:jc w:val="left"/>
            </w:pPr>
            <w:r/>
            <w:r>
              <w:rPr>
                <w:rFonts w:ascii="Cambria" w:hAnsi="Cambria" w:eastAsia="Cambria"/>
                <w:b w:val="0"/>
                <w:i w:val="0"/>
                <w:color w:val="000000"/>
                <w:sz w:val="14"/>
              </w:rPr>
              <w:t>66</w:t>
            </w:r>
          </w:p>
        </w:tc>
        <w:tc>
          <w:tcPr>
            <w:tcW w:type="dxa" w:w="454"/>
            <w:shd w:val="clear" w:color="auto" w:fill="FFFFFF"/>
            <w:tcW w:w="454" w:type="dxa"/>
          </w:tcPr>
          <w:p>
            <w:pPr>
              <w:spacing w:after="40" w:before="40" w:line="264" w:lineRule="auto"/>
              <w:jc w:val="left"/>
            </w:pPr>
            <w:r/>
            <w:r>
              <w:rPr>
                <w:rFonts w:ascii="Cambria" w:hAnsi="Cambria" w:eastAsia="Cambria"/>
                <w:b w:val="0"/>
                <w:i w:val="0"/>
                <w:color w:val="000000"/>
                <w:sz w:val="14"/>
              </w:rPr>
              <w:t>75</w:t>
            </w:r>
          </w:p>
        </w:tc>
        <w:tc>
          <w:tcPr>
            <w:tcW w:type="dxa" w:w="454"/>
            <w:shd w:val="clear" w:color="auto" w:fill="FFFFFF"/>
            <w:tcW w:w="454" w:type="dxa"/>
          </w:tcPr>
          <w:p>
            <w:pPr>
              <w:spacing w:after="40" w:before="40" w:line="264" w:lineRule="auto"/>
              <w:jc w:val="left"/>
            </w:pPr>
            <w:r/>
            <w:r>
              <w:rPr>
                <w:rFonts w:ascii="Cambria" w:hAnsi="Cambria" w:eastAsia="Cambria"/>
                <w:b w:val="0"/>
                <w:i w:val="0"/>
                <w:color w:val="000000"/>
                <w:sz w:val="14"/>
              </w:rPr>
              <w:t>72</w:t>
            </w:r>
          </w:p>
        </w:tc>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4"/>
              </w:rPr>
              <w:t>70</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71</w:t>
            </w:r>
          </w:p>
        </w:tc>
        <w:tc>
          <w:tcPr>
            <w:tcW w:type="dxa" w:w="425"/>
            <w:shd w:val="clear" w:color="auto" w:fill="FFFFFF"/>
            <w:tcW w:w="425" w:type="dxa"/>
          </w:tcPr>
          <w:p>
            <w:pPr>
              <w:spacing w:after="40" w:before="40" w:line="264" w:lineRule="auto"/>
              <w:jc w:val="left"/>
            </w:pPr>
            <w:r/>
            <w:r>
              <w:rPr>
                <w:rFonts w:ascii="Cambria" w:hAnsi="Cambria" w:eastAsia="Cambria"/>
                <w:b w:val="0"/>
                <w:i w:val="0"/>
                <w:color w:val="000000"/>
                <w:sz w:val="14"/>
              </w:rPr>
              <w:t>+1</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2024–25</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78</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74</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80</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76</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73</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69</w:t>
            </w:r>
          </w:p>
        </w:tc>
        <w:tc>
          <w:tcPr>
            <w:tcW w:type="dxa" w:w="454"/>
            <w:shd w:val="clear" w:color="auto" w:fill="E8ECF2"/>
            <w:tcW w:w="454" w:type="dxa"/>
          </w:tcPr>
          <w:p>
            <w:pPr>
              <w:spacing w:after="40" w:before="40" w:line="264" w:lineRule="auto"/>
              <w:jc w:val="left"/>
            </w:pPr>
            <w:r/>
            <w:r>
              <w:rPr>
                <w:rFonts w:ascii="Cambria" w:hAnsi="Cambria" w:eastAsia="Cambria"/>
                <w:b w:val="0"/>
                <w:i w:val="0"/>
                <w:color w:val="000000"/>
                <w:sz w:val="14"/>
              </w:rPr>
              <w:t>78</w:t>
            </w:r>
          </w:p>
        </w:tc>
        <w:tc>
          <w:tcPr>
            <w:tcW w:type="dxa" w:w="454"/>
            <w:shd w:val="clear" w:color="auto" w:fill="E8ECF2"/>
            <w:tcW w:w="454" w:type="dxa"/>
          </w:tcPr>
          <w:p>
            <w:pPr>
              <w:spacing w:after="40" w:before="40" w:line="264" w:lineRule="auto"/>
              <w:jc w:val="left"/>
            </w:pPr>
            <w:r/>
            <w:r>
              <w:rPr>
                <w:rFonts w:ascii="Cambria" w:hAnsi="Cambria" w:eastAsia="Cambria"/>
                <w:b w:val="0"/>
                <w:i w:val="0"/>
                <w:color w:val="000000"/>
                <w:sz w:val="14"/>
              </w:rPr>
              <w:t>75</w:t>
            </w:r>
          </w:p>
        </w:tc>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4"/>
              </w:rPr>
              <w:t>70</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73</w:t>
            </w:r>
          </w:p>
        </w:tc>
        <w:tc>
          <w:tcPr>
            <w:tcW w:type="dxa" w:w="425"/>
            <w:shd w:val="clear" w:color="auto" w:fill="E8ECF2"/>
            <w:tcW w:w="425" w:type="dxa"/>
          </w:tcPr>
          <w:p>
            <w:pPr>
              <w:spacing w:after="40" w:before="40" w:line="264" w:lineRule="auto"/>
              <w:jc w:val="left"/>
            </w:pPr>
            <w:r/>
            <w:r>
              <w:rPr>
                <w:rFonts w:ascii="Cambria" w:hAnsi="Cambria" w:eastAsia="Cambria"/>
                <w:b w:val="0"/>
                <w:i w:val="0"/>
                <w:color w:val="000000"/>
                <w:sz w:val="14"/>
              </w:rPr>
              <w:t>+3</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Observation and Action Taken Based on Attainment Results</w:t>
      </w:r>
    </w:p>
    <w:p>
      <w:pPr>
        <w:keepNext/>
        <w:spacing w:before="200" w:after="80"/>
      </w:pPr>
      <w:r>
        <w:rPr>
          <w:rFonts w:ascii="Cambria" w:hAnsi="Cambria" w:eastAsia="Cambria"/>
          <w:b/>
          <w:i w:val="0"/>
          <w:color w:val="1F3A5F"/>
          <w:sz w:val="23"/>
        </w:rPr>
        <w:t>2022–23 – PO4 below target</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Root Cause Identified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Limited project-based learning</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Introduced design thinking modules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Person/Body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HoD / DAC</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Impact/Outcome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PO4 improved by 4% next year</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ATR_2023</w:t>
            </w:r>
          </w:p>
        </w:tc>
      </w:tr>
    </w:tbl>
    <w:p>
      <w:pPr>
        <w:keepNext/>
        <w:spacing w:before="200" w:after="80"/>
      </w:pPr>
      <w:r>
        <w:rPr>
          <w:rFonts w:ascii="Cambria" w:hAnsi="Cambria" w:eastAsia="Cambria"/>
          <w:b/>
          <w:i w:val="0"/>
          <w:color w:val="1F3A5F"/>
          <w:sz w:val="23"/>
        </w:rPr>
        <w:t>2023–24 – PSO1 moderate gap</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Root Cause Identified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Lack of industrial exposure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Organized industry expert lectures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Person/Body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Industry Interaction Cell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Impact/Outcome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Better PSO1 attainment</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IQAC_Report_2024</w:t>
            </w:r>
          </w:p>
        </w:tc>
      </w:tr>
    </w:tbl>
    <w:p>
      <w:pPr>
        <w:keepNext/>
        <w:spacing w:before="200" w:after="80"/>
      </w:pPr>
      <w:r>
        <w:rPr>
          <w:rFonts w:ascii="Cambria" w:hAnsi="Cambria" w:eastAsia="Cambria"/>
          <w:b/>
          <w:i w:val="0"/>
          <w:color w:val="1F3A5F"/>
          <w:sz w:val="23"/>
        </w:rPr>
        <w:t>2024–25 – PO6 low achievement</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Root Cause Identified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Poor communication skills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Added technical communication workshop</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Person/Body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Placement Cell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Impact/Outcome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PO6 rose by 3%</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Feedback_2025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Impact of Continuous Improvement Actions</w:t>
      </w:r>
    </w:p>
    <w:tbl>
      <w:tblPr>
        <w:tblW w:type="auto" w:w="0"/>
        <w:jc w:val="center"/>
        <w:tblLook w:firstColumn="1" w:firstRow="1" w:lastColumn="0" w:lastRow="0" w:noHBand="0" w:noVBand="1" w:val="04A0"/>
        <w:tblLayout w:type="fixed"/>
        <w:tblLayout w:type="fixed"/>
      </w:tblPr>
      <w:tblGrid>
        <w:gridCol w:w="737"/>
        <w:gridCol w:w="1474"/>
        <w:gridCol w:w="737"/>
        <w:gridCol w:w="907"/>
        <w:gridCol w:w="907"/>
        <w:gridCol w:w="907"/>
        <w:gridCol w:w="1701"/>
      </w:tblGrid>
      <w:tr>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6"/>
              </w:rPr>
              <w:t>Year</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6"/>
              </w:rPr>
              <w:t>Action Implemented</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6"/>
              </w:rPr>
              <w:t>Outcome Indicator</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6"/>
              </w:rPr>
              <w:t>Previous Attainment (%)</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6"/>
              </w:rPr>
              <w:t>Current Attainment (%)</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6"/>
              </w:rPr>
              <w:t>Improvement (%)</w:t>
            </w:r>
          </w:p>
        </w:tc>
        <w:tc>
          <w:tcPr>
            <w:tcW w:type="dxa" w:w="1701"/>
            <w:tcBorders>
              <w:top w:val="single" w:sz="4" w:space="0" w:color="BFBFBF"/>
              <w:left w:val="single" w:sz="4" w:space="0" w:color="BFBFBF"/>
              <w:bottom w:val="single" w:sz="4" w:space="0" w:color="BFBFBF"/>
              <w:right w:val="single" w:sz="4" w:space="0" w:color="BFBFBF"/>
            </w:tcBorders>
            <w:tcW w:w="1701" w:type="dxa"/>
            <w:shd w:val="clear" w:color="auto" w:fill="1F3A5F"/>
            <w:tcW w:w="1701" w:type="dxa"/>
          </w:tcPr>
          <w:p>
            <w:pPr>
              <w:spacing w:after="40" w:before="40" w:line="264" w:lineRule="auto"/>
              <w:jc w:val="center"/>
            </w:pPr>
            <w:r/>
            <w:r>
              <w:rPr>
                <w:rFonts w:ascii="Cambria" w:hAnsi="Cambria" w:eastAsia="Cambria"/>
                <w:b/>
                <w:i w:val="0"/>
                <w:color w:val="FFFFFF"/>
                <w:sz w:val="16"/>
              </w:rPr>
              <w:t>Remarks</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6"/>
              </w:rPr>
              <w:t>2022–23</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Additional Lab Experiments</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6"/>
              </w:rPr>
              <w:t>PO3</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72</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76</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+4</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6"/>
              </w:rPr>
              <w:t>Positive impact</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6"/>
              </w:rPr>
              <w:t>2023–24</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MOOC Integration</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6"/>
              </w:rPr>
              <w:t>PO2</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6"/>
              </w:rPr>
              <w:t>71</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6"/>
              </w:rPr>
              <w:t>75</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6"/>
              </w:rPr>
              <w:t>+4</w:t>
            </w:r>
          </w:p>
        </w:tc>
        <w:tc>
          <w:tcPr>
            <w:tcW w:type="dxa" w:w="1701"/>
            <w:shd w:val="clear" w:color="auto" w:fill="FFFFFF"/>
            <w:tcW w:w="1701" w:type="dxa"/>
          </w:tcPr>
          <w:p>
            <w:pPr>
              <w:spacing w:after="40" w:before="40" w:line="264" w:lineRule="auto"/>
              <w:jc w:val="left"/>
            </w:pPr>
            <w:r/>
            <w:r>
              <w:rPr>
                <w:rFonts w:ascii="Cambria" w:hAnsi="Cambria" w:eastAsia="Cambria"/>
                <w:b w:val="0"/>
                <w:i w:val="0"/>
                <w:color w:val="000000"/>
                <w:sz w:val="16"/>
              </w:rPr>
              <w:t>Improved conceptual learning</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6"/>
              </w:rPr>
              <w:t>2024–25</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Internship Integration</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6"/>
              </w:rPr>
              <w:t>PSO2</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72</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78</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+6</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6"/>
              </w:rPr>
              <w:t>Enhanced employability</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PO/PSO assessment framework</w:t>
      </w:r>
      <w:r>
        <w:rPr>
          <w:rFonts w:ascii="Cambria" w:hAnsi="Cambria" w:eastAsia="Cambria"/>
          <w:b w:val="0"/>
          <w:i w:val="0"/>
          <w:color w:val="000000"/>
          <w:sz w:val="22"/>
        </w:rPr>
        <w:t xml:space="preserve"> designed and validated by IQAC / NBA Coordinator.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Data compiled each semester</w:t>
      </w:r>
      <w:r>
        <w:rPr>
          <w:rFonts w:ascii="Cambria" w:hAnsi="Cambria" w:eastAsia="Cambria"/>
          <w:b w:val="0"/>
          <w:i w:val="0"/>
          <w:color w:val="000000"/>
          <w:sz w:val="22"/>
        </w:rPr>
        <w:t xml:space="preserve"> by Course Coordinators and verified by the Department Academic Committee (DAC).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Feedback-based improvements</w:t>
      </w:r>
      <w:r>
        <w:rPr>
          <w:rFonts w:ascii="Cambria" w:hAnsi="Cambria" w:eastAsia="Cambria"/>
          <w:b w:val="0"/>
          <w:i w:val="0"/>
          <w:color w:val="000000"/>
          <w:sz w:val="22"/>
        </w:rPr>
        <w:t xml:space="preserve"> implemented and tracked in the next academic cycle.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Annual PO/PSO attainment report</w:t>
      </w:r>
      <w:r>
        <w:rPr>
          <w:rFonts w:ascii="Cambria" w:hAnsi="Cambria" w:eastAsia="Cambria"/>
          <w:b w:val="0"/>
          <w:i w:val="0"/>
          <w:color w:val="000000"/>
          <w:sz w:val="22"/>
        </w:rPr>
        <w:t xml:space="preserve"> reviewed by the Board of Studies (BoS) and submitted to management.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9 (Student Performance and Learning Outcomes)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data covers three consecutive years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Maintain traceability: </w:t>
      </w:r>
      <w:r>
        <w:rPr>
          <w:rFonts w:ascii="Cambria" w:hAnsi="Cambria" w:eastAsia="Cambria"/>
          <w:b w:val="0"/>
          <w:i/>
          <w:color w:val="000000"/>
          <w:sz w:val="22"/>
        </w:rPr>
        <w:t>CO Attainment → PO/PSO Attainment → Actions → Improvement Evidence</w:t>
      </w:r>
      <w:r>
        <w:rPr>
          <w:rFonts w:ascii="Cambria" w:hAnsi="Cambria" w:eastAsia="Cambria"/>
          <w:b w:val="0"/>
          <w:i w:val="0"/>
          <w:color w:val="000000"/>
          <w:sz w:val="22"/>
        </w:rPr>
        <w: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Well-documented, measurable assessment of PO and PSO attainment.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Clear evidence of data-driven decision-making and academic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Enhanced outcome alignment through continuous monitoring and stakeholder involvement.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9 &amp; 10 – Attainment Measurement and Continuous Improvement standards.</w:t>
      </w:r>
    </w:p>
    <w:p>
      <w:r>
        <w:br w:type="page"/>
      </w:r>
    </w:p>
    <w:p>
      <w:pPr>
        <w:keepNext/>
        <w:spacing w:before="240" w:after="160"/>
        <w:jc w:val="left"/>
      </w:pPr>
      <w:r>
        <w:rPr>
          <w:rFonts w:ascii="Cambria" w:hAnsi="Cambria" w:eastAsia="Cambria"/>
          <w:b/>
          <w:i w:val="0"/>
          <w:color w:val="1F3A5F"/>
          <w:sz w:val="25"/>
        </w:rPr>
        <w:t>21. P.18 Evidences of number of seats filled under various quotas and quality of students (ranks/percentage of marks) admitted to the program in the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document the admission statistics and quality profile of students enrolled in the program over the past three academic years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transparency, diversity, and competitiveness of the admission process in alignment with NBA accreditation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evidence that the student intake, selection quality, and quota distribution meet institutional and regulatory body norms (AICTE / University / State Government).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Seat Intake and Quota Details: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Sanctioned intake as per AICTE approval for each year.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Number of seats filled under various quotas such as: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General Merit (Open Category)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Reserved Category (SC/ST/OBC/EWS)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Management / Institutional Quota</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Lateral Entry (Diploma / Transfer Students)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Foreign / NRI / Sponsored Category (if applicable)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Quality of Admitted Students: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Admission rank details (entrance exam rank such as JEE, CET, EAMCET, TANCET, etc.).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Percentage of marks at qualifying examination (10+2 / Diploma / Graduation).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Cut-off ranks / percentile for each quota.</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Average and range of marks/ranks for admitted students.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Supporting Evidence: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Admission list copies approved by the competent authority.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AICTE approval letters specifying annual intake.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University admission confirmation and student enrollment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Merit list, cut-off sheet, and waiting list.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Year-wise admission summary approved by the Principal / Admission Committee.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Category-wise seat allocation and filled-seat report.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Admission merit list with rank and percentage details.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University enrollment confirmations and student registration sheets.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Copies of AICTE / DTE / University approval letters for sanctioned intake.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of vacant seats (if any) and justifications.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Year-wise Seat Distribution and Filled Status</w:t>
      </w:r>
    </w:p>
    <w:tbl>
      <w:tblPr>
        <w:tblW w:type="auto" w:w="0"/>
        <w:jc w:val="center"/>
        <w:tblLook w:firstColumn="1" w:firstRow="1" w:lastColumn="0" w:lastRow="0" w:noHBand="0" w:noVBand="1" w:val="04A0"/>
        <w:tblLayout w:type="fixed"/>
        <w:tblLayout w:type="fixed"/>
      </w:tblPr>
      <w:tblGrid>
        <w:gridCol w:w="737"/>
        <w:gridCol w:w="907"/>
        <w:gridCol w:w="794"/>
        <w:gridCol w:w="1247"/>
        <w:gridCol w:w="1020"/>
        <w:gridCol w:w="737"/>
        <w:gridCol w:w="794"/>
        <w:gridCol w:w="794"/>
      </w:tblGrid>
      <w:tr>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5"/>
              </w:rPr>
              <w:t>Year</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Sanctioned Intake</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General Quota</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5"/>
              </w:rPr>
              <w:t>Reserved Quota (SC/ST/OBC/EWS)</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Management Quota</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5"/>
              </w:rPr>
              <w:t>Lateral Entry</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Total Seats Filled</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Vacancy</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2022–23</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120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70</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5"/>
              </w:rPr>
              <w:t>35</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10</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5</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120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0</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2023–24</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120</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68</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5"/>
              </w:rPr>
              <w:t>38</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9</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5</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120</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0</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2024–25</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120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72</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5"/>
              </w:rPr>
              <w:t>34</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9</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5</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120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0</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Quality Profile of Admitted Students</w:t>
      </w:r>
    </w:p>
    <w:tbl>
      <w:tblPr>
        <w:tblW w:type="auto" w:w="0"/>
        <w:jc w:val="center"/>
        <w:tblLook w:firstColumn="1" w:firstRow="1" w:lastColumn="0" w:lastRow="0" w:noHBand="0" w:noVBand="1" w:val="04A0"/>
        <w:tblLayout w:type="fixed"/>
        <w:tblLayout w:type="fixed"/>
      </w:tblPr>
      <w:tblGrid>
        <w:gridCol w:w="737"/>
        <w:gridCol w:w="1134"/>
        <w:gridCol w:w="907"/>
        <w:gridCol w:w="907"/>
        <w:gridCol w:w="794"/>
        <w:gridCol w:w="907"/>
        <w:gridCol w:w="907"/>
        <w:gridCol w:w="1134"/>
      </w:tblGrid>
      <w:tr>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5"/>
              </w:rPr>
              <w:t>Year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Admission Channel</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Entrance Exam Used</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Cut-off Rank (Lowest)</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Highest Rank (Best)</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Average Rank/% Marks</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Std. Deviation</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Remarks</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2022–23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State Counseling</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CET</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17,540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325</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Avg. 82%</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±6%</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High intake quality</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2023–24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Institutional Quota</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JEE Mains</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21,220</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410</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Avg. 80%</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±8%</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Stable academic profile</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2024–25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Lateral Entry</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Diploma Merit</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NA</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NA</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Avg. 78%</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±7%</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Consistent performance</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Comparative Quality Analysis (Last 3 Years)</w:t>
      </w:r>
    </w:p>
    <w:tbl>
      <w:tblPr>
        <w:tblW w:type="auto" w:w="0"/>
        <w:jc w:val="center"/>
        <w:tblLook w:firstColumn="1" w:firstRow="1" w:lastColumn="0" w:lastRow="0" w:noHBand="0" w:noVBand="1" w:val="04A0"/>
        <w:tblLayout w:type="fixed"/>
        <w:tblLayout w:type="fixed"/>
      </w:tblPr>
      <w:tblGrid>
        <w:gridCol w:w="737"/>
        <w:gridCol w:w="1134"/>
        <w:gridCol w:w="794"/>
        <w:gridCol w:w="794"/>
        <w:gridCol w:w="907"/>
        <w:gridCol w:w="1020"/>
        <w:gridCol w:w="1757"/>
      </w:tblGrid>
      <w:tr>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5"/>
              </w:rPr>
              <w:t>Year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Average Marks (Admitted)</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 Highest</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 Lowest</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Avg. Entrance Rank</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PO/PSO Attainment Trend (%)</w:t>
            </w:r>
          </w:p>
        </w:tc>
        <w:tc>
          <w:tcPr>
            <w:tcW w:type="dxa" w:w="1757"/>
            <w:tcBorders>
              <w:top w:val="single" w:sz="4" w:space="0" w:color="BFBFBF"/>
              <w:left w:val="single" w:sz="4" w:space="0" w:color="BFBFBF"/>
              <w:bottom w:val="single" w:sz="4" w:space="0" w:color="BFBFBF"/>
              <w:right w:val="single" w:sz="4" w:space="0" w:color="BFBFBF"/>
            </w:tcBorders>
            <w:tcW w:w="1757" w:type="dxa"/>
            <w:shd w:val="clear" w:color="auto" w:fill="1F3A5F"/>
            <w:tcW w:w="1757" w:type="dxa"/>
          </w:tcPr>
          <w:p>
            <w:pPr>
              <w:spacing w:after="40" w:before="40" w:line="264" w:lineRule="auto"/>
              <w:jc w:val="center"/>
            </w:pPr>
            <w:r/>
            <w:r>
              <w:rPr>
                <w:rFonts w:ascii="Cambria" w:hAnsi="Cambria" w:eastAsia="Cambria"/>
                <w:b/>
                <w:i w:val="0"/>
                <w:color w:val="FFFFFF"/>
                <w:sz w:val="15"/>
              </w:rPr>
              <w:t>Observations</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2022–23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82</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96</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68</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8,750</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69</w:t>
            </w:r>
          </w:p>
        </w:tc>
        <w:tc>
          <w:tcPr>
            <w:tcW w:type="dxa" w:w="1757"/>
            <w:shd w:val="clear" w:color="auto" w:fill="E8ECF2"/>
            <w:tcW w:w="1757" w:type="dxa"/>
          </w:tcPr>
          <w:p>
            <w:pPr>
              <w:spacing w:after="40" w:before="40" w:line="264" w:lineRule="auto"/>
              <w:jc w:val="left"/>
            </w:pPr>
            <w:r/>
            <w:r>
              <w:rPr>
                <w:rFonts w:ascii="Cambria" w:hAnsi="Cambria" w:eastAsia="Cambria"/>
                <w:b w:val="0"/>
                <w:i w:val="0"/>
                <w:color w:val="000000"/>
                <w:sz w:val="15"/>
              </w:rPr>
              <w:t>Strong batch academically</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2023–24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80</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94</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66</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9,120</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71</w:t>
            </w:r>
          </w:p>
        </w:tc>
        <w:tc>
          <w:tcPr>
            <w:tcW w:type="dxa" w:w="1757"/>
            <w:shd w:val="clear" w:color="auto" w:fill="FFFFFF"/>
            <w:tcW w:w="1757" w:type="dxa"/>
          </w:tcPr>
          <w:p>
            <w:pPr>
              <w:spacing w:after="40" w:before="40" w:line="264" w:lineRule="auto"/>
              <w:jc w:val="left"/>
            </w:pPr>
            <w:r/>
            <w:r>
              <w:rPr>
                <w:rFonts w:ascii="Cambria" w:hAnsi="Cambria" w:eastAsia="Cambria"/>
                <w:b w:val="0"/>
                <w:i w:val="0"/>
                <w:color w:val="000000"/>
                <w:sz w:val="15"/>
              </w:rPr>
              <w:t>Consistent intake quality</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2024–25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78</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91</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63</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9,450</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73</w:t>
            </w:r>
          </w:p>
        </w:tc>
        <w:tc>
          <w:tcPr>
            <w:tcW w:type="dxa" w:w="1757"/>
            <w:shd w:val="clear" w:color="auto" w:fill="E8ECF2"/>
            <w:tcW w:w="1757" w:type="dxa"/>
          </w:tcPr>
          <w:p>
            <w:pPr>
              <w:spacing w:after="40" w:before="40" w:line="264" w:lineRule="auto"/>
              <w:jc w:val="left"/>
            </w:pPr>
            <w:r/>
            <w:r>
              <w:rPr>
                <w:rFonts w:ascii="Cambria" w:hAnsi="Cambria" w:eastAsia="Cambria"/>
                <w:b w:val="0"/>
                <w:i w:val="0"/>
                <w:color w:val="000000"/>
                <w:sz w:val="15"/>
              </w:rPr>
              <w:t>Stable performance, improved diversity</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Impact and Observations</w:t>
      </w:r>
    </w:p>
    <w:p>
      <w:pPr>
        <w:keepNext/>
        <w:spacing w:before="200" w:after="80"/>
      </w:pPr>
      <w:r>
        <w:rPr>
          <w:rFonts w:ascii="Cambria" w:hAnsi="Cambria" w:eastAsia="Cambria"/>
          <w:b/>
          <w:i w:val="0"/>
          <w:color w:val="1F3A5F"/>
          <w:sz w:val="23"/>
        </w:rPr>
        <w:t>2022–23 – Slight dip in reserved category performance</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Conducted bridge courses for first-years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HoD + Mentors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Improved pass rate by 8%</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Bridge Course Report</w:t>
            </w:r>
          </w:p>
        </w:tc>
      </w:tr>
    </w:tbl>
    <w:p>
      <w:pPr>
        <w:keepNext/>
        <w:spacing w:before="200" w:after="80"/>
      </w:pPr>
      <w:r>
        <w:rPr>
          <w:rFonts w:ascii="Cambria" w:hAnsi="Cambria" w:eastAsia="Cambria"/>
          <w:b/>
          <w:i w:val="0"/>
          <w:color w:val="1F3A5F"/>
          <w:sz w:val="23"/>
        </w:rPr>
        <w:t>2023–24 – High gap between top and bottom quartile</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Implemented peer mentoring program</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Academic Coordinator</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Reduced failure rate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Mentorship Log</w:t>
            </w:r>
          </w:p>
        </w:tc>
      </w:tr>
    </w:tbl>
    <w:p>
      <w:pPr>
        <w:keepNext/>
        <w:spacing w:before="200" w:after="80"/>
      </w:pPr>
      <w:r>
        <w:rPr>
          <w:rFonts w:ascii="Cambria" w:hAnsi="Cambria" w:eastAsia="Cambria"/>
          <w:b/>
          <w:i w:val="0"/>
          <w:color w:val="1F3A5F"/>
          <w:sz w:val="23"/>
        </w:rPr>
        <w:t>2024–25 – Increasing lateral entry students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Organized orientation on advanced subjects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Department + IQAC</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Smoother academic integration</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Feedback Report</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Admission Committee</w:t>
      </w:r>
      <w:r>
        <w:rPr>
          <w:rFonts w:ascii="Cambria" w:hAnsi="Cambria" w:eastAsia="Cambria"/>
          <w:b w:val="0"/>
          <w:i w:val="0"/>
          <w:color w:val="000000"/>
          <w:sz w:val="22"/>
        </w:rPr>
        <w:t xml:space="preserve"> monitors and verifies seat filling as per government / university norms.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IQAC and Academic Committee</w:t>
      </w:r>
      <w:r>
        <w:rPr>
          <w:rFonts w:ascii="Cambria" w:hAnsi="Cambria" w:eastAsia="Cambria"/>
          <w:b w:val="0"/>
          <w:i w:val="0"/>
          <w:color w:val="000000"/>
          <w:sz w:val="22"/>
        </w:rPr>
        <w:t xml:space="preserve"> review the academic quality and diversity of incoming batches.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Bridge and remedial programs</w:t>
      </w:r>
      <w:r>
        <w:rPr>
          <w:rFonts w:ascii="Cambria" w:hAnsi="Cambria" w:eastAsia="Cambria"/>
          <w:b w:val="0"/>
          <w:i w:val="0"/>
          <w:color w:val="000000"/>
          <w:sz w:val="22"/>
        </w:rPr>
        <w:t xml:space="preserve"> conducted for students from varied backgrounds.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Annual admission analysis report</w:t>
      </w:r>
      <w:r>
        <w:rPr>
          <w:rFonts w:ascii="Cambria" w:hAnsi="Cambria" w:eastAsia="Cambria"/>
          <w:b w:val="0"/>
          <w:i w:val="0"/>
          <w:color w:val="000000"/>
          <w:sz w:val="22"/>
        </w:rPr>
        <w:t xml:space="preserve"> prepared and submitted to management for continuous improvement.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9 (Student Admission and Performance)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Include data for CAY, CAYm1, CAYm2 from verified institutional sources (Admission Office / Registrar).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Maintain both </w:t>
      </w:r>
      <w:r>
        <w:rPr>
          <w:rFonts w:ascii="Cambria" w:hAnsi="Cambria" w:eastAsia="Cambria"/>
          <w:b w:val="0"/>
          <w:i/>
          <w:color w:val="000000"/>
          <w:sz w:val="22"/>
        </w:rPr>
        <w:t>soft copies (Excel summary, PDF reports)</w:t>
      </w:r>
      <w:r>
        <w:rPr>
          <w:rFonts w:ascii="Cambria" w:hAnsi="Cambria" w:eastAsia="Cambria"/>
          <w:b w:val="0"/>
          <w:i w:val="0"/>
          <w:color w:val="000000"/>
          <w:sz w:val="22"/>
        </w:rPr>
        <w:t xml:space="preserve"> and </w:t>
      </w:r>
      <w:r>
        <w:rPr>
          <w:rFonts w:ascii="Cambria" w:hAnsi="Cambria" w:eastAsia="Cambria"/>
          <w:b w:val="0"/>
          <w:i/>
          <w:color w:val="000000"/>
          <w:sz w:val="22"/>
        </w:rPr>
        <w:t>hard copies (signed admission registers)</w:t>
      </w:r>
      <w:r>
        <w:rPr>
          <w:rFonts w:ascii="Cambria" w:hAnsi="Cambria" w:eastAsia="Cambria"/>
          <w:b w:val="0"/>
          <w:i w:val="0"/>
          <w:color w:val="000000"/>
          <w:sz w:val="22"/>
        </w:rPr>
        <w:t xml:space="preserve"> for audit.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Clear, year-wise documentation of student admissions under each quota.</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Transparent record of intake quality and admission trends.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Demonstrated link between student quality and program performance outcomes (PO/PSO attainment).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9 – Student Admission Quality and Continuous Improvement standards.</w:t>
      </w:r>
    </w:p>
    <w:p>
      <w:pPr>
        <w:keepNext/>
        <w:spacing w:before="240" w:after="160"/>
        <w:jc w:val="left"/>
      </w:pPr>
      <w:r>
        <w:rPr>
          <w:rFonts w:ascii="Cambria" w:hAnsi="Cambria" w:eastAsia="Cambria"/>
          <w:b/>
          <w:i w:val="0"/>
          <w:color w:val="1F3A5F"/>
          <w:sz w:val="25"/>
        </w:rPr>
        <w:t>22. P.19 Evidences of program success rate (success rate without backlogs and success rate within the stipulated period) in the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present documented evidence of the academic performance and graduation success rate of students over the past three academic years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the efficiency and effectiveness of the teaching–learning process through measurable indicators of student success.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ensure alignment with NBA's emphasis on Outcome-Based Education (OBE) and continuous academic improvement.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Program Success Rate Components: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Success Rate Without Backlogs: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Percentage of students who cleared the program in first attempt (without arrears/backlogs).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Formula: Success Rate Without Backlogs = (No. of students who passed without backlogs / Total No. of students admitted in final year) × 100</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Success Rate Within Stipulated Period: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Percentage of students who graduated within the normal duration of the program (e.g., 4 years for UG, 2 years for PG).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Formula: Success Rate Within Stipulated Period = (No. of students graduating within stipulated time / Total admitted students) × 100</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Supporting Evidence: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University result gazettes and consolidated mark sheets.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Departmental graduation lists verified by Controller of Examinations.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Attendance registers, internal evaluation summaries, and backlog clearance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Result analysis reports approved by IQAC or Department Academic Committee (DAC).</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Year-wise result analysis of final-year students.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Copies of university result notifications or pass lists.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Details of students with backlogs and reappearance results.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Departmental pass percentage analysis and success trend charts.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Comparative analysis with previous batches.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Meeting minutes or ATRs for improvement based on performance gaps.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Year-wise Program Success Rate Summary</w:t>
      </w:r>
    </w:p>
    <w:tbl>
      <w:tblPr>
        <w:tblW w:type="auto" w:w="0"/>
        <w:jc w:val="center"/>
        <w:tblLook w:firstColumn="1" w:firstRow="1" w:lastColumn="0" w:lastRow="0" w:noHBand="0" w:noVBand="1" w:val="04A0"/>
        <w:tblLayout w:type="fixed"/>
        <w:tblLayout w:type="fixed"/>
      </w:tblPr>
      <w:tblGrid>
        <w:gridCol w:w="680"/>
        <w:gridCol w:w="1020"/>
        <w:gridCol w:w="1020"/>
        <w:gridCol w:w="964"/>
        <w:gridCol w:w="1020"/>
        <w:gridCol w:w="1077"/>
        <w:gridCol w:w="1474"/>
      </w:tblGrid>
      <w:tr>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5"/>
              </w:rPr>
              <w:t>Year</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Total Students Admitted (Final Year)</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Students Graduated Without Backlogs</w:t>
            </w:r>
          </w:p>
        </w:tc>
        <w:tc>
          <w:tcPr>
            <w:tcW w:type="dxa" w:w="964"/>
            <w:tcBorders>
              <w:top w:val="single" w:sz="4" w:space="0" w:color="BFBFBF"/>
              <w:left w:val="single" w:sz="4" w:space="0" w:color="BFBFBF"/>
              <w:bottom w:val="single" w:sz="4" w:space="0" w:color="BFBFBF"/>
              <w:right w:val="single" w:sz="4" w:space="0" w:color="BFBFBF"/>
            </w:tcBorders>
            <w:tcW w:w="964" w:type="dxa"/>
            <w:shd w:val="clear" w:color="auto" w:fill="1F3A5F"/>
            <w:tcW w:w="964" w:type="dxa"/>
          </w:tcPr>
          <w:p>
            <w:pPr>
              <w:spacing w:after="40" w:before="40" w:line="264" w:lineRule="auto"/>
              <w:jc w:val="center"/>
            </w:pPr>
            <w:r/>
            <w:r>
              <w:rPr>
                <w:rFonts w:ascii="Cambria" w:hAnsi="Cambria" w:eastAsia="Cambria"/>
                <w:b/>
                <w:i w:val="0"/>
                <w:color w:val="FFFFFF"/>
                <w:sz w:val="15"/>
              </w:rPr>
              <w:t>Success Rate Without Backlogs (%)</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Students Graduated Within Stipulated Period</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5"/>
              </w:rPr>
              <w:t>Success Rate Within Stipulated Period (%)</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Evidence Reference</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2022–23</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115</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98</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5"/>
              </w:rPr>
              <w:t>85.2</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105</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5"/>
              </w:rPr>
              <w:t>91.3</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Univ Result Sheet 2023</w:t>
            </w:r>
          </w:p>
        </w:tc>
      </w:tr>
      <w:tr>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2023–24</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120</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104</w:t>
            </w:r>
          </w:p>
        </w:tc>
        <w:tc>
          <w:tcPr>
            <w:tcW w:type="dxa" w:w="964"/>
            <w:shd w:val="clear" w:color="auto" w:fill="FFFFFF"/>
            <w:tcW w:w="964" w:type="dxa"/>
          </w:tcPr>
          <w:p>
            <w:pPr>
              <w:spacing w:after="40" w:before="40" w:line="264" w:lineRule="auto"/>
              <w:jc w:val="left"/>
            </w:pPr>
            <w:r/>
            <w:r>
              <w:rPr>
                <w:rFonts w:ascii="Cambria" w:hAnsi="Cambria" w:eastAsia="Cambria"/>
                <w:b w:val="0"/>
                <w:i w:val="0"/>
                <w:color w:val="000000"/>
                <w:sz w:val="15"/>
              </w:rPr>
              <w:t>86.6</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112</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5"/>
              </w:rPr>
              <w:t>93.3</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Dept Result Summary 2024</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2024–25</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118</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106</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5"/>
              </w:rPr>
              <w:t>89.8</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114</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5"/>
              </w:rPr>
              <w:t>96.6</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COE Report 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Comparative Success Rate Analysis (3-Year Trend)</w:t>
      </w:r>
    </w:p>
    <w:tbl>
      <w:tblPr>
        <w:tblW w:type="auto" w:w="0"/>
        <w:jc w:val="center"/>
        <w:tblLook w:firstColumn="1" w:firstRow="1" w:lastColumn="0" w:lastRow="0" w:noHBand="0" w:noVBand="1" w:val="04A0"/>
        <w:tblLayout w:type="fixed"/>
        <w:tblLayout w:type="fixed"/>
      </w:tblPr>
      <w:tblGrid>
        <w:gridCol w:w="2041"/>
        <w:gridCol w:w="850"/>
        <w:gridCol w:w="850"/>
        <w:gridCol w:w="850"/>
        <w:gridCol w:w="1474"/>
        <w:gridCol w:w="1757"/>
      </w:tblGrid>
      <w:tr>
        <w:tc>
          <w:tcPr>
            <w:tcW w:type="dxa" w:w="2041"/>
            <w:tcBorders>
              <w:top w:val="single" w:sz="4" w:space="0" w:color="BFBFBF"/>
              <w:left w:val="single" w:sz="4" w:space="0" w:color="BFBFBF"/>
              <w:bottom w:val="single" w:sz="4" w:space="0" w:color="BFBFBF"/>
              <w:right w:val="single" w:sz="4" w:space="0" w:color="BFBFBF"/>
            </w:tcBorders>
            <w:tcW w:w="2041" w:type="dxa"/>
            <w:shd w:val="clear" w:color="auto" w:fill="1F3A5F"/>
            <w:tcW w:w="2041" w:type="dxa"/>
          </w:tcPr>
          <w:p>
            <w:pPr>
              <w:spacing w:after="40" w:before="40" w:line="264" w:lineRule="auto"/>
              <w:jc w:val="center"/>
            </w:pPr>
            <w:r/>
            <w:r>
              <w:rPr>
                <w:rFonts w:ascii="Cambria" w:hAnsi="Cambria" w:eastAsia="Cambria"/>
                <w:b/>
                <w:i w:val="0"/>
                <w:color w:val="FFFFFF"/>
                <w:sz w:val="17"/>
              </w:rPr>
              <w:t>Metric</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7"/>
              </w:rPr>
              <w:t>2022–23</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7"/>
              </w:rPr>
              <w:t>2023–24</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7"/>
              </w:rPr>
              <w:t>2024–25</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7"/>
              </w:rPr>
              <w:t>Observation / Trend</w:t>
            </w:r>
          </w:p>
        </w:tc>
        <w:tc>
          <w:tcPr>
            <w:tcW w:type="dxa" w:w="1757"/>
            <w:tcBorders>
              <w:top w:val="single" w:sz="4" w:space="0" w:color="BFBFBF"/>
              <w:left w:val="single" w:sz="4" w:space="0" w:color="BFBFBF"/>
              <w:bottom w:val="single" w:sz="4" w:space="0" w:color="BFBFBF"/>
              <w:right w:val="single" w:sz="4" w:space="0" w:color="BFBFBF"/>
            </w:tcBorders>
            <w:tcW w:w="1757" w:type="dxa"/>
            <w:shd w:val="clear" w:color="auto" w:fill="1F3A5F"/>
            <w:tcW w:w="1757" w:type="dxa"/>
          </w:tcPr>
          <w:p>
            <w:pPr>
              <w:spacing w:after="40" w:before="40" w:line="264" w:lineRule="auto"/>
              <w:jc w:val="center"/>
            </w:pPr>
            <w:r/>
            <w:r>
              <w:rPr>
                <w:rFonts w:ascii="Cambria" w:hAnsi="Cambria" w:eastAsia="Cambria"/>
                <w:b/>
                <w:i w:val="0"/>
                <w:color w:val="FFFFFF"/>
                <w:sz w:val="17"/>
              </w:rPr>
              <w:t>Action Taken</w:t>
            </w:r>
          </w:p>
        </w:tc>
      </w:tr>
      <w:tr>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7"/>
              </w:rPr>
              <w:t>Success Rate Without Backlogs</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7"/>
              </w:rPr>
              <w:t>85.2%</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7"/>
              </w:rPr>
              <w:t>86.6%</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7"/>
              </w:rPr>
              <w:t>89.8%</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Positive growth</w:t>
            </w:r>
          </w:p>
        </w:tc>
        <w:tc>
          <w:tcPr>
            <w:tcW w:type="dxa" w:w="1757"/>
            <w:shd w:val="clear" w:color="auto" w:fill="E8ECF2"/>
            <w:tcW w:w="1757" w:type="dxa"/>
          </w:tcPr>
          <w:p>
            <w:pPr>
              <w:spacing w:after="40" w:before="40" w:line="264" w:lineRule="auto"/>
              <w:jc w:val="left"/>
            </w:pPr>
            <w:r/>
            <w:r>
              <w:rPr>
                <w:rFonts w:ascii="Cambria" w:hAnsi="Cambria" w:eastAsia="Cambria"/>
                <w:b w:val="0"/>
                <w:i w:val="0"/>
                <w:color w:val="000000"/>
                <w:sz w:val="17"/>
              </w:rPr>
              <w:t>Enhanced remedial sessions</w:t>
            </w:r>
          </w:p>
        </w:tc>
      </w:tr>
      <w:tr>
        <w:tc>
          <w:tcPr>
            <w:tcW w:type="dxa" w:w="2041"/>
            <w:shd w:val="clear" w:color="auto" w:fill="FFFFFF"/>
            <w:tcW w:w="2041" w:type="dxa"/>
          </w:tcPr>
          <w:p>
            <w:pPr>
              <w:spacing w:after="40" w:before="40" w:line="264" w:lineRule="auto"/>
              <w:jc w:val="left"/>
            </w:pPr>
            <w:r/>
            <w:r>
              <w:rPr>
                <w:rFonts w:ascii="Cambria" w:hAnsi="Cambria" w:eastAsia="Cambria"/>
                <w:b w:val="0"/>
                <w:i w:val="0"/>
                <w:color w:val="000000"/>
                <w:sz w:val="17"/>
              </w:rPr>
              <w:t>Success Rate Within Stipulated Period</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7"/>
              </w:rPr>
              <w:t>91.3%</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7"/>
              </w:rPr>
              <w:t>93.3%</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7"/>
              </w:rPr>
              <w:t>96.6%</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Continuous improvement</w:t>
            </w:r>
          </w:p>
        </w:tc>
        <w:tc>
          <w:tcPr>
            <w:tcW w:type="dxa" w:w="1757"/>
            <w:shd w:val="clear" w:color="auto" w:fill="FFFFFF"/>
            <w:tcW w:w="1757" w:type="dxa"/>
          </w:tcPr>
          <w:p>
            <w:pPr>
              <w:spacing w:after="40" w:before="40" w:line="264" w:lineRule="auto"/>
              <w:jc w:val="left"/>
            </w:pPr>
            <w:r/>
            <w:r>
              <w:rPr>
                <w:rFonts w:ascii="Cambria" w:hAnsi="Cambria" w:eastAsia="Cambria"/>
                <w:b w:val="0"/>
                <w:i w:val="0"/>
                <w:color w:val="000000"/>
                <w:sz w:val="17"/>
              </w:rPr>
              <w:t>Mentoring &amp; Bridge Programs</w:t>
            </w:r>
          </w:p>
        </w:tc>
      </w:tr>
      <w:tr>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7"/>
              </w:rPr>
              <w:t>Students with Backlogs</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7"/>
              </w:rPr>
              <w:t>17</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7"/>
              </w:rPr>
              <w:t>16</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7"/>
              </w:rPr>
              <w:t>12</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Decreasing backlog trend</w:t>
            </w:r>
          </w:p>
        </w:tc>
        <w:tc>
          <w:tcPr>
            <w:tcW w:type="dxa" w:w="1757"/>
            <w:shd w:val="clear" w:color="auto" w:fill="E8ECF2"/>
            <w:tcW w:w="1757" w:type="dxa"/>
          </w:tcPr>
          <w:p>
            <w:pPr>
              <w:spacing w:after="40" w:before="40" w:line="264" w:lineRule="auto"/>
              <w:jc w:val="left"/>
            </w:pPr>
            <w:r/>
            <w:r>
              <w:rPr>
                <w:rFonts w:ascii="Cambria" w:hAnsi="Cambria" w:eastAsia="Cambria"/>
                <w:b w:val="0"/>
                <w:i w:val="0"/>
                <w:color w:val="000000"/>
                <w:sz w:val="17"/>
              </w:rPr>
              <w:t>Curriculum restructuring</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Root Cause Analysis and Improvement Measures</w:t>
      </w:r>
    </w:p>
    <w:p>
      <w:pPr>
        <w:keepNext/>
        <w:spacing w:before="200" w:after="80"/>
      </w:pPr>
      <w:r>
        <w:rPr>
          <w:rFonts w:ascii="Cambria" w:hAnsi="Cambria" w:eastAsia="Cambria"/>
          <w:b/>
          <w:i w:val="0"/>
          <w:color w:val="1F3A5F"/>
          <w:sz w:val="23"/>
        </w:rPr>
        <w:t>2022–23 – Slight backlog in core courses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Cause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High subject difficulty</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Corrective 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Introduced tutorial hours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HoD / Course Coordinator</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4% reduction in backlog</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ATR_2023</w:t>
            </w:r>
          </w:p>
        </w:tc>
      </w:tr>
    </w:tbl>
    <w:p>
      <w:pPr>
        <w:keepNext/>
        <w:spacing w:before="200" w:after="80"/>
      </w:pPr>
      <w:r>
        <w:rPr>
          <w:rFonts w:ascii="Cambria" w:hAnsi="Cambria" w:eastAsia="Cambria"/>
          <w:b/>
          <w:i w:val="0"/>
          <w:color w:val="1F3A5F"/>
          <w:sz w:val="23"/>
        </w:rPr>
        <w:t>2023–24 – Lower success in elective subjects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Cause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Low engagement</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Corrective 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Flipped classroom and projects added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Faculty Team</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Success rate up by 2%</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DAC_Minutes_2024</w:t>
            </w:r>
          </w:p>
        </w:tc>
      </w:tr>
    </w:tbl>
    <w:p>
      <w:pPr>
        <w:keepNext/>
        <w:spacing w:before="200" w:after="80"/>
      </w:pPr>
      <w:r>
        <w:rPr>
          <w:rFonts w:ascii="Cambria" w:hAnsi="Cambria" w:eastAsia="Cambria"/>
          <w:b/>
          <w:i w:val="0"/>
          <w:color w:val="1F3A5F"/>
          <w:sz w:val="23"/>
        </w:rPr>
        <w:t>2024–25 – Attendance-related failures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Cause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Low participation</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Corrective 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Attendance monitoring &amp; mentorship</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Class Advisor</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96.6% success achieved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IQAC_Report_2025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Graphical Representation (for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Bar Chart / Line Graph</w:t>
      </w:r>
      <w:r>
        <w:rPr>
          <w:rFonts w:ascii="Cambria" w:hAnsi="Cambria" w:eastAsia="Cambria"/>
          <w:b w:val="0"/>
          <w:i w:val="0"/>
          <w:color w:val="000000"/>
          <w:sz w:val="22"/>
        </w:rPr>
        <w:t xml:space="preserve"> showing: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Year vs. Success Rate (Without Backlogs).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Year vs. Success Rate (Within Stipulated Period).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Trend line showing improvement or stabilization of academic performance.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Result analysis meetings</w:t>
      </w:r>
      <w:r>
        <w:rPr>
          <w:rFonts w:ascii="Cambria" w:hAnsi="Cambria" w:eastAsia="Cambria"/>
          <w:b w:val="0"/>
          <w:i w:val="0"/>
          <w:color w:val="000000"/>
          <w:sz w:val="22"/>
        </w:rPr>
        <w:t xml:space="preserve"> conducted every semester by DAC and IQAC.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Mentoring and remedial classes</w:t>
      </w:r>
      <w:r>
        <w:rPr>
          <w:rFonts w:ascii="Cambria" w:hAnsi="Cambria" w:eastAsia="Cambria"/>
          <w:b w:val="0"/>
          <w:i w:val="0"/>
          <w:color w:val="000000"/>
          <w:sz w:val="22"/>
        </w:rPr>
        <w:t xml:space="preserve"> arranged for students with academic backlogs.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Action Taken Reports (ATR)</w:t>
      </w:r>
      <w:r>
        <w:rPr>
          <w:rFonts w:ascii="Cambria" w:hAnsi="Cambria" w:eastAsia="Cambria"/>
          <w:b w:val="0"/>
          <w:i w:val="0"/>
          <w:color w:val="000000"/>
          <w:sz w:val="22"/>
        </w:rPr>
        <w:t xml:space="preserve"> submitted to Academic Council for review.</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Continuous monitoring of performance trends</w:t>
      </w:r>
      <w:r>
        <w:rPr>
          <w:rFonts w:ascii="Cambria" w:hAnsi="Cambria" w:eastAsia="Cambria"/>
          <w:b w:val="0"/>
          <w:i w:val="0"/>
          <w:color w:val="000000"/>
          <w:sz w:val="22"/>
        </w:rPr>
        <w:t xml:space="preserve"> used to enhance curriculum delivery and support systems.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9 (Student Performance and Learning Outcomes)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that success rate data are verified with official examination and university records for CAY, CAYm1, and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both hard copies and digital Excel summaries for easy traceability during NBA visits.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Evident improvement in student success and graduation performance.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Reduced backlog rate and increased timely graduation percentage.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Clear traceability between student performance metrics and quality enhancement initiatives.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9 – Student Academic Performance and Program Success Rate standards.</w:t>
      </w:r>
    </w:p>
    <w:p>
      <w:r>
        <w:br w:type="page"/>
      </w:r>
    </w:p>
    <w:p>
      <w:pPr>
        <w:keepNext/>
        <w:spacing w:before="240" w:after="160"/>
        <w:jc w:val="left"/>
      </w:pPr>
      <w:r>
        <w:rPr>
          <w:rFonts w:ascii="Cambria" w:hAnsi="Cambria" w:eastAsia="Cambria"/>
          <w:b/>
          <w:i w:val="0"/>
          <w:color w:val="1F3A5F"/>
          <w:sz w:val="25"/>
        </w:rPr>
        <w:t>23. P.20 Evidences of academic performance of 2nd and 3rd year students in the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documented evidence of the academic performance of second- and third-year students over the last three academic years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evaluate the consistency of student learning outcomes, progression, and program effectiveness before the final year.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how continuous internal evaluation (CIE) and academic support initiatives contribute to steady student performance and outcome attainment.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Year-wise Academic Performance Data:</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Semester-wise results of 2nd-year (3rd &amp; 4th semester) and 3rd-year (5th &amp; 6th semester) students.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Pass percentage, average CGPA / GPA, and distribution of grades (O, A+, A, B+, etc.).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Details of backlogs, retests, and improvement examinations if applicable.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Comparative Performance Analysis: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Trend analysis of academic performance across the last three academic years.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Identification of strong and weak subjects or semesters.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Linkage between academic performance and PO/PSO attainment trends.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Supporting Evidence: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Copies of university result sheets or mark statements.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Departmental performance summaries verified by the Examination Cell.</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Meeting minutes of Department Academic Committee (DAC) and IQAC reviews.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Department-wise consolidated mark sheets for 2nd and 3rd years.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Course-wise pass percentage reports (from Controller of Examinations).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Semester-wise CGPA analysis reports (approved by HoD).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Student performance monitoring records maintained by class advisors/mentors.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Annual result analysis presentations and improvement plans.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Action Taken Reports (ATR) based on semester-wise result review meetings.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Academic Performance of 2nd-Year Students</w:t>
      </w:r>
    </w:p>
    <w:tbl>
      <w:tblPr>
        <w:tblW w:type="auto" w:w="0"/>
        <w:jc w:val="center"/>
        <w:tblLook w:firstColumn="1" w:firstRow="1" w:lastColumn="0" w:lastRow="0" w:noHBand="0" w:noVBand="1" w:val="04A0"/>
        <w:tblLayout w:type="fixed"/>
        <w:tblLayout w:type="fixed"/>
      </w:tblPr>
      <w:tblGrid>
        <w:gridCol w:w="737"/>
        <w:gridCol w:w="624"/>
        <w:gridCol w:w="680"/>
        <w:gridCol w:w="680"/>
        <w:gridCol w:w="737"/>
        <w:gridCol w:w="624"/>
        <w:gridCol w:w="624"/>
        <w:gridCol w:w="624"/>
        <w:gridCol w:w="1474"/>
      </w:tblGrid>
      <w:tr>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5"/>
              </w:rPr>
              <w:t>Academic Year</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5"/>
              </w:rPr>
              <w:t>Sem.</w:t>
            </w:r>
          </w:p>
        </w:tc>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5"/>
              </w:rPr>
              <w:t>No. Appeared</w:t>
            </w:r>
          </w:p>
        </w:tc>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5"/>
              </w:rPr>
              <w:t>No. Passed</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5"/>
              </w:rPr>
              <w:t xml:space="preserve">Pass % </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5"/>
              </w:rPr>
              <w:t>Avg CGPA</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5"/>
              </w:rPr>
              <w:t>Highest CGPA</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5"/>
              </w:rPr>
              <w:t>Lowest CGPA</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Evidence Reference</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2022–23</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3rd</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118</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109</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92.3</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7.8</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9.4</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6.2</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Univ Result 2023</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2022–23</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4th</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118</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106</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89.8</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7.6</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9.2</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5.9</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Dept Report 2023</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2023–24</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3rd</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120</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112</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93.3</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7.9</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9.5</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6.4</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Result Summary 2024</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2023–24</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4th</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120</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108</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90.0</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7.7</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9.3</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6.0</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Exam Analysis 2024</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2024–25</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3rd</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118</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112</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94.9</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8.0</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9.6</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6.3</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COE Sheet 2025</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2024–25</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4th</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118</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110</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93.2</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7.9</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9.4</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6.2</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IQAC File 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Academic Performance of 3rd-Year Students</w:t>
      </w:r>
    </w:p>
    <w:tbl>
      <w:tblPr>
        <w:tblW w:type="auto" w:w="0"/>
        <w:jc w:val="center"/>
        <w:tblLook w:firstColumn="1" w:firstRow="1" w:lastColumn="0" w:lastRow="0" w:noHBand="0" w:noVBand="1" w:val="04A0"/>
        <w:tblLayout w:type="fixed"/>
        <w:tblLayout w:type="fixed"/>
      </w:tblPr>
      <w:tblGrid>
        <w:gridCol w:w="737"/>
        <w:gridCol w:w="624"/>
        <w:gridCol w:w="680"/>
        <w:gridCol w:w="680"/>
        <w:gridCol w:w="737"/>
        <w:gridCol w:w="624"/>
        <w:gridCol w:w="624"/>
        <w:gridCol w:w="624"/>
        <w:gridCol w:w="1474"/>
      </w:tblGrid>
      <w:tr>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5"/>
              </w:rPr>
              <w:t>Academic Year</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5"/>
              </w:rPr>
              <w:t>Sem.</w:t>
            </w:r>
          </w:p>
        </w:tc>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5"/>
              </w:rPr>
              <w:t>No. Appeared</w:t>
            </w:r>
          </w:p>
        </w:tc>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5"/>
              </w:rPr>
              <w:t>No. Passed</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5"/>
              </w:rPr>
              <w:t>Pass %</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5"/>
              </w:rPr>
              <w:t>Avg CGPA</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5"/>
              </w:rPr>
              <w:t>Highest CGPA</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5"/>
              </w:rPr>
              <w:t>Lowest CGPA</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Evidence Reference</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2022–23</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5th</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115</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101</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87.8</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7.5</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9.1</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5.8</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Univ Result 2023</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2022–23</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6th</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115</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104</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90.4</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7.7</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9.3</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6.0</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Dept Report 2023</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2023–24</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5th</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120</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108</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90.0</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7.8</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9.4</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6.1</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COE Data 2024</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2023–24</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6th</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120</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111</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92.5</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7.9</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9.5</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6.3</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Exam Report 2024</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2024–25</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5th</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118</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110</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93.2</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8.1</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9.6</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6.4</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COE Sheet 2025</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2024–25</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6th</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118</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112</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94.9</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8.3</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9.7</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6.5</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Result Analysis 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Comparative Analysis of 2nd &amp; 3rd Year Academic Performance (3-Year Trend)</w:t>
      </w:r>
    </w:p>
    <w:tbl>
      <w:tblPr>
        <w:tblW w:type="auto" w:w="0"/>
        <w:jc w:val="center"/>
        <w:tblLook w:firstColumn="1" w:firstRow="1" w:lastColumn="0" w:lastRow="0" w:noHBand="0" w:noVBand="1" w:val="04A0"/>
        <w:tblLayout w:type="fixed"/>
        <w:tblLayout w:type="fixed"/>
      </w:tblPr>
      <w:tblGrid>
        <w:gridCol w:w="680"/>
        <w:gridCol w:w="794"/>
        <w:gridCol w:w="794"/>
        <w:gridCol w:w="737"/>
        <w:gridCol w:w="737"/>
        <w:gridCol w:w="794"/>
        <w:gridCol w:w="1247"/>
        <w:gridCol w:w="1474"/>
      </w:tblGrid>
      <w:tr>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5"/>
              </w:rPr>
              <w:t>Year</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2nd-Year Pass %</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3rd-Year Pass %</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5"/>
              </w:rPr>
              <w:t>Avg CGPA (2nd Yr)</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5"/>
              </w:rPr>
              <w:t>Avg CGPA (3rd Yr)</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Improvement (%)</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5"/>
              </w:rPr>
              <w:t>Observation</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Action Taken</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2022–23</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91.0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89.1</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7.7</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7.6</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5"/>
              </w:rPr>
              <w:t>Stable performance</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Continue teaching method</w:t>
            </w:r>
          </w:p>
        </w:tc>
      </w:tr>
      <w:tr>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2023–24</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91.6</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91.2</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7.8</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7.9</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+1</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5"/>
              </w:rPr>
              <w:t>Moderate improvement</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Added peer tutoring</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2024–25</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94.0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94.0</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8.0</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8.2</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+3</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5"/>
              </w:rPr>
              <w:t>Significant progress</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Introduced continuous mentoring</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Root Cause and Improvement Measures</w:t>
      </w:r>
    </w:p>
    <w:p>
      <w:pPr>
        <w:keepNext/>
        <w:spacing w:before="200" w:after="80"/>
      </w:pPr>
      <w:r>
        <w:rPr>
          <w:rFonts w:ascii="Cambria" w:hAnsi="Cambria" w:eastAsia="Cambria"/>
          <w:b/>
          <w:i w:val="0"/>
          <w:color w:val="1F3A5F"/>
          <w:sz w:val="23"/>
        </w:rPr>
        <w:t>2022–23 – Drop in 3rd sem core paper performance</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Cause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Limited conceptual understanding</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Corrective 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Conducted remedial classes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Course Coordinator</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Impact/Result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5% improvement next sem</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ATR_2023</w:t>
            </w:r>
          </w:p>
        </w:tc>
      </w:tr>
    </w:tbl>
    <w:p>
      <w:pPr>
        <w:keepNext/>
        <w:spacing w:before="200" w:after="80"/>
      </w:pPr>
      <w:r>
        <w:rPr>
          <w:rFonts w:ascii="Cambria" w:hAnsi="Cambria" w:eastAsia="Cambria"/>
          <w:b/>
          <w:i w:val="0"/>
          <w:color w:val="1F3A5F"/>
          <w:sz w:val="23"/>
        </w:rPr>
        <w:t>2023–24 – Slight dip in lab grades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Cause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Lack of lab exposure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Corrective 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Introduced pre-lab tutorials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Lab In-charge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Impact/Result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Better lab results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DAC_Minutes_2024</w:t>
            </w:r>
          </w:p>
        </w:tc>
      </w:tr>
    </w:tbl>
    <w:p>
      <w:pPr>
        <w:keepNext/>
        <w:spacing w:before="200" w:after="80"/>
      </w:pPr>
      <w:r>
        <w:rPr>
          <w:rFonts w:ascii="Cambria" w:hAnsi="Cambria" w:eastAsia="Cambria"/>
          <w:b/>
          <w:i w:val="0"/>
          <w:color w:val="1F3A5F"/>
          <w:sz w:val="23"/>
        </w:rPr>
        <w:t>2024–25 – Need for higher-order problem solving</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Cause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Low design exposure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Corrective 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Added mini-projects in 5th sem</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Academic Committee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Impact/Result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3% rise in attainment</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IQAC_Report_2025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Graphical Representation (for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Bar Chart: Semester-wise pass percentage of 2nd and 3rd year.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Line Graph: Average CGPA trend across three academic years.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Pie Chart: Distribution of grades (O, A+, A, B+, etc.) for both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Department Academic Committee (DAC)</w:t>
      </w:r>
      <w:r>
        <w:rPr>
          <w:rFonts w:ascii="Cambria" w:hAnsi="Cambria" w:eastAsia="Cambria"/>
          <w:b w:val="0"/>
          <w:i w:val="0"/>
          <w:color w:val="000000"/>
          <w:sz w:val="22"/>
        </w:rPr>
        <w:t xml:space="preserve"> reviews semester results and CO–PO attainment.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Mentorship system</w:t>
      </w:r>
      <w:r>
        <w:rPr>
          <w:rFonts w:ascii="Cambria" w:hAnsi="Cambria" w:eastAsia="Cambria"/>
          <w:b w:val="0"/>
          <w:i w:val="0"/>
          <w:color w:val="000000"/>
          <w:sz w:val="22"/>
        </w:rPr>
        <w:t xml:space="preserve"> ensures personalized monitoring of weak and bright students.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Remedial and bridge courses</w:t>
      </w:r>
      <w:r>
        <w:rPr>
          <w:rFonts w:ascii="Cambria" w:hAnsi="Cambria" w:eastAsia="Cambria"/>
          <w:b w:val="0"/>
          <w:i w:val="0"/>
          <w:color w:val="000000"/>
          <w:sz w:val="22"/>
        </w:rPr>
        <w:t xml:space="preserve"> conducted after result analysis.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Action Taken Reports (ATR)</w:t>
      </w:r>
      <w:r>
        <w:rPr>
          <w:rFonts w:ascii="Cambria" w:hAnsi="Cambria" w:eastAsia="Cambria"/>
          <w:b w:val="0"/>
          <w:i w:val="0"/>
          <w:color w:val="000000"/>
          <w:sz w:val="22"/>
        </w:rPr>
        <w:t xml:space="preserve"> documented and presented to IQAC for continuous improvement.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9 (Student Performance and Learning Outcomes)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year-wise performance data for CAY, CAYm1, and CAYm2 verified by the Examination Cell.</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evidence files include mark sheets, result analysis charts, and feedback reports.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of consistent and improving academic performance in 2nd and 3rd years.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Data-driven insight into student learning progression and subject-wise performance.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Documentation supporting academic quality, attainment tracking, and curriculum effectiveness.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9 &amp; 10 – Academic Performance and Continuous Improvement standards.</w:t>
      </w:r>
    </w:p>
    <w:p>
      <w:r>
        <w:br w:type="page"/>
      </w:r>
    </w:p>
    <w:p>
      <w:pPr>
        <w:keepNext/>
        <w:spacing w:before="240" w:after="160"/>
        <w:jc w:val="left"/>
      </w:pPr>
      <w:r>
        <w:rPr>
          <w:rFonts w:ascii="Cambria" w:hAnsi="Cambria" w:eastAsia="Cambria"/>
          <w:b/>
          <w:i w:val="0"/>
          <w:color w:val="1F3A5F"/>
          <w:sz w:val="25"/>
        </w:rPr>
        <w:t>24. P.21 Evidences of placement, higher studies and entrepreneurship details in the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document the career outcomes of graduates from the program over the last three academic years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that the program produces employable, skilled, and innovative graduates pursuing diverse professional paths — employment, higher studies, or entrepreneurship.</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measurable evidence that Programme Outcomes (POs) and Programme Educational Objectives (PEOs) are being achieved through these student outcomes.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Placement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Number of students placed through campus recruitment, internships converted to jobs, or off-campus offers.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Company-wise list of recruiters, job titles, and annual salary packages (CTC).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Placement drive reports, offer letters, and joining confirmation copies.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Higher Studies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Number of students who opted for postgraduate studies (M.Tech, M.S., MBA, M.Sc., Ph.D., etc.) in India or abroad.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Admission letters or university enrollment proofs.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Details of standardized exams cleared (GATE, GRE, GMAT, IELTS, etc.).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Entrepreneurship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List of students who founded startups, registered ventures, or joined incubation centers.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Details of products, services, or business domains.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Registration certificates, incubation documents, or funding acknowledgments.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Supporting Evidence: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Placement cell reports and student tracking sheets.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Alumni survey responses verifying employment or study status.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MoUs with industries, placement brochures, or testimonials from recruiters.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Year-wise placement summary verified by the Training &amp; Placement Officer (TPO).</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Offer letters, joining letters, and salary confirmation (where available).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Higher education admission letters or scholarship details.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Startup registration certificates and incubation agreements.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Alumni tracking database and LinkedIn verification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IQAC / Department reports linking career outcomes with PO/PSO attainment.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Placement Details (Last 3 Years)</w:t>
      </w:r>
    </w:p>
    <w:tbl>
      <w:tblPr>
        <w:tblW w:type="auto" w:w="0"/>
        <w:jc w:val="center"/>
        <w:tblLook w:firstColumn="1" w:firstRow="1" w:lastColumn="0" w:lastRow="0" w:noHBand="0" w:noVBand="1" w:val="04A0"/>
        <w:tblLayout w:type="fixed"/>
        <w:tblLayout w:type="fixed"/>
      </w:tblPr>
      <w:tblGrid>
        <w:gridCol w:w="680"/>
        <w:gridCol w:w="850"/>
        <w:gridCol w:w="794"/>
        <w:gridCol w:w="794"/>
        <w:gridCol w:w="1701"/>
        <w:gridCol w:w="794"/>
        <w:gridCol w:w="794"/>
        <w:gridCol w:w="1304"/>
      </w:tblGrid>
      <w:tr>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5"/>
              </w:rPr>
              <w:t>Year</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5"/>
              </w:rPr>
              <w:t>Total Eligible Students</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Students Placed</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 Placement</w:t>
            </w:r>
          </w:p>
        </w:tc>
        <w:tc>
          <w:tcPr>
            <w:tcW w:type="dxa" w:w="1701"/>
            <w:tcBorders>
              <w:top w:val="single" w:sz="4" w:space="0" w:color="BFBFBF"/>
              <w:left w:val="single" w:sz="4" w:space="0" w:color="BFBFBF"/>
              <w:bottom w:val="single" w:sz="4" w:space="0" w:color="BFBFBF"/>
              <w:right w:val="single" w:sz="4" w:space="0" w:color="BFBFBF"/>
            </w:tcBorders>
            <w:tcW w:w="1701" w:type="dxa"/>
            <w:shd w:val="clear" w:color="auto" w:fill="1F3A5F"/>
            <w:tcW w:w="1701" w:type="dxa"/>
          </w:tcPr>
          <w:p>
            <w:pPr>
              <w:spacing w:after="40" w:before="40" w:line="264" w:lineRule="auto"/>
              <w:jc w:val="center"/>
            </w:pPr>
            <w:r/>
            <w:r>
              <w:rPr>
                <w:rFonts w:ascii="Cambria" w:hAnsi="Cambria" w:eastAsia="Cambria"/>
                <w:b/>
                <w:i w:val="0"/>
                <w:color w:val="FFFFFF"/>
                <w:sz w:val="15"/>
              </w:rPr>
              <w:t>Major Recruiters</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Avg CTC (₹ LPA)</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Highest CTC (₹ LPA)</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5"/>
              </w:rPr>
              <w:t>Evidence Reference</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2022–23</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110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92</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83.6</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5"/>
              </w:rPr>
              <w:t>Infosys, Wipro, TCS</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4.2</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7.8</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TPO Report 2023</w:t>
            </w:r>
          </w:p>
        </w:tc>
      </w:tr>
      <w:tr>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2023–24</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5"/>
              </w:rPr>
              <w:t>118</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102</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86.4</w:t>
            </w:r>
          </w:p>
        </w:tc>
        <w:tc>
          <w:tcPr>
            <w:tcW w:type="dxa" w:w="1701"/>
            <w:shd w:val="clear" w:color="auto" w:fill="FFFFFF"/>
            <w:tcW w:w="1701" w:type="dxa"/>
          </w:tcPr>
          <w:p>
            <w:pPr>
              <w:spacing w:after="40" w:before="40" w:line="264" w:lineRule="auto"/>
              <w:jc w:val="left"/>
            </w:pPr>
            <w:r/>
            <w:r>
              <w:rPr>
                <w:rFonts w:ascii="Cambria" w:hAnsi="Cambria" w:eastAsia="Cambria"/>
                <w:b w:val="0"/>
                <w:i w:val="0"/>
                <w:color w:val="000000"/>
                <w:sz w:val="15"/>
              </w:rPr>
              <w:t>Cognizant, Deloitte, Bosch</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4.6</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8.1</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Placement Summary 2024</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2024–25</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120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108</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90.0</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5"/>
              </w:rPr>
              <w:t>Accenture, Tech Mahindra, Amazon</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5.0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10.2</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TPO Data Sheet 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Higher Studies Details</w:t>
      </w:r>
    </w:p>
    <w:tbl>
      <w:tblPr>
        <w:tblW w:type="auto" w:w="0"/>
        <w:jc w:val="center"/>
        <w:tblLook w:firstColumn="1" w:firstRow="1" w:lastColumn="0" w:lastRow="0" w:noHBand="0" w:noVBand="1" w:val="04A0"/>
        <w:tblLayout w:type="fixed"/>
        <w:tblLayout w:type="fixed"/>
      </w:tblPr>
      <w:tblGrid>
        <w:gridCol w:w="680"/>
        <w:gridCol w:w="907"/>
        <w:gridCol w:w="680"/>
        <w:gridCol w:w="1474"/>
        <w:gridCol w:w="907"/>
        <w:gridCol w:w="1701"/>
        <w:gridCol w:w="1191"/>
      </w:tblGrid>
      <w:tr>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5"/>
              </w:rPr>
              <w:t>Year</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No. of Students Opted</w:t>
            </w:r>
          </w:p>
        </w:tc>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5"/>
              </w:rPr>
              <w:t>% of Batch</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Country/University</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Program/Exam Qualified</w:t>
            </w:r>
          </w:p>
        </w:tc>
        <w:tc>
          <w:tcPr>
            <w:tcW w:type="dxa" w:w="1701"/>
            <w:tcBorders>
              <w:top w:val="single" w:sz="4" w:space="0" w:color="BFBFBF"/>
              <w:left w:val="single" w:sz="4" w:space="0" w:color="BFBFBF"/>
              <w:bottom w:val="single" w:sz="4" w:space="0" w:color="BFBFBF"/>
              <w:right w:val="single" w:sz="4" w:space="0" w:color="BFBFBF"/>
            </w:tcBorders>
            <w:tcW w:w="1701" w:type="dxa"/>
            <w:shd w:val="clear" w:color="auto" w:fill="1F3A5F"/>
            <w:tcW w:w="1701" w:type="dxa"/>
          </w:tcPr>
          <w:p>
            <w:pPr>
              <w:spacing w:after="40" w:before="40" w:line="264" w:lineRule="auto"/>
              <w:jc w:val="center"/>
            </w:pPr>
            <w:r/>
            <w:r>
              <w:rPr>
                <w:rFonts w:ascii="Cambria" w:hAnsi="Cambria" w:eastAsia="Cambria"/>
                <w:b/>
                <w:i w:val="0"/>
                <w:color w:val="FFFFFF"/>
                <w:sz w:val="15"/>
              </w:rPr>
              <w:t>Scholarship/Funding</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5"/>
              </w:rPr>
              <w:t>Evidence Reference</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2022–23</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10</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9%</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IIT Madras / NUS</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M.Tech / MS</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5"/>
              </w:rPr>
              <w:t>GATE Score / Research Assistantship</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Admission Letters</w:t>
            </w:r>
          </w:p>
        </w:tc>
      </w:tr>
      <w:tr>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2023–24</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8</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7%</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University of Toronto / IIM-B</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MS / MBA</w:t>
            </w:r>
          </w:p>
        </w:tc>
        <w:tc>
          <w:tcPr>
            <w:tcW w:type="dxa" w:w="1701"/>
            <w:shd w:val="clear" w:color="auto" w:fill="FFFFFF"/>
            <w:tcW w:w="1701" w:type="dxa"/>
          </w:tcPr>
          <w:p>
            <w:pPr>
              <w:spacing w:after="40" w:before="40" w:line="264" w:lineRule="auto"/>
              <w:jc w:val="left"/>
            </w:pPr>
            <w:r/>
            <w:r>
              <w:rPr>
                <w:rFonts w:ascii="Cambria" w:hAnsi="Cambria" w:eastAsia="Cambria"/>
                <w:b w:val="0"/>
                <w:i w:val="0"/>
                <w:color w:val="000000"/>
                <w:sz w:val="15"/>
              </w:rPr>
              <w:t>GRE / CAT Qualified</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University Offers</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2024–25</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12</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10%</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IISc / TU Munich</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M.Tech / MS</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5"/>
              </w:rPr>
              <w:t>DAAD / Govt Scholarship</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Acceptance Letters</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Entrepreneurship Details</w:t>
      </w:r>
    </w:p>
    <w:p>
      <w:pPr>
        <w:keepNext/>
        <w:spacing w:before="200" w:after="80"/>
      </w:pPr>
      <w:r>
        <w:rPr>
          <w:rFonts w:ascii="Cambria" w:hAnsi="Cambria" w:eastAsia="Cambria"/>
          <w:b/>
          <w:i w:val="0"/>
          <w:color w:val="1F3A5F"/>
          <w:sz w:val="23"/>
        </w:rPr>
        <w:t>2022–23 – 2 Entrepreneurs – Arjun Patel – AgroSense</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Domain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AgriTech</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Registration/Incubation Details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Registered under MSME 2022</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Current Status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Operational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MSME Doc</w:t>
            </w:r>
          </w:p>
        </w:tc>
      </w:tr>
    </w:tbl>
    <w:p>
      <w:pPr>
        <w:keepNext/>
        <w:spacing w:before="200" w:after="80"/>
      </w:pPr>
      <w:r>
        <w:rPr>
          <w:rFonts w:ascii="Cambria" w:hAnsi="Cambria" w:eastAsia="Cambria"/>
          <w:b/>
          <w:i w:val="0"/>
          <w:color w:val="1F3A5F"/>
          <w:sz w:val="23"/>
        </w:rPr>
        <w:t>2023–24 – 3 Entrepreneurs – Sneha Rao – ByteVision</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Domain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AI Solutions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Registration/Incubation Details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Incubated at College Innovation Hub</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Current Status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Active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Incubation MoU</w:t>
            </w:r>
          </w:p>
        </w:tc>
      </w:tr>
    </w:tbl>
    <w:p>
      <w:pPr>
        <w:keepNext/>
        <w:spacing w:before="200" w:after="80"/>
      </w:pPr>
      <w:r>
        <w:rPr>
          <w:rFonts w:ascii="Cambria" w:hAnsi="Cambria" w:eastAsia="Cambria"/>
          <w:b/>
          <w:i w:val="0"/>
          <w:color w:val="1F3A5F"/>
          <w:sz w:val="23"/>
        </w:rPr>
        <w:t>2024–25 – 4 Entrepreneurs – Kiran Das – GreenVolt</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Domain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Renewable Energy</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Registration/Incubation Details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Registered Startup India</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Current Status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Funded</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DIPP Certificate</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Combined Career Outcome Summary (3-Year Overview)</w:t>
      </w:r>
    </w:p>
    <w:tbl>
      <w:tblPr>
        <w:tblW w:type="auto" w:w="0"/>
        <w:jc w:val="center"/>
        <w:tblLook w:firstColumn="1" w:firstRow="1" w:lastColumn="0" w:lastRow="0" w:noHBand="0" w:noVBand="1" w:val="04A0"/>
        <w:tblLayout w:type="fixed"/>
        <w:tblLayout w:type="fixed"/>
      </w:tblPr>
      <w:tblGrid>
        <w:gridCol w:w="680"/>
        <w:gridCol w:w="1020"/>
        <w:gridCol w:w="907"/>
        <w:gridCol w:w="1020"/>
        <w:gridCol w:w="1020"/>
        <w:gridCol w:w="1474"/>
        <w:gridCol w:w="1474"/>
      </w:tblGrid>
      <w:tr>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5"/>
              </w:rPr>
              <w:t>Year</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Total Graduates</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Placed (%)</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Higher Studies (%)</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Entrepreneurs (%)</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Total Successful Outcomes (%)</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Evidence Reference</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2022–23</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115</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83.6</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9</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2</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94.6</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Summary Report 2023</w:t>
            </w:r>
          </w:p>
        </w:tc>
      </w:tr>
      <w:tr>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2023–24</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118</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86.4</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7</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3</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96.4</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Dept Report 2024</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2024–25</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120</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90.0</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10</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4</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104* (Overlap from dual activities)</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TPO File 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val="0"/>
          <w:i/>
          <w:color w:val="000000"/>
          <w:sz w:val="22"/>
        </w:rPr>
        <w:t>*Note: Overlaps occur where some students both pursue higher studies and part-time entrepreneurship.</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Impact and Observations</w:t>
      </w:r>
    </w:p>
    <w:p>
      <w:pPr>
        <w:keepNext/>
        <w:spacing w:before="200" w:after="80"/>
      </w:pPr>
      <w:r>
        <w:rPr>
          <w:rFonts w:ascii="Cambria" w:hAnsi="Cambria" w:eastAsia="Cambria"/>
          <w:b/>
          <w:i w:val="0"/>
          <w:color w:val="1F3A5F"/>
          <w:sz w:val="23"/>
        </w:rPr>
        <w:t>2022–23 – Moderate placements in core companies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Cause/Factor</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Limited industry linkage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Strengthened MoUs and internships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TPO / IIC</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+10% placement rise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ATR_2023</w:t>
            </w:r>
          </w:p>
        </w:tc>
      </w:tr>
    </w:tbl>
    <w:p>
      <w:pPr>
        <w:keepNext/>
        <w:spacing w:before="200" w:after="80"/>
      </w:pPr>
      <w:r>
        <w:rPr>
          <w:rFonts w:ascii="Cambria" w:hAnsi="Cambria" w:eastAsia="Cambria"/>
          <w:b/>
          <w:i w:val="0"/>
          <w:color w:val="1F3A5F"/>
          <w:sz w:val="23"/>
        </w:rPr>
        <w:t>2023–24 – Growing interest in higher studies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Cause/Factor</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High GATE success rate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Conducted GRE &amp; GATE coaching sessions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HoD / IQAC</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3% increase in higher studies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IQAC_Report_2024</w:t>
            </w:r>
          </w:p>
        </w:tc>
      </w:tr>
    </w:tbl>
    <w:p>
      <w:pPr>
        <w:keepNext/>
        <w:spacing w:before="200" w:after="80"/>
      </w:pPr>
      <w:r>
        <w:rPr>
          <w:rFonts w:ascii="Cambria" w:hAnsi="Cambria" w:eastAsia="Cambria"/>
          <w:b/>
          <w:i w:val="0"/>
          <w:color w:val="1F3A5F"/>
          <w:sz w:val="23"/>
        </w:rPr>
        <w:t>2024–25 – Rise in startups among graduates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Cause/Factor</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Improved incubation support</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Added Entrepreneurship Cell programs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IEDC / E-Cell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2 new ventures funded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Startup_Report_2025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Training &amp; Placement Cell (TPC)</w:t>
      </w:r>
      <w:r>
        <w:rPr>
          <w:rFonts w:ascii="Cambria" w:hAnsi="Cambria" w:eastAsia="Cambria"/>
          <w:b w:val="0"/>
          <w:i w:val="0"/>
          <w:color w:val="000000"/>
          <w:sz w:val="22"/>
        </w:rPr>
        <w:t xml:space="preserve"> maintains verified placement and internship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Entrepreneurship Development Cell (EDC)</w:t>
      </w:r>
      <w:r>
        <w:rPr>
          <w:rFonts w:ascii="Cambria" w:hAnsi="Cambria" w:eastAsia="Cambria"/>
          <w:b w:val="0"/>
          <w:i w:val="0"/>
          <w:color w:val="000000"/>
          <w:sz w:val="22"/>
        </w:rPr>
        <w:t xml:space="preserve"> supports student startups and documents success stories.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Alumni &amp; IQAC committees</w:t>
      </w:r>
      <w:r>
        <w:rPr>
          <w:rFonts w:ascii="Cambria" w:hAnsi="Cambria" w:eastAsia="Cambria"/>
          <w:b w:val="0"/>
          <w:i w:val="0"/>
          <w:color w:val="000000"/>
          <w:sz w:val="22"/>
        </w:rPr>
        <w:t xml:space="preserve"> track graduates for higher study and entrepreneurial outcomes.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Annual analysis</w:t>
      </w:r>
      <w:r>
        <w:rPr>
          <w:rFonts w:ascii="Cambria" w:hAnsi="Cambria" w:eastAsia="Cambria"/>
          <w:b w:val="0"/>
          <w:i w:val="0"/>
          <w:color w:val="000000"/>
          <w:sz w:val="22"/>
        </w:rPr>
        <w:t xml:space="preserve"> of placement data shared with Academic Council for curriculum improvement.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9 (Student Performance and Career Outcomes)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records are verified and certified by the Training &amp; Placement Officer (TPO) and Institutional Head.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evidence folders for Placement Offers, Admission Letters, Startup Proofs, and Feedback from Employers / Alumni.</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Verified and well-documented evidence of career achievements of graduates.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Demonstrated correlation between academic outcomes and employability/higher studies.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Continuous enhancement in placement and entrepreneurial ecosystem.</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9 &amp; 10 – Student Success and Outcome Attainment standards.</w:t>
      </w:r>
    </w:p>
    <w:p>
      <w:r>
        <w:br w:type="page"/>
      </w:r>
    </w:p>
    <w:p>
      <w:pPr>
        <w:keepNext/>
        <w:spacing w:before="240" w:after="160"/>
        <w:jc w:val="left"/>
      </w:pPr>
      <w:r>
        <w:rPr>
          <w:rFonts w:ascii="Cambria" w:hAnsi="Cambria" w:eastAsia="Cambria"/>
          <w:b/>
          <w:i w:val="0"/>
          <w:color w:val="1F3A5F"/>
          <w:sz w:val="25"/>
        </w:rPr>
        <w:t>25. P.22 Evidences of list of professional societies and number of events organized by the Department in the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document the active participation and engagement of the department in professional societies, associations, and technical chapters.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evidence of student and faculty involvement in professional bodies such as IEEE, ISTE, IETE, CSI, SAE, ACM, ASME, etc.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how professional society events contribute to skill development, technical competency, leadership, and lifelong learning — in alignment with Programme Outcomes (POs).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List of Professional Societies / Chapters in the Department: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Department-level and institution-level professional society memberships.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Details of student and faculty coordinators.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Approval letters or charter certificates from the parent organization.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Events Organized Under Each Society: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Technical events: seminars, workshops, guest lectures, paper presentations, hackathons, coding contests, design challenges, etc.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Professional development programs: webinars, FDPs, training sessions, and awareness programs.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Outreach / community service activities conducted under these societies.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Supporting Evidence: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Event circulars, schedules, posters, attendance sheets, and feedback forms.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Photographs, certificates, and reports submitted to the parent society.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Minutes of departmental meetings reviewing these activities.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Department-wise list of all professional societies with membership details.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Year-wise event summary and participation statistics.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Copies of event reports approved by the faculty advisor.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of collaborations with industry, academia, or government bodies through these events.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Certificates, press releases, or publication of outcomes (if applicable).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Annual reports submitted to the professional bodies.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List of Professional Societies / Student Chapters</w:t>
      </w:r>
    </w:p>
    <w:tbl>
      <w:tblPr>
        <w:tblW w:type="auto" w:w="0"/>
        <w:jc w:val="center"/>
        <w:tblLook w:firstColumn="1" w:firstRow="1" w:lastColumn="0" w:lastRow="0" w:noHBand="0" w:noVBand="1" w:val="04A0"/>
        <w:tblLayout w:type="fixed"/>
        <w:tblLayout w:type="fixed"/>
      </w:tblPr>
      <w:tblGrid>
        <w:gridCol w:w="510"/>
        <w:gridCol w:w="1474"/>
        <w:gridCol w:w="794"/>
        <w:gridCol w:w="1020"/>
        <w:gridCol w:w="907"/>
        <w:gridCol w:w="1247"/>
        <w:gridCol w:w="794"/>
        <w:gridCol w:w="1077"/>
      </w:tblGrid>
      <w:tr>
        <w:tc>
          <w:tcPr>
            <w:tcW w:type="dxa" w:w="510"/>
            <w:tcBorders>
              <w:top w:val="single" w:sz="4" w:space="0" w:color="BFBFBF"/>
              <w:left w:val="single" w:sz="4" w:space="0" w:color="BFBFBF"/>
              <w:bottom w:val="single" w:sz="4" w:space="0" w:color="BFBFBF"/>
              <w:right w:val="single" w:sz="4" w:space="0" w:color="BFBFBF"/>
            </w:tcBorders>
            <w:tcW w:w="510" w:type="dxa"/>
            <w:shd w:val="clear" w:color="auto" w:fill="1F3A5F"/>
            <w:tcW w:w="510" w:type="dxa"/>
          </w:tcPr>
          <w:p>
            <w:pPr>
              <w:spacing w:after="40" w:before="40" w:line="264" w:lineRule="auto"/>
              <w:jc w:val="center"/>
            </w:pPr>
            <w:r/>
            <w:r>
              <w:rPr>
                <w:rFonts w:ascii="Cambria" w:hAnsi="Cambria" w:eastAsia="Cambria"/>
                <w:b/>
                <w:i w:val="0"/>
                <w:color w:val="FFFFFF"/>
                <w:sz w:val="15"/>
              </w:rPr>
              <w:t>S.No.</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Name of the Professional Society</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Year of Establishment</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Faculty Coordinator</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Student Coordinator</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5"/>
              </w:rPr>
              <w:t>Membership Type</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Membership Count</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5"/>
              </w:rPr>
              <w:t>Evidence Reference</w:t>
            </w:r>
          </w:p>
        </w:tc>
      </w:tr>
      <w:tr>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5"/>
              </w:rPr>
              <w:t>1</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IEEE Student Chapter</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2018</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Dr. R. Kumar</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Ananya S.</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5"/>
              </w:rPr>
              <w:t>Annual Institutional</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85</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5"/>
              </w:rPr>
              <w:t>IEEE Charter Letter</w:t>
            </w:r>
          </w:p>
        </w:tc>
      </w:tr>
      <w:tr>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5"/>
              </w:rPr>
              <w:t>2</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ISTE Student Chapter</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2019</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Prof. M. Rao</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Pratik S.</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5"/>
              </w:rPr>
              <w:t>Life Membership</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120</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5"/>
              </w:rPr>
              <w:t>ISTE Approval Doc</w:t>
            </w:r>
          </w:p>
        </w:tc>
      </w:tr>
      <w:tr>
        <w:tc>
          <w:tcPr>
            <w:tcW w:type="dxa" w:w="510"/>
            <w:shd w:val="clear" w:color="auto" w:fill="E8ECF2"/>
            <w:tcW w:w="510" w:type="dxa"/>
          </w:tcPr>
          <w:p>
            <w:pPr>
              <w:spacing w:after="40" w:before="40" w:line="264" w:lineRule="auto"/>
              <w:jc w:val="left"/>
            </w:pPr>
            <w:r/>
            <w:r>
              <w:rPr>
                <w:rFonts w:ascii="Cambria" w:hAnsi="Cambria" w:eastAsia="Cambria"/>
                <w:b w:val="0"/>
                <w:i w:val="0"/>
                <w:color w:val="000000"/>
                <w:sz w:val="15"/>
              </w:rPr>
              <w:t>3</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CSI Student Branch</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2020</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Dr. S. Iyer</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Megha P.</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5"/>
              </w:rPr>
              <w:t>Institutional</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90</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5"/>
              </w:rPr>
              <w:t>CSI Affiliation Copy</w:t>
            </w:r>
          </w:p>
        </w:tc>
      </w:tr>
      <w:tr>
        <w:tc>
          <w:tcPr>
            <w:tcW w:type="dxa" w:w="510"/>
            <w:shd w:val="clear" w:color="auto" w:fill="FFFFFF"/>
            <w:tcW w:w="510" w:type="dxa"/>
          </w:tcPr>
          <w:p>
            <w:pPr>
              <w:spacing w:after="40" w:before="40" w:line="264" w:lineRule="auto"/>
              <w:jc w:val="left"/>
            </w:pPr>
            <w:r/>
            <w:r>
              <w:rPr>
                <w:rFonts w:ascii="Cambria" w:hAnsi="Cambria" w:eastAsia="Cambria"/>
                <w:b w:val="0"/>
                <w:i w:val="0"/>
                <w:color w:val="000000"/>
                <w:sz w:val="15"/>
              </w:rPr>
              <w:t>4</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IETE Professional Forum</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2021</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Dr. N. Sharma</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Arjun P.</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5"/>
              </w:rPr>
              <w:t>Institutional</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70</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5"/>
              </w:rPr>
              <w:t>IETE Certificate</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Year-wise List of Events Organized Under Professional Societies (3 Years)</w:t>
      </w:r>
    </w:p>
    <w:p>
      <w:pPr>
        <w:keepNext/>
        <w:spacing w:before="200" w:after="80"/>
      </w:pPr>
      <w:r>
        <w:rPr>
          <w:rFonts w:ascii="Cambria" w:hAnsi="Cambria" w:eastAsia="Cambria"/>
          <w:b/>
          <w:i w:val="0"/>
          <w:color w:val="1F3A5F"/>
          <w:sz w:val="23"/>
        </w:rPr>
        <w:t>2022–23 – IEEE – Workshop – “AI Applications in Embedded Systems”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Date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12–13 May 2023</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No. of Participants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75</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Resource Person/Organization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Mr. Ravi Kumar, Intel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Offline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Report + Photos</w:t>
            </w:r>
          </w:p>
        </w:tc>
      </w:tr>
    </w:tbl>
    <w:p>
      <w:pPr>
        <w:keepNext/>
        <w:spacing w:before="200" w:after="80"/>
      </w:pPr>
      <w:r>
        <w:rPr>
          <w:rFonts w:ascii="Cambria" w:hAnsi="Cambria" w:eastAsia="Cambria"/>
          <w:b/>
          <w:i w:val="0"/>
          <w:color w:val="1F3A5F"/>
          <w:sz w:val="23"/>
        </w:rPr>
        <w:t>2022–23 – ISTE – Guest Lecture – “Career Paths in Data Science”</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Date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20 Oct 2022</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No. of Participants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60</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Resource Person/Organization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Dr. Priya Mehta, IBM</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Online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Event Brochure</w:t>
            </w:r>
          </w:p>
        </w:tc>
      </w:tr>
    </w:tbl>
    <w:p>
      <w:pPr>
        <w:keepNext/>
        <w:spacing w:before="200" w:after="80"/>
      </w:pPr>
      <w:r>
        <w:rPr>
          <w:rFonts w:ascii="Cambria" w:hAnsi="Cambria" w:eastAsia="Cambria"/>
          <w:b/>
          <w:i w:val="0"/>
          <w:color w:val="1F3A5F"/>
          <w:sz w:val="23"/>
        </w:rPr>
        <w:t>2023–24 – CSI – Hackathon – “CodeQuest 2024”</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Date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18 Mar 2024</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No. of Participants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110</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Resource Person/Organization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TCS Innovation Lab</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Hybrid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Report + Certificates</w:t>
            </w:r>
          </w:p>
        </w:tc>
      </w:tr>
    </w:tbl>
    <w:p>
      <w:pPr>
        <w:keepNext/>
        <w:spacing w:before="200" w:after="80"/>
      </w:pPr>
      <w:r>
        <w:rPr>
          <w:rFonts w:ascii="Cambria" w:hAnsi="Cambria" w:eastAsia="Cambria"/>
          <w:b/>
          <w:i w:val="0"/>
          <w:color w:val="1F3A5F"/>
          <w:sz w:val="23"/>
        </w:rPr>
        <w:t>2023–24 – IETE – FDP – “5G Wireless Technologies”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Date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5–7 Sep 2023</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No. of Participants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45</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Resource Person/Organization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Dr. Rajesh Patel, BSNL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Offline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FDP Report</w:t>
            </w:r>
          </w:p>
        </w:tc>
      </w:tr>
    </w:tbl>
    <w:p>
      <w:pPr>
        <w:keepNext/>
        <w:spacing w:before="200" w:after="80"/>
      </w:pPr>
      <w:r>
        <w:rPr>
          <w:rFonts w:ascii="Cambria" w:hAnsi="Cambria" w:eastAsia="Cambria"/>
          <w:b/>
          <w:i w:val="0"/>
          <w:color w:val="1F3A5F"/>
          <w:sz w:val="23"/>
        </w:rPr>
        <w:t>2024–25 – IEEE – Seminar – “AI for Social Good”</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Date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10 Feb 2025</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No. of Participants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95</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Resource Person/Organization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Prof. Anil Sharma, IIT Delhi</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Offline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Attendance Sheet</w:t>
            </w:r>
          </w:p>
        </w:tc>
      </w:tr>
    </w:tbl>
    <w:p>
      <w:pPr>
        <w:keepNext/>
        <w:spacing w:before="200" w:after="80"/>
      </w:pPr>
      <w:r>
        <w:rPr>
          <w:rFonts w:ascii="Cambria" w:hAnsi="Cambria" w:eastAsia="Cambria"/>
          <w:b/>
          <w:i w:val="0"/>
          <w:color w:val="1F3A5F"/>
          <w:sz w:val="23"/>
        </w:rPr>
        <w:t>2024–25 – ISTE – Workshop – “Design Thinking &amp; Innovation”</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Date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8–9 Apr 2025</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No. of Participants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80</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Resource Person/Organization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Mr. K. Bansal, StartUp India</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Offline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Feedback Summary</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Year-wise Summary of Events Organized (3-Year Overview)</w:t>
      </w:r>
    </w:p>
    <w:tbl>
      <w:tblPr>
        <w:tblW w:type="auto" w:w="0"/>
        <w:jc w:val="center"/>
        <w:tblLook w:firstColumn="1" w:firstRow="1" w:lastColumn="0" w:lastRow="0" w:noHBand="0" w:noVBand="1" w:val="04A0"/>
        <w:tblLayout w:type="fixed"/>
        <w:tblLayout w:type="fixed"/>
      </w:tblPr>
      <w:tblGrid>
        <w:gridCol w:w="680"/>
        <w:gridCol w:w="1020"/>
        <w:gridCol w:w="907"/>
        <w:gridCol w:w="907"/>
        <w:gridCol w:w="1020"/>
        <w:gridCol w:w="1474"/>
        <w:gridCol w:w="1361"/>
      </w:tblGrid>
      <w:tr>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5"/>
              </w:rPr>
              <w:t>Year</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Total No. of Societies Active</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No. of Events Organized</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Total Participants</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Avg Participation per Event</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Key Themes</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5"/>
              </w:rPr>
              <w:t>Evidence Reference</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2022–23</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4</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7</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350</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50</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IoT, AI, Industry 4.0</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Annual Report 2023</w:t>
            </w:r>
          </w:p>
        </w:tc>
      </w:tr>
      <w:tr>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2023–24</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4</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9</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460</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51</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Cloud, 5G, Coding</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5"/>
              </w:rPr>
              <w:t>Event Summary 2024</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2024–25</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4</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10</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520</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52</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AI, Entrepreneurship</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IQAC File 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Observations and Improvements from Professional Society Activities</w:t>
      </w:r>
    </w:p>
    <w:p>
      <w:pPr>
        <w:keepNext/>
        <w:spacing w:before="200" w:after="80"/>
      </w:pPr>
      <w:r>
        <w:rPr>
          <w:rFonts w:ascii="Cambria" w:hAnsi="Cambria" w:eastAsia="Cambria"/>
          <w:b/>
          <w:i w:val="0"/>
          <w:color w:val="1F3A5F"/>
          <w:sz w:val="23"/>
        </w:rPr>
        <w:t>2022–23 – Limited student participation</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Lack of awareness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Introduced orientation on society benefits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Body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Faculty Coordinators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25% increase in membership</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ATR_2023</w:t>
            </w:r>
          </w:p>
        </w:tc>
      </w:tr>
    </w:tbl>
    <w:p>
      <w:pPr>
        <w:keepNext/>
        <w:spacing w:before="200" w:after="80"/>
      </w:pPr>
      <w:r>
        <w:rPr>
          <w:rFonts w:ascii="Cambria" w:hAnsi="Cambria" w:eastAsia="Cambria"/>
          <w:b/>
          <w:i w:val="0"/>
          <w:color w:val="1F3A5F"/>
          <w:sz w:val="23"/>
        </w:rPr>
        <w:t>2023–24 – Repetitive technical themes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Need for interdisciplinary exposure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Invited experts from other domains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Body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Department + IEEE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Broader participation</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IQAC_Minutes_2024</w:t>
            </w:r>
          </w:p>
        </w:tc>
      </w:tr>
    </w:tbl>
    <w:p>
      <w:pPr>
        <w:keepNext/>
        <w:spacing w:before="200" w:after="80"/>
      </w:pPr>
      <w:r>
        <w:rPr>
          <w:rFonts w:ascii="Cambria" w:hAnsi="Cambria" w:eastAsia="Cambria"/>
          <w:b/>
          <w:i w:val="0"/>
          <w:color w:val="1F3A5F"/>
          <w:sz w:val="23"/>
        </w:rPr>
        <w:t>2024–25 – Need for innovation-driven learning</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Focus on entrepreneurship</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Organized startup-focused ISTE workshop</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Body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E-Cell + ISTE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2 student startups formed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Report_2025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Department Professional Society Committee</w:t>
      </w:r>
      <w:r>
        <w:rPr>
          <w:rFonts w:ascii="Cambria" w:hAnsi="Cambria" w:eastAsia="Cambria"/>
          <w:b w:val="0"/>
          <w:i w:val="0"/>
          <w:color w:val="000000"/>
          <w:sz w:val="22"/>
        </w:rPr>
        <w:t xml:space="preserve"> coordinates all activities and maintains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Event reports</w:t>
      </w:r>
      <w:r>
        <w:rPr>
          <w:rFonts w:ascii="Cambria" w:hAnsi="Cambria" w:eastAsia="Cambria"/>
          <w:b w:val="0"/>
          <w:i w:val="0"/>
          <w:color w:val="000000"/>
          <w:sz w:val="22"/>
        </w:rPr>
        <w:t xml:space="preserve"> reviewed by HoD and submitted to IQAC annually.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Student feedback and participation data</w:t>
      </w:r>
      <w:r>
        <w:rPr>
          <w:rFonts w:ascii="Cambria" w:hAnsi="Cambria" w:eastAsia="Cambria"/>
          <w:b w:val="0"/>
          <w:i w:val="0"/>
          <w:color w:val="000000"/>
          <w:sz w:val="22"/>
        </w:rPr>
        <w:t xml:space="preserve"> analyzed to plan future events.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Continuous improvement</w:t>
      </w:r>
      <w:r>
        <w:rPr>
          <w:rFonts w:ascii="Cambria" w:hAnsi="Cambria" w:eastAsia="Cambria"/>
          <w:b w:val="0"/>
          <w:i w:val="0"/>
          <w:color w:val="000000"/>
          <w:sz w:val="22"/>
        </w:rPr>
        <w:t xml:space="preserve"> through collaboration with industries and research organizations.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8 (Student Activities and Professional Development)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detailed records for CAY, CAYm1, and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Include </w:t>
      </w:r>
      <w:r>
        <w:rPr>
          <w:rFonts w:ascii="Cambria" w:hAnsi="Cambria" w:eastAsia="Cambria"/>
          <w:b w:val="0"/>
          <w:i/>
          <w:color w:val="000000"/>
          <w:sz w:val="22"/>
        </w:rPr>
        <w:t>photos, brochures, attendance lists, certificates, and feedback summaries</w:t>
      </w:r>
      <w:r>
        <w:rPr>
          <w:rFonts w:ascii="Cambria" w:hAnsi="Cambria" w:eastAsia="Cambria"/>
          <w:b w:val="0"/>
          <w:i w:val="0"/>
          <w:color w:val="000000"/>
          <w:sz w:val="22"/>
        </w:rPr>
        <w:t xml:space="preserve"> in evidence folders.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Strengthened professional engagement among students and faculty.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Enhanced technical competency, communication, and leadership skills.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Demonstrated linkage between professional activities and PO/PSO attainment (especially PO9, PO10, PO12).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8 &amp; 10 – Professional Development and Continuous Improvement standards.</w:t>
      </w:r>
    </w:p>
    <w:p>
      <w:r>
        <w:br w:type="page"/>
      </w:r>
    </w:p>
    <w:p>
      <w:pPr>
        <w:keepNext/>
        <w:spacing w:before="240" w:after="160"/>
        <w:jc w:val="left"/>
      </w:pPr>
      <w:r>
        <w:rPr>
          <w:rFonts w:ascii="Cambria" w:hAnsi="Cambria" w:eastAsia="Cambria"/>
          <w:b/>
          <w:i w:val="0"/>
          <w:color w:val="1F3A5F"/>
          <w:sz w:val="25"/>
        </w:rPr>
        <w:t>26. P.23 Records of technical magazines, newsletters, etc &amp; student participations in the inter-institute events &amp; list of awards received by the students in the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document the academic, technical, and co-curricular achievements of students through publications, competitions, and recognitions over the past three years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showcase how the department promotes innovation, creativity, communication, and professional excellence through technical publications and external participation.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the alignment of these activities with Programme Outcomes (POs) and Programme Specific Outcomes (PSOs) such as teamwork, communication, and lifelong learning.</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 Publications: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Annual or biannual technical magazines, newsletters, or bulletins published by the department.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Details of editorial boards, contributors (faculty and students), ISSN/ISBN numbers (if applicable).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Themes and coverage areas — research, innovation, student projects, alumni news, and achievements.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Student Participation in Inter-Institute Events: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Events at state, national, or international levels such as hackathons, paper presentations, coding contests, robotics competitions, project expos, design challenges, etc.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Details of the event title, host institute, participants, and outcomes.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Awards &amp; Recognitions: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List of awards, certificates, and medals received by students in academics, research, innovation, or cultural/technical events.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Supporting evidence such as certificates, photographs, participation letters, and news clippings.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Copies of department magazines/newsletters (print and soft copies).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Editorial committee meeting minutes.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Participation records and event invitations.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Certificates, award photos, and press releases.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Reports submitted to IQAC or HoD for documentation.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Feedback and reflection reports from participants.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Department Technical Magazines / Newsletters</w:t>
      </w:r>
    </w:p>
    <w:p>
      <w:pPr>
        <w:keepNext/>
        <w:spacing w:before="200" w:after="80"/>
      </w:pPr>
      <w:r>
        <w:rPr>
          <w:rFonts w:ascii="Cambria" w:hAnsi="Cambria" w:eastAsia="Cambria"/>
          <w:b/>
          <w:i w:val="0"/>
          <w:color w:val="1F3A5F"/>
          <w:sz w:val="23"/>
        </w:rPr>
        <w:t>2022–23 – TechVibes 2023 (Annual)</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Theme/Focus Area</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Emerging Technologies &amp; AI</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Chief Editor</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Dr. R. Kumar</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No. of Student Contributors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18</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ISSN/ISBN (if any)</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ISSN: 2583-XXXX</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Magazine Copy</w:t>
            </w:r>
          </w:p>
        </w:tc>
      </w:tr>
    </w:tbl>
    <w:p>
      <w:pPr>
        <w:keepNext/>
        <w:spacing w:before="200" w:after="80"/>
      </w:pPr>
      <w:r>
        <w:rPr>
          <w:rFonts w:ascii="Cambria" w:hAnsi="Cambria" w:eastAsia="Cambria"/>
          <w:b/>
          <w:i w:val="0"/>
          <w:color w:val="1F3A5F"/>
          <w:sz w:val="23"/>
        </w:rPr>
        <w:t>2023–24 – Innovista 2024 (Biannual)</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Theme/Focus Area</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Data Science &amp; IoT Applications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Chief Editor</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Prof. M. Rao</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No. of Student Contributors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22</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ISSN/ISBN (if any)</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ISBN: 978-93-XXXX</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Newsletter File</w:t>
            </w:r>
          </w:p>
        </w:tc>
      </w:tr>
    </w:tbl>
    <w:p>
      <w:pPr>
        <w:keepNext/>
        <w:spacing w:before="200" w:after="80"/>
      </w:pPr>
      <w:r>
        <w:rPr>
          <w:rFonts w:ascii="Cambria" w:hAnsi="Cambria" w:eastAsia="Cambria"/>
          <w:b/>
          <w:i w:val="0"/>
          <w:color w:val="1F3A5F"/>
          <w:sz w:val="23"/>
        </w:rPr>
        <w:t>2024–25 – NextGen Vision 2025 (Annual)</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Theme/Focus Area</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Green Tech &amp; Sustainable Design</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Chief Editor</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Dr. S. Iyer</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No. of Student Contributors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20</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ISSN/ISBN (if any)</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Publication Record</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Student Participation in Inter-Institute Events (3 Years)</w:t>
      </w:r>
    </w:p>
    <w:tbl>
      <w:tblPr>
        <w:tblW w:type="auto" w:w="0"/>
        <w:jc w:val="center"/>
        <w:tblLook w:firstColumn="1" w:firstRow="1" w:lastColumn="0" w:lastRow="0" w:noHBand="0" w:noVBand="1" w:val="04A0"/>
        <w:tblLayout w:type="fixed"/>
        <w:tblLayout w:type="fixed"/>
      </w:tblPr>
      <w:tblGrid>
        <w:gridCol w:w="624"/>
        <w:gridCol w:w="1020"/>
        <w:gridCol w:w="1020"/>
        <w:gridCol w:w="794"/>
        <w:gridCol w:w="567"/>
        <w:gridCol w:w="1134"/>
        <w:gridCol w:w="907"/>
        <w:gridCol w:w="1077"/>
      </w:tblGrid>
      <w:tr>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4"/>
              </w:rPr>
              <w:t>Year</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4"/>
              </w:rPr>
              <w:t>Event Title</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4"/>
              </w:rPr>
              <w:t>Organizing Institute</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4"/>
              </w:rPr>
              <w:t>Level</w:t>
            </w:r>
          </w:p>
        </w:tc>
        <w:tc>
          <w:tcPr>
            <w:tcW w:type="dxa" w:w="567"/>
            <w:tcBorders>
              <w:top w:val="single" w:sz="4" w:space="0" w:color="BFBFBF"/>
              <w:left w:val="single" w:sz="4" w:space="0" w:color="BFBFBF"/>
              <w:bottom w:val="single" w:sz="4" w:space="0" w:color="BFBFBF"/>
              <w:right w:val="single" w:sz="4" w:space="0" w:color="BFBFBF"/>
            </w:tcBorders>
            <w:tcW w:w="567" w:type="dxa"/>
            <w:shd w:val="clear" w:color="auto" w:fill="1F3A5F"/>
            <w:tcW w:w="567" w:type="dxa"/>
          </w:tcPr>
          <w:p>
            <w:pPr>
              <w:spacing w:after="40" w:before="40" w:line="264" w:lineRule="auto"/>
              <w:jc w:val="center"/>
            </w:pPr>
            <w:r/>
            <w:r>
              <w:rPr>
                <w:rFonts w:ascii="Cambria" w:hAnsi="Cambria" w:eastAsia="Cambria"/>
                <w:b/>
                <w:i w:val="0"/>
                <w:color w:val="FFFFFF"/>
                <w:sz w:val="14"/>
              </w:rPr>
              <w:t>No. Participants</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4"/>
              </w:rPr>
              <w:t>Event Type</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4"/>
              </w:rPr>
              <w:t>Achievement/Award</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4"/>
              </w:rPr>
              <w:t>Evidence Reference</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2022–23</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Smart India Hackathon</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MHRD, Govt. of India</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National</w:t>
            </w:r>
          </w:p>
        </w:tc>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4"/>
              </w:rPr>
              <w:t>6</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Innovation Hackathon</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Finalist (Top 10)</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4"/>
              </w:rPr>
              <w:t>SIH Certificate</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2022–23</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TechFest</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IIT Bombay</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National</w:t>
            </w:r>
          </w:p>
        </w:tc>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4"/>
              </w:rPr>
              <w:t>8</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Paper Presentation</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4"/>
              </w:rPr>
              <w:t>1st Prize</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4"/>
              </w:rPr>
              <w:t>Event Report</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2023–24</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CodeMania 2024</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VIT Chennai</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State</w:t>
            </w:r>
          </w:p>
        </w:tc>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4"/>
              </w:rPr>
              <w:t>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Coding Competition</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Runner-Up</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4"/>
              </w:rPr>
              <w:t>Participation Proof</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2023–24</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RoboWars</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SRM University</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National</w:t>
            </w:r>
          </w:p>
        </w:tc>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4"/>
              </w:rPr>
              <w:t>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Robotics</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4"/>
              </w:rPr>
              <w:t>2nd Prize</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4"/>
              </w:rPr>
              <w:t>Certificate Copy</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2024–25</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IEEE Xtreme</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IEEE Global</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International</w:t>
            </w:r>
          </w:p>
        </w:tc>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4"/>
              </w:rPr>
              <w:t>10</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Online Coding Marathon</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Global Rank 23</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4"/>
              </w:rPr>
              <w:t>IEEE Report</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2024–25</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Startup Conclave</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AICTE–MSME</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National</w:t>
            </w:r>
          </w:p>
        </w:tc>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4"/>
              </w:rPr>
              <w:t>3</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Pitching / Entrepreneurship</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4"/>
              </w:rPr>
              <w:t>Special Mention</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4"/>
              </w:rPr>
              <w:t>Press Release</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Awards and Recognitions Received by Students (3 Years)</w:t>
      </w:r>
    </w:p>
    <w:tbl>
      <w:tblPr>
        <w:tblW w:type="auto" w:w="0"/>
        <w:jc w:val="center"/>
        <w:tblLook w:firstColumn="1" w:firstRow="1" w:lastColumn="0" w:lastRow="0" w:noHBand="0" w:noVBand="1" w:val="04A0"/>
        <w:tblLayout w:type="fixed"/>
        <w:tblLayout w:type="fixed"/>
      </w:tblPr>
      <w:tblGrid>
        <w:gridCol w:w="624"/>
        <w:gridCol w:w="794"/>
        <w:gridCol w:w="1247"/>
        <w:gridCol w:w="680"/>
        <w:gridCol w:w="907"/>
        <w:gridCol w:w="680"/>
        <w:gridCol w:w="1020"/>
        <w:gridCol w:w="1077"/>
      </w:tblGrid>
      <w:tr>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4"/>
              </w:rPr>
              <w:t>Year</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4"/>
              </w:rPr>
              <w:t>Student Name</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4"/>
              </w:rPr>
              <w:t>Event/Competition</w:t>
            </w:r>
          </w:p>
        </w:tc>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4"/>
              </w:rPr>
              <w:t>Organizing Body</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4"/>
              </w:rPr>
              <w:t>Category/Award Title</w:t>
            </w:r>
          </w:p>
        </w:tc>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4"/>
              </w:rPr>
              <w:t>Level</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4"/>
              </w:rPr>
              <w:t>Outcome</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4"/>
              </w:rPr>
              <w:t>Evidence Reference</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2022–23</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Priya Nair</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4"/>
              </w:rPr>
              <w:t>Paper Presentation on “AI in Healthcare”</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4"/>
              </w:rPr>
              <w:t>IEEE</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Best Paper Award</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4"/>
              </w:rPr>
              <w:t>National</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1st Place</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4"/>
              </w:rPr>
              <w:t>Certificate_2023</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2022–23</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Arjun Patel</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4"/>
              </w:rPr>
              <w:t>Innovation Challenge</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4"/>
              </w:rPr>
              <w:t>DST</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4"/>
              </w:rPr>
              <w:t>Product Innovation</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4"/>
              </w:rPr>
              <w:t>State</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Winner</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4"/>
              </w:rPr>
              <w:t>DST_Letter</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2023–24</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Sneha Reddy</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4"/>
              </w:rPr>
              <w:t>Women in Tech Hackathon</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4"/>
              </w:rPr>
              <w:t>WIT</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Software Design</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4"/>
              </w:rPr>
              <w:t>National</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2nd Prize</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4"/>
              </w:rPr>
              <w:t>WIT_Report_2024</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2023–24</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Rahul Menon</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4"/>
              </w:rPr>
              <w:t>CodeSprint</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4"/>
              </w:rPr>
              <w:t>Infosys</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4"/>
              </w:rPr>
              <w:t>Coding</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4"/>
              </w:rPr>
              <w:t>National</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1st Prize</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4"/>
              </w:rPr>
              <w:t>Infosys_Event</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2024–25</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Kiran Das</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4"/>
              </w:rPr>
              <w:t>Startup India Conclave</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4"/>
              </w:rPr>
              <w:t>AICTE</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Entrepreneurship</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4"/>
              </w:rPr>
              <w:t>National</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Incubation Grant ₹2L</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4"/>
              </w:rPr>
              <w:t>DIPP_Doc_2025</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2024–25</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Megha S.</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4"/>
              </w:rPr>
              <w:t>Poster Design Contest</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4"/>
              </w:rPr>
              <w:t>NPTEL</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4"/>
              </w:rPr>
              <w:t>E-learning</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4"/>
              </w:rPr>
              <w:t>Regional</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3rd Prize</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4"/>
              </w:rPr>
              <w:t>Poster_Certificate</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Year-wise Summary of Student Achievements and Publications</w:t>
      </w:r>
    </w:p>
    <w:tbl>
      <w:tblPr>
        <w:tblW w:type="auto" w:w="0"/>
        <w:jc w:val="center"/>
        <w:tblLook w:firstColumn="1" w:firstRow="1" w:lastColumn="0" w:lastRow="0" w:noHBand="0" w:noVBand="1" w:val="04A0"/>
        <w:tblLayout w:type="fixed"/>
        <w:tblLayout w:type="fixed"/>
      </w:tblPr>
      <w:tblGrid>
        <w:gridCol w:w="680"/>
        <w:gridCol w:w="1020"/>
        <w:gridCol w:w="1020"/>
        <w:gridCol w:w="907"/>
        <w:gridCol w:w="907"/>
        <w:gridCol w:w="1474"/>
        <w:gridCol w:w="1361"/>
      </w:tblGrid>
      <w:tr>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5"/>
              </w:rPr>
              <w:t>Year</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No. of Magazines/Newsletters</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No. of Students Participated in Events</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No. of Awards Won</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International/National Events</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Key Areas of Achievement</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5"/>
              </w:rPr>
              <w:t>Evidence Reference</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2022–23</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1</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28</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10</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4</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AI, IoT, Robotics</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Annual Summary 2023</w:t>
            </w:r>
          </w:p>
        </w:tc>
      </w:tr>
      <w:tr>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2023–24</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1</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35</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12</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5</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Data Science, Coding</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5"/>
              </w:rPr>
              <w:t>Report 2024</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2024–25</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1</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40</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15</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6</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Sustainability, Innovation</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IQAC File 2025</w:t>
            </w:r>
          </w:p>
        </w:tc>
      </w:tr>
    </w:tbl>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Observations and Improvements (Continued)</w:t>
      </w:r>
    </w:p>
    <w:p>
      <w:pPr>
        <w:keepNext/>
        <w:spacing w:before="200" w:after="80"/>
      </w:pPr>
      <w:r>
        <w:rPr>
          <w:rFonts w:ascii="Cambria" w:hAnsi="Cambria" w:eastAsia="Cambria"/>
          <w:b/>
          <w:i w:val="0"/>
          <w:color w:val="1F3A5F"/>
          <w:sz w:val="23"/>
        </w:rPr>
        <w:t>2022–23 – Low student participation in national events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Gap Identified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Limited financial support</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Department introduced travel grants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HoD + IQAC</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Participation up by 20%</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ATR_2023</w:t>
            </w:r>
          </w:p>
        </w:tc>
      </w:tr>
    </w:tbl>
    <w:p>
      <w:pPr>
        <w:keepNext/>
        <w:spacing w:before="200" w:after="80"/>
      </w:pPr>
      <w:r>
        <w:rPr>
          <w:rFonts w:ascii="Cambria" w:hAnsi="Cambria" w:eastAsia="Cambria"/>
          <w:b/>
          <w:i w:val="0"/>
          <w:color w:val="1F3A5F"/>
          <w:sz w:val="23"/>
        </w:rPr>
        <w:t>2023–24 – Fewer design and art-related contests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Gap Identified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Need interdisciplinary exposure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Collaboration with Design Dept</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Professional Societies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Broader skill development</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IQAC_Report_2024</w:t>
            </w:r>
          </w:p>
        </w:tc>
      </w:tr>
    </w:tbl>
    <w:p>
      <w:pPr>
        <w:keepNext/>
        <w:spacing w:before="200" w:after="80"/>
      </w:pPr>
      <w:r>
        <w:rPr>
          <w:rFonts w:ascii="Cambria" w:hAnsi="Cambria" w:eastAsia="Cambria"/>
          <w:b/>
          <w:i w:val="0"/>
          <w:color w:val="1F3A5F"/>
          <w:sz w:val="23"/>
        </w:rPr>
        <w:t>2024–25 – Excellent performance but low documentation</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Gap Identified</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Lack of centralized database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Created student achievement tracker</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Department Coordinator</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Improved record accuracy</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Evidence_2025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Editorial and Student Activity Committee</w:t>
      </w:r>
      <w:r>
        <w:rPr>
          <w:rFonts w:ascii="Cambria" w:hAnsi="Cambria" w:eastAsia="Cambria"/>
          <w:b w:val="0"/>
          <w:i w:val="0"/>
          <w:color w:val="000000"/>
          <w:sz w:val="22"/>
        </w:rPr>
        <w:t xml:space="preserve"> monitors publication and event participation.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IQAC verification</w:t>
      </w:r>
      <w:r>
        <w:rPr>
          <w:rFonts w:ascii="Cambria" w:hAnsi="Cambria" w:eastAsia="Cambria"/>
          <w:b w:val="0"/>
          <w:i w:val="0"/>
          <w:color w:val="000000"/>
          <w:sz w:val="22"/>
        </w:rPr>
        <w:t xml:space="preserve"> of evidence, certificates, and participation lists annually.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Encouragement for publication and presentation</w:t>
      </w:r>
      <w:r>
        <w:rPr>
          <w:rFonts w:ascii="Cambria" w:hAnsi="Cambria" w:eastAsia="Cambria"/>
          <w:b w:val="0"/>
          <w:i w:val="0"/>
          <w:color w:val="000000"/>
          <w:sz w:val="22"/>
        </w:rPr>
        <w:t xml:space="preserve"> through mentorship and financial aid.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Integration with CO–PO–PSO mapping</w:t>
      </w:r>
      <w:r>
        <w:rPr>
          <w:rFonts w:ascii="Cambria" w:hAnsi="Cambria" w:eastAsia="Cambria"/>
          <w:b w:val="0"/>
          <w:i w:val="0"/>
          <w:color w:val="000000"/>
          <w:sz w:val="22"/>
        </w:rPr>
        <w:t>, especially PO9 (Teamwork), PO10 (Communication), and PO12 (Lifelong Learning).</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8 (Student Activities and Achievements)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separate folders for Magazines, Newsletters, Event Reports, Certificates, and Awards for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Include high-resolution scanned evidence for NBA presentation.</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Systematic documentation of student creativity, innovation, and achievements.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Enhanced student engagement in inter-institutional and national-level competitions.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Recognition of department excellence through student awards and publications.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8 &amp; 10 – Student Development, Achievements, and Continuous Improvement standards.</w:t>
      </w:r>
    </w:p>
    <w:p>
      <w:r>
        <w:br w:type="page"/>
      </w:r>
    </w:p>
    <w:p>
      <w:pPr>
        <w:keepNext/>
        <w:spacing w:before="240" w:after="160"/>
        <w:jc w:val="left"/>
      </w:pPr>
      <w:r>
        <w:rPr>
          <w:rFonts w:ascii="Cambria" w:hAnsi="Cambria" w:eastAsia="Cambria"/>
          <w:b/>
          <w:i w:val="0"/>
          <w:color w:val="1F3A5F"/>
          <w:sz w:val="25"/>
        </w:rPr>
        <w:t>27. P.24 Details of faculty student ratio.</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documented evidence of the faculty–student ratio in the department for the last three academic years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compliance with AICTE and NBA norms regarding adequate faculty strength for effective teaching, mentoring, and academic delivery.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ensure that the department maintains sufficient qualified teaching staff to support high-quality academic and research outcomes.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Faculty Details: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List of regular, adjunct, and visiting faculty</w:t>
      </w:r>
      <w:r>
        <w:rPr>
          <w:rFonts w:ascii="Cambria" w:hAnsi="Cambria" w:eastAsia="Cambria"/>
          <w:b w:val="0"/>
          <w:i w:val="0"/>
          <w:color w:val="000000"/>
          <w:sz w:val="22"/>
        </w:rPr>
        <w:t xml:space="preserve"> members along with designation, qualification, and date of joining.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Approved staff list authenticated by the university or affiliating body.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Student Details: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Total sanctioned intake per year and actual student enrollment.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Year-wise number of students in each program (UG / PG).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Faculty–Student Ratio Calculation: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Formula as per NBA Guidelines: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Faculty–Student Ratio = Number of Regular Faculty Members / Number of Students Sanctioned / Admitted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Ideal ratio prescribed by NBA: 1:20 (One faculty per twenty students).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Year-wise </w:t>
      </w:r>
      <w:r>
        <w:rPr>
          <w:rFonts w:ascii="Cambria" w:hAnsi="Cambria" w:eastAsia="Cambria"/>
          <w:b w:val="0"/>
          <w:i/>
          <w:color w:val="000000"/>
          <w:sz w:val="22"/>
        </w:rPr>
        <w:t>faculty list</w:t>
      </w:r>
      <w:r>
        <w:rPr>
          <w:rFonts w:ascii="Cambria" w:hAnsi="Cambria" w:eastAsia="Cambria"/>
          <w:b w:val="0"/>
          <w:i w:val="0"/>
          <w:color w:val="000000"/>
          <w:sz w:val="22"/>
        </w:rPr>
        <w:t xml:space="preserve"> with qualifications and approved positions.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AICTE approval letters specifying faculty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University staff approval and sanction orders.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 student strength records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IQAC/HoD-certified summary of faculty–student ratio.</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Year-wise Faculty–Student Ratio Summary</w:t>
      </w:r>
    </w:p>
    <w:tbl>
      <w:tblPr>
        <w:tblW w:type="auto" w:w="0"/>
        <w:jc w:val="center"/>
        <w:tblLook w:firstColumn="1" w:firstRow="1" w:lastColumn="0" w:lastRow="0" w:noHBand="0" w:noVBand="1" w:val="04A0"/>
        <w:tblLayout w:type="fixed"/>
        <w:tblLayout w:type="fixed"/>
      </w:tblPr>
      <w:tblGrid>
        <w:gridCol w:w="680"/>
        <w:gridCol w:w="907"/>
        <w:gridCol w:w="1020"/>
        <w:gridCol w:w="907"/>
        <w:gridCol w:w="1020"/>
        <w:gridCol w:w="907"/>
        <w:gridCol w:w="1474"/>
      </w:tblGrid>
      <w:tr>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5"/>
              </w:rPr>
              <w:t>Year</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Sanctioned Intake</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Actual Admitted Students</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No. of Regular Faculty</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Faculty–Student Ratio</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Compliance with Norm (1:20)</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Evidence Reference</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2022–23</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120</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118</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6</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1:19.6</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Complied</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Staff Approval 2023</w:t>
            </w:r>
          </w:p>
        </w:tc>
      </w:tr>
      <w:tr>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2023–24</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120</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120</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6</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1:20</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Complied</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University Approval 2024</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2024–25</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120</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115</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6</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1:19.1</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Complied</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AICTE Letter 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Faculty Details (CAY Example)</w:t>
      </w:r>
    </w:p>
    <w:tbl>
      <w:tblPr>
        <w:tblW w:type="auto" w:w="0"/>
        <w:jc w:val="center"/>
        <w:tblLook w:firstColumn="1" w:firstRow="1" w:lastColumn="0" w:lastRow="0" w:noHBand="0" w:noVBand="1" w:val="04A0"/>
        <w:tblLayout w:type="fixed"/>
        <w:tblLayout w:type="fixed"/>
      </w:tblPr>
      <w:tblGrid>
        <w:gridCol w:w="454"/>
        <w:gridCol w:w="907"/>
        <w:gridCol w:w="737"/>
        <w:gridCol w:w="1134"/>
        <w:gridCol w:w="680"/>
        <w:gridCol w:w="1361"/>
        <w:gridCol w:w="907"/>
        <w:gridCol w:w="624"/>
        <w:gridCol w:w="624"/>
      </w:tblGrid>
      <w:tr>
        <w:tc>
          <w:tcPr>
            <w:tcW w:type="dxa" w:w="454"/>
            <w:tcBorders>
              <w:top w:val="single" w:sz="4" w:space="0" w:color="BFBFBF"/>
              <w:left w:val="single" w:sz="4" w:space="0" w:color="BFBFBF"/>
              <w:bottom w:val="single" w:sz="4" w:space="0" w:color="BFBFBF"/>
              <w:right w:val="single" w:sz="4" w:space="0" w:color="BFBFBF"/>
            </w:tcBorders>
            <w:tcW w:w="454" w:type="dxa"/>
            <w:shd w:val="clear" w:color="auto" w:fill="1F3A5F"/>
            <w:tcW w:w="454" w:type="dxa"/>
          </w:tcPr>
          <w:p>
            <w:pPr>
              <w:spacing w:after="40" w:before="40" w:line="264" w:lineRule="auto"/>
              <w:jc w:val="center"/>
            </w:pPr>
            <w:r/>
            <w:r>
              <w:rPr>
                <w:rFonts w:ascii="Cambria" w:hAnsi="Cambria" w:eastAsia="Cambria"/>
                <w:b/>
                <w:i w:val="0"/>
                <w:color w:val="FFFFFF"/>
                <w:sz w:val="14"/>
              </w:rPr>
              <w:t>S.No.</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4"/>
              </w:rPr>
              <w:t>Faculty Name</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4"/>
              </w:rPr>
              <w:t>Employment Type</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4"/>
              </w:rPr>
              <w:t>Designation</w:t>
            </w:r>
          </w:p>
        </w:tc>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4"/>
              </w:rPr>
              <w:t>Qualification</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4"/>
              </w:rPr>
              <w:t>Specialization</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4"/>
              </w:rPr>
              <w:t>Date of Joining</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4"/>
              </w:rPr>
              <w:t>Experience (Yrs)</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4"/>
              </w:rPr>
              <w:t>Approved by University</w:t>
            </w:r>
          </w:p>
        </w:tc>
      </w:tr>
      <w:tr>
        <w:tc>
          <w:tcPr>
            <w:tcW w:type="dxa" w:w="454"/>
            <w:shd w:val="clear" w:color="auto" w:fill="E8ECF2"/>
            <w:tcW w:w="454" w:type="dxa"/>
          </w:tcPr>
          <w:p>
            <w:pPr>
              <w:spacing w:after="40" w:before="40" w:line="264" w:lineRule="auto"/>
              <w:jc w:val="left"/>
            </w:pPr>
            <w:r/>
            <w:r>
              <w:rPr>
                <w:rFonts w:ascii="Cambria" w:hAnsi="Cambria" w:eastAsia="Cambria"/>
                <w:b w:val="0"/>
                <w:i w:val="0"/>
                <w:color w:val="000000"/>
                <w:sz w:val="14"/>
              </w:rPr>
              <w:t>1</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Dr. R. Kumar</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4"/>
              </w:rPr>
              <w:t>Regular</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Professor</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4"/>
              </w:rPr>
              <w:t>Ph.D.</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4"/>
              </w:rPr>
              <w:t>Artificial Intelligence</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05-06-2015</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12</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Yes</w:t>
            </w:r>
          </w:p>
        </w:tc>
      </w:tr>
      <w:tr>
        <w:tc>
          <w:tcPr>
            <w:tcW w:type="dxa" w:w="454"/>
            <w:shd w:val="clear" w:color="auto" w:fill="FFFFFF"/>
            <w:tcW w:w="454" w:type="dxa"/>
          </w:tcPr>
          <w:p>
            <w:pPr>
              <w:spacing w:after="40" w:before="40" w:line="264" w:lineRule="auto"/>
              <w:jc w:val="left"/>
            </w:pPr>
            <w:r/>
            <w:r>
              <w:rPr>
                <w:rFonts w:ascii="Cambria" w:hAnsi="Cambria" w:eastAsia="Cambria"/>
                <w:b w:val="0"/>
                <w:i w:val="0"/>
                <w:color w:val="000000"/>
                <w:sz w:val="14"/>
              </w:rPr>
              <w:t>2</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4"/>
              </w:rPr>
              <w:t>Prof. M. Rao</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4"/>
              </w:rPr>
              <w:t>Regular</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Associate Professor</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4"/>
              </w:rPr>
              <w:t>M.Tech</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4"/>
              </w:rPr>
              <w:t>Data Analytics</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4"/>
              </w:rPr>
              <w:t>10-07-2016</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10</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Yes</w:t>
            </w:r>
          </w:p>
        </w:tc>
      </w:tr>
      <w:tr>
        <w:tc>
          <w:tcPr>
            <w:tcW w:type="dxa" w:w="454"/>
            <w:shd w:val="clear" w:color="auto" w:fill="E8ECF2"/>
            <w:tcW w:w="454" w:type="dxa"/>
          </w:tcPr>
          <w:p>
            <w:pPr>
              <w:spacing w:after="40" w:before="40" w:line="264" w:lineRule="auto"/>
              <w:jc w:val="left"/>
            </w:pPr>
            <w:r/>
            <w:r>
              <w:rPr>
                <w:rFonts w:ascii="Cambria" w:hAnsi="Cambria" w:eastAsia="Cambria"/>
                <w:b w:val="0"/>
                <w:i w:val="0"/>
                <w:color w:val="000000"/>
                <w:sz w:val="14"/>
              </w:rPr>
              <w:t>3</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Ms. S. Iyer</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4"/>
              </w:rPr>
              <w:t>Regular</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Assistant Professor</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4"/>
              </w:rPr>
              <w:t>M.E.</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4"/>
              </w:rPr>
              <w:t>Machine Learning</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12-06-2018</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7</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Yes</w:t>
            </w:r>
          </w:p>
        </w:tc>
      </w:tr>
      <w:tr>
        <w:tc>
          <w:tcPr>
            <w:tcW w:type="dxa" w:w="454"/>
            <w:shd w:val="clear" w:color="auto" w:fill="FFFFFF"/>
            <w:tcW w:w="454" w:type="dxa"/>
          </w:tcPr>
          <w:p>
            <w:pPr>
              <w:spacing w:after="40" w:before="40" w:line="264" w:lineRule="auto"/>
              <w:jc w:val="left"/>
            </w:pPr>
            <w:r/>
            <w:r>
              <w:rPr>
                <w:rFonts w:ascii="Cambria" w:hAnsi="Cambria" w:eastAsia="Cambria"/>
                <w:b w:val="0"/>
                <w:i w:val="0"/>
                <w:color w:val="000000"/>
                <w:sz w:val="14"/>
              </w:rPr>
              <w:t>4</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4"/>
              </w:rPr>
              <w:t>Mr. A. Menon</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4"/>
              </w:rPr>
              <w:t>Contract</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Assistant Professor</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4"/>
              </w:rPr>
              <w:t>M.Tech</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4"/>
              </w:rPr>
              <w:t>IoT Systems</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4"/>
              </w:rPr>
              <w:t>04-01-2019</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6</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Yes</w:t>
            </w:r>
          </w:p>
        </w:tc>
      </w:tr>
      <w:tr>
        <w:tc>
          <w:tcPr>
            <w:tcW w:type="dxa" w:w="454"/>
            <w:shd w:val="clear" w:color="auto" w:fill="E8ECF2"/>
            <w:tcW w:w="454" w:type="dxa"/>
          </w:tcPr>
          <w:p>
            <w:pPr>
              <w:spacing w:after="40" w:before="40" w:line="264" w:lineRule="auto"/>
              <w:jc w:val="left"/>
            </w:pPr>
            <w:r/>
            <w:r>
              <w:rPr>
                <w:rFonts w:ascii="Cambria" w:hAnsi="Cambria" w:eastAsia="Cambria"/>
                <w:b w:val="0"/>
                <w:i w:val="0"/>
                <w:color w:val="000000"/>
                <w:sz w:val="14"/>
              </w:rPr>
              <w:t>5</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Dr. P. Reddy</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4"/>
              </w:rPr>
              <w:t>Visiting</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Visiting Faculty</w:t>
            </w:r>
          </w:p>
        </w:tc>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4"/>
              </w:rPr>
              <w:t>Ph.D.</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4"/>
              </w:rPr>
              <w:t>Cloud Computing</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15-02-2022</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15</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Yes</w:t>
            </w:r>
          </w:p>
        </w:tc>
      </w:tr>
      <w:tr>
        <w:tc>
          <w:tcPr>
            <w:tcW w:type="dxa" w:w="454"/>
            <w:shd w:val="clear" w:color="auto" w:fill="FFFFFF"/>
            <w:tcW w:w="454" w:type="dxa"/>
          </w:tcPr>
          <w:p>
            <w:pPr>
              <w:spacing w:after="40" w:before="40" w:line="264" w:lineRule="auto"/>
              <w:jc w:val="left"/>
            </w:pPr>
            <w:r/>
            <w:r>
              <w:rPr>
                <w:rFonts w:ascii="Cambria" w:hAnsi="Cambria" w:eastAsia="Cambria"/>
                <w:b w:val="0"/>
                <w:i w:val="0"/>
                <w:color w:val="000000"/>
                <w:sz w:val="14"/>
              </w:rPr>
              <w:t>6</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4"/>
              </w:rPr>
              <w:t>Mr. V. Nair</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4"/>
              </w:rPr>
              <w:t>Regular</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Assistant Professor</w:t>
            </w:r>
          </w:p>
        </w:tc>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4"/>
              </w:rPr>
              <w:t>M.E.</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4"/>
              </w:rPr>
              <w:t>Computer Networks</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4"/>
              </w:rPr>
              <w:t>01-03-2021</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4</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Yes</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Student Strength Details</w:t>
      </w:r>
    </w:p>
    <w:tbl>
      <w:tblPr>
        <w:tblW w:type="auto" w:w="0"/>
        <w:jc w:val="center"/>
        <w:tblLook w:firstColumn="1" w:firstRow="1" w:lastColumn="0" w:lastRow="0" w:noHBand="0" w:noVBand="1" w:val="04A0"/>
        <w:tblLayout w:type="fixed"/>
        <w:tblLayout w:type="fixed"/>
      </w:tblPr>
      <w:tblGrid>
        <w:gridCol w:w="624"/>
        <w:gridCol w:w="737"/>
        <w:gridCol w:w="737"/>
        <w:gridCol w:w="794"/>
        <w:gridCol w:w="794"/>
        <w:gridCol w:w="794"/>
        <w:gridCol w:w="907"/>
        <w:gridCol w:w="1304"/>
      </w:tblGrid>
      <w:tr>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5"/>
              </w:rPr>
              <w:t>Batch</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5"/>
              </w:rPr>
              <w:t>Year of Admission</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5"/>
              </w:rPr>
              <w:t>Year of Passing</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Sanctioned Intake</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Actual Enrollment</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No. of Dropouts</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Total Students on Roll</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5"/>
              </w:rPr>
              <w:t>Evidence Reference</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2021–25</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2021</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2025</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120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118</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2</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116</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Admission Register</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2022–26</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2022</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2026</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120</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120</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1</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119</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Enrollment Sheet</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2023–27</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2023</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2027</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120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115</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0</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115</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University Data</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Comparative Analysis of Faculty–Student Ratio (3-Year Trend)</w:t>
      </w:r>
    </w:p>
    <w:tbl>
      <w:tblPr>
        <w:tblW w:type="auto" w:w="0"/>
        <w:jc w:val="center"/>
        <w:tblLook w:firstColumn="1" w:firstRow="1" w:lastColumn="0" w:lastRow="0" w:noHBand="0" w:noVBand="1" w:val="04A0"/>
        <w:tblLayout w:type="fixed"/>
        <w:tblLayout w:type="fixed"/>
      </w:tblPr>
      <w:tblGrid>
        <w:gridCol w:w="737"/>
        <w:gridCol w:w="624"/>
        <w:gridCol w:w="1134"/>
        <w:gridCol w:w="1814"/>
        <w:gridCol w:w="1928"/>
      </w:tblGrid>
      <w:tr>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7"/>
              </w:rPr>
              <w:t>Year</w:t>
            </w:r>
          </w:p>
        </w:tc>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7"/>
              </w:rPr>
              <w:t>Ratio</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7"/>
              </w:rPr>
              <w:t>Trend Observation</w:t>
            </w:r>
          </w:p>
        </w:tc>
        <w:tc>
          <w:tcPr>
            <w:tcW w:type="dxa" w:w="1814"/>
            <w:tcBorders>
              <w:top w:val="single" w:sz="4" w:space="0" w:color="BFBFBF"/>
              <w:left w:val="single" w:sz="4" w:space="0" w:color="BFBFBF"/>
              <w:bottom w:val="single" w:sz="4" w:space="0" w:color="BFBFBF"/>
              <w:right w:val="single" w:sz="4" w:space="0" w:color="BFBFBF"/>
            </w:tcBorders>
            <w:tcW w:w="1814" w:type="dxa"/>
            <w:shd w:val="clear" w:color="auto" w:fill="1F3A5F"/>
            <w:tcW w:w="1814" w:type="dxa"/>
          </w:tcPr>
          <w:p>
            <w:pPr>
              <w:spacing w:after="40" w:before="40" w:line="264" w:lineRule="auto"/>
              <w:jc w:val="center"/>
            </w:pPr>
            <w:r/>
            <w:r>
              <w:rPr>
                <w:rFonts w:ascii="Cambria" w:hAnsi="Cambria" w:eastAsia="Cambria"/>
                <w:b/>
                <w:i w:val="0"/>
                <w:color w:val="FFFFFF"/>
                <w:sz w:val="17"/>
              </w:rPr>
              <w:t>Remarks</w:t>
            </w:r>
          </w:p>
        </w:tc>
        <w:tc>
          <w:tcPr>
            <w:tcW w:type="dxa" w:w="1928"/>
            <w:tcBorders>
              <w:top w:val="single" w:sz="4" w:space="0" w:color="BFBFBF"/>
              <w:left w:val="single" w:sz="4" w:space="0" w:color="BFBFBF"/>
              <w:bottom w:val="single" w:sz="4" w:space="0" w:color="BFBFBF"/>
              <w:right w:val="single" w:sz="4" w:space="0" w:color="BFBFBF"/>
            </w:tcBorders>
            <w:tcW w:w="1928" w:type="dxa"/>
            <w:shd w:val="clear" w:color="auto" w:fill="1F3A5F"/>
            <w:tcW w:w="1928" w:type="dxa"/>
          </w:tcPr>
          <w:p>
            <w:pPr>
              <w:spacing w:after="40" w:before="40" w:line="264" w:lineRule="auto"/>
              <w:jc w:val="center"/>
            </w:pPr>
            <w:r/>
            <w:r>
              <w:rPr>
                <w:rFonts w:ascii="Cambria" w:hAnsi="Cambria" w:eastAsia="Cambria"/>
                <w:b/>
                <w:i w:val="0"/>
                <w:color w:val="FFFFFF"/>
                <w:sz w:val="17"/>
              </w:rPr>
              <w:t>Action Taken</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7"/>
              </w:rPr>
              <w:t>2022–23</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7"/>
              </w:rPr>
              <w:t>1:19.6</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7"/>
              </w:rPr>
              <w:t>Satisfactory</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7"/>
              </w:rPr>
              <w:t>Meets NBA norm</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7"/>
              </w:rPr>
              <w:t>Maintain ratio</w:t>
            </w:r>
          </w:p>
        </w:tc>
      </w:tr>
      <w:tr>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7"/>
              </w:rPr>
              <w:t>2023–24</w:t>
            </w:r>
          </w:p>
        </w:tc>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7"/>
              </w:rPr>
              <w:t>1:20</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7"/>
              </w:rPr>
              <w:t>Optimal</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7"/>
              </w:rPr>
              <w:t>Complied</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7"/>
              </w:rPr>
              <w:t>Retained existing staff</w:t>
            </w:r>
          </w:p>
        </w:tc>
      </w:tr>
      <w:tr>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7"/>
              </w:rPr>
              <w:t>2024–25</w:t>
            </w:r>
          </w:p>
        </w:tc>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7"/>
              </w:rPr>
              <w:t>1:19.1</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7"/>
              </w:rPr>
              <w:t>Improved</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7"/>
              </w:rPr>
              <w:t>Better faculty availability</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7"/>
              </w:rPr>
              <w:t>Encourage faculty development</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Department HR and Academic Committee</w:t>
      </w:r>
      <w:r>
        <w:rPr>
          <w:rFonts w:ascii="Cambria" w:hAnsi="Cambria" w:eastAsia="Cambria"/>
          <w:b w:val="0"/>
          <w:i w:val="0"/>
          <w:color w:val="000000"/>
          <w:sz w:val="22"/>
        </w:rPr>
        <w:t xml:space="preserve"> monitor faculty adequacy every semester.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Recruitment or redistribution of teaching load</w:t>
      </w:r>
      <w:r>
        <w:rPr>
          <w:rFonts w:ascii="Cambria" w:hAnsi="Cambria" w:eastAsia="Cambria"/>
          <w:b w:val="0"/>
          <w:i w:val="0"/>
          <w:color w:val="000000"/>
          <w:sz w:val="22"/>
        </w:rPr>
        <w:t xml:space="preserve"> done when ratio exceeds limits.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Faculty–Student ratio reports</w:t>
      </w:r>
      <w:r>
        <w:rPr>
          <w:rFonts w:ascii="Cambria" w:hAnsi="Cambria" w:eastAsia="Cambria"/>
          <w:b w:val="0"/>
          <w:i w:val="0"/>
          <w:color w:val="000000"/>
          <w:sz w:val="22"/>
        </w:rPr>
        <w:t xml:space="preserve"> submitted annually to IQAC and University.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Continuous monitoring</w:t>
      </w:r>
      <w:r>
        <w:rPr>
          <w:rFonts w:ascii="Cambria" w:hAnsi="Cambria" w:eastAsia="Cambria"/>
          <w:b w:val="0"/>
          <w:i w:val="0"/>
          <w:color w:val="000000"/>
          <w:sz w:val="22"/>
        </w:rPr>
        <w:t xml:space="preserve"> ensures adherence to NBA and AICTE norms.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6 (Faculty Contributions and Resources)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Include </w:t>
      </w:r>
      <w:r>
        <w:rPr>
          <w:rFonts w:ascii="Cambria" w:hAnsi="Cambria" w:eastAsia="Cambria"/>
          <w:b w:val="0"/>
          <w:i/>
          <w:color w:val="000000"/>
          <w:sz w:val="22"/>
        </w:rPr>
        <w:t>AICTE approval letters, staff lists, and university sanction documents</w:t>
      </w:r>
      <w:r>
        <w:rPr>
          <w:rFonts w:ascii="Cambria" w:hAnsi="Cambria" w:eastAsia="Cambria"/>
          <w:b w:val="0"/>
          <w:i w:val="0"/>
          <w:color w:val="000000"/>
          <w:sz w:val="22"/>
        </w:rPr>
        <w:t xml:space="preserve"> as supporting evidence.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faculty considered are full-time, approved, and exclusively engaged in the program.</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Verified compliance with NBA's faculty–student ratio norm (1:20).</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Balanced academic workload ensuring quality teaching and student mentoring.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Strengthened institutional credibility through adequate faculty deployment.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 Criterion 6 – Faculty Strength, Qualification, and Adequacy standards.</w:t>
      </w:r>
    </w:p>
    <w:p>
      <w:r>
        <w:br w:type="page"/>
      </w:r>
    </w:p>
    <w:p>
      <w:pPr>
        <w:keepNext/>
        <w:spacing w:before="240" w:after="160"/>
        <w:jc w:val="left"/>
      </w:pPr>
      <w:r>
        <w:rPr>
          <w:rFonts w:ascii="Cambria" w:hAnsi="Cambria" w:eastAsia="Cambria"/>
          <w:b/>
          <w:i w:val="0"/>
          <w:color w:val="1F3A5F"/>
          <w:sz w:val="25"/>
        </w:rPr>
        <w:t>28. P.25 Records of list of regular/contract/visiting faculty members with their appointment letters, designation, qualification, promotion, salary details, etc</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maintain complete documentary evidence of all teaching faculty members associated with the program — including regular, contractual, and visiting faculty — as required by NBA and AICTE for accreditation compliance.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transparency in faculty recruitment, qualification, career progression, and compensation practices.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ensure that the department adheres to regulatory norms for faculty appointments and promotions based on qualifications, experience, and institutional policies.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Faculty List Categorization: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Regular (Permanent) Faculty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Contract / Temporary Faculty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Visiting / Adjunct Faculty (Industry or Academic Experts)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Appointment-Related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Appointment letters and joining reports for each faculty member.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Promotion letters and revised designation approvals.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University approval letters for faculty recognition.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Qualification &amp; Experience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Copies of highest degree certificates (Ph.D., M.E./M.Tech, M.Sc, etc.).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Experience certificates from previous institutions or industries.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AICTE / University-approved faculty data verification forms.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Salary &amp; Service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Salary slips or pay register copies (last 3 months).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Increment letters and annual appraisal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PF, ESI, or other statutory compliance records (if applicable).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Consolidated faculty list with designations and employment type.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Appointment, promotion, and relieving letters (if any).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Verified qualification and experience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Faculty service book or HR files (hard copy or digital).</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Salary approval and pay disbursement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 faculty profile sheets with photograph, signature, and qualification summary.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IQAC or HR audit reports validating faculty data.</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Summary of Faculty Members (CAY Example)</w:t>
      </w:r>
    </w:p>
    <w:p>
      <w:pPr>
        <w:keepNext/>
        <w:spacing w:before="200" w:after="80"/>
      </w:pPr>
      <w:r>
        <w:rPr>
          <w:rFonts w:ascii="Cambria" w:hAnsi="Cambria" w:eastAsia="Cambria"/>
          <w:b/>
          <w:i w:val="0"/>
          <w:color w:val="1F3A5F"/>
          <w:sz w:val="23"/>
        </w:rPr>
        <w:t>1 – Dr. R. Kumar – Regular – Professor</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Qualification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Ph.D.</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Specialization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Artificial Intelligence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Date of Joining</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05-06-2015</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Total Experience (Years)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12</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Appointment Letter No.</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HR/2015/15</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Monthly Salary (₹)</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95,000</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Appointment + Payslip</w:t>
            </w:r>
          </w:p>
        </w:tc>
      </w:tr>
    </w:tbl>
    <w:p>
      <w:pPr>
        <w:keepNext/>
        <w:spacing w:before="200" w:after="80"/>
      </w:pPr>
      <w:r>
        <w:rPr>
          <w:rFonts w:ascii="Cambria" w:hAnsi="Cambria" w:eastAsia="Cambria"/>
          <w:b/>
          <w:i w:val="0"/>
          <w:color w:val="1F3A5F"/>
          <w:sz w:val="23"/>
        </w:rPr>
        <w:t>2 – Prof. M. Rao – Regular – Associate Professor</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Qualification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M.Tech</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Specialization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Data Analytics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Date of Joining</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10-07-2016</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Total Experience (Years)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10</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Appointment Letter No.</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HR/2016/09</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Monthly Salary (₹)</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78,000</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Appointment + Increment Letter</w:t>
            </w:r>
          </w:p>
        </w:tc>
      </w:tr>
    </w:tbl>
    <w:p>
      <w:pPr>
        <w:keepNext/>
        <w:spacing w:before="200" w:after="80"/>
      </w:pPr>
      <w:r>
        <w:rPr>
          <w:rFonts w:ascii="Cambria" w:hAnsi="Cambria" w:eastAsia="Cambria"/>
          <w:b/>
          <w:i w:val="0"/>
          <w:color w:val="1F3A5F"/>
          <w:sz w:val="23"/>
        </w:rPr>
        <w:t>3 – Ms. S. Iyer – Regular – Assistant Professor</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Qualification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Specialization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Machine Learning</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Date of Joining</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12-06-2018</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Total Experience (Years)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7</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Appointment Letter No.</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HR/2018/12</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Monthly Salary (₹)</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60,000</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Appointment + Salary Slip</w:t>
            </w:r>
          </w:p>
        </w:tc>
      </w:tr>
    </w:tbl>
    <w:p>
      <w:pPr>
        <w:keepNext/>
        <w:spacing w:before="200" w:after="80"/>
      </w:pPr>
      <w:r>
        <w:rPr>
          <w:rFonts w:ascii="Cambria" w:hAnsi="Cambria" w:eastAsia="Cambria"/>
          <w:b/>
          <w:i w:val="0"/>
          <w:color w:val="1F3A5F"/>
          <w:sz w:val="23"/>
        </w:rPr>
        <w:t>4 – Mr. A. Menon – Contract – Assistant Professor</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Qualification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M.Tech</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Specialization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IoT Systems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Date of Joining</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04-01-2019</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Total Experience (Years)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6</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Appointment Letter No.</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HR/2019/07</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Monthly Salary (₹)</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45,000</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Contract + Payment Voucher</w:t>
            </w:r>
          </w:p>
        </w:tc>
      </w:tr>
    </w:tbl>
    <w:p>
      <w:pPr>
        <w:keepNext/>
        <w:spacing w:before="200" w:after="80"/>
      </w:pPr>
      <w:r>
        <w:rPr>
          <w:rFonts w:ascii="Cambria" w:hAnsi="Cambria" w:eastAsia="Cambria"/>
          <w:b/>
          <w:i w:val="0"/>
          <w:color w:val="1F3A5F"/>
          <w:sz w:val="23"/>
        </w:rPr>
        <w:t>5 – Dr. P. Reddy – Visiting – Visiting Faculty</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Qualification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Ph.D.</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Specialization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Cloud Computing</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Date of Joining</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15-02-2022</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Total Experience (Years)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15</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Appointment Letter No.</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HR/2022/19</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Monthly Salary (₹)</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2,000/hour</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Visiting Contract Copy</w:t>
            </w:r>
          </w:p>
        </w:tc>
      </w:tr>
    </w:tbl>
    <w:p>
      <w:pPr>
        <w:keepNext/>
        <w:spacing w:before="200" w:after="80"/>
      </w:pPr>
      <w:r>
        <w:rPr>
          <w:rFonts w:ascii="Cambria" w:hAnsi="Cambria" w:eastAsia="Cambria"/>
          <w:b/>
          <w:i w:val="0"/>
          <w:color w:val="1F3A5F"/>
          <w:sz w:val="23"/>
        </w:rPr>
        <w:t>6 – Mr. V. Nair – Regular – Assistant Professor</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Qualification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Specialization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Computer Networks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Date of Joining</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01-03-2021</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Total Experience (Years)</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4</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Appointment Letter No.</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HR/2021/04</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Monthly Salary (₹)</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55,000</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Appointment + Approval File</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Faculty Promotion and Qualification Details</w:t>
      </w:r>
    </w:p>
    <w:tbl>
      <w:tblPr>
        <w:tblW w:type="auto" w:w="0"/>
        <w:jc w:val="center"/>
        <w:tblLook w:firstColumn="1" w:firstRow="1" w:lastColumn="0" w:lastRow="0" w:noHBand="0" w:noVBand="1" w:val="04A0"/>
        <w:tblLayout w:type="fixed"/>
        <w:tblLayout w:type="fixed"/>
      </w:tblPr>
      <w:tblGrid>
        <w:gridCol w:w="1020"/>
        <w:gridCol w:w="1247"/>
        <w:gridCol w:w="1361"/>
        <w:gridCol w:w="907"/>
        <w:gridCol w:w="1361"/>
        <w:gridCol w:w="1134"/>
        <w:gridCol w:w="1134"/>
      </w:tblGrid>
      <w:tr>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Name</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5"/>
              </w:rPr>
              <w:t>Initial Designation</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5"/>
              </w:rPr>
              <w:t>Current Designation</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Date of Promotion</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5"/>
              </w:rPr>
              <w:t>Qualification Upgrade (If Any)</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Approval Reference</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Remarks</w:t>
            </w:r>
          </w:p>
        </w:tc>
      </w:tr>
      <w:tr>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Dr. R. Kumar</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5"/>
              </w:rPr>
              <w:t>Associate Professor</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Professor</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01-01-2020</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Ph.D. Awarded in 2019</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Univ. Letter / HR/2020/05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Promoted as HoD</w:t>
            </w:r>
          </w:p>
        </w:tc>
      </w:tr>
      <w:tr>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Prof. M. Rao</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5"/>
              </w:rPr>
              <w:t>Assistant Professor</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5"/>
              </w:rPr>
              <w:t>Associate Professor</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15-07-2021</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5"/>
              </w:rPr>
              <w:t>Completed FDP (AICTE)</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HR/2021/11</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Eligible for next promotion</w:t>
            </w:r>
          </w:p>
        </w:tc>
      </w:tr>
      <w:tr>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Ms. S. Iyer</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5"/>
              </w:rPr>
              <w:t>Assistant Professor</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Assistant Professor (Senior)</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10-01-2024</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Enrolled in Ph.D.</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HR/2024/03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In progress</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Year-wise Faculty Summary (Last 3 Years)</w:t>
      </w:r>
    </w:p>
    <w:tbl>
      <w:tblPr>
        <w:tblW w:type="auto" w:w="0"/>
        <w:jc w:val="center"/>
        <w:tblLook w:firstColumn="1" w:firstRow="1" w:lastColumn="0" w:lastRow="0" w:noHBand="0" w:noVBand="1" w:val="04A0"/>
        <w:tblLayout w:type="fixed"/>
        <w:tblLayout w:type="fixed"/>
      </w:tblPr>
      <w:tblGrid>
        <w:gridCol w:w="680"/>
        <w:gridCol w:w="850"/>
        <w:gridCol w:w="850"/>
        <w:gridCol w:w="850"/>
        <w:gridCol w:w="737"/>
        <w:gridCol w:w="794"/>
        <w:gridCol w:w="1134"/>
        <w:gridCol w:w="1077"/>
      </w:tblGrid>
      <w:tr>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5"/>
              </w:rPr>
              <w:t>Year</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5"/>
              </w:rPr>
              <w:t>No. Regular Faculty</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5"/>
              </w:rPr>
              <w:t>No. Contract Faculty</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5"/>
              </w:rPr>
              <w:t>No. Visiting Faculty</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5"/>
              </w:rPr>
              <w:t>Total Faculty</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Faculty–Student Ratio</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Remarks</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5"/>
              </w:rPr>
              <w:t>Evidence Reference</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2022–23</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6</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1</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1</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8</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1:19.6</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Meets AICTE Norm</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5"/>
              </w:rPr>
              <w:t>HR Files 2023</w:t>
            </w:r>
          </w:p>
        </w:tc>
      </w:tr>
      <w:tr>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2023–24</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5"/>
              </w:rPr>
              <w:t>6</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5"/>
              </w:rPr>
              <w:t>1</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5"/>
              </w:rPr>
              <w:t>2</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9</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1:20</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Compliant</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5"/>
              </w:rPr>
              <w:t>Payroll Record 2024</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2024–25</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6</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2</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2</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10</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1:19</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Improved Capacity</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5"/>
              </w:rPr>
              <w:t>Faculty Audit 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Faculty Qualification and Experience Summary</w:t>
      </w:r>
    </w:p>
    <w:tbl>
      <w:tblPr>
        <w:tblW w:type="auto" w:w="0"/>
        <w:jc w:val="center"/>
        <w:tblLook w:firstColumn="1" w:firstRow="1" w:lastColumn="0" w:lastRow="0" w:noHBand="0" w:noVBand="1" w:val="04A0"/>
        <w:tblLayout w:type="fixed"/>
        <w:tblLayout w:type="fixed"/>
      </w:tblPr>
      <w:tblGrid>
        <w:gridCol w:w="680"/>
        <w:gridCol w:w="794"/>
        <w:gridCol w:w="794"/>
        <w:gridCol w:w="1020"/>
        <w:gridCol w:w="737"/>
        <w:gridCol w:w="737"/>
        <w:gridCol w:w="737"/>
        <w:gridCol w:w="1361"/>
      </w:tblGrid>
      <w:tr>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5"/>
              </w:rPr>
              <w:t>Year</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Ph.D. Holders</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PG Qualified</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Industry Experienced</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5"/>
              </w:rPr>
              <w:t>Total Faculty</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5"/>
              </w:rPr>
              <w:t>% with Ph.D.</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5"/>
              </w:rPr>
              <w:t>% with PG</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5"/>
              </w:rPr>
              <w:t>Evidence Reference</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2022–23</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2</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6</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2</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8</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25%</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75%</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Qualification Docs</w:t>
            </w:r>
          </w:p>
        </w:tc>
      </w:tr>
      <w:tr>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5"/>
              </w:rPr>
              <w:t>2023–24</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3</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6</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3</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9</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33%</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5"/>
              </w:rPr>
              <w:t>67%</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5"/>
              </w:rPr>
              <w:t>HR File 2024</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5"/>
              </w:rPr>
              <w:t>2024–25</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4</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6</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3</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10</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40%</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5"/>
              </w:rPr>
              <w:t>60%</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Approval File 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Observations and Actions on Faculty Strength &amp; Quality</w:t>
      </w:r>
    </w:p>
    <w:p>
      <w:pPr>
        <w:keepNext/>
        <w:spacing w:before="200" w:after="80"/>
      </w:pPr>
      <w:r>
        <w:rPr>
          <w:rFonts w:ascii="Cambria" w:hAnsi="Cambria" w:eastAsia="Cambria"/>
          <w:b/>
          <w:i w:val="0"/>
          <w:color w:val="1F3A5F"/>
          <w:sz w:val="23"/>
        </w:rPr>
        <w:t>2022–23 – Faculty shortage in core subject</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Unfilled sanctioned post</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Recruited 2 new Assistant Professors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HoD + Management</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Improved coverage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HR_2023</w:t>
            </w:r>
          </w:p>
        </w:tc>
      </w:tr>
    </w:tbl>
    <w:p>
      <w:pPr>
        <w:keepNext/>
        <w:spacing w:before="200" w:after="80"/>
      </w:pPr>
      <w:r>
        <w:rPr>
          <w:rFonts w:ascii="Cambria" w:hAnsi="Cambria" w:eastAsia="Cambria"/>
          <w:b/>
          <w:i w:val="0"/>
          <w:color w:val="1F3A5F"/>
          <w:sz w:val="23"/>
        </w:rPr>
        <w:t>2023–24 – Limited Ph.D. faculty</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Qualification gap</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Sponsored 2 faculty for Ph.D.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IQAC / HR</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1 Ph.D. completed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Report_2024</w:t>
            </w:r>
          </w:p>
        </w:tc>
      </w:tr>
    </w:tbl>
    <w:p>
      <w:pPr>
        <w:keepNext/>
        <w:spacing w:before="200" w:after="80"/>
      </w:pPr>
      <w:r>
        <w:rPr>
          <w:rFonts w:ascii="Cambria" w:hAnsi="Cambria" w:eastAsia="Cambria"/>
          <w:b/>
          <w:i w:val="0"/>
          <w:color w:val="1F3A5F"/>
          <w:sz w:val="23"/>
        </w:rPr>
        <w:t>2024–25 – Need for research mentoring</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Few senior experts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Engaged 2 visiting professors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HR + R&amp;D Cell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Enhanced publications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IQAC_2025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HR and Academic Audit Committees</w:t>
      </w:r>
      <w:r>
        <w:rPr>
          <w:rFonts w:ascii="Cambria" w:hAnsi="Cambria" w:eastAsia="Cambria"/>
          <w:b w:val="0"/>
          <w:i w:val="0"/>
          <w:color w:val="000000"/>
          <w:sz w:val="22"/>
        </w:rPr>
        <w:t xml:space="preserve"> maintain verified faculty records annually.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University/AICTE approval letters</w:t>
      </w:r>
      <w:r>
        <w:rPr>
          <w:rFonts w:ascii="Cambria" w:hAnsi="Cambria" w:eastAsia="Cambria"/>
          <w:b w:val="0"/>
          <w:i w:val="0"/>
          <w:color w:val="000000"/>
          <w:sz w:val="22"/>
        </w:rPr>
        <w:t xml:space="preserve"> checked before appointment finalization.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Salary and qualification data</w:t>
      </w:r>
      <w:r>
        <w:rPr>
          <w:rFonts w:ascii="Cambria" w:hAnsi="Cambria" w:eastAsia="Cambria"/>
          <w:b w:val="0"/>
          <w:i w:val="0"/>
          <w:color w:val="000000"/>
          <w:sz w:val="22"/>
        </w:rPr>
        <w:t xml:space="preserve"> verified during NBA and IQAC audits.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Continuous Faculty Development</w:t>
      </w:r>
      <w:r>
        <w:rPr>
          <w:rFonts w:ascii="Cambria" w:hAnsi="Cambria" w:eastAsia="Cambria"/>
          <w:b w:val="0"/>
          <w:i w:val="0"/>
          <w:color w:val="000000"/>
          <w:sz w:val="22"/>
        </w:rPr>
        <w:t xml:space="preserve"> through FDPs, workshops, and promotions.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6 (Faculty Quality, Adequacy, and Development)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all records (appointment, qualification, promotion, and salary) are authenticated by Principal / HR Officer / Registrar.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Maintain both </w:t>
      </w:r>
      <w:r>
        <w:rPr>
          <w:rFonts w:ascii="Cambria" w:hAnsi="Cambria" w:eastAsia="Cambria"/>
          <w:b w:val="0"/>
          <w:i/>
          <w:color w:val="000000"/>
          <w:sz w:val="22"/>
        </w:rPr>
        <w:t>physical files (signed hard copies)</w:t>
      </w:r>
      <w:r>
        <w:rPr>
          <w:rFonts w:ascii="Cambria" w:hAnsi="Cambria" w:eastAsia="Cambria"/>
          <w:b w:val="0"/>
          <w:i w:val="0"/>
          <w:color w:val="000000"/>
          <w:sz w:val="22"/>
        </w:rPr>
        <w:t xml:space="preserve"> and </w:t>
      </w:r>
      <w:r>
        <w:rPr>
          <w:rFonts w:ascii="Cambria" w:hAnsi="Cambria" w:eastAsia="Cambria"/>
          <w:b w:val="0"/>
          <w:i/>
          <w:color w:val="000000"/>
          <w:sz w:val="22"/>
        </w:rPr>
        <w:t>digital HR folders</w:t>
      </w:r>
      <w:r>
        <w:rPr>
          <w:rFonts w:ascii="Cambria" w:hAnsi="Cambria" w:eastAsia="Cambria"/>
          <w:b w:val="0"/>
          <w:i w:val="0"/>
          <w:color w:val="000000"/>
          <w:sz w:val="22"/>
        </w:rPr>
        <w:t xml:space="preserve"> for each faculty member.</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Complete and transparent documentation of faculty credentials and service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Verified compliance with AICTE &amp; NBA norms on faculty qualifications and appointments.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Enhanced faculty stability and motivation through structured promotion and appraisal systems.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6 – Faculty Strength, Qualifications, and HR Practices standards.</w:t>
      </w:r>
    </w:p>
    <w:p>
      <w:r>
        <w:br w:type="page"/>
      </w:r>
    </w:p>
    <w:p>
      <w:pPr>
        <w:keepNext/>
        <w:spacing w:before="240" w:after="160"/>
        <w:jc w:val="left"/>
      </w:pPr>
      <w:r>
        <w:rPr>
          <w:rFonts w:ascii="Cambria" w:hAnsi="Cambria" w:eastAsia="Cambria"/>
          <w:b/>
          <w:i w:val="0"/>
          <w:color w:val="1F3A5F"/>
          <w:sz w:val="25"/>
        </w:rPr>
        <w:t>29. P.26 Evidences of short-term courses/workshops arranged, course-modules developed, faculty competencies and innovations done by the faculty in teaching and learning process.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documented evidence of the continuous professional development and pedagogical innovation undertaken by faculty members over the last three academic years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showcase the department's commitment toward Outcome-Based Education (OBE) and quality enhancement through faculty upskilling, curriculum enrichment, and adoption of innovative teaching–learning practices.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alignment with NBA Criterion 8 &amp; 10 emphasizing faculty competencies, innovation, and continuous improvement.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Short-Term Courses / Workshops Arranged: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List of faculty development programs (FDPs), short-term training programs (STTPs), workshops, seminars, and skill-based training sessions organized by the department.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Event objectives, duration, themes, resource persons, and participant details.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such as brochures, schedules, attendance sheets, photos, and feedback summaries.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 Modules Developed by Faculty: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 materials, e-learning modules, video lectures, lab manuals, MOOCs, and simulation resources developed by faculty.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Approval from BoS or IQAC for inclusion in the curriculum or LMS (Learning Management System).</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Faculty Competencies and Innovations: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Innovations introduced in pedagogy such as flipped classroom, project-based learning, blended learning, use of ICT tools, peer instruction, simulation models, and gamified learning.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of faculty participation in AICTE/UGC/NPTEL/FDP programs for skill enhancement.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Integration of new technologies (e.g., AI, IoT, AR/VR, or data analytics tools) into teaching.</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Year-wise list of FDPs / workshops conducted by and for faculty.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Course content or module development evidence (PPTs, recorded videos, e-notes).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Approval letters for course/module adoption.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Faculty development certificates and participation proofs.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Innovative teaching activity reports validated by IQAC or Academic Audit Committee.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Feedback and outcome reports from participants and students.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Short-Term Courses / Workshops Organized by the Department (Last 3 Years)</w:t>
      </w:r>
    </w:p>
    <w:p>
      <w:pPr>
        <w:keepNext/>
        <w:spacing w:before="200" w:after="80"/>
      </w:pPr>
      <w:r>
        <w:rPr>
          <w:rFonts w:ascii="Cambria" w:hAnsi="Cambria" w:eastAsia="Cambria"/>
          <w:b/>
          <w:i w:val="0"/>
          <w:color w:val="1F3A5F"/>
          <w:sz w:val="23"/>
        </w:rPr>
        <w:t>2022–23 – “AI and Machine Learning Applications” (5 Days)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Target Audience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Faculty &amp; Students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Resource Person/Organization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IIT Madras (AICTE ATAL)</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No. of Participants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60</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Online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FDP_Report_2023</w:t>
            </w:r>
          </w:p>
        </w:tc>
      </w:tr>
    </w:tbl>
    <w:p>
      <w:pPr>
        <w:keepNext/>
        <w:spacing w:before="200" w:after="80"/>
      </w:pPr>
      <w:r>
        <w:rPr>
          <w:rFonts w:ascii="Cambria" w:hAnsi="Cambria" w:eastAsia="Cambria"/>
          <w:b/>
          <w:i w:val="0"/>
          <w:color w:val="1F3A5F"/>
          <w:sz w:val="23"/>
        </w:rPr>
        <w:t>2022–23 – “Python for Data Science” (3 Days)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Target Audience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UG Students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Resource Person/Organization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TCS iON Experts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No. of Participants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55</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Offline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Workshop_Report_2023</w:t>
            </w:r>
          </w:p>
        </w:tc>
      </w:tr>
    </w:tbl>
    <w:p>
      <w:pPr>
        <w:keepNext/>
        <w:spacing w:before="200" w:after="80"/>
      </w:pPr>
      <w:r>
        <w:rPr>
          <w:rFonts w:ascii="Cambria" w:hAnsi="Cambria" w:eastAsia="Cambria"/>
          <w:b/>
          <w:i w:val="0"/>
          <w:color w:val="1F3A5F"/>
          <w:sz w:val="23"/>
        </w:rPr>
        <w:t>2023–24 – “Outcome-Based Education and NBA Accreditation” (2 Days)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Target Audience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Faculty</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Resource Person/Organization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AICTE-ISTE Trainers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No. of Participants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40</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Offline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FDP_Report_2024</w:t>
            </w:r>
          </w:p>
        </w:tc>
      </w:tr>
    </w:tbl>
    <w:p>
      <w:pPr>
        <w:keepNext/>
        <w:spacing w:before="200" w:after="80"/>
      </w:pPr>
      <w:r>
        <w:rPr>
          <w:rFonts w:ascii="Cambria" w:hAnsi="Cambria" w:eastAsia="Cambria"/>
          <w:b/>
          <w:i w:val="0"/>
          <w:color w:val="1F3A5F"/>
          <w:sz w:val="23"/>
        </w:rPr>
        <w:t>2023–24 – “IoT &amp; Cloud Computing” (5 Days)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Target Audience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Faculty &amp; PG Students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Resource Person/Organization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AWS Educate Program</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No. of Participants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65</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Hybrid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Event_Photos_2024</w:t>
            </w:r>
          </w:p>
        </w:tc>
      </w:tr>
    </w:tbl>
    <w:p>
      <w:pPr>
        <w:keepNext/>
        <w:spacing w:before="200" w:after="80"/>
      </w:pPr>
      <w:r>
        <w:rPr>
          <w:rFonts w:ascii="Cambria" w:hAnsi="Cambria" w:eastAsia="Cambria"/>
          <w:b/>
          <w:i w:val="0"/>
          <w:color w:val="1F3A5F"/>
          <w:sz w:val="23"/>
        </w:rPr>
        <w:t>2024–25 – “Innovative Pedagogies for Engineering Education” (3 Days)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Target Audience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Faculty</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Resource Person/Organization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NITTTR Chennai</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No. of Participants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50</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Offline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FDP_Report_2025</w:t>
            </w:r>
          </w:p>
        </w:tc>
      </w:tr>
    </w:tbl>
    <w:p>
      <w:pPr>
        <w:keepNext/>
        <w:spacing w:before="200" w:after="80"/>
      </w:pPr>
      <w:r>
        <w:rPr>
          <w:rFonts w:ascii="Cambria" w:hAnsi="Cambria" w:eastAsia="Cambria"/>
          <w:b/>
          <w:i w:val="0"/>
          <w:color w:val="1F3A5F"/>
          <w:sz w:val="23"/>
        </w:rPr>
        <w:t>2024–25 – “AR/VR in Technical Education” (2 Days)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Target Audience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Faculty &amp; Final-Year Students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Resource Person/Organization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EdTech India</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No. of Participants</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45</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Mode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Online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Workshop_Report_2025</w:t>
            </w:r>
          </w:p>
        </w:tc>
      </w:tr>
    </w:tbl>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Course Modules / Content Developed by Faculty</w:t>
      </w:r>
    </w:p>
    <w:tbl>
      <w:tblPr>
        <w:tblW w:type="auto" w:w="0"/>
        <w:jc w:val="center"/>
        <w:tblLook w:firstColumn="1" w:firstRow="1" w:lastColumn="0" w:lastRow="0" w:noHBand="0" w:noVBand="1" w:val="04A0"/>
        <w:tblLayout w:type="fixed"/>
        <w:tblLayout w:type="fixed"/>
      </w:tblPr>
      <w:tblGrid>
        <w:gridCol w:w="1247"/>
        <w:gridCol w:w="2041"/>
        <w:gridCol w:w="1871"/>
        <w:gridCol w:w="1531"/>
        <w:gridCol w:w="1247"/>
        <w:gridCol w:w="1474"/>
      </w:tblGrid>
      <w:tr>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8"/>
              </w:rPr>
              <w:t>Faculty Name</w:t>
            </w:r>
          </w:p>
        </w:tc>
        <w:tc>
          <w:tcPr>
            <w:tcW w:type="dxa" w:w="2041"/>
            <w:tcBorders>
              <w:top w:val="single" w:sz="4" w:space="0" w:color="BFBFBF"/>
              <w:left w:val="single" w:sz="4" w:space="0" w:color="BFBFBF"/>
              <w:bottom w:val="single" w:sz="4" w:space="0" w:color="BFBFBF"/>
              <w:right w:val="single" w:sz="4" w:space="0" w:color="BFBFBF"/>
            </w:tcBorders>
            <w:tcW w:w="2041" w:type="dxa"/>
            <w:shd w:val="clear" w:color="auto" w:fill="1F3A5F"/>
            <w:tcW w:w="2041" w:type="dxa"/>
          </w:tcPr>
          <w:p>
            <w:pPr>
              <w:spacing w:after="40" w:before="40" w:line="264" w:lineRule="auto"/>
              <w:jc w:val="center"/>
            </w:pPr>
            <w:r/>
            <w:r>
              <w:rPr>
                <w:rFonts w:ascii="Cambria" w:hAnsi="Cambria" w:eastAsia="Cambria"/>
                <w:b/>
                <w:i w:val="0"/>
                <w:color w:val="FFFFFF"/>
                <w:sz w:val="18"/>
              </w:rPr>
              <w:t>Module / Course Content Title</w:t>
            </w:r>
          </w:p>
        </w:tc>
        <w:tc>
          <w:tcPr>
            <w:tcW w:type="dxa" w:w="1871"/>
            <w:tcBorders>
              <w:top w:val="single" w:sz="4" w:space="0" w:color="BFBFBF"/>
              <w:left w:val="single" w:sz="4" w:space="0" w:color="BFBFBF"/>
              <w:bottom w:val="single" w:sz="4" w:space="0" w:color="BFBFBF"/>
              <w:right w:val="single" w:sz="4" w:space="0" w:color="BFBFBF"/>
            </w:tcBorders>
            <w:tcW w:w="1871" w:type="dxa"/>
            <w:shd w:val="clear" w:color="auto" w:fill="1F3A5F"/>
            <w:tcW w:w="1871" w:type="dxa"/>
          </w:tcPr>
          <w:p>
            <w:pPr>
              <w:spacing w:after="40" w:before="40" w:line="264" w:lineRule="auto"/>
              <w:jc w:val="center"/>
            </w:pPr>
            <w:r/>
            <w:r>
              <w:rPr>
                <w:rFonts w:ascii="Cambria" w:hAnsi="Cambria" w:eastAsia="Cambria"/>
                <w:b/>
                <w:i w:val="0"/>
                <w:color w:val="FFFFFF"/>
                <w:sz w:val="18"/>
              </w:rPr>
              <w:t>Type (e-Notes / PPT / Video / Lab Manual)</w:t>
            </w:r>
          </w:p>
        </w:tc>
        <w:tc>
          <w:tcPr>
            <w:tcW w:type="dxa" w:w="1531"/>
            <w:tcBorders>
              <w:top w:val="single" w:sz="4" w:space="0" w:color="BFBFBF"/>
              <w:left w:val="single" w:sz="4" w:space="0" w:color="BFBFBF"/>
              <w:bottom w:val="single" w:sz="4" w:space="0" w:color="BFBFBF"/>
              <w:right w:val="single" w:sz="4" w:space="0" w:color="BFBFBF"/>
            </w:tcBorders>
            <w:tcW w:w="1531" w:type="dxa"/>
            <w:shd w:val="clear" w:color="auto" w:fill="1F3A5F"/>
            <w:tcW w:w="1531" w:type="dxa"/>
          </w:tcPr>
          <w:p>
            <w:pPr>
              <w:spacing w:after="40" w:before="40" w:line="264" w:lineRule="auto"/>
              <w:jc w:val="center"/>
            </w:pPr>
            <w:r/>
            <w:r>
              <w:rPr>
                <w:rFonts w:ascii="Cambria" w:hAnsi="Cambria" w:eastAsia="Cambria"/>
                <w:b/>
                <w:i w:val="0"/>
                <w:color w:val="FFFFFF"/>
                <w:sz w:val="18"/>
              </w:rPr>
              <w:t>Platform / Repository</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8"/>
              </w:rPr>
              <w:t>Approval Authority</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8"/>
              </w:rPr>
              <w:t>Evidence Reference</w:t>
            </w:r>
          </w:p>
        </w:tc>
      </w:tr>
      <w:tr>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8"/>
              </w:rPr>
              <w:t>Dr. R. Kumar</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8"/>
              </w:rPr>
              <w:t>“Machine Learning Lab Manual”</w:t>
            </w:r>
          </w:p>
        </w:tc>
        <w:tc>
          <w:tcPr>
            <w:tcW w:type="dxa" w:w="1871"/>
            <w:shd w:val="clear" w:color="auto" w:fill="E8ECF2"/>
            <w:tcW w:w="1871" w:type="dxa"/>
          </w:tcPr>
          <w:p>
            <w:pPr>
              <w:spacing w:after="40" w:before="40" w:line="264" w:lineRule="auto"/>
              <w:jc w:val="left"/>
            </w:pPr>
            <w:r/>
            <w:r>
              <w:rPr>
                <w:rFonts w:ascii="Cambria" w:hAnsi="Cambria" w:eastAsia="Cambria"/>
                <w:b w:val="0"/>
                <w:i w:val="0"/>
                <w:color w:val="000000"/>
                <w:sz w:val="18"/>
              </w:rPr>
              <w:t>Lab Manual</w:t>
            </w:r>
          </w:p>
        </w:tc>
        <w:tc>
          <w:tcPr>
            <w:tcW w:type="dxa" w:w="1531"/>
            <w:shd w:val="clear" w:color="auto" w:fill="E8ECF2"/>
            <w:tcW w:w="1531" w:type="dxa"/>
          </w:tcPr>
          <w:p>
            <w:pPr>
              <w:spacing w:after="40" w:before="40" w:line="264" w:lineRule="auto"/>
              <w:jc w:val="left"/>
            </w:pPr>
            <w:r/>
            <w:r>
              <w:rPr>
                <w:rFonts w:ascii="Cambria" w:hAnsi="Cambria" w:eastAsia="Cambria"/>
                <w:b w:val="0"/>
                <w:i w:val="0"/>
                <w:color w:val="000000"/>
                <w:sz w:val="18"/>
              </w:rPr>
              <w:t>Dept. LMS</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8"/>
              </w:rPr>
              <w:t>BoS</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8"/>
              </w:rPr>
              <w:t>LabManual_2023</w:t>
            </w:r>
          </w:p>
        </w:tc>
      </w:tr>
      <w:tr>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8"/>
              </w:rPr>
              <w:t>Ms. S. Iyer</w:t>
            </w:r>
          </w:p>
        </w:tc>
        <w:tc>
          <w:tcPr>
            <w:tcW w:type="dxa" w:w="2041"/>
            <w:shd w:val="clear" w:color="auto" w:fill="FFFFFF"/>
            <w:tcW w:w="2041" w:type="dxa"/>
          </w:tcPr>
          <w:p>
            <w:pPr>
              <w:spacing w:after="40" w:before="40" w:line="264" w:lineRule="auto"/>
              <w:jc w:val="left"/>
            </w:pPr>
            <w:r/>
            <w:r>
              <w:rPr>
                <w:rFonts w:ascii="Cambria" w:hAnsi="Cambria" w:eastAsia="Cambria"/>
                <w:b w:val="0"/>
                <w:i w:val="0"/>
                <w:color w:val="000000"/>
                <w:sz w:val="18"/>
              </w:rPr>
              <w:t>“Data Structures e-Notes”</w:t>
            </w:r>
          </w:p>
        </w:tc>
        <w:tc>
          <w:tcPr>
            <w:tcW w:type="dxa" w:w="1871"/>
            <w:shd w:val="clear" w:color="auto" w:fill="FFFFFF"/>
            <w:tcW w:w="1871" w:type="dxa"/>
          </w:tcPr>
          <w:p>
            <w:pPr>
              <w:spacing w:after="40" w:before="40" w:line="264" w:lineRule="auto"/>
              <w:jc w:val="left"/>
            </w:pPr>
            <w:r/>
            <w:r>
              <w:rPr>
                <w:rFonts w:ascii="Cambria" w:hAnsi="Cambria" w:eastAsia="Cambria"/>
                <w:b w:val="0"/>
                <w:i w:val="0"/>
                <w:color w:val="000000"/>
                <w:sz w:val="18"/>
              </w:rPr>
              <w:t>e-Notes</w:t>
            </w:r>
          </w:p>
        </w:tc>
        <w:tc>
          <w:tcPr>
            <w:tcW w:type="dxa" w:w="1531"/>
            <w:shd w:val="clear" w:color="auto" w:fill="FFFFFF"/>
            <w:tcW w:w="1531" w:type="dxa"/>
          </w:tcPr>
          <w:p>
            <w:pPr>
              <w:spacing w:after="40" w:before="40" w:line="264" w:lineRule="auto"/>
              <w:jc w:val="left"/>
            </w:pPr>
            <w:r/>
            <w:r>
              <w:rPr>
                <w:rFonts w:ascii="Cambria" w:hAnsi="Cambria" w:eastAsia="Cambria"/>
                <w:b w:val="0"/>
                <w:i w:val="0"/>
                <w:color w:val="000000"/>
                <w:sz w:val="18"/>
              </w:rPr>
              <w:t>Google Classroom</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8"/>
              </w:rPr>
              <w:t>IQAC</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8"/>
              </w:rPr>
              <w:t>eNotes_2023</w:t>
            </w:r>
          </w:p>
        </w:tc>
      </w:tr>
      <w:tr>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8"/>
              </w:rPr>
              <w:t>Prof. M. Rao</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8"/>
              </w:rPr>
              <w:t>“Cloud Computing Video Lectures”</w:t>
            </w:r>
          </w:p>
        </w:tc>
        <w:tc>
          <w:tcPr>
            <w:tcW w:type="dxa" w:w="1871"/>
            <w:shd w:val="clear" w:color="auto" w:fill="E8ECF2"/>
            <w:tcW w:w="1871" w:type="dxa"/>
          </w:tcPr>
          <w:p>
            <w:pPr>
              <w:spacing w:after="40" w:before="40" w:line="264" w:lineRule="auto"/>
              <w:jc w:val="left"/>
            </w:pPr>
            <w:r/>
            <w:r>
              <w:rPr>
                <w:rFonts w:ascii="Cambria" w:hAnsi="Cambria" w:eastAsia="Cambria"/>
                <w:b w:val="0"/>
                <w:i w:val="0"/>
                <w:color w:val="000000"/>
                <w:sz w:val="18"/>
              </w:rPr>
              <w:t>Video Lectures</w:t>
            </w:r>
          </w:p>
        </w:tc>
        <w:tc>
          <w:tcPr>
            <w:tcW w:type="dxa" w:w="1531"/>
            <w:shd w:val="clear" w:color="auto" w:fill="E8ECF2"/>
            <w:tcW w:w="1531" w:type="dxa"/>
          </w:tcPr>
          <w:p>
            <w:pPr>
              <w:spacing w:after="40" w:before="40" w:line="264" w:lineRule="auto"/>
              <w:jc w:val="left"/>
            </w:pPr>
            <w:r/>
            <w:r>
              <w:rPr>
                <w:rFonts w:ascii="Cambria" w:hAnsi="Cambria" w:eastAsia="Cambria"/>
                <w:b w:val="0"/>
                <w:i w:val="0"/>
                <w:color w:val="000000"/>
                <w:sz w:val="18"/>
              </w:rPr>
              <w:t>YouTube / LMS</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8"/>
              </w:rPr>
              <w:t>BoS</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8"/>
              </w:rPr>
              <w:t>VideoLink_2024</w:t>
            </w:r>
          </w:p>
        </w:tc>
      </w:tr>
      <w:tr>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8"/>
              </w:rPr>
              <w:t>Mr. A. Menon</w:t>
            </w:r>
          </w:p>
        </w:tc>
        <w:tc>
          <w:tcPr>
            <w:tcW w:type="dxa" w:w="2041"/>
            <w:shd w:val="clear" w:color="auto" w:fill="FFFFFF"/>
            <w:tcW w:w="2041" w:type="dxa"/>
          </w:tcPr>
          <w:p>
            <w:pPr>
              <w:spacing w:after="40" w:before="40" w:line="264" w:lineRule="auto"/>
              <w:jc w:val="left"/>
            </w:pPr>
            <w:r/>
            <w:r>
              <w:rPr>
                <w:rFonts w:ascii="Cambria" w:hAnsi="Cambria" w:eastAsia="Cambria"/>
                <w:b w:val="0"/>
                <w:i w:val="0"/>
                <w:color w:val="000000"/>
                <w:sz w:val="18"/>
              </w:rPr>
              <w:t>“IoT Simulation PPT Series”</w:t>
            </w:r>
          </w:p>
        </w:tc>
        <w:tc>
          <w:tcPr>
            <w:tcW w:type="dxa" w:w="1871"/>
            <w:shd w:val="clear" w:color="auto" w:fill="FFFFFF"/>
            <w:tcW w:w="1871" w:type="dxa"/>
          </w:tcPr>
          <w:p>
            <w:pPr>
              <w:spacing w:after="40" w:before="40" w:line="264" w:lineRule="auto"/>
              <w:jc w:val="left"/>
            </w:pPr>
            <w:r/>
            <w:r>
              <w:rPr>
                <w:rFonts w:ascii="Cambria" w:hAnsi="Cambria" w:eastAsia="Cambria"/>
                <w:b w:val="0"/>
                <w:i w:val="0"/>
                <w:color w:val="000000"/>
                <w:sz w:val="18"/>
              </w:rPr>
              <w:t>PPT</w:t>
            </w:r>
          </w:p>
        </w:tc>
        <w:tc>
          <w:tcPr>
            <w:tcW w:type="dxa" w:w="1531"/>
            <w:shd w:val="clear" w:color="auto" w:fill="FFFFFF"/>
            <w:tcW w:w="1531" w:type="dxa"/>
          </w:tcPr>
          <w:p>
            <w:pPr>
              <w:spacing w:after="40" w:before="40" w:line="264" w:lineRule="auto"/>
              <w:jc w:val="left"/>
            </w:pPr>
            <w:r/>
            <w:r>
              <w:rPr>
                <w:rFonts w:ascii="Cambria" w:hAnsi="Cambria" w:eastAsia="Cambria"/>
                <w:b w:val="0"/>
                <w:i w:val="0"/>
                <w:color w:val="000000"/>
                <w:sz w:val="18"/>
              </w:rPr>
              <w:t>Dept. Repository</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8"/>
              </w:rPr>
              <w:t>IQAC</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8"/>
              </w:rPr>
              <w:t>PPT_Repo_2024</w:t>
            </w:r>
          </w:p>
        </w:tc>
      </w:tr>
      <w:tr>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8"/>
              </w:rPr>
              <w:t>Dr. P. Reddy</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8"/>
              </w:rPr>
              <w:t>“Cloud Security MOOC Module”</w:t>
            </w:r>
          </w:p>
        </w:tc>
        <w:tc>
          <w:tcPr>
            <w:tcW w:type="dxa" w:w="1871"/>
            <w:shd w:val="clear" w:color="auto" w:fill="E8ECF2"/>
            <w:tcW w:w="1871" w:type="dxa"/>
          </w:tcPr>
          <w:p>
            <w:pPr>
              <w:spacing w:after="40" w:before="40" w:line="264" w:lineRule="auto"/>
              <w:jc w:val="left"/>
            </w:pPr>
            <w:r/>
            <w:r>
              <w:rPr>
                <w:rFonts w:ascii="Cambria" w:hAnsi="Cambria" w:eastAsia="Cambria"/>
                <w:b w:val="0"/>
                <w:i w:val="0"/>
                <w:color w:val="000000"/>
                <w:sz w:val="18"/>
              </w:rPr>
              <w:t>MOOC Module</w:t>
            </w:r>
          </w:p>
        </w:tc>
        <w:tc>
          <w:tcPr>
            <w:tcW w:type="dxa" w:w="1531"/>
            <w:shd w:val="clear" w:color="auto" w:fill="E8ECF2"/>
            <w:tcW w:w="1531" w:type="dxa"/>
          </w:tcPr>
          <w:p>
            <w:pPr>
              <w:spacing w:after="40" w:before="40" w:line="264" w:lineRule="auto"/>
              <w:jc w:val="left"/>
            </w:pPr>
            <w:r/>
            <w:r>
              <w:rPr>
                <w:rFonts w:ascii="Cambria" w:hAnsi="Cambria" w:eastAsia="Cambria"/>
                <w:b w:val="0"/>
                <w:i w:val="0"/>
                <w:color w:val="000000"/>
                <w:sz w:val="18"/>
              </w:rPr>
              <w:t>SWAYAM</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8"/>
              </w:rPr>
              <w:t>BoS</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8"/>
              </w:rPr>
              <w:t>MOOC_Cert_2025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Faculty Competency Enhancement Summary</w:t>
      </w:r>
    </w:p>
    <w:tbl>
      <w:tblPr>
        <w:tblW w:type="auto" w:w="0"/>
        <w:jc w:val="center"/>
        <w:tblLook w:firstColumn="1" w:firstRow="1" w:lastColumn="0" w:lastRow="0" w:noHBand="0" w:noVBand="1" w:val="04A0"/>
        <w:tblLayout w:type="fixed"/>
        <w:tblLayout w:type="fixed"/>
      </w:tblPr>
      <w:tblGrid>
        <w:gridCol w:w="1304"/>
        <w:gridCol w:w="2835"/>
        <w:gridCol w:w="2438"/>
        <w:gridCol w:w="1417"/>
        <w:gridCol w:w="1417"/>
      </w:tblGrid>
      <w:tr>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9"/>
              </w:rPr>
              <w:t>Year</w:t>
            </w:r>
          </w:p>
        </w:tc>
        <w:tc>
          <w:tcPr>
            <w:tcW w:type="dxa" w:w="2835"/>
            <w:tcBorders>
              <w:top w:val="single" w:sz="4" w:space="0" w:color="BFBFBF"/>
              <w:left w:val="single" w:sz="4" w:space="0" w:color="BFBFBF"/>
              <w:bottom w:val="single" w:sz="4" w:space="0" w:color="BFBFBF"/>
              <w:right w:val="single" w:sz="4" w:space="0" w:color="BFBFBF"/>
            </w:tcBorders>
            <w:tcW w:w="2835" w:type="dxa"/>
            <w:shd w:val="clear" w:color="auto" w:fill="1F3A5F"/>
            <w:tcW w:w="2835" w:type="dxa"/>
          </w:tcPr>
          <w:p>
            <w:pPr>
              <w:spacing w:after="40" w:before="40" w:line="264" w:lineRule="auto"/>
              <w:jc w:val="center"/>
            </w:pPr>
            <w:r/>
            <w:r>
              <w:rPr>
                <w:rFonts w:ascii="Cambria" w:hAnsi="Cambria" w:eastAsia="Cambria"/>
                <w:b/>
                <w:i w:val="0"/>
                <w:color w:val="FFFFFF"/>
                <w:sz w:val="19"/>
              </w:rPr>
              <w:t>No. of Faculty Trained in New Technology</w:t>
            </w:r>
          </w:p>
        </w:tc>
        <w:tc>
          <w:tcPr>
            <w:tcW w:type="dxa" w:w="2438"/>
            <w:tcBorders>
              <w:top w:val="single" w:sz="4" w:space="0" w:color="BFBFBF"/>
              <w:left w:val="single" w:sz="4" w:space="0" w:color="BFBFBF"/>
              <w:bottom w:val="single" w:sz="4" w:space="0" w:color="BFBFBF"/>
              <w:right w:val="single" w:sz="4" w:space="0" w:color="BFBFBF"/>
            </w:tcBorders>
            <w:tcW w:w="2438" w:type="dxa"/>
            <w:shd w:val="clear" w:color="auto" w:fill="1F3A5F"/>
            <w:tcW w:w="2438" w:type="dxa"/>
          </w:tcPr>
          <w:p>
            <w:pPr>
              <w:spacing w:after="40" w:before="40" w:line="264" w:lineRule="auto"/>
              <w:jc w:val="center"/>
            </w:pPr>
            <w:r/>
            <w:r>
              <w:rPr>
                <w:rFonts w:ascii="Cambria" w:hAnsi="Cambria" w:eastAsia="Cambria"/>
                <w:b/>
                <w:i w:val="0"/>
                <w:color w:val="FFFFFF"/>
                <w:sz w:val="19"/>
              </w:rPr>
              <w:t>Key Areas Covered</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9"/>
              </w:rPr>
              <w:t>Mode of Training</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9"/>
              </w:rPr>
              <w:t>Evidence Reference</w:t>
            </w:r>
          </w:p>
        </w:tc>
      </w:tr>
      <w:tr>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9"/>
              </w:rPr>
              <w:t>2022–23</w:t>
            </w:r>
          </w:p>
        </w:tc>
        <w:tc>
          <w:tcPr>
            <w:tcW w:type="dxa" w:w="2835"/>
            <w:shd w:val="clear" w:color="auto" w:fill="E8ECF2"/>
            <w:tcW w:w="2835" w:type="dxa"/>
          </w:tcPr>
          <w:p>
            <w:pPr>
              <w:spacing w:after="40" w:before="40" w:line="264" w:lineRule="auto"/>
              <w:jc w:val="left"/>
            </w:pPr>
            <w:r/>
            <w:r>
              <w:rPr>
                <w:rFonts w:ascii="Cambria" w:hAnsi="Cambria" w:eastAsia="Cambria"/>
                <w:b w:val="0"/>
                <w:i w:val="0"/>
                <w:color w:val="000000"/>
                <w:sz w:val="19"/>
              </w:rPr>
              <w:t>6</w:t>
            </w:r>
          </w:p>
        </w:tc>
        <w:tc>
          <w:tcPr>
            <w:tcW w:type="dxa" w:w="2438"/>
            <w:shd w:val="clear" w:color="auto" w:fill="E8ECF2"/>
            <w:tcW w:w="2438" w:type="dxa"/>
          </w:tcPr>
          <w:p>
            <w:pPr>
              <w:spacing w:after="40" w:before="40" w:line="264" w:lineRule="auto"/>
              <w:jc w:val="left"/>
            </w:pPr>
            <w:r/>
            <w:r>
              <w:rPr>
                <w:rFonts w:ascii="Cambria" w:hAnsi="Cambria" w:eastAsia="Cambria"/>
                <w:b w:val="0"/>
                <w:i w:val="0"/>
                <w:color w:val="000000"/>
                <w:sz w:val="19"/>
              </w:rPr>
              <w:t>AI, Data Analytics</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9"/>
              </w:rPr>
              <w:t>FDP / Workshop</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9"/>
              </w:rPr>
              <w:t>FDP_Cert_2023</w:t>
            </w:r>
          </w:p>
        </w:tc>
      </w:tr>
      <w:tr>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9"/>
              </w:rPr>
              <w:t>2023–24</w:t>
            </w:r>
          </w:p>
        </w:tc>
        <w:tc>
          <w:tcPr>
            <w:tcW w:type="dxa" w:w="2835"/>
            <w:shd w:val="clear" w:color="auto" w:fill="FFFFFF"/>
            <w:tcW w:w="2835" w:type="dxa"/>
          </w:tcPr>
          <w:p>
            <w:pPr>
              <w:spacing w:after="40" w:before="40" w:line="264" w:lineRule="auto"/>
              <w:jc w:val="left"/>
            </w:pPr>
            <w:r/>
            <w:r>
              <w:rPr>
                <w:rFonts w:ascii="Cambria" w:hAnsi="Cambria" w:eastAsia="Cambria"/>
                <w:b w:val="0"/>
                <w:i w:val="0"/>
                <w:color w:val="000000"/>
                <w:sz w:val="19"/>
              </w:rPr>
              <w:t>8</w:t>
            </w:r>
          </w:p>
        </w:tc>
        <w:tc>
          <w:tcPr>
            <w:tcW w:type="dxa" w:w="2438"/>
            <w:shd w:val="clear" w:color="auto" w:fill="FFFFFF"/>
            <w:tcW w:w="2438" w:type="dxa"/>
          </w:tcPr>
          <w:p>
            <w:pPr>
              <w:spacing w:after="40" w:before="40" w:line="264" w:lineRule="auto"/>
              <w:jc w:val="left"/>
            </w:pPr>
            <w:r/>
            <w:r>
              <w:rPr>
                <w:rFonts w:ascii="Cambria" w:hAnsi="Cambria" w:eastAsia="Cambria"/>
                <w:b w:val="0"/>
                <w:i w:val="0"/>
                <w:color w:val="000000"/>
                <w:sz w:val="19"/>
              </w:rPr>
              <w:t>IoT, Cloud, OBE</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9"/>
              </w:rPr>
              <w:t>FDP / NPTEL</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9"/>
              </w:rPr>
              <w:t>NPTEL_2024</w:t>
            </w:r>
          </w:p>
        </w:tc>
      </w:tr>
      <w:tr>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9"/>
              </w:rPr>
              <w:t>2024–25</w:t>
            </w:r>
          </w:p>
        </w:tc>
        <w:tc>
          <w:tcPr>
            <w:tcW w:type="dxa" w:w="2835"/>
            <w:shd w:val="clear" w:color="auto" w:fill="E8ECF2"/>
            <w:tcW w:w="2835" w:type="dxa"/>
          </w:tcPr>
          <w:p>
            <w:pPr>
              <w:spacing w:after="40" w:before="40" w:line="264" w:lineRule="auto"/>
              <w:jc w:val="left"/>
            </w:pPr>
            <w:r/>
            <w:r>
              <w:rPr>
                <w:rFonts w:ascii="Cambria" w:hAnsi="Cambria" w:eastAsia="Cambria"/>
                <w:b w:val="0"/>
                <w:i w:val="0"/>
                <w:color w:val="000000"/>
                <w:sz w:val="19"/>
              </w:rPr>
              <w:t>10</w:t>
            </w:r>
          </w:p>
        </w:tc>
        <w:tc>
          <w:tcPr>
            <w:tcW w:type="dxa" w:w="2438"/>
            <w:shd w:val="clear" w:color="auto" w:fill="E8ECF2"/>
            <w:tcW w:w="2438" w:type="dxa"/>
          </w:tcPr>
          <w:p>
            <w:pPr>
              <w:spacing w:after="40" w:before="40" w:line="264" w:lineRule="auto"/>
              <w:jc w:val="left"/>
            </w:pPr>
            <w:r/>
            <w:r>
              <w:rPr>
                <w:rFonts w:ascii="Cambria" w:hAnsi="Cambria" w:eastAsia="Cambria"/>
                <w:b w:val="0"/>
                <w:i w:val="0"/>
                <w:color w:val="000000"/>
                <w:sz w:val="19"/>
              </w:rPr>
              <w:t>AR/VR, Pedagogical Innovation</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9"/>
              </w:rPr>
              <w:t>FDP / MOOC</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9"/>
              </w:rPr>
              <w:t>Coursera_Cert_2025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Innovations in Teaching–Learning Process</w:t>
      </w:r>
    </w:p>
    <w:tbl>
      <w:tblPr>
        <w:tblW w:type="auto" w:w="0"/>
        <w:jc w:val="center"/>
        <w:tblLook w:firstColumn="1" w:firstRow="1" w:lastColumn="0" w:lastRow="0" w:noHBand="0" w:noVBand="1" w:val="04A0"/>
        <w:tblLayout w:type="fixed"/>
        <w:tblLayout w:type="fixed"/>
      </w:tblPr>
      <w:tblGrid>
        <w:gridCol w:w="1304"/>
        <w:gridCol w:w="1474"/>
        <w:gridCol w:w="2041"/>
        <w:gridCol w:w="1474"/>
        <w:gridCol w:w="1984"/>
        <w:gridCol w:w="1361"/>
      </w:tblGrid>
      <w:tr>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7"/>
              </w:rPr>
              <w:t>Year</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7"/>
              </w:rPr>
              <w:t>Faculty Name</w:t>
            </w:r>
          </w:p>
        </w:tc>
        <w:tc>
          <w:tcPr>
            <w:tcW w:type="dxa" w:w="2041"/>
            <w:tcBorders>
              <w:top w:val="single" w:sz="4" w:space="0" w:color="BFBFBF"/>
              <w:left w:val="single" w:sz="4" w:space="0" w:color="BFBFBF"/>
              <w:bottom w:val="single" w:sz="4" w:space="0" w:color="BFBFBF"/>
              <w:right w:val="single" w:sz="4" w:space="0" w:color="BFBFBF"/>
            </w:tcBorders>
            <w:tcW w:w="2041" w:type="dxa"/>
            <w:shd w:val="clear" w:color="auto" w:fill="1F3A5F"/>
            <w:tcW w:w="2041" w:type="dxa"/>
          </w:tcPr>
          <w:p>
            <w:pPr>
              <w:spacing w:after="40" w:before="40" w:line="264" w:lineRule="auto"/>
              <w:jc w:val="center"/>
            </w:pPr>
            <w:r/>
            <w:r>
              <w:rPr>
                <w:rFonts w:ascii="Cambria" w:hAnsi="Cambria" w:eastAsia="Cambria"/>
                <w:b/>
                <w:i w:val="0"/>
                <w:color w:val="FFFFFF"/>
                <w:sz w:val="17"/>
              </w:rPr>
              <w:t>Innovation Introduced</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7"/>
              </w:rPr>
              <w:t>Course / Subject</w:t>
            </w:r>
          </w:p>
        </w:tc>
        <w:tc>
          <w:tcPr>
            <w:tcW w:type="dxa" w:w="1984"/>
            <w:tcBorders>
              <w:top w:val="single" w:sz="4" w:space="0" w:color="BFBFBF"/>
              <w:left w:val="single" w:sz="4" w:space="0" w:color="BFBFBF"/>
              <w:bottom w:val="single" w:sz="4" w:space="0" w:color="BFBFBF"/>
              <w:right w:val="single" w:sz="4" w:space="0" w:color="BFBFBF"/>
            </w:tcBorders>
            <w:tcW w:w="1984" w:type="dxa"/>
            <w:shd w:val="clear" w:color="auto" w:fill="1F3A5F"/>
            <w:tcW w:w="1984" w:type="dxa"/>
          </w:tcPr>
          <w:p>
            <w:pPr>
              <w:spacing w:after="40" w:before="40" w:line="264" w:lineRule="auto"/>
              <w:jc w:val="center"/>
            </w:pPr>
            <w:r/>
            <w:r>
              <w:rPr>
                <w:rFonts w:ascii="Cambria" w:hAnsi="Cambria" w:eastAsia="Cambria"/>
                <w:b/>
                <w:i w:val="0"/>
                <w:color w:val="FFFFFF"/>
                <w:sz w:val="17"/>
              </w:rPr>
              <w:t>Impact / Outcome</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7"/>
              </w:rPr>
              <w:t>Evidence Reference</w:t>
            </w:r>
          </w:p>
        </w:tc>
      </w:tr>
      <w:tr>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7"/>
              </w:rPr>
              <w:t>2022–23</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Dr. R. Kumar</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7"/>
              </w:rPr>
              <w:t>Flipped Classroom</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Machine Learning</w:t>
            </w:r>
          </w:p>
        </w:tc>
        <w:tc>
          <w:tcPr>
            <w:tcW w:type="dxa" w:w="1984"/>
            <w:shd w:val="clear" w:color="auto" w:fill="E8ECF2"/>
            <w:tcW w:w="1984" w:type="dxa"/>
          </w:tcPr>
          <w:p>
            <w:pPr>
              <w:spacing w:after="40" w:before="40" w:line="264" w:lineRule="auto"/>
              <w:jc w:val="left"/>
            </w:pPr>
            <w:r/>
            <w:r>
              <w:rPr>
                <w:rFonts w:ascii="Cambria" w:hAnsi="Cambria" w:eastAsia="Cambria"/>
                <w:b w:val="0"/>
                <w:i w:val="0"/>
                <w:color w:val="000000"/>
                <w:sz w:val="17"/>
              </w:rPr>
              <w:t>Improved student engagement</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Innovation_Report_2023</w:t>
            </w:r>
          </w:p>
        </w:tc>
      </w:tr>
      <w:tr>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7"/>
              </w:rPr>
              <w:t>2023–24</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Ms. S. Iyer</w:t>
            </w:r>
          </w:p>
        </w:tc>
        <w:tc>
          <w:tcPr>
            <w:tcW w:type="dxa" w:w="2041"/>
            <w:shd w:val="clear" w:color="auto" w:fill="FFFFFF"/>
            <w:tcW w:w="2041" w:type="dxa"/>
          </w:tcPr>
          <w:p>
            <w:pPr>
              <w:spacing w:after="40" w:before="40" w:line="264" w:lineRule="auto"/>
              <w:jc w:val="left"/>
            </w:pPr>
            <w:r/>
            <w:r>
              <w:rPr>
                <w:rFonts w:ascii="Cambria" w:hAnsi="Cambria" w:eastAsia="Cambria"/>
                <w:b w:val="0"/>
                <w:i w:val="0"/>
                <w:color w:val="000000"/>
                <w:sz w:val="17"/>
              </w:rPr>
              <w:t>Project-Based Learning</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Data Structures</w:t>
            </w:r>
          </w:p>
        </w:tc>
        <w:tc>
          <w:tcPr>
            <w:tcW w:type="dxa" w:w="1984"/>
            <w:shd w:val="clear" w:color="auto" w:fill="FFFFFF"/>
            <w:tcW w:w="1984" w:type="dxa"/>
          </w:tcPr>
          <w:p>
            <w:pPr>
              <w:spacing w:after="40" w:before="40" w:line="264" w:lineRule="auto"/>
              <w:jc w:val="left"/>
            </w:pPr>
            <w:r/>
            <w:r>
              <w:rPr>
                <w:rFonts w:ascii="Cambria" w:hAnsi="Cambria" w:eastAsia="Cambria"/>
                <w:b w:val="0"/>
                <w:i w:val="0"/>
                <w:color w:val="000000"/>
                <w:sz w:val="17"/>
              </w:rPr>
              <w:t>Enhanced problem-solving skills</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7"/>
              </w:rPr>
              <w:t>PBL_Report_2024</w:t>
            </w:r>
          </w:p>
        </w:tc>
      </w:tr>
      <w:tr>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7"/>
              </w:rPr>
              <w:t>2024–25</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Mr. A. Menon</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7"/>
              </w:rPr>
              <w:t>Gamified Learning (Kahoot)</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IoT Systems</w:t>
            </w:r>
          </w:p>
        </w:tc>
        <w:tc>
          <w:tcPr>
            <w:tcW w:type="dxa" w:w="1984"/>
            <w:shd w:val="clear" w:color="auto" w:fill="E8ECF2"/>
            <w:tcW w:w="1984" w:type="dxa"/>
          </w:tcPr>
          <w:p>
            <w:pPr>
              <w:spacing w:after="40" w:before="40" w:line="264" w:lineRule="auto"/>
              <w:jc w:val="left"/>
            </w:pPr>
            <w:r/>
            <w:r>
              <w:rPr>
                <w:rFonts w:ascii="Cambria" w:hAnsi="Cambria" w:eastAsia="Cambria"/>
                <w:b w:val="0"/>
                <w:i w:val="0"/>
                <w:color w:val="000000"/>
                <w:sz w:val="17"/>
              </w:rPr>
              <w:t>Higher quiz participation</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Gamification_2025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Observations and Continuous Improvement Actions</w:t>
      </w:r>
    </w:p>
    <w:p>
      <w:pPr>
        <w:keepNext/>
        <w:spacing w:before="200" w:after="80"/>
      </w:pPr>
      <w:r>
        <w:rPr>
          <w:rFonts w:ascii="Cambria" w:hAnsi="Cambria" w:eastAsia="Cambria"/>
          <w:b/>
          <w:i w:val="0"/>
          <w:color w:val="1F3A5F"/>
          <w:sz w:val="23"/>
        </w:rPr>
        <w:t>2022–23 – Limited awareness of new pedagogical tools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Low ICT tool adoption</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Conducted ICT training workshops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FDC + IQAC</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Increased tool usage in classrooms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ICT_Report_2023</w:t>
            </w:r>
          </w:p>
        </w:tc>
      </w:tr>
    </w:tbl>
    <w:p>
      <w:pPr>
        <w:keepNext/>
        <w:spacing w:before="200" w:after="80"/>
      </w:pPr>
      <w:r>
        <w:rPr>
          <w:rFonts w:ascii="Cambria" w:hAnsi="Cambria" w:eastAsia="Cambria"/>
          <w:b/>
          <w:i w:val="0"/>
          <w:color w:val="1F3A5F"/>
          <w:sz w:val="23"/>
        </w:rPr>
        <w:t>2023–24 – Need for structured module development</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No formal review process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Introduced BoS-level content approval</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BoS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Standardized course materials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BoS_Minutes_2024</w:t>
            </w:r>
          </w:p>
        </w:tc>
      </w:tr>
    </w:tbl>
    <w:p>
      <w:pPr>
        <w:keepNext/>
        <w:spacing w:before="200" w:after="80"/>
      </w:pPr>
      <w:r>
        <w:rPr>
          <w:rFonts w:ascii="Cambria" w:hAnsi="Cambria" w:eastAsia="Cambria"/>
          <w:b/>
          <w:i w:val="0"/>
          <w:color w:val="1F3A5F"/>
          <w:sz w:val="23"/>
        </w:rPr>
        <w:t>2024–25 – Scope for more innovation documentation</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Innovations not formally recorded</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Created innovation log per department</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IQAC</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Better tracking of pedagogical innovation</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Innovation_Log_2025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Faculty Development Cell (FDC)</w:t>
      </w:r>
      <w:r>
        <w:rPr>
          <w:rFonts w:ascii="Cambria" w:hAnsi="Cambria" w:eastAsia="Cambria"/>
          <w:b w:val="0"/>
          <w:i w:val="0"/>
          <w:color w:val="000000"/>
          <w:sz w:val="22"/>
        </w:rPr>
        <w:t xml:space="preserve"> coordinates workshop scheduling and tracks faculty training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Board of Studies (BoS)</w:t>
      </w:r>
      <w:r>
        <w:rPr>
          <w:rFonts w:ascii="Cambria" w:hAnsi="Cambria" w:eastAsia="Cambria"/>
          <w:b w:val="0"/>
          <w:i w:val="0"/>
          <w:color w:val="000000"/>
          <w:sz w:val="22"/>
        </w:rPr>
        <w:t xml:space="preserve"> reviews and approves new course modules and content before adoption.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IQAC</w:t>
      </w:r>
      <w:r>
        <w:rPr>
          <w:rFonts w:ascii="Cambria" w:hAnsi="Cambria" w:eastAsia="Cambria"/>
          <w:b w:val="0"/>
          <w:i w:val="0"/>
          <w:color w:val="000000"/>
          <w:sz w:val="22"/>
        </w:rPr>
        <w:t xml:space="preserve"> verifies innovation reports and training impact annually.</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6 (Faculty Quality and Development) and Criterion 8 (Teaching-Learning Innovation).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a digital repository of all developed modules with version history.</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Strengthened faculty capability in delivering updated, technology-enabled curriculum.</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Documented innovation culture supporting outcome-based teaching–learning.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 Criterion 6 &amp; 8 – Faculty Competency and Teaching-Learning Process standards.</w:t>
      </w:r>
    </w:p>
    <w:p>
      <w:r>
        <w:br w:type="page"/>
      </w:r>
    </w:p>
    <w:p>
      <w:pPr>
        <w:keepNext/>
        <w:spacing w:before="240" w:after="160"/>
        <w:jc w:val="left"/>
      </w:pPr>
      <w:r>
        <w:rPr>
          <w:rFonts w:ascii="Cambria" w:hAnsi="Cambria" w:eastAsia="Cambria"/>
          <w:b/>
          <w:i w:val="0"/>
          <w:color w:val="1F3A5F"/>
          <w:sz w:val="25"/>
        </w:rPr>
        <w:t>30. P.27 Evidences of faculty participation in the FDP/STTP/NPTEL/training activities in the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document the professional development and continuous learning activities undertaken by the faculty during the last three academic years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ensure compliance with NBA and AICTE norms promoting continuous upskilling of faculty through Faculty Development Programs (FDPs), Short-Term Training Programs (STTPs), NPTEL MOOCs, and other recognized training initiatives.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the department's efforts in building faculty competencies, pedagogical innovation, and research orientation aligned with institutional goals.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Faculty Development Programs (FDP):</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AICTE, UGC, NITTTR, ISTE, or University-sponsored FDPs attended by faculty.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Duration of FDP (minimum one week for AICTE recognition).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Short-Term Training Programs (STTP):</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Training organized by reputed institutions or industries for advanced technical exposure.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NPTEL / MOOC Courses: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Faculty certifications from NPTEL, SWAYAM, Coursera, edX, or similar platforms.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Details of course duration, score, and domain specialization.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Workshops / Hands-on / Skill Enhancement Training: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Hands-on industry workshops or international faculty training.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Focus areas like AI, ML, IoT, Data Science, Cloud, Pedagogy, and Outcome-Based Education (OBE).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Faculty-wise list of FDP/STTP/NPTEL programs attended (year-wise).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Certificates of participation/completion for each activity.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Brochures or flyers of the programs attended.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Internal circulars or approvals for participation.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IQAC/FDP Cell verification reports for total hours of faculty development.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Summary of training impact and outcomes (reflected in teaching performance).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Faculty Participation in FDPs / STTPs / NPTEL (3-Year Record)</w:t>
      </w:r>
    </w:p>
    <w:tbl>
      <w:tblPr>
        <w:tblW w:type="auto" w:w="0"/>
        <w:jc w:val="center"/>
        <w:tblLook w:firstColumn="1" w:firstRow="1" w:lastColumn="0" w:lastRow="0" w:noHBand="0" w:noVBand="1" w:val="04A0"/>
        <w:tblLayout w:type="fixed"/>
        <w:tblLayout w:type="fixed"/>
      </w:tblPr>
      <w:tblGrid>
        <w:gridCol w:w="794"/>
        <w:gridCol w:w="1077"/>
        <w:gridCol w:w="1644"/>
        <w:gridCol w:w="1191"/>
        <w:gridCol w:w="850"/>
        <w:gridCol w:w="794"/>
        <w:gridCol w:w="850"/>
        <w:gridCol w:w="1077"/>
        <w:gridCol w:w="907"/>
      </w:tblGrid>
      <w:tr>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3"/>
              </w:rPr>
              <w:t>Year</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3"/>
              </w:rPr>
              <w:t>Faculty Name</w:t>
            </w:r>
          </w:p>
        </w:tc>
        <w:tc>
          <w:tcPr>
            <w:tcW w:type="dxa" w:w="1644"/>
            <w:tcBorders>
              <w:top w:val="single" w:sz="4" w:space="0" w:color="BFBFBF"/>
              <w:left w:val="single" w:sz="4" w:space="0" w:color="BFBFBF"/>
              <w:bottom w:val="single" w:sz="4" w:space="0" w:color="BFBFBF"/>
              <w:right w:val="single" w:sz="4" w:space="0" w:color="BFBFBF"/>
            </w:tcBorders>
            <w:tcW w:w="1644" w:type="dxa"/>
            <w:shd w:val="clear" w:color="auto" w:fill="1F3A5F"/>
            <w:tcW w:w="1644" w:type="dxa"/>
          </w:tcPr>
          <w:p>
            <w:pPr>
              <w:spacing w:after="40" w:before="40" w:line="264" w:lineRule="auto"/>
              <w:jc w:val="center"/>
            </w:pPr>
            <w:r/>
            <w:r>
              <w:rPr>
                <w:rFonts w:ascii="Cambria" w:hAnsi="Cambria" w:eastAsia="Cambria"/>
                <w:b/>
                <w:i w:val="0"/>
                <w:color w:val="FFFFFF"/>
                <w:sz w:val="13"/>
              </w:rPr>
              <w:t>Program Title</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3"/>
              </w:rPr>
              <w:t>Organizer</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3"/>
              </w:rPr>
              <w:t>Duration (Days/Weeks)</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3"/>
              </w:rPr>
              <w:t>Mode (Online/Offline)</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3"/>
              </w:rPr>
              <w:t>Type (FDP/STTP/NPTEL/Workshop)</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3"/>
              </w:rPr>
              <w:t>Key Area / Skill</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3"/>
              </w:rPr>
              <w:t>Certificate Reference</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3"/>
              </w:rPr>
              <w:t>2022–23</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3"/>
              </w:rPr>
              <w:t>Dr. R. Kumar</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3"/>
              </w:rPr>
              <w:t>“AI and Deep Learning”</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3"/>
              </w:rPr>
              <w:t>AICTE–ATAL Academy</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3"/>
              </w:rPr>
              <w:t>5 Days</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3"/>
              </w:rPr>
              <w:t>Online</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3"/>
              </w:rPr>
              <w:t>FDP</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3"/>
              </w:rPr>
              <w:t>Artificial Intelligence</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3"/>
              </w:rPr>
              <w:t>FDP_Cert_2023</w:t>
            </w:r>
          </w:p>
        </w:tc>
      </w:tr>
      <w:tr>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3"/>
              </w:rPr>
              <w:t>2022–23</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3"/>
              </w:rPr>
              <w:t>Ms. S. Iyer</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3"/>
              </w:rPr>
              <w:t>“Outcome-Based Education &amp; NBA Accreditation”</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3"/>
              </w:rPr>
              <w:t>NITTTR Chennai</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3"/>
              </w:rPr>
              <w:t>1 Week</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3"/>
              </w:rPr>
              <w:t>Offline</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3"/>
              </w:rPr>
              <w:t>FDP</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3"/>
              </w:rPr>
              <w:t>OBE &amp; Accreditation</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3"/>
              </w:rPr>
              <w:t>Cert_OBE_2023</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3"/>
              </w:rPr>
              <w:t>2023–24</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3"/>
              </w:rPr>
              <w:t>Prof. M. Rao</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3"/>
              </w:rPr>
              <w:t>“Python for Data Science”</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3"/>
              </w:rPr>
              <w:t>IIT Bombay</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3"/>
              </w:rPr>
              <w:t>6 Days</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3"/>
              </w:rPr>
              <w:t>Online</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3"/>
              </w:rPr>
              <w:t>STTP</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3"/>
              </w:rPr>
              <w:t>Data Science</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3"/>
              </w:rPr>
              <w:t>STTP_Cert_2024</w:t>
            </w:r>
          </w:p>
        </w:tc>
      </w:tr>
      <w:tr>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3"/>
              </w:rPr>
              <w:t>2023–24</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3"/>
              </w:rPr>
              <w:t>Mr. A. Menon</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3"/>
              </w:rPr>
              <w:t>“IoT &amp; Cloud Integration”</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3"/>
              </w:rPr>
              <w:t>NPTEL (IIT Kharagpur)</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3"/>
              </w:rPr>
              <w:t>8 Weeks</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3"/>
              </w:rPr>
              <w:t>Online</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3"/>
              </w:rPr>
              <w:t>NPTEL Course</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3"/>
              </w:rPr>
              <w:t>IoT Systems</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3"/>
              </w:rPr>
              <w:t>NPTEL_2024</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3"/>
              </w:rPr>
              <w:t>2024–25</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3"/>
              </w:rPr>
              <w:t>Ms. P. Reddy</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3"/>
              </w:rPr>
              <w:t>“Design Thinking for Educators”</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3"/>
              </w:rPr>
              <w:t>AICTE</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3"/>
              </w:rPr>
              <w:t>5 Days</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3"/>
              </w:rPr>
              <w:t>Offline</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3"/>
              </w:rPr>
              <w:t>FDP</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3"/>
              </w:rPr>
              <w:t>Pedagogical Innovation</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3"/>
              </w:rPr>
              <w:t>FDP_2025</w:t>
            </w:r>
          </w:p>
        </w:tc>
      </w:tr>
      <w:tr>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3"/>
              </w:rPr>
              <w:t>2024–25</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3"/>
              </w:rPr>
              <w:t>Dr. P. Reddy</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3"/>
              </w:rPr>
              <w:t>“Advanced Cloud Computing”</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3"/>
              </w:rPr>
              <w:t>Coursera / Google Cloud</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3"/>
              </w:rPr>
              <w:t>6 Weeks</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3"/>
              </w:rPr>
              <w:t>Online</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3"/>
              </w:rPr>
              <w:t>MOOC</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3"/>
              </w:rPr>
              <w:t>Cloud Architecture</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3"/>
              </w:rPr>
              <w:t>Coursera_Cert_2025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Year-wise Summary of Faculty Development Activities</w:t>
      </w:r>
    </w:p>
    <w:tbl>
      <w:tblPr>
        <w:tblW w:type="auto" w:w="0"/>
        <w:jc w:val="center"/>
        <w:tblLook w:firstColumn="1" w:firstRow="1" w:lastColumn="0" w:lastRow="0" w:noHBand="0" w:noVBand="1" w:val="04A0"/>
        <w:tblLayout w:type="fixed"/>
        <w:tblLayout w:type="fixed"/>
      </w:tblPr>
      <w:tblGrid>
        <w:gridCol w:w="907"/>
        <w:gridCol w:w="1247"/>
        <w:gridCol w:w="1417"/>
        <w:gridCol w:w="1417"/>
        <w:gridCol w:w="1587"/>
        <w:gridCol w:w="1134"/>
        <w:gridCol w:w="1417"/>
      </w:tblGrid>
      <w:tr>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7"/>
              </w:rPr>
              <w:t>Year</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7"/>
              </w:rPr>
              <w:t>Total No. of Faculty</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7"/>
              </w:rPr>
              <w:t>No. of Faculty Attended FDPs</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7"/>
              </w:rPr>
              <w:t>No. of Faculty Attended STTPs</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7"/>
              </w:rPr>
              <w:t>No. of NPTEL/MOOC Courses Completed</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7"/>
              </w:rPr>
              <w:t>Avg. FDPs per Faculty</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7"/>
              </w:rPr>
              <w:t>Evidence Reference</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7"/>
              </w:rPr>
              <w:t>2022–23</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7"/>
              </w:rPr>
              <w:t>8</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6</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3</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7"/>
              </w:rPr>
              <w:t>4</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7"/>
              </w:rPr>
              <w:t>1.3</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Dept_Report_2023</w:t>
            </w:r>
          </w:p>
        </w:tc>
      </w:tr>
      <w:tr>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7"/>
              </w:rPr>
              <w:t>2023–24</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7"/>
              </w:rPr>
              <w:t>9</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7"/>
              </w:rPr>
              <w:t>7</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7"/>
              </w:rPr>
              <w:t>4</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7"/>
              </w:rPr>
              <w:t>5</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7"/>
              </w:rPr>
              <w:t>1.6</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7"/>
              </w:rPr>
              <w:t>IQAC_Summary_2024</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7"/>
              </w:rPr>
              <w:t>2024–25</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7"/>
              </w:rPr>
              <w:t>10</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9</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6</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7"/>
              </w:rPr>
              <w:t>7</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7"/>
              </w:rPr>
              <w:t>2.2</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Faculty_Audit_2025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Topic-Wise Distribution of FDP / STTP Participation</w:t>
      </w:r>
    </w:p>
    <w:tbl>
      <w:tblPr>
        <w:tblW w:type="auto" w:w="0"/>
        <w:jc w:val="center"/>
        <w:tblLook w:firstColumn="1" w:firstRow="1" w:lastColumn="0" w:lastRow="0" w:noHBand="0" w:noVBand="1" w:val="04A0"/>
        <w:tblLayout w:type="fixed"/>
        <w:tblLayout w:type="fixed"/>
      </w:tblPr>
      <w:tblGrid>
        <w:gridCol w:w="1814"/>
        <w:gridCol w:w="1304"/>
        <w:gridCol w:w="1928"/>
        <w:gridCol w:w="1644"/>
        <w:gridCol w:w="1361"/>
      </w:tblGrid>
      <w:tr>
        <w:tc>
          <w:tcPr>
            <w:tcW w:type="dxa" w:w="1814"/>
            <w:tcBorders>
              <w:top w:val="single" w:sz="4" w:space="0" w:color="BFBFBF"/>
              <w:left w:val="single" w:sz="4" w:space="0" w:color="BFBFBF"/>
              <w:bottom w:val="single" w:sz="4" w:space="0" w:color="BFBFBF"/>
              <w:right w:val="single" w:sz="4" w:space="0" w:color="BFBFBF"/>
            </w:tcBorders>
            <w:tcW w:w="1814" w:type="dxa"/>
            <w:shd w:val="clear" w:color="auto" w:fill="1F3A5F"/>
            <w:tcW w:w="1814" w:type="dxa"/>
          </w:tcPr>
          <w:p>
            <w:pPr>
              <w:spacing w:after="40" w:before="40" w:line="264" w:lineRule="auto"/>
              <w:jc w:val="center"/>
            </w:pPr>
            <w:r/>
            <w:r>
              <w:rPr>
                <w:rFonts w:ascii="Cambria" w:hAnsi="Cambria" w:eastAsia="Cambria"/>
                <w:b/>
                <w:i w:val="0"/>
                <w:color w:val="FFFFFF"/>
                <w:sz w:val="17"/>
              </w:rPr>
              <w:t>Domain Area</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7"/>
              </w:rPr>
              <w:t>No. of Programs Attended</w:t>
            </w:r>
          </w:p>
        </w:tc>
        <w:tc>
          <w:tcPr>
            <w:tcW w:type="dxa" w:w="1928"/>
            <w:tcBorders>
              <w:top w:val="single" w:sz="4" w:space="0" w:color="BFBFBF"/>
              <w:left w:val="single" w:sz="4" w:space="0" w:color="BFBFBF"/>
              <w:bottom w:val="single" w:sz="4" w:space="0" w:color="BFBFBF"/>
              <w:right w:val="single" w:sz="4" w:space="0" w:color="BFBFBF"/>
            </w:tcBorders>
            <w:tcW w:w="1928" w:type="dxa"/>
            <w:shd w:val="clear" w:color="auto" w:fill="1F3A5F"/>
            <w:tcW w:w="1928" w:type="dxa"/>
          </w:tcPr>
          <w:p>
            <w:pPr>
              <w:spacing w:after="40" w:before="40" w:line="264" w:lineRule="auto"/>
              <w:jc w:val="center"/>
            </w:pPr>
            <w:r/>
            <w:r>
              <w:rPr>
                <w:rFonts w:ascii="Cambria" w:hAnsi="Cambria" w:eastAsia="Cambria"/>
                <w:b/>
                <w:i w:val="0"/>
                <w:color w:val="FFFFFF"/>
                <w:sz w:val="17"/>
              </w:rPr>
              <w:t>Example Programs / Institutions</w:t>
            </w:r>
          </w:p>
        </w:tc>
        <w:tc>
          <w:tcPr>
            <w:tcW w:type="dxa" w:w="1644"/>
            <w:tcBorders>
              <w:top w:val="single" w:sz="4" w:space="0" w:color="BFBFBF"/>
              <w:left w:val="single" w:sz="4" w:space="0" w:color="BFBFBF"/>
              <w:bottom w:val="single" w:sz="4" w:space="0" w:color="BFBFBF"/>
              <w:right w:val="single" w:sz="4" w:space="0" w:color="BFBFBF"/>
            </w:tcBorders>
            <w:tcW w:w="1644" w:type="dxa"/>
            <w:shd w:val="clear" w:color="auto" w:fill="1F3A5F"/>
            <w:tcW w:w="1644" w:type="dxa"/>
          </w:tcPr>
          <w:p>
            <w:pPr>
              <w:spacing w:after="40" w:before="40" w:line="264" w:lineRule="auto"/>
              <w:jc w:val="center"/>
            </w:pPr>
            <w:r/>
            <w:r>
              <w:rPr>
                <w:rFonts w:ascii="Cambria" w:hAnsi="Cambria" w:eastAsia="Cambria"/>
                <w:b/>
                <w:i w:val="0"/>
                <w:color w:val="FFFFFF"/>
                <w:sz w:val="17"/>
              </w:rPr>
              <w:t>Key Tools / Technologies</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7"/>
              </w:rPr>
              <w:t>Evidence Reference</w:t>
            </w:r>
          </w:p>
        </w:tc>
      </w:tr>
      <w:tr>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7"/>
              </w:rPr>
              <w:t>Artificial Intelligence &amp; ML</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7"/>
              </w:rPr>
              <w:t>10</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7"/>
              </w:rPr>
              <w:t>AICTE–ATAL, IIT Madras</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7"/>
              </w:rPr>
              <w:t>TensorFlow, Keras</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AI_FDP_Records</w:t>
            </w:r>
          </w:p>
        </w:tc>
      </w:tr>
      <w:tr>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7"/>
              </w:rPr>
              <w:t>Data Science &amp; Analytics</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7"/>
              </w:rPr>
              <w:t>8</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7"/>
              </w:rPr>
              <w:t>IIT Bombay, NPTEL</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7"/>
              </w:rPr>
              <w:t>Python, Power BI</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7"/>
              </w:rPr>
              <w:t>DataScience_FDP</w:t>
            </w:r>
          </w:p>
        </w:tc>
      </w:tr>
      <w:tr>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7"/>
              </w:rPr>
              <w:t>Internet of Things (IoT)</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7"/>
              </w:rPr>
              <w:t>6</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7"/>
              </w:rPr>
              <w:t>NIT Trichy, Coursera</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7"/>
              </w:rPr>
              <w:t>NodeMCU, AWS IoT</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IoT_Training_Reports</w:t>
            </w:r>
          </w:p>
        </w:tc>
      </w:tr>
      <w:tr>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7"/>
              </w:rPr>
              <w:t>Pedagogical Innovations</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7"/>
              </w:rPr>
              <w:t>5</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7"/>
              </w:rPr>
              <w:t>NITTTR, ISTE</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7"/>
              </w:rPr>
              <w:t>LMS, OBE Framework</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7"/>
              </w:rPr>
              <w:t>Pedagogy_Workshops</w:t>
            </w:r>
          </w:p>
        </w:tc>
      </w:tr>
      <w:tr>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7"/>
              </w:rPr>
              <w:t>Cloud Computing &amp; Security</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7"/>
              </w:rPr>
              <w:t>7</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7"/>
              </w:rPr>
              <w:t>Google Cloud, AWS Educate</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7"/>
              </w:rPr>
              <w:t>Azure, Docker</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Cloud_FDP</w:t>
            </w:r>
          </w:p>
        </w:tc>
      </w:tr>
      <w:tr>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7"/>
              </w:rPr>
              <w:t>Research Methodology</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7"/>
              </w:rPr>
              <w:t>4</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7"/>
              </w:rPr>
              <w:t>UGC-HRDC</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7"/>
              </w:rPr>
              <w:t>SPSS, R, Mendeley</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7"/>
              </w:rPr>
              <w:t>Research_FDP</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FDP/STTP Outcome &amp; Impact Analysis</w:t>
      </w:r>
    </w:p>
    <w:p>
      <w:pPr>
        <w:keepNext/>
        <w:spacing w:before="200" w:after="80"/>
      </w:pPr>
      <w:r>
        <w:rPr>
          <w:rFonts w:ascii="Cambria" w:hAnsi="Cambria" w:eastAsia="Cambria"/>
          <w:b/>
          <w:i w:val="0"/>
          <w:color w:val="1F3A5F"/>
          <w:sz w:val="23"/>
        </w:rPr>
        <w:t>2022–23 – Low FDP participation among junior faculty</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Lack of awareness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Introduced FDP nomination policy</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HoD + IQAC</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70% participation achieved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ATR_2023</w:t>
            </w:r>
          </w:p>
        </w:tc>
      </w:tr>
    </w:tbl>
    <w:p>
      <w:pPr>
        <w:keepNext/>
        <w:spacing w:before="200" w:after="80"/>
      </w:pPr>
      <w:r>
        <w:rPr>
          <w:rFonts w:ascii="Cambria" w:hAnsi="Cambria" w:eastAsia="Cambria"/>
          <w:b/>
          <w:i w:val="0"/>
          <w:color w:val="1F3A5F"/>
          <w:sz w:val="23"/>
        </w:rPr>
        <w:t>2023–24 – Limited technical domain coverage</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Skewed focus on pedagogy</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Diversified FDP selection (AI, IoT)</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FDP Cell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Balanced domain training</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FDP_Review_2024</w:t>
            </w:r>
          </w:p>
        </w:tc>
      </w:tr>
    </w:tbl>
    <w:p>
      <w:pPr>
        <w:keepNext/>
        <w:spacing w:before="200" w:after="80"/>
      </w:pPr>
      <w:r>
        <w:rPr>
          <w:rFonts w:ascii="Cambria" w:hAnsi="Cambria" w:eastAsia="Cambria"/>
          <w:b/>
          <w:i w:val="0"/>
          <w:color w:val="1F3A5F"/>
          <w:sz w:val="23"/>
        </w:rPr>
        <w:t>2024–25 – Need for advanced international exposure</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Limited global programs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Enrolled in Coursera / edX MOOCs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HRD Cell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Improved teaching innovation</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HR_Audit_2025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NPTEL / MOOC Course Completion Details (Last 3 Years)</w:t>
      </w:r>
    </w:p>
    <w:tbl>
      <w:tblPr>
        <w:tblW w:type="auto" w:w="0"/>
        <w:jc w:val="center"/>
        <w:tblLook w:firstColumn="1" w:firstRow="1" w:lastColumn="0" w:lastRow="0" w:noHBand="0" w:noVBand="1" w:val="04A0"/>
        <w:tblLayout w:type="fixed"/>
        <w:tblLayout w:type="fixed"/>
      </w:tblPr>
      <w:tblGrid>
        <w:gridCol w:w="850"/>
        <w:gridCol w:w="1134"/>
        <w:gridCol w:w="1701"/>
        <w:gridCol w:w="1134"/>
        <w:gridCol w:w="907"/>
        <w:gridCol w:w="907"/>
        <w:gridCol w:w="1134"/>
        <w:gridCol w:w="1304"/>
      </w:tblGrid>
      <w:tr>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6"/>
              </w:rPr>
              <w:t>Year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6"/>
              </w:rPr>
              <w:t>Faculty Name</w:t>
            </w:r>
          </w:p>
        </w:tc>
        <w:tc>
          <w:tcPr>
            <w:tcW w:type="dxa" w:w="1701"/>
            <w:tcBorders>
              <w:top w:val="single" w:sz="4" w:space="0" w:color="BFBFBF"/>
              <w:left w:val="single" w:sz="4" w:space="0" w:color="BFBFBF"/>
              <w:bottom w:val="single" w:sz="4" w:space="0" w:color="BFBFBF"/>
              <w:right w:val="single" w:sz="4" w:space="0" w:color="BFBFBF"/>
            </w:tcBorders>
            <w:tcW w:w="1701" w:type="dxa"/>
            <w:shd w:val="clear" w:color="auto" w:fill="1F3A5F"/>
            <w:tcW w:w="1701" w:type="dxa"/>
          </w:tcPr>
          <w:p>
            <w:pPr>
              <w:spacing w:after="40" w:before="40" w:line="264" w:lineRule="auto"/>
              <w:jc w:val="center"/>
            </w:pPr>
            <w:r/>
            <w:r>
              <w:rPr>
                <w:rFonts w:ascii="Cambria" w:hAnsi="Cambria" w:eastAsia="Cambria"/>
                <w:b/>
                <w:i w:val="0"/>
                <w:color w:val="FFFFFF"/>
                <w:sz w:val="16"/>
              </w:rPr>
              <w:t>Course Title</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6"/>
              </w:rPr>
              <w:t>Platform</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6"/>
              </w:rPr>
              <w:t>Duration</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6"/>
              </w:rPr>
              <w:t>Final Score (%)</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6"/>
              </w:rPr>
              <w:t>Certificate ID</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6"/>
              </w:rPr>
              <w:t>Evidence Reference</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6"/>
              </w:rPr>
              <w:t>2022–23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Ms. S. Iyer</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6"/>
              </w:rPr>
              <w:t>“Machine Learning”</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NPTEL</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8 Weeks</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89</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NPTEL12345</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NPTEL_Cert_2023</w:t>
            </w:r>
          </w:p>
        </w:tc>
      </w:tr>
      <w:tr>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6"/>
              </w:rPr>
              <w:t>2023–24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Mr. A. Menon</w:t>
            </w:r>
          </w:p>
        </w:tc>
        <w:tc>
          <w:tcPr>
            <w:tcW w:type="dxa" w:w="1701"/>
            <w:shd w:val="clear" w:color="auto" w:fill="FFFFFF"/>
            <w:tcW w:w="1701" w:type="dxa"/>
          </w:tcPr>
          <w:p>
            <w:pPr>
              <w:spacing w:after="40" w:before="40" w:line="264" w:lineRule="auto"/>
              <w:jc w:val="left"/>
            </w:pPr>
            <w:r/>
            <w:r>
              <w:rPr>
                <w:rFonts w:ascii="Cambria" w:hAnsi="Cambria" w:eastAsia="Cambria"/>
                <w:b w:val="0"/>
                <w:i w:val="0"/>
                <w:color w:val="000000"/>
                <w:sz w:val="16"/>
              </w:rPr>
              <w:t>“Internet of Things”</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SWAYAM</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6"/>
              </w:rPr>
              <w:t>12 Weeks</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6"/>
              </w:rPr>
              <w:t>82</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SWAYAM789</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6"/>
              </w:rPr>
              <w:t>SWAYAM_Proof_2024</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6"/>
              </w:rPr>
              <w:t>2024–25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Dr. R. Kumar</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6"/>
              </w:rPr>
              <w:t>“AI Ethics and Explainability”</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Coursera</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6 Weeks</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94</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CRS-1122</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Coursera_Cert_2025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Faculty Development Hours Summary</w:t>
      </w:r>
    </w:p>
    <w:tbl>
      <w:tblPr>
        <w:tblW w:type="auto" w:w="0"/>
        <w:jc w:val="center"/>
        <w:tblLook w:firstColumn="1" w:firstRow="1" w:lastColumn="0" w:lastRow="0" w:noHBand="0" w:noVBand="1" w:val="04A0"/>
        <w:tblLayout w:type="fixed"/>
        <w:tblLayout w:type="fixed"/>
      </w:tblPr>
      <w:tblGrid>
        <w:gridCol w:w="907"/>
        <w:gridCol w:w="2438"/>
        <w:gridCol w:w="1587"/>
        <w:gridCol w:w="2154"/>
        <w:gridCol w:w="1984"/>
      </w:tblGrid>
      <w:tr>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7"/>
              </w:rPr>
              <w:t>Year</w:t>
            </w:r>
          </w:p>
        </w:tc>
        <w:tc>
          <w:tcPr>
            <w:tcW w:type="dxa" w:w="2438"/>
            <w:tcBorders>
              <w:top w:val="single" w:sz="4" w:space="0" w:color="BFBFBF"/>
              <w:left w:val="single" w:sz="4" w:space="0" w:color="BFBFBF"/>
              <w:bottom w:val="single" w:sz="4" w:space="0" w:color="BFBFBF"/>
              <w:right w:val="single" w:sz="4" w:space="0" w:color="BFBFBF"/>
            </w:tcBorders>
            <w:tcW w:w="2438" w:type="dxa"/>
            <w:shd w:val="clear" w:color="auto" w:fill="1F3A5F"/>
            <w:tcW w:w="2438" w:type="dxa"/>
          </w:tcPr>
          <w:p>
            <w:pPr>
              <w:spacing w:after="40" w:before="40" w:line="264" w:lineRule="auto"/>
              <w:jc w:val="center"/>
            </w:pPr>
            <w:r/>
            <w:r>
              <w:rPr>
                <w:rFonts w:ascii="Cambria" w:hAnsi="Cambria" w:eastAsia="Cambria"/>
                <w:b/>
                <w:i w:val="0"/>
                <w:color w:val="FFFFFF"/>
                <w:sz w:val="17"/>
              </w:rPr>
              <w:t>Total Hours of FDP / Training Attended (All Faculty)</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7"/>
              </w:rPr>
              <w:t>Average Hours per Faculty</w:t>
            </w:r>
          </w:p>
        </w:tc>
        <w:tc>
          <w:tcPr>
            <w:tcW w:type="dxa" w:w="2154"/>
            <w:tcBorders>
              <w:top w:val="single" w:sz="4" w:space="0" w:color="BFBFBF"/>
              <w:left w:val="single" w:sz="4" w:space="0" w:color="BFBFBF"/>
              <w:bottom w:val="single" w:sz="4" w:space="0" w:color="BFBFBF"/>
              <w:right w:val="single" w:sz="4" w:space="0" w:color="BFBFBF"/>
            </w:tcBorders>
            <w:tcW w:w="2154" w:type="dxa"/>
            <w:shd w:val="clear" w:color="auto" w:fill="1F3A5F"/>
            <w:tcW w:w="2154" w:type="dxa"/>
          </w:tcPr>
          <w:p>
            <w:pPr>
              <w:spacing w:after="40" w:before="40" w:line="264" w:lineRule="auto"/>
              <w:jc w:val="center"/>
            </w:pPr>
            <w:r/>
            <w:r>
              <w:rPr>
                <w:rFonts w:ascii="Cambria" w:hAnsi="Cambria" w:eastAsia="Cambria"/>
                <w:b/>
                <w:i w:val="0"/>
                <w:color w:val="FFFFFF"/>
                <w:sz w:val="17"/>
              </w:rPr>
              <w:t>Compliance with NBA (Minimum 40 Hours/Year)</w:t>
            </w:r>
          </w:p>
        </w:tc>
        <w:tc>
          <w:tcPr>
            <w:tcW w:type="dxa" w:w="1984"/>
            <w:tcBorders>
              <w:top w:val="single" w:sz="4" w:space="0" w:color="BFBFBF"/>
              <w:left w:val="single" w:sz="4" w:space="0" w:color="BFBFBF"/>
              <w:bottom w:val="single" w:sz="4" w:space="0" w:color="BFBFBF"/>
              <w:right w:val="single" w:sz="4" w:space="0" w:color="BFBFBF"/>
            </w:tcBorders>
            <w:tcW w:w="1984" w:type="dxa"/>
            <w:shd w:val="clear" w:color="auto" w:fill="1F3A5F"/>
            <w:tcW w:w="1984" w:type="dxa"/>
          </w:tcPr>
          <w:p>
            <w:pPr>
              <w:spacing w:after="40" w:before="40" w:line="264" w:lineRule="auto"/>
              <w:jc w:val="center"/>
            </w:pPr>
            <w:r/>
            <w:r>
              <w:rPr>
                <w:rFonts w:ascii="Cambria" w:hAnsi="Cambria" w:eastAsia="Cambria"/>
                <w:b/>
                <w:i w:val="0"/>
                <w:color w:val="FFFFFF"/>
                <w:sz w:val="17"/>
              </w:rPr>
              <w:t>Remarks</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7"/>
              </w:rPr>
              <w:t>2022–23</w:t>
            </w:r>
          </w:p>
        </w:tc>
        <w:tc>
          <w:tcPr>
            <w:tcW w:type="dxa" w:w="2438"/>
            <w:shd w:val="clear" w:color="auto" w:fill="E8ECF2"/>
            <w:tcW w:w="2438" w:type="dxa"/>
          </w:tcPr>
          <w:p>
            <w:pPr>
              <w:spacing w:after="40" w:before="40" w:line="264" w:lineRule="auto"/>
              <w:jc w:val="left"/>
            </w:pPr>
            <w:r/>
            <w:r>
              <w:rPr>
                <w:rFonts w:ascii="Cambria" w:hAnsi="Cambria" w:eastAsia="Cambria"/>
                <w:b w:val="0"/>
                <w:i w:val="0"/>
                <w:color w:val="000000"/>
                <w:sz w:val="17"/>
              </w:rPr>
              <w:t>260 Hours</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7"/>
              </w:rPr>
              <w:t>32.5 Hours</w:t>
            </w:r>
          </w:p>
        </w:tc>
        <w:tc>
          <w:tcPr>
            <w:tcW w:type="dxa" w:w="2154"/>
            <w:shd w:val="clear" w:color="auto" w:fill="E8ECF2"/>
            <w:tcW w:w="2154" w:type="dxa"/>
          </w:tcPr>
          <w:p>
            <w:pPr>
              <w:spacing w:after="40" w:before="40" w:line="264" w:lineRule="auto"/>
              <w:jc w:val="left"/>
            </w:pPr>
            <w:r/>
            <w:r>
              <w:rPr>
                <w:rFonts w:ascii="Cambria" w:hAnsi="Cambria" w:eastAsia="Cambria"/>
                <w:b w:val="0"/>
                <w:i w:val="0"/>
                <w:color w:val="000000"/>
                <w:sz w:val="17"/>
              </w:rPr>
              <w:t>Partially Compliant</w:t>
            </w:r>
          </w:p>
        </w:tc>
        <w:tc>
          <w:tcPr>
            <w:tcW w:type="dxa" w:w="1984"/>
            <w:shd w:val="clear" w:color="auto" w:fill="E8ECF2"/>
            <w:tcW w:w="1984" w:type="dxa"/>
          </w:tcPr>
          <w:p>
            <w:pPr>
              <w:spacing w:after="40" w:before="40" w:line="264" w:lineRule="auto"/>
              <w:jc w:val="left"/>
            </w:pPr>
            <w:r/>
            <w:r>
              <w:rPr>
                <w:rFonts w:ascii="Cambria" w:hAnsi="Cambria" w:eastAsia="Cambria"/>
                <w:b w:val="0"/>
                <w:i w:val="0"/>
                <w:color w:val="000000"/>
                <w:sz w:val="17"/>
              </w:rPr>
              <w:t>Encourage more external FDPs</w:t>
            </w:r>
          </w:p>
        </w:tc>
      </w:tr>
      <w:tr>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7"/>
              </w:rPr>
              <w:t>2023–24</w:t>
            </w:r>
          </w:p>
        </w:tc>
        <w:tc>
          <w:tcPr>
            <w:tcW w:type="dxa" w:w="2438"/>
            <w:shd w:val="clear" w:color="auto" w:fill="FFFFFF"/>
            <w:tcW w:w="2438" w:type="dxa"/>
          </w:tcPr>
          <w:p>
            <w:pPr>
              <w:spacing w:after="40" w:before="40" w:line="264" w:lineRule="auto"/>
              <w:jc w:val="left"/>
            </w:pPr>
            <w:r/>
            <w:r>
              <w:rPr>
                <w:rFonts w:ascii="Cambria" w:hAnsi="Cambria" w:eastAsia="Cambria"/>
                <w:b w:val="0"/>
                <w:i w:val="0"/>
                <w:color w:val="000000"/>
                <w:sz w:val="17"/>
              </w:rPr>
              <w:t>410 Hours</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7"/>
              </w:rPr>
              <w:t>45.5 Hours</w:t>
            </w:r>
          </w:p>
        </w:tc>
        <w:tc>
          <w:tcPr>
            <w:tcW w:type="dxa" w:w="2154"/>
            <w:shd w:val="clear" w:color="auto" w:fill="FFFFFF"/>
            <w:tcW w:w="2154" w:type="dxa"/>
          </w:tcPr>
          <w:p>
            <w:pPr>
              <w:spacing w:after="40" w:before="40" w:line="264" w:lineRule="auto"/>
              <w:jc w:val="left"/>
            </w:pPr>
            <w:r/>
            <w:r>
              <w:rPr>
                <w:rFonts w:ascii="Cambria" w:hAnsi="Cambria" w:eastAsia="Cambria"/>
                <w:b w:val="0"/>
                <w:i w:val="0"/>
                <w:color w:val="000000"/>
                <w:sz w:val="17"/>
              </w:rPr>
              <w:t>Compliant</w:t>
            </w:r>
          </w:p>
        </w:tc>
        <w:tc>
          <w:tcPr>
            <w:tcW w:type="dxa" w:w="1984"/>
            <w:shd w:val="clear" w:color="auto" w:fill="FFFFFF"/>
            <w:tcW w:w="1984" w:type="dxa"/>
          </w:tcPr>
          <w:p>
            <w:pPr>
              <w:spacing w:after="40" w:before="40" w:line="264" w:lineRule="auto"/>
              <w:jc w:val="left"/>
            </w:pPr>
            <w:r/>
            <w:r>
              <w:rPr>
                <w:rFonts w:ascii="Cambria" w:hAnsi="Cambria" w:eastAsia="Cambria"/>
                <w:b w:val="0"/>
                <w:i w:val="0"/>
                <w:color w:val="000000"/>
                <w:sz w:val="17"/>
              </w:rPr>
              <w:t>Achieved NBA benchmark</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7"/>
              </w:rPr>
              <w:t>2024–25</w:t>
            </w:r>
          </w:p>
        </w:tc>
        <w:tc>
          <w:tcPr>
            <w:tcW w:type="dxa" w:w="2438"/>
            <w:shd w:val="clear" w:color="auto" w:fill="E8ECF2"/>
            <w:tcW w:w="2438" w:type="dxa"/>
          </w:tcPr>
          <w:p>
            <w:pPr>
              <w:spacing w:after="40" w:before="40" w:line="264" w:lineRule="auto"/>
              <w:jc w:val="left"/>
            </w:pPr>
            <w:r/>
            <w:r>
              <w:rPr>
                <w:rFonts w:ascii="Cambria" w:hAnsi="Cambria" w:eastAsia="Cambria"/>
                <w:b w:val="0"/>
                <w:i w:val="0"/>
                <w:color w:val="000000"/>
                <w:sz w:val="17"/>
              </w:rPr>
              <w:t>530 Hours</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7"/>
              </w:rPr>
              <w:t>53.0 Hours</w:t>
            </w:r>
          </w:p>
        </w:tc>
        <w:tc>
          <w:tcPr>
            <w:tcW w:type="dxa" w:w="2154"/>
            <w:shd w:val="clear" w:color="auto" w:fill="E8ECF2"/>
            <w:tcW w:w="2154" w:type="dxa"/>
          </w:tcPr>
          <w:p>
            <w:pPr>
              <w:spacing w:after="40" w:before="40" w:line="264" w:lineRule="auto"/>
              <w:jc w:val="left"/>
            </w:pPr>
            <w:r/>
            <w:r>
              <w:rPr>
                <w:rFonts w:ascii="Cambria" w:hAnsi="Cambria" w:eastAsia="Cambria"/>
                <w:b w:val="0"/>
                <w:i w:val="0"/>
                <w:color w:val="000000"/>
                <w:sz w:val="17"/>
              </w:rPr>
              <w:t>Compliant</w:t>
            </w:r>
          </w:p>
        </w:tc>
        <w:tc>
          <w:tcPr>
            <w:tcW w:type="dxa" w:w="1984"/>
            <w:shd w:val="clear" w:color="auto" w:fill="E8ECF2"/>
            <w:tcW w:w="1984" w:type="dxa"/>
          </w:tcPr>
          <w:p>
            <w:pPr>
              <w:spacing w:after="40" w:before="40" w:line="264" w:lineRule="auto"/>
              <w:jc w:val="left"/>
            </w:pPr>
            <w:r/>
            <w:r>
              <w:rPr>
                <w:rFonts w:ascii="Cambria" w:hAnsi="Cambria" w:eastAsia="Cambria"/>
                <w:b w:val="0"/>
                <w:i w:val="0"/>
                <w:color w:val="000000"/>
                <w:sz w:val="17"/>
              </w:rPr>
              <w:t>Excellent participation trend</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Faculty Development Cell (FDC)</w:t>
      </w:r>
      <w:r>
        <w:rPr>
          <w:rFonts w:ascii="Cambria" w:hAnsi="Cambria" w:eastAsia="Cambria"/>
          <w:b w:val="0"/>
          <w:i w:val="0"/>
          <w:color w:val="000000"/>
          <w:sz w:val="22"/>
        </w:rPr>
        <w:t xml:space="preserve"> maintains year-wise FDP/STTP participation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IQAC verification</w:t>
      </w:r>
      <w:r>
        <w:rPr>
          <w:rFonts w:ascii="Cambria" w:hAnsi="Cambria" w:eastAsia="Cambria"/>
          <w:b w:val="0"/>
          <w:i w:val="0"/>
          <w:color w:val="000000"/>
          <w:sz w:val="22"/>
        </w:rPr>
        <w:t xml:space="preserve"> ensures participation aligns with department competency matrix.</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Post-FDP sharing sessions</w:t>
      </w:r>
      <w:r>
        <w:rPr>
          <w:rFonts w:ascii="Cambria" w:hAnsi="Cambria" w:eastAsia="Cambria"/>
          <w:b w:val="0"/>
          <w:i w:val="0"/>
          <w:color w:val="000000"/>
          <w:sz w:val="22"/>
        </w:rPr>
        <w:t xml:space="preserve"> held where trained faculty share learnings with peers.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Performance appraisal system</w:t>
      </w:r>
      <w:r>
        <w:rPr>
          <w:rFonts w:ascii="Cambria" w:hAnsi="Cambria" w:eastAsia="Cambria"/>
          <w:b w:val="0"/>
          <w:i w:val="0"/>
          <w:color w:val="000000"/>
          <w:sz w:val="22"/>
        </w:rPr>
        <w:t xml:space="preserve"> linked to FDP participation and skill development.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6 (Faculty Quality and Development)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all certificates are signed, dated, and verifiable via certificate IDs or URLs.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a digital repository (folder per faculty with FDP/STTP/NPTEL certificates).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Strengthened faculty competencies in both technical and pedagogical domains.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Improved teaching–learning quality and CO–PO attainment through new methodologies.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Increased compliance with AICTE/NBA standards for continuous faculty training.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 Criterion 6 &amp; 10 – Faculty Development, Skill Enhancement, and Continuous Improvement standards.</w:t>
      </w:r>
    </w:p>
    <w:p>
      <w:r>
        <w:br w:type="page"/>
      </w:r>
    </w:p>
    <w:p>
      <w:pPr>
        <w:keepNext/>
        <w:spacing w:before="240" w:after="160"/>
        <w:jc w:val="left"/>
      </w:pPr>
      <w:r>
        <w:rPr>
          <w:rFonts w:ascii="Cambria" w:hAnsi="Cambria" w:eastAsia="Cambria"/>
          <w:b/>
          <w:i w:val="0"/>
          <w:color w:val="1F3A5F"/>
          <w:sz w:val="25"/>
        </w:rPr>
        <w:t>31. P.28 Evidences of faculty publications/books/chapters/citations/IPRs/awards/Ph.D awarded and number of Ph.D scholars guided by faculty members in the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present documented evidence of faculty academic and research contributions in the last three academic years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highlight the department's research ecosystem, scholarly output, and intellectual property generation aligned with institutional and NBA quality standards.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continuous academic excellence through publications, patents, funded projects, awards, and research guidance activities.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Faculty Research Publications: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Publications in Scopus, Web of Science, UGC-CARE, IEEE, Springer, Elsevier, Taylor &amp; Francis, or other reputed journals/conferences.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Details: Title, journal/conference name, year, ISSN/DOI, indexing status, and impact factor.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Books / Book Chapters Authored: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Published by recognized publishers (Springer, CRC Press, Elsevier, Wiley, etc.).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Include ISBN numbers and co-author details.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Citations and Research Metrics: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Google Scholar / Scopus / h-index / i10-index details for each faculty.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IPRs (Patents / Copyrights / Trademarks):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Filed, published, or granted patents; copyrights or design registrations.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Awards and Recognitions: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Research, teaching, innovation, or community service awards at institutional, national, or international levels.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Ph.D. Awarded / Scholars Guided: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Details of faculty members who completed Ph.D. or are guiding research scholars.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Include registered university, scholar names, topics, and completion dates.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Year-wise publication lists verified by the Research Cell / IQAC.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Copies of first pages of publications or DOI screenshots.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Certificates / letters for patents, copyrights, and awards.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Copies of Ph.D. degree certificates and registration letters for scholars.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 Research Advisory Committee (DRAC) and IQAC meeting minutes on research progress.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Faculty Publications (Last 3 Years)</w:t>
      </w:r>
    </w:p>
    <w:tbl>
      <w:tblPr>
        <w:tblW w:type="auto" w:w="0"/>
        <w:jc w:val="center"/>
        <w:tblLook w:firstColumn="1" w:firstRow="1" w:lastColumn="0" w:lastRow="0" w:noHBand="0" w:noVBand="1" w:val="04A0"/>
        <w:tblLayout w:type="fixed"/>
        <w:tblLayout w:type="fixed"/>
      </w:tblPr>
      <w:tblGrid>
        <w:gridCol w:w="907"/>
        <w:gridCol w:w="1134"/>
        <w:gridCol w:w="2041"/>
        <w:gridCol w:w="1474"/>
        <w:gridCol w:w="1134"/>
        <w:gridCol w:w="850"/>
        <w:gridCol w:w="1304"/>
        <w:gridCol w:w="1361"/>
      </w:tblGrid>
      <w:tr>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Year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Faculty Name</w:t>
            </w:r>
          </w:p>
        </w:tc>
        <w:tc>
          <w:tcPr>
            <w:tcW w:type="dxa" w:w="2041"/>
            <w:tcBorders>
              <w:top w:val="single" w:sz="4" w:space="0" w:color="BFBFBF"/>
              <w:left w:val="single" w:sz="4" w:space="0" w:color="BFBFBF"/>
              <w:bottom w:val="single" w:sz="4" w:space="0" w:color="BFBFBF"/>
              <w:right w:val="single" w:sz="4" w:space="0" w:color="BFBFBF"/>
            </w:tcBorders>
            <w:tcW w:w="2041" w:type="dxa"/>
            <w:shd w:val="clear" w:color="auto" w:fill="1F3A5F"/>
            <w:tcW w:w="2041" w:type="dxa"/>
          </w:tcPr>
          <w:p>
            <w:pPr>
              <w:spacing w:after="40" w:before="40" w:line="264" w:lineRule="auto"/>
              <w:jc w:val="center"/>
            </w:pPr>
            <w:r/>
            <w:r>
              <w:rPr>
                <w:rFonts w:ascii="Cambria" w:hAnsi="Cambria" w:eastAsia="Cambria"/>
                <w:b/>
                <w:i w:val="0"/>
                <w:color w:val="FFFFFF"/>
                <w:sz w:val="15"/>
              </w:rPr>
              <w:t>Title of Paper</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Journal/Conference</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Indexing (Scopus/WOS/UGC)</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5"/>
              </w:rPr>
              <w:t>Impact Factor</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5"/>
              </w:rPr>
              <w:t>DOI / ISSN</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5"/>
              </w:rPr>
              <w:t>Evidence Reference</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2022–23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Dr. R. Kumar</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5"/>
              </w:rPr>
              <w:t>“AI-based Predictive Model for Health Analytics”</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IEEE Access</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Scopus</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5.6</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10.1109/XXXX</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Paper_Copy_2023</w:t>
            </w:r>
          </w:p>
        </w:tc>
      </w:tr>
      <w:tr>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2022–23</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Prof. M. Rao</w:t>
            </w:r>
          </w:p>
        </w:tc>
        <w:tc>
          <w:tcPr>
            <w:tcW w:type="dxa" w:w="2041"/>
            <w:shd w:val="clear" w:color="auto" w:fill="FFFFFF"/>
            <w:tcW w:w="2041" w:type="dxa"/>
          </w:tcPr>
          <w:p>
            <w:pPr>
              <w:spacing w:after="40" w:before="40" w:line="264" w:lineRule="auto"/>
              <w:jc w:val="left"/>
            </w:pPr>
            <w:r/>
            <w:r>
              <w:rPr>
                <w:rFonts w:ascii="Cambria" w:hAnsi="Cambria" w:eastAsia="Cambria"/>
                <w:b w:val="0"/>
                <w:i w:val="0"/>
                <w:color w:val="000000"/>
                <w:sz w:val="15"/>
              </w:rPr>
              <w:t>“Data Mining Techniques for Retail Analytics”</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Elsevier J. of Data Science</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Scopus</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5"/>
              </w:rPr>
              <w:t>4.2</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ISSN: 2456-XXX</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5"/>
              </w:rPr>
              <w:t>Journal_Link</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2023–24</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Ms. S. Iyer</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5"/>
              </w:rPr>
              <w:t>“Deep Learning for Image Segmentation”</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Springer LNEE</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Scopus</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3.8</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DOI: 10.1007/XXX</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Springer_Proof</w:t>
            </w:r>
          </w:p>
        </w:tc>
      </w:tr>
      <w:tr>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2024–25</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Mr. A. Menon</w:t>
            </w:r>
          </w:p>
        </w:tc>
        <w:tc>
          <w:tcPr>
            <w:tcW w:type="dxa" w:w="2041"/>
            <w:shd w:val="clear" w:color="auto" w:fill="FFFFFF"/>
            <w:tcW w:w="2041" w:type="dxa"/>
          </w:tcPr>
          <w:p>
            <w:pPr>
              <w:spacing w:after="40" w:before="40" w:line="264" w:lineRule="auto"/>
              <w:jc w:val="left"/>
            </w:pPr>
            <w:r/>
            <w:r>
              <w:rPr>
                <w:rFonts w:ascii="Cambria" w:hAnsi="Cambria" w:eastAsia="Cambria"/>
                <w:b w:val="0"/>
                <w:i w:val="0"/>
                <w:color w:val="000000"/>
                <w:sz w:val="15"/>
              </w:rPr>
              <w:t>“IoT Systems for Smart Energy”</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IJESRT</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UGC-CARE</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5"/>
              </w:rPr>
              <w:t>2.9</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ISSN: 2277-XXX</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5"/>
              </w:rPr>
              <w:t>PDF_Copy</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2024–25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Dr. P. Reddy</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5"/>
              </w:rPr>
              <w:t>“Edge Computing for Cloud Security”</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Elsevier Future Gen. Comp. Syst.</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Scopus</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6.3</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DOI: 10.1016/FGCS.XXXX</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Publication_Proof</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Books and Book Chapters Authored</w:t>
      </w:r>
    </w:p>
    <w:tbl>
      <w:tblPr>
        <w:tblW w:type="auto" w:w="0"/>
        <w:jc w:val="center"/>
        <w:tblLook w:firstColumn="1" w:firstRow="1" w:lastColumn="0" w:lastRow="0" w:noHBand="0" w:noVBand="1" w:val="04A0"/>
        <w:tblLayout w:type="fixed"/>
        <w:tblLayout w:type="fixed"/>
      </w:tblPr>
      <w:tblGrid>
        <w:gridCol w:w="907"/>
        <w:gridCol w:w="1134"/>
        <w:gridCol w:w="1757"/>
        <w:gridCol w:w="1077"/>
        <w:gridCol w:w="1134"/>
        <w:gridCol w:w="1077"/>
        <w:gridCol w:w="964"/>
        <w:gridCol w:w="1247"/>
      </w:tblGrid>
      <w:tr>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6"/>
              </w:rPr>
              <w:t>Year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6"/>
              </w:rPr>
              <w:t>Faculty Name</w:t>
            </w:r>
          </w:p>
        </w:tc>
        <w:tc>
          <w:tcPr>
            <w:tcW w:type="dxa" w:w="1757"/>
            <w:tcBorders>
              <w:top w:val="single" w:sz="4" w:space="0" w:color="BFBFBF"/>
              <w:left w:val="single" w:sz="4" w:space="0" w:color="BFBFBF"/>
              <w:bottom w:val="single" w:sz="4" w:space="0" w:color="BFBFBF"/>
              <w:right w:val="single" w:sz="4" w:space="0" w:color="BFBFBF"/>
            </w:tcBorders>
            <w:tcW w:w="1757" w:type="dxa"/>
            <w:shd w:val="clear" w:color="auto" w:fill="1F3A5F"/>
            <w:tcW w:w="1757" w:type="dxa"/>
          </w:tcPr>
          <w:p>
            <w:pPr>
              <w:spacing w:after="40" w:before="40" w:line="264" w:lineRule="auto"/>
              <w:jc w:val="center"/>
            </w:pPr>
            <w:r/>
            <w:r>
              <w:rPr>
                <w:rFonts w:ascii="Cambria" w:hAnsi="Cambria" w:eastAsia="Cambria"/>
                <w:b/>
                <w:i w:val="0"/>
                <w:color w:val="FFFFFF"/>
                <w:sz w:val="16"/>
              </w:rPr>
              <w:t>Title of Book / Chapter</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6"/>
              </w:rPr>
              <w:t>Publisher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6"/>
              </w:rPr>
              <w:t>ISBN</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6"/>
              </w:rPr>
              <w:t>Type (Book/Chapter)</w:t>
            </w:r>
          </w:p>
        </w:tc>
        <w:tc>
          <w:tcPr>
            <w:tcW w:type="dxa" w:w="964"/>
            <w:tcBorders>
              <w:top w:val="single" w:sz="4" w:space="0" w:color="BFBFBF"/>
              <w:left w:val="single" w:sz="4" w:space="0" w:color="BFBFBF"/>
              <w:bottom w:val="single" w:sz="4" w:space="0" w:color="BFBFBF"/>
              <w:right w:val="single" w:sz="4" w:space="0" w:color="BFBFBF"/>
            </w:tcBorders>
            <w:tcW w:w="964" w:type="dxa"/>
            <w:shd w:val="clear" w:color="auto" w:fill="1F3A5F"/>
            <w:tcW w:w="964" w:type="dxa"/>
          </w:tcPr>
          <w:p>
            <w:pPr>
              <w:spacing w:after="40" w:before="40" w:line="264" w:lineRule="auto"/>
              <w:jc w:val="center"/>
            </w:pPr>
            <w:r/>
            <w:r>
              <w:rPr>
                <w:rFonts w:ascii="Cambria" w:hAnsi="Cambria" w:eastAsia="Cambria"/>
                <w:b/>
                <w:i w:val="0"/>
                <w:color w:val="FFFFFF"/>
                <w:sz w:val="16"/>
              </w:rPr>
              <w:t>Co-authors</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6"/>
              </w:rPr>
              <w:t>Evidence Reference</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2022–23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Dr. R. Kumar</w:t>
            </w:r>
          </w:p>
        </w:tc>
        <w:tc>
          <w:tcPr>
            <w:tcW w:type="dxa" w:w="1757"/>
            <w:shd w:val="clear" w:color="auto" w:fill="E8ECF2"/>
            <w:tcW w:w="1757" w:type="dxa"/>
          </w:tcPr>
          <w:p>
            <w:pPr>
              <w:spacing w:after="40" w:before="40" w:line="264" w:lineRule="auto"/>
              <w:jc w:val="left"/>
            </w:pPr>
            <w:r/>
            <w:r>
              <w:rPr>
                <w:rFonts w:ascii="Cambria" w:hAnsi="Cambria" w:eastAsia="Cambria"/>
                <w:b w:val="0"/>
                <w:i w:val="0"/>
                <w:color w:val="000000"/>
                <w:sz w:val="16"/>
              </w:rPr>
              <w:t>Machine Learning with Python</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6"/>
              </w:rPr>
              <w:t>Springer</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978-981-XXXX</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6"/>
              </w:rPr>
              <w:t>Book</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6"/>
              </w:rPr>
              <w:t>–</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6"/>
              </w:rPr>
              <w:t>ISBN_Copy_2023</w:t>
            </w:r>
          </w:p>
        </w:tc>
      </w:tr>
      <w:tr>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6"/>
              </w:rPr>
              <w:t>2023–24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Ms. S. Iyer</w:t>
            </w:r>
          </w:p>
        </w:tc>
        <w:tc>
          <w:tcPr>
            <w:tcW w:type="dxa" w:w="1757"/>
            <w:shd w:val="clear" w:color="auto" w:fill="FFFFFF"/>
            <w:tcW w:w="1757" w:type="dxa"/>
          </w:tcPr>
          <w:p>
            <w:pPr>
              <w:spacing w:after="40" w:before="40" w:line="264" w:lineRule="auto"/>
              <w:jc w:val="left"/>
            </w:pPr>
            <w:r/>
            <w:r>
              <w:rPr>
                <w:rFonts w:ascii="Cambria" w:hAnsi="Cambria" w:eastAsia="Cambria"/>
                <w:b w:val="0"/>
                <w:i w:val="0"/>
                <w:color w:val="000000"/>
                <w:sz w:val="16"/>
              </w:rPr>
              <w:t>“AI for Computer Vision”</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6"/>
              </w:rPr>
              <w:t>CRC Press</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978-93-XXXX</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6"/>
              </w:rPr>
              <w:t>Chapter</w:t>
            </w:r>
          </w:p>
        </w:tc>
        <w:tc>
          <w:tcPr>
            <w:tcW w:type="dxa" w:w="964"/>
            <w:shd w:val="clear" w:color="auto" w:fill="FFFFFF"/>
            <w:tcW w:w="964" w:type="dxa"/>
          </w:tcPr>
          <w:p>
            <w:pPr>
              <w:spacing w:after="40" w:before="40" w:line="264" w:lineRule="auto"/>
              <w:jc w:val="left"/>
            </w:pPr>
            <w:r/>
            <w:r>
              <w:rPr>
                <w:rFonts w:ascii="Cambria" w:hAnsi="Cambria" w:eastAsia="Cambria"/>
                <w:b w:val="0"/>
                <w:i w:val="0"/>
                <w:color w:val="000000"/>
                <w:sz w:val="16"/>
              </w:rPr>
              <w:t>Dr. M. Rao</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6"/>
              </w:rPr>
              <w:t>CRC_Proof_2024</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2024–25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Prof. M. Rao</w:t>
            </w:r>
          </w:p>
        </w:tc>
        <w:tc>
          <w:tcPr>
            <w:tcW w:type="dxa" w:w="1757"/>
            <w:shd w:val="clear" w:color="auto" w:fill="E8ECF2"/>
            <w:tcW w:w="1757" w:type="dxa"/>
          </w:tcPr>
          <w:p>
            <w:pPr>
              <w:spacing w:after="40" w:before="40" w:line="264" w:lineRule="auto"/>
              <w:jc w:val="left"/>
            </w:pPr>
            <w:r/>
            <w:r>
              <w:rPr>
                <w:rFonts w:ascii="Cambria" w:hAnsi="Cambria" w:eastAsia="Cambria"/>
                <w:b w:val="0"/>
                <w:i w:val="0"/>
                <w:color w:val="000000"/>
                <w:sz w:val="16"/>
              </w:rPr>
              <w:t>Data Analytics Fundamentals</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6"/>
              </w:rPr>
              <w:t>Wiley India</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978-81-XXXX</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6"/>
              </w:rPr>
              <w:t>Book</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6"/>
              </w:rPr>
              <w:t>–</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6"/>
              </w:rPr>
              <w:t>Copyright_2025</w:t>
            </w:r>
          </w:p>
        </w:tc>
      </w:tr>
    </w:tbl>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Citations and Research Metrics</w:t>
      </w:r>
    </w:p>
    <w:tbl>
      <w:tblPr>
        <w:tblW w:type="auto" w:w="0"/>
        <w:jc w:val="center"/>
        <w:tblLook w:firstColumn="1" w:firstRow="1" w:lastColumn="0" w:lastRow="0" w:noHBand="0" w:noVBand="1" w:val="04A0"/>
        <w:tblLayout w:type="fixed"/>
        <w:tblLayout w:type="fixed"/>
      </w:tblPr>
      <w:tblGrid>
        <w:gridCol w:w="1474"/>
        <w:gridCol w:w="1474"/>
        <w:gridCol w:w="964"/>
        <w:gridCol w:w="964"/>
        <w:gridCol w:w="1304"/>
        <w:gridCol w:w="1247"/>
        <w:gridCol w:w="1474"/>
      </w:tblGrid>
      <w:tr>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8"/>
              </w:rPr>
              <w:t>Faculty Name</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8"/>
              </w:rPr>
              <w:t>Google Scholar Citations</w:t>
            </w:r>
          </w:p>
        </w:tc>
        <w:tc>
          <w:tcPr>
            <w:tcW w:type="dxa" w:w="964"/>
            <w:tcBorders>
              <w:top w:val="single" w:sz="4" w:space="0" w:color="BFBFBF"/>
              <w:left w:val="single" w:sz="4" w:space="0" w:color="BFBFBF"/>
              <w:bottom w:val="single" w:sz="4" w:space="0" w:color="BFBFBF"/>
              <w:right w:val="single" w:sz="4" w:space="0" w:color="BFBFBF"/>
            </w:tcBorders>
            <w:tcW w:w="964" w:type="dxa"/>
            <w:shd w:val="clear" w:color="auto" w:fill="1F3A5F"/>
            <w:tcW w:w="964" w:type="dxa"/>
          </w:tcPr>
          <w:p>
            <w:pPr>
              <w:spacing w:after="40" w:before="40" w:line="264" w:lineRule="auto"/>
              <w:jc w:val="center"/>
            </w:pPr>
            <w:r/>
            <w:r>
              <w:rPr>
                <w:rFonts w:ascii="Cambria" w:hAnsi="Cambria" w:eastAsia="Cambria"/>
                <w:b/>
                <w:i w:val="0"/>
                <w:color w:val="FFFFFF"/>
                <w:sz w:val="18"/>
              </w:rPr>
              <w:t>h-index</w:t>
            </w:r>
          </w:p>
        </w:tc>
        <w:tc>
          <w:tcPr>
            <w:tcW w:type="dxa" w:w="964"/>
            <w:tcBorders>
              <w:top w:val="single" w:sz="4" w:space="0" w:color="BFBFBF"/>
              <w:left w:val="single" w:sz="4" w:space="0" w:color="BFBFBF"/>
              <w:bottom w:val="single" w:sz="4" w:space="0" w:color="BFBFBF"/>
              <w:right w:val="single" w:sz="4" w:space="0" w:color="BFBFBF"/>
            </w:tcBorders>
            <w:tcW w:w="964" w:type="dxa"/>
            <w:shd w:val="clear" w:color="auto" w:fill="1F3A5F"/>
            <w:tcW w:w="964" w:type="dxa"/>
          </w:tcPr>
          <w:p>
            <w:pPr>
              <w:spacing w:after="40" w:before="40" w:line="264" w:lineRule="auto"/>
              <w:jc w:val="center"/>
            </w:pPr>
            <w:r/>
            <w:r>
              <w:rPr>
                <w:rFonts w:ascii="Cambria" w:hAnsi="Cambria" w:eastAsia="Cambria"/>
                <w:b/>
                <w:i w:val="0"/>
                <w:color w:val="FFFFFF"/>
                <w:sz w:val="18"/>
              </w:rPr>
              <w:t>i10-index</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8"/>
              </w:rPr>
              <w:t>Scopus Citations</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8"/>
              </w:rPr>
              <w:t>Scopus h-index</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8"/>
              </w:rPr>
              <w:t>Evidence Reference</w:t>
            </w:r>
          </w:p>
        </w:tc>
      </w:tr>
      <w:tr>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8"/>
              </w:rPr>
              <w:t>Dr. R. Kumar</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8"/>
              </w:rPr>
              <w:t>450</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8"/>
              </w:rPr>
              <w:t>10</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8"/>
              </w:rPr>
              <w:t>8</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8"/>
              </w:rPr>
              <w:t>320</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8"/>
              </w:rPr>
              <w:t>7</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8"/>
              </w:rPr>
              <w:t>Scholar_Profile_2025</w:t>
            </w:r>
          </w:p>
        </w:tc>
      </w:tr>
      <w:tr>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8"/>
              </w:rPr>
              <w:t>Prof. M. Rao</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8"/>
              </w:rPr>
              <w:t>280</w:t>
            </w:r>
          </w:p>
        </w:tc>
        <w:tc>
          <w:tcPr>
            <w:tcW w:type="dxa" w:w="964"/>
            <w:shd w:val="clear" w:color="auto" w:fill="FFFFFF"/>
            <w:tcW w:w="964" w:type="dxa"/>
          </w:tcPr>
          <w:p>
            <w:pPr>
              <w:spacing w:after="40" w:before="40" w:line="264" w:lineRule="auto"/>
              <w:jc w:val="left"/>
            </w:pPr>
            <w:r/>
            <w:r>
              <w:rPr>
                <w:rFonts w:ascii="Cambria" w:hAnsi="Cambria" w:eastAsia="Cambria"/>
                <w:b w:val="0"/>
                <w:i w:val="0"/>
                <w:color w:val="000000"/>
                <w:sz w:val="18"/>
              </w:rPr>
              <w:t>8</w:t>
            </w:r>
          </w:p>
        </w:tc>
        <w:tc>
          <w:tcPr>
            <w:tcW w:type="dxa" w:w="964"/>
            <w:shd w:val="clear" w:color="auto" w:fill="FFFFFF"/>
            <w:tcW w:w="964" w:type="dxa"/>
          </w:tcPr>
          <w:p>
            <w:pPr>
              <w:spacing w:after="40" w:before="40" w:line="264" w:lineRule="auto"/>
              <w:jc w:val="left"/>
            </w:pPr>
            <w:r/>
            <w:r>
              <w:rPr>
                <w:rFonts w:ascii="Cambria" w:hAnsi="Cambria" w:eastAsia="Cambria"/>
                <w:b w:val="0"/>
                <w:i w:val="0"/>
                <w:color w:val="000000"/>
                <w:sz w:val="18"/>
              </w:rPr>
              <w:t>6</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8"/>
              </w:rPr>
              <w:t>210</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8"/>
              </w:rPr>
              <w:t>6</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8"/>
              </w:rPr>
              <w:t>Scopus_2025</w:t>
            </w:r>
          </w:p>
        </w:tc>
      </w:tr>
      <w:tr>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8"/>
              </w:rPr>
              <w:t>Ms. S. Iyer</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8"/>
              </w:rPr>
              <w:t>190</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8"/>
              </w:rPr>
              <w:t>6</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8"/>
              </w:rPr>
              <w:t>5</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8"/>
              </w:rPr>
              <w:t>140</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8"/>
              </w:rPr>
              <w:t>4</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8"/>
              </w:rPr>
              <w:t>GS_Link_2024</w:t>
            </w:r>
          </w:p>
        </w:tc>
      </w:tr>
      <w:tr>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8"/>
              </w:rPr>
              <w:t>Dr. P. Reddy</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8"/>
              </w:rPr>
              <w:t>510</w:t>
            </w:r>
          </w:p>
        </w:tc>
        <w:tc>
          <w:tcPr>
            <w:tcW w:type="dxa" w:w="964"/>
            <w:shd w:val="clear" w:color="auto" w:fill="FFFFFF"/>
            <w:tcW w:w="964" w:type="dxa"/>
          </w:tcPr>
          <w:p>
            <w:pPr>
              <w:spacing w:after="40" w:before="40" w:line="264" w:lineRule="auto"/>
              <w:jc w:val="left"/>
            </w:pPr>
            <w:r/>
            <w:r>
              <w:rPr>
                <w:rFonts w:ascii="Cambria" w:hAnsi="Cambria" w:eastAsia="Cambria"/>
                <w:b w:val="0"/>
                <w:i w:val="0"/>
                <w:color w:val="000000"/>
                <w:sz w:val="18"/>
              </w:rPr>
              <w:t>12</w:t>
            </w:r>
          </w:p>
        </w:tc>
        <w:tc>
          <w:tcPr>
            <w:tcW w:type="dxa" w:w="964"/>
            <w:shd w:val="clear" w:color="auto" w:fill="FFFFFF"/>
            <w:tcW w:w="964" w:type="dxa"/>
          </w:tcPr>
          <w:p>
            <w:pPr>
              <w:spacing w:after="40" w:before="40" w:line="264" w:lineRule="auto"/>
              <w:jc w:val="left"/>
            </w:pPr>
            <w:r/>
            <w:r>
              <w:rPr>
                <w:rFonts w:ascii="Cambria" w:hAnsi="Cambria" w:eastAsia="Cambria"/>
                <w:b w:val="0"/>
                <w:i w:val="0"/>
                <w:color w:val="000000"/>
                <w:sz w:val="18"/>
              </w:rPr>
              <w:t>9</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8"/>
              </w:rPr>
              <w:t>370</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8"/>
              </w:rPr>
              <w:t>8</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8"/>
              </w:rPr>
              <w:t>GS_Profile_2025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IPRs (Patents / Copyrights / Designs)</w:t>
      </w:r>
    </w:p>
    <w:tbl>
      <w:tblPr>
        <w:tblW w:type="auto" w:w="0"/>
        <w:jc w:val="center"/>
        <w:tblLook w:firstColumn="1" w:firstRow="1" w:lastColumn="0" w:lastRow="0" w:noHBand="0" w:noVBand="1" w:val="04A0"/>
        <w:tblLayout w:type="fixed"/>
        <w:tblLayout w:type="fixed"/>
      </w:tblPr>
      <w:tblGrid>
        <w:gridCol w:w="907"/>
        <w:gridCol w:w="1134"/>
        <w:gridCol w:w="2041"/>
        <w:gridCol w:w="1134"/>
        <w:gridCol w:w="1134"/>
        <w:gridCol w:w="1191"/>
        <w:gridCol w:w="907"/>
        <w:gridCol w:w="1077"/>
      </w:tblGrid>
      <w:tr>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Year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Faculty Name</w:t>
            </w:r>
          </w:p>
        </w:tc>
        <w:tc>
          <w:tcPr>
            <w:tcW w:type="dxa" w:w="2041"/>
            <w:tcBorders>
              <w:top w:val="single" w:sz="4" w:space="0" w:color="BFBFBF"/>
              <w:left w:val="single" w:sz="4" w:space="0" w:color="BFBFBF"/>
              <w:bottom w:val="single" w:sz="4" w:space="0" w:color="BFBFBF"/>
              <w:right w:val="single" w:sz="4" w:space="0" w:color="BFBFBF"/>
            </w:tcBorders>
            <w:tcW w:w="2041" w:type="dxa"/>
            <w:shd w:val="clear" w:color="auto" w:fill="1F3A5F"/>
            <w:tcW w:w="2041" w:type="dxa"/>
          </w:tcPr>
          <w:p>
            <w:pPr>
              <w:spacing w:after="40" w:before="40" w:line="264" w:lineRule="auto"/>
              <w:jc w:val="center"/>
            </w:pPr>
            <w:r/>
            <w:r>
              <w:rPr>
                <w:rFonts w:ascii="Cambria" w:hAnsi="Cambria" w:eastAsia="Cambria"/>
                <w:b/>
                <w:i w:val="0"/>
                <w:color w:val="FFFFFF"/>
                <w:sz w:val="15"/>
              </w:rPr>
              <w:t>Title of IPR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Type (Patent/Copyright)</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Status (Filed/Published/Granted)</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5"/>
              </w:rPr>
              <w:t>Application No.</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Date</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5"/>
              </w:rPr>
              <w:t>Evidence Reference</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2022–23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Dr. R. Kumar</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5"/>
              </w:rPr>
              <w:t>“AI-based Predictive Energy System”</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Patent</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Published</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2022/IN/XXXX</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05-03-2023</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5"/>
              </w:rPr>
              <w:t>Patent_Doc_2023</w:t>
            </w:r>
          </w:p>
        </w:tc>
      </w:tr>
      <w:tr>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2023–24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Ms. S. Iyer</w:t>
            </w:r>
          </w:p>
        </w:tc>
        <w:tc>
          <w:tcPr>
            <w:tcW w:type="dxa" w:w="2041"/>
            <w:shd w:val="clear" w:color="auto" w:fill="FFFFFF"/>
            <w:tcW w:w="2041" w:type="dxa"/>
          </w:tcPr>
          <w:p>
            <w:pPr>
              <w:spacing w:after="40" w:before="40" w:line="264" w:lineRule="auto"/>
              <w:jc w:val="left"/>
            </w:pPr>
            <w:r/>
            <w:r>
              <w:rPr>
                <w:rFonts w:ascii="Cambria" w:hAnsi="Cambria" w:eastAsia="Cambria"/>
                <w:b w:val="0"/>
                <w:i w:val="0"/>
                <w:color w:val="000000"/>
                <w:sz w:val="15"/>
              </w:rPr>
              <w:t>“Educational Game for Learning Algorithms”</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Copyright</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Granted</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CR-12345/2023</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20-08-2023</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5"/>
              </w:rPr>
              <w:t>Copyright_2024</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2024–25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Prof. M. Rao</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5"/>
              </w:rPr>
              <w:t>“Data Security Blockchain Model”</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Patent</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Filed</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2024/IN/XXXX</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15-02-2025</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5"/>
              </w:rPr>
              <w:t>IPR_Proof_2025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Awards &amp; Recognitions Received by Faculty (3 Years)</w:t>
      </w:r>
    </w:p>
    <w:tbl>
      <w:tblPr>
        <w:tblW w:type="auto" w:w="0"/>
        <w:jc w:val="center"/>
        <w:tblLook w:firstColumn="1" w:firstRow="1" w:lastColumn="0" w:lastRow="0" w:noHBand="0" w:noVBand="1" w:val="04A0"/>
        <w:tblLayout w:type="fixed"/>
        <w:tblLayout w:type="fixed"/>
      </w:tblPr>
      <w:tblGrid>
        <w:gridCol w:w="907"/>
        <w:gridCol w:w="1191"/>
        <w:gridCol w:w="1587"/>
        <w:gridCol w:w="1304"/>
        <w:gridCol w:w="1701"/>
        <w:gridCol w:w="1247"/>
        <w:gridCol w:w="1304"/>
      </w:tblGrid>
      <w:tr>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6"/>
              </w:rPr>
              <w:t>Year</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6"/>
              </w:rPr>
              <w:t>Faculty Name</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6"/>
              </w:rPr>
              <w:t>Award Title</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6"/>
              </w:rPr>
              <w:t>Awarding Organization</w:t>
            </w:r>
          </w:p>
        </w:tc>
        <w:tc>
          <w:tcPr>
            <w:tcW w:type="dxa" w:w="1701"/>
            <w:tcBorders>
              <w:top w:val="single" w:sz="4" w:space="0" w:color="BFBFBF"/>
              <w:left w:val="single" w:sz="4" w:space="0" w:color="BFBFBF"/>
              <w:bottom w:val="single" w:sz="4" w:space="0" w:color="BFBFBF"/>
              <w:right w:val="single" w:sz="4" w:space="0" w:color="BFBFBF"/>
            </w:tcBorders>
            <w:tcW w:w="1701" w:type="dxa"/>
            <w:shd w:val="clear" w:color="auto" w:fill="1F3A5F"/>
            <w:tcW w:w="1701" w:type="dxa"/>
          </w:tcPr>
          <w:p>
            <w:pPr>
              <w:spacing w:after="40" w:before="40" w:line="264" w:lineRule="auto"/>
              <w:jc w:val="center"/>
            </w:pPr>
            <w:r/>
            <w:r>
              <w:rPr>
                <w:rFonts w:ascii="Cambria" w:hAnsi="Cambria" w:eastAsia="Cambria"/>
                <w:b/>
                <w:i w:val="0"/>
                <w:color w:val="FFFFFF"/>
                <w:sz w:val="16"/>
              </w:rPr>
              <w:t>Level (State/National/International)</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6"/>
              </w:rPr>
              <w:t>Area of Achievement</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6"/>
              </w:rPr>
              <w:t>Evidence Reference</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2022–23</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6"/>
              </w:rPr>
              <w:t>Prof. M. Rao</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6"/>
              </w:rPr>
              <w:t>Best Faculty in Data Analytics</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ISTE</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6"/>
              </w:rPr>
              <w:t>National</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6"/>
              </w:rPr>
              <w:t>Teaching Excellence</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ISTE_Award_2023</w:t>
            </w:r>
          </w:p>
        </w:tc>
      </w:tr>
      <w:tr>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6"/>
              </w:rPr>
              <w:t>2023–24</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6"/>
              </w:rPr>
              <w:t>Dr. R. Kumar</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6"/>
              </w:rPr>
              <w:t>AI Research Excellence Award</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6"/>
              </w:rPr>
              <w:t>IEEE India</w:t>
            </w:r>
          </w:p>
        </w:tc>
        <w:tc>
          <w:tcPr>
            <w:tcW w:type="dxa" w:w="1701"/>
            <w:shd w:val="clear" w:color="auto" w:fill="FFFFFF"/>
            <w:tcW w:w="1701" w:type="dxa"/>
          </w:tcPr>
          <w:p>
            <w:pPr>
              <w:spacing w:after="40" w:before="40" w:line="264" w:lineRule="auto"/>
              <w:jc w:val="left"/>
            </w:pPr>
            <w:r/>
            <w:r>
              <w:rPr>
                <w:rFonts w:ascii="Cambria" w:hAnsi="Cambria" w:eastAsia="Cambria"/>
                <w:b w:val="0"/>
                <w:i w:val="0"/>
                <w:color w:val="000000"/>
                <w:sz w:val="16"/>
              </w:rPr>
              <w:t>International</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6"/>
              </w:rPr>
              <w:t>Research</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6"/>
              </w:rPr>
              <w:t>IEEE_Award_2024</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2024–25</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6"/>
              </w:rPr>
              <w:t>Ms. S. Iyer</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6"/>
              </w:rPr>
              <w:t>Young Researcher Award</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Elsevier</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6"/>
              </w:rPr>
              <w:t>National</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6"/>
              </w:rPr>
              <w:t>Innovation in AI</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Elsevier_Award_2025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Ph.D. Awarded and Research Scholars Guided by Faculty</w:t>
      </w:r>
    </w:p>
    <w:tbl>
      <w:tblPr>
        <w:tblW w:type="auto" w:w="0"/>
        <w:jc w:val="center"/>
        <w:tblLook w:firstColumn="1" w:firstRow="1" w:lastColumn="0" w:lastRow="0" w:noHBand="0" w:noVBand="1" w:val="04A0"/>
        <w:tblLayout w:type="fixed"/>
        <w:tblLayout w:type="fixed"/>
      </w:tblPr>
      <w:tblGrid>
        <w:gridCol w:w="1191"/>
        <w:gridCol w:w="1587"/>
        <w:gridCol w:w="1304"/>
        <w:gridCol w:w="1134"/>
        <w:gridCol w:w="1134"/>
        <w:gridCol w:w="1417"/>
        <w:gridCol w:w="1474"/>
      </w:tblGrid>
      <w:tr>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6"/>
              </w:rPr>
              <w:t>Faculty Name</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6"/>
              </w:rPr>
              <w:t>Ph.D. Awarded (Year)</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6"/>
              </w:rPr>
              <w:t>University</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6"/>
              </w:rPr>
              <w:t>No. of Scholars Currently Guided</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6"/>
              </w:rPr>
              <w:t>No. of Ph.D. Awarded Under Supervision</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6"/>
              </w:rPr>
              <w:t>Research Areas</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6"/>
              </w:rPr>
              <w:t>Evidence Reference</w:t>
            </w:r>
          </w:p>
        </w:tc>
      </w:tr>
      <w:tr>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6"/>
              </w:rPr>
              <w:t>Dr. R. Kumar</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6"/>
              </w:rPr>
              <w:t>2019</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Anna University</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2</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AI &amp; Data Science</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Guide_Letter_2025</w:t>
            </w:r>
          </w:p>
        </w:tc>
      </w:tr>
      <w:tr>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6"/>
              </w:rPr>
              <w:t>Prof. M. Rao</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6"/>
              </w:rPr>
              <w:t>Pursuing (Registered 2021)</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6"/>
              </w:rPr>
              <w:t>VTU</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2</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6"/>
              </w:rPr>
              <w:t>Big Data &amp; Machine Learning</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Regn_Certificate</w:t>
            </w:r>
          </w:p>
        </w:tc>
      </w:tr>
      <w:tr>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6"/>
              </w:rPr>
              <w:t>Dr. P. Reddy</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6"/>
              </w:rPr>
              <w:t>2018</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JNTU Hyderabad</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4</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1</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Cloud Security</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PhD_Guide_Proof</w:t>
            </w:r>
          </w:p>
        </w:tc>
      </w:tr>
      <w:tr>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6"/>
              </w:rPr>
              <w:t>Ms. S. Iyer</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6"/>
              </w:rPr>
              <w:t>Pursuing (Registered 2022)</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6"/>
              </w:rPr>
              <w:t>NIT Trichy</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1</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6"/>
              </w:rPr>
              <w:t>Computer Vision</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Enrolment_Proof</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Research Performance Summary (Last 3 Years)</w:t>
      </w:r>
    </w:p>
    <w:tbl>
      <w:tblPr>
        <w:tblW w:type="auto" w:w="0"/>
        <w:jc w:val="center"/>
        <w:tblLook w:firstColumn="1" w:firstRow="1" w:lastColumn="0" w:lastRow="0" w:noHBand="0" w:noVBand="1" w:val="04A0"/>
        <w:tblLayout w:type="fixed"/>
        <w:tblLayout w:type="fixed"/>
      </w:tblPr>
      <w:tblGrid>
        <w:gridCol w:w="907"/>
        <w:gridCol w:w="1134"/>
        <w:gridCol w:w="1191"/>
        <w:gridCol w:w="1191"/>
        <w:gridCol w:w="907"/>
        <w:gridCol w:w="1134"/>
        <w:gridCol w:w="1587"/>
        <w:gridCol w:w="1361"/>
      </w:tblGrid>
      <w:tr>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Year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No. of Publications</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5"/>
              </w:rPr>
              <w:t>No. of Books/Chapters</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5"/>
              </w:rPr>
              <w:t>No. of IPRs Filed/Granted</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No. of Awards</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No. of Ph.D. Scholars</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5"/>
              </w:rPr>
              <w:t>Remarks</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5"/>
              </w:rPr>
              <w:t>Evidence Reference</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2022–23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14</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1</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1</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2</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2</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5"/>
              </w:rPr>
              <w:t>Increased publication output</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Dept_Report_2023</w:t>
            </w:r>
          </w:p>
        </w:tc>
      </w:tr>
      <w:tr>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2023–24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16</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2</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1</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3</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3</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5"/>
              </w:rPr>
              <w:t>Improved quality (Scopus-indexed)</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5"/>
              </w:rPr>
              <w:t>IQAC_Report_2024</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2024–25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18</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2</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2</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4</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4</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5"/>
              </w:rPr>
              <w:t>Strong research culture</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Research_Audit_2025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Observations and Continuous Improvement Actions</w:t>
      </w:r>
    </w:p>
    <w:p>
      <w:pPr>
        <w:keepNext/>
        <w:spacing w:before="200" w:after="80"/>
      </w:pPr>
      <w:r>
        <w:rPr>
          <w:rFonts w:ascii="Cambria" w:hAnsi="Cambria" w:eastAsia="Cambria"/>
          <w:b/>
          <w:i w:val="0"/>
          <w:color w:val="1F3A5F"/>
          <w:sz w:val="23"/>
        </w:rPr>
        <w:t>2022–23 – Low faculty research publications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Lack of incentives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Introduced publication reward scheme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Research Cell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+25% rise in Scopus papers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ATR_2023</w:t>
            </w:r>
          </w:p>
        </w:tc>
      </w:tr>
    </w:tbl>
    <w:p>
      <w:pPr>
        <w:keepNext/>
        <w:spacing w:before="200" w:after="80"/>
      </w:pPr>
      <w:r>
        <w:rPr>
          <w:rFonts w:ascii="Cambria" w:hAnsi="Cambria" w:eastAsia="Cambria"/>
          <w:b/>
          <w:i w:val="0"/>
          <w:color w:val="1F3A5F"/>
          <w:sz w:val="23"/>
        </w:rPr>
        <w:t>2023–24 – Limited IPR activity</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Awareness issue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Conducted IPR Workshop</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IIC + IQAC</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3 new patents filed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IPR_Report_2024</w:t>
            </w:r>
          </w:p>
        </w:tc>
      </w:tr>
    </w:tbl>
    <w:p>
      <w:pPr>
        <w:keepNext/>
        <w:spacing w:before="200" w:after="80"/>
      </w:pPr>
      <w:r>
        <w:rPr>
          <w:rFonts w:ascii="Cambria" w:hAnsi="Cambria" w:eastAsia="Cambria"/>
          <w:b/>
          <w:i w:val="0"/>
          <w:color w:val="1F3A5F"/>
          <w:sz w:val="23"/>
        </w:rPr>
        <w:t>2024–25 – Few Ph.D. guides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Faculty qualification gap</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Sponsored faculty for Ph.D.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Management / HoD</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2 new recognized guides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HRD_Report_2025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Department Research and Development (R&amp;D) Cell</w:t>
      </w:r>
      <w:r>
        <w:rPr>
          <w:rFonts w:ascii="Cambria" w:hAnsi="Cambria" w:eastAsia="Cambria"/>
          <w:b w:val="0"/>
          <w:i w:val="0"/>
          <w:color w:val="000000"/>
          <w:sz w:val="22"/>
        </w:rPr>
        <w:t xml:space="preserve"> monitors faculty research output and publication quality.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IQAC audits</w:t>
      </w:r>
      <w:r>
        <w:rPr>
          <w:rFonts w:ascii="Cambria" w:hAnsi="Cambria" w:eastAsia="Cambria"/>
          <w:b w:val="0"/>
          <w:i w:val="0"/>
          <w:color w:val="000000"/>
          <w:sz w:val="22"/>
        </w:rPr>
        <w:t xml:space="preserve"> research and innovation metrics annually.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Faculty encouraged</w:t>
      </w:r>
      <w:r>
        <w:rPr>
          <w:rFonts w:ascii="Cambria" w:hAnsi="Cambria" w:eastAsia="Cambria"/>
          <w:b w:val="0"/>
          <w:i w:val="0"/>
          <w:color w:val="000000"/>
          <w:sz w:val="22"/>
        </w:rPr>
        <w:t xml:space="preserve"> to publish in high-impact, indexed journals and to file IPRs.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Recognition and incentives</w:t>
      </w:r>
      <w:r>
        <w:rPr>
          <w:rFonts w:ascii="Cambria" w:hAnsi="Cambria" w:eastAsia="Cambria"/>
          <w:b w:val="0"/>
          <w:i w:val="0"/>
          <w:color w:val="000000"/>
          <w:sz w:val="22"/>
        </w:rPr>
        <w:t xml:space="preserve"> for publications, patents, and awards integrated into performance appraisal.</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7 (Faculty Contributions and Research)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verifiable evidence for CAY, CAYm1, and CAYm2 with DOI, ISBN, or registration numbers.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Keep </w:t>
      </w:r>
      <w:r>
        <w:rPr>
          <w:rFonts w:ascii="Cambria" w:hAnsi="Cambria" w:eastAsia="Cambria"/>
          <w:b w:val="0"/>
          <w:i/>
          <w:color w:val="000000"/>
          <w:sz w:val="22"/>
        </w:rPr>
        <w:t>physical and digital folders</w:t>
      </w:r>
      <w:r>
        <w:rPr>
          <w:rFonts w:ascii="Cambria" w:hAnsi="Cambria" w:eastAsia="Cambria"/>
          <w:b w:val="0"/>
          <w:i w:val="0"/>
          <w:color w:val="000000"/>
          <w:sz w:val="22"/>
        </w:rPr>
        <w:t xml:space="preserve"> for publications, patents, awards, and Ph.D. guidance.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Demonstrated research productivity and innovation culture within the department.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Enhanced faculty academic reputation through publications and IPRs.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Increased Ph.D. guidance and research collaborations.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7 &amp; 10 – Research, Innovation, and Continuous Improvement standards.</w:t>
      </w:r>
    </w:p>
    <w:p>
      <w:r>
        <w:br w:type="page"/>
      </w:r>
    </w:p>
    <w:p>
      <w:pPr>
        <w:keepNext/>
        <w:spacing w:before="240" w:after="160"/>
        <w:jc w:val="left"/>
      </w:pPr>
      <w:r>
        <w:rPr>
          <w:rFonts w:ascii="Cambria" w:hAnsi="Cambria" w:eastAsia="Cambria"/>
          <w:b/>
          <w:i w:val="0"/>
          <w:color w:val="1F3A5F"/>
          <w:sz w:val="25"/>
        </w:rPr>
        <w:t>32. P.29 List of R&amp;D projects and consultancy projects along with approval letters &amp; proof of working models/ products developed by faculty in the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document faculty-led Research &amp; Development (R&amp;D) and consultancy activities carried out during the last three academic years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the department's research capability, innovation potential, and industry linkage through funded projects and consultancy work.</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show tangible outcomes such as prototypes, working models, or products developed by faculty or students under institutional/industry collaborations.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R&amp;D Projects (Research / Funded):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Government, industry, or institutional R&amp;D projects funded by AICTE, DST, DRDO, UGC, MSME, or private organizations.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Project title, PI/Co-PI details, funding agency, sanctioned amount, and project duration.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Approval letter, sanction order, and utilization certificate.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Consultancy Projects: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Industry or community-based consultancy assignments undertaken by faculty.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Project scope, client details, duration, consultancy fees, and completion certificate.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Working Models / Products Developed: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List of prototypes, systems, devices, software, or algorithms developed through R&amp;D or student–faculty projects.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Proof: photographs, testing reports, deployment certificates, or patent applications.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Project sanction letters and MoUs signed with funding agencies or industries.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Utilization certificates and project completion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Working model photographs, test results, and validation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Consultancy agreements, invoices, and payment receipts.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R&amp;D Cell meeting minutes and progress reports submitted to IQAC.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Outcome details – papers, patents, prototypes, or technology transfers.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List of R&amp;D Projects (Last 3 Years)</w:t>
      </w:r>
    </w:p>
    <w:tbl>
      <w:tblPr>
        <w:tblW w:type="auto" w:w="0"/>
        <w:jc w:val="center"/>
        <w:tblLook w:firstColumn="1" w:firstRow="1" w:lastColumn="0" w:lastRow="0" w:noHBand="0" w:noVBand="1" w:val="04A0"/>
        <w:tblLayout w:type="fixed"/>
        <w:tblLayout w:type="fixed"/>
      </w:tblPr>
      <w:tblGrid>
        <w:gridCol w:w="794"/>
        <w:gridCol w:w="1587"/>
        <w:gridCol w:w="907"/>
        <w:gridCol w:w="1020"/>
        <w:gridCol w:w="907"/>
        <w:gridCol w:w="737"/>
        <w:gridCol w:w="794"/>
        <w:gridCol w:w="1304"/>
        <w:gridCol w:w="1134"/>
      </w:tblGrid>
      <w:tr>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3"/>
              </w:rPr>
              <w:t>Year</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3"/>
              </w:rPr>
              <w:t>Project Title</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3"/>
              </w:rPr>
              <w:t>PI</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3"/>
              </w:rPr>
              <w:t>Funding Agency</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3"/>
              </w:rPr>
              <w:t>Sanctioned Amount (₹)</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3"/>
              </w:rPr>
              <w:t>Duration</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3"/>
              </w:rPr>
              <w:t>Status</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3"/>
              </w:rPr>
              <w:t>Approval Letter No.</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3"/>
              </w:rPr>
              <w:t>Evidence Reference</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3"/>
              </w:rPr>
              <w:t>2022–23</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3"/>
              </w:rPr>
              <w:t>“AI-Based Smart Irrigation System”</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3"/>
              </w:rPr>
              <w:t>Dr. R. Kumar</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3"/>
              </w:rPr>
              <w:t>AICTE (RPS)</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3"/>
              </w:rPr>
              <w:t>6,00,000</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3"/>
              </w:rPr>
              <w:t>1 Year</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3"/>
              </w:rPr>
              <w:t>Completed</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3"/>
              </w:rPr>
              <w:t>AICTE/R&amp;D/2022/145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3"/>
              </w:rPr>
              <w:t>AICTE_Letter_2023</w:t>
            </w:r>
          </w:p>
        </w:tc>
      </w:tr>
      <w:tr>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3"/>
              </w:rPr>
              <w:t>2022–23</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3"/>
              </w:rPr>
              <w:t>“IoT-Enabled Air Quality Monitoring”</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3"/>
              </w:rPr>
              <w:t>Mr. A. Menon</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3"/>
              </w:rPr>
              <w:t>DST–SERB</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3"/>
              </w:rPr>
              <w:t>5,50,000</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3"/>
              </w:rPr>
              <w:t>2 Years</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3"/>
              </w:rPr>
              <w:t>Ongoing</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3"/>
              </w:rPr>
              <w:t>DST/SERB/2022/078</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3"/>
              </w:rPr>
              <w:t>DST_Sanction_2023</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3"/>
              </w:rPr>
              <w:t>2023–24</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3"/>
              </w:rPr>
              <w:t>“Renewable Energy Forecasting using ML”</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3"/>
              </w:rPr>
              <w:t>Prof. M. Rao</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3"/>
              </w:rPr>
              <w:t>UGC Minor Research</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3"/>
              </w:rPr>
              <w:t>3,00,000</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3"/>
              </w:rPr>
              <w:t>1 Year</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3"/>
              </w:rPr>
              <w:t>Completed</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3"/>
              </w:rPr>
              <w:t>UGC/Minor/2023/099</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3"/>
              </w:rPr>
              <w:t>UGC_Report_2024</w:t>
            </w:r>
          </w:p>
        </w:tc>
      </w:tr>
      <w:tr>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3"/>
              </w:rPr>
              <w:t>2023–24</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3"/>
              </w:rPr>
              <w:t>“Cloud Security for SMEs”</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3"/>
              </w:rPr>
              <w:t>Dr. P. Reddy</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3"/>
              </w:rPr>
              <w:t>MSME Innovation Fund</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3"/>
              </w:rPr>
              <w:t>4,20,000</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3"/>
              </w:rPr>
              <w:t>1 Year</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3"/>
              </w:rPr>
              <w:t>Completed</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3"/>
              </w:rPr>
              <w:t>MSME/INNO/2023/17</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3"/>
              </w:rPr>
              <w:t>MSME_Letter_2024</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3"/>
              </w:rPr>
              <w:t>2024–25</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3"/>
              </w:rPr>
              <w:t>“AI Chatbot for Agriculture Advisory”</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3"/>
              </w:rPr>
              <w:t>Ms. S. Iyer</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3"/>
              </w:rPr>
              <w:t>Institution Funded</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3"/>
              </w:rPr>
              <w:t>1,50,000</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3"/>
              </w:rPr>
              <w:t>6 Months</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3"/>
              </w:rPr>
              <w:t>Ongoing</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3"/>
              </w:rPr>
              <w:t>IQAC/R&amp;D/2025/08</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3"/>
              </w:rPr>
              <w:t>Internal_Approval_2025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List of Consultancy Projects (Last 3 Years)</w:t>
      </w:r>
    </w:p>
    <w:tbl>
      <w:tblPr>
        <w:tblW w:type="auto" w:w="0"/>
        <w:jc w:val="center"/>
        <w:tblLook w:firstColumn="1" w:firstRow="1" w:lastColumn="0" w:lastRow="0" w:noHBand="0" w:noVBand="1" w:val="04A0"/>
        <w:tblLayout w:type="fixed"/>
        <w:tblLayout w:type="fixed"/>
      </w:tblPr>
      <w:tblGrid>
        <w:gridCol w:w="794"/>
        <w:gridCol w:w="1701"/>
        <w:gridCol w:w="964"/>
        <w:gridCol w:w="1077"/>
        <w:gridCol w:w="737"/>
        <w:gridCol w:w="907"/>
        <w:gridCol w:w="737"/>
        <w:gridCol w:w="1020"/>
        <w:gridCol w:w="907"/>
      </w:tblGrid>
      <w:tr>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3"/>
              </w:rPr>
              <w:t>Year</w:t>
            </w:r>
          </w:p>
        </w:tc>
        <w:tc>
          <w:tcPr>
            <w:tcW w:type="dxa" w:w="1701"/>
            <w:tcBorders>
              <w:top w:val="single" w:sz="4" w:space="0" w:color="BFBFBF"/>
              <w:left w:val="single" w:sz="4" w:space="0" w:color="BFBFBF"/>
              <w:bottom w:val="single" w:sz="4" w:space="0" w:color="BFBFBF"/>
              <w:right w:val="single" w:sz="4" w:space="0" w:color="BFBFBF"/>
            </w:tcBorders>
            <w:tcW w:w="1701" w:type="dxa"/>
            <w:shd w:val="clear" w:color="auto" w:fill="1F3A5F"/>
            <w:tcW w:w="1701" w:type="dxa"/>
          </w:tcPr>
          <w:p>
            <w:pPr>
              <w:spacing w:after="40" w:before="40" w:line="264" w:lineRule="auto"/>
              <w:jc w:val="center"/>
            </w:pPr>
            <w:r/>
            <w:r>
              <w:rPr>
                <w:rFonts w:ascii="Cambria" w:hAnsi="Cambria" w:eastAsia="Cambria"/>
                <w:b/>
                <w:i w:val="0"/>
                <w:color w:val="FFFFFF"/>
                <w:sz w:val="13"/>
              </w:rPr>
              <w:t>Title of Consultancy Project</w:t>
            </w:r>
          </w:p>
        </w:tc>
        <w:tc>
          <w:tcPr>
            <w:tcW w:type="dxa" w:w="964"/>
            <w:tcBorders>
              <w:top w:val="single" w:sz="4" w:space="0" w:color="BFBFBF"/>
              <w:left w:val="single" w:sz="4" w:space="0" w:color="BFBFBF"/>
              <w:bottom w:val="single" w:sz="4" w:space="0" w:color="BFBFBF"/>
              <w:right w:val="single" w:sz="4" w:space="0" w:color="BFBFBF"/>
            </w:tcBorders>
            <w:tcW w:w="964" w:type="dxa"/>
            <w:shd w:val="clear" w:color="auto" w:fill="1F3A5F"/>
            <w:tcW w:w="964" w:type="dxa"/>
          </w:tcPr>
          <w:p>
            <w:pPr>
              <w:spacing w:after="40" w:before="40" w:line="264" w:lineRule="auto"/>
              <w:jc w:val="center"/>
            </w:pPr>
            <w:r/>
            <w:r>
              <w:rPr>
                <w:rFonts w:ascii="Cambria" w:hAnsi="Cambria" w:eastAsia="Cambria"/>
                <w:b/>
                <w:i w:val="0"/>
                <w:color w:val="FFFFFF"/>
                <w:sz w:val="13"/>
              </w:rPr>
              <w:t>Faculty In-Charge</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3"/>
              </w:rPr>
              <w:t>Industry / Client Name</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3"/>
              </w:rPr>
              <w:t>Duration</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3"/>
              </w:rPr>
              <w:t>Consultancy Value (₹)</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3"/>
              </w:rPr>
              <w:t>Status</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3"/>
              </w:rPr>
              <w:t>Proof of Payment / MoU</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3"/>
              </w:rPr>
              <w:t>Evidence Reference</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3"/>
              </w:rPr>
              <w:t>2022–23</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3"/>
              </w:rPr>
              <w:t>“Data Analytics for Retail Sales Optimization”</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3"/>
              </w:rPr>
              <w:t>Prof. M. Rao</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3"/>
              </w:rPr>
              <w:t>SoftTech Pvt. Ltd.</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3"/>
              </w:rPr>
              <w:t>6 Months</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3"/>
              </w:rPr>
              <w:t>75,000</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3"/>
              </w:rPr>
              <w:t>Completed</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3"/>
              </w:rPr>
              <w:t>MoU + Invoice</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3"/>
              </w:rPr>
              <w:t>Consultancy_2023</w:t>
            </w:r>
          </w:p>
        </w:tc>
      </w:tr>
      <w:tr>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3"/>
              </w:rPr>
              <w:t>2023–24</w:t>
            </w:r>
          </w:p>
        </w:tc>
        <w:tc>
          <w:tcPr>
            <w:tcW w:type="dxa" w:w="1701"/>
            <w:shd w:val="clear" w:color="auto" w:fill="FFFFFF"/>
            <w:tcW w:w="1701" w:type="dxa"/>
          </w:tcPr>
          <w:p>
            <w:pPr>
              <w:spacing w:after="40" w:before="40" w:line="264" w:lineRule="auto"/>
              <w:jc w:val="left"/>
            </w:pPr>
            <w:r/>
            <w:r>
              <w:rPr>
                <w:rFonts w:ascii="Cambria" w:hAnsi="Cambria" w:eastAsia="Cambria"/>
                <w:b w:val="0"/>
                <w:i w:val="0"/>
                <w:color w:val="000000"/>
                <w:sz w:val="13"/>
              </w:rPr>
              <w:t>“Predictive Maintenance System for Manufacturing Unit”</w:t>
            </w:r>
          </w:p>
        </w:tc>
        <w:tc>
          <w:tcPr>
            <w:tcW w:type="dxa" w:w="964"/>
            <w:shd w:val="clear" w:color="auto" w:fill="FFFFFF"/>
            <w:tcW w:w="964" w:type="dxa"/>
          </w:tcPr>
          <w:p>
            <w:pPr>
              <w:spacing w:after="40" w:before="40" w:line="264" w:lineRule="auto"/>
              <w:jc w:val="left"/>
            </w:pPr>
            <w:r/>
            <w:r>
              <w:rPr>
                <w:rFonts w:ascii="Cambria" w:hAnsi="Cambria" w:eastAsia="Cambria"/>
                <w:b w:val="0"/>
                <w:i w:val="0"/>
                <w:color w:val="000000"/>
                <w:sz w:val="13"/>
              </w:rPr>
              <w:t>Dr. R. Kumar</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3"/>
              </w:rPr>
              <w:t>AutoMech Industries</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3"/>
              </w:rPr>
              <w:t>1 Year</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3"/>
              </w:rPr>
              <w:t>1,20,000</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3"/>
              </w:rPr>
              <w:t>Completed</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3"/>
              </w:rPr>
              <w:t>Payment Receipt</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3"/>
              </w:rPr>
              <w:t>Report_2024</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3"/>
              </w:rPr>
              <w:t>2024–25</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3"/>
              </w:rPr>
              <w:t>“IoT Sensor Calibration and Testing”</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3"/>
              </w:rPr>
              <w:t>Mr. A. Menon</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3"/>
              </w:rPr>
              <w:t>EnviroTech Ltd.</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3"/>
              </w:rPr>
              <w:t>4 Months</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3"/>
              </w:rPr>
              <w:t>90,000</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3"/>
              </w:rPr>
              <w:t>Ongoing</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3"/>
              </w:rPr>
              <w:t>MoU Signed</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3"/>
              </w:rPr>
              <w:t>Consultancy_2025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Working Models / Products Developed by Faculty</w:t>
      </w:r>
    </w:p>
    <w:tbl>
      <w:tblPr>
        <w:tblW w:type="auto" w:w="0"/>
        <w:jc w:val="center"/>
        <w:tblLook w:firstColumn="1" w:firstRow="1" w:lastColumn="0" w:lastRow="0" w:noHBand="0" w:noVBand="1" w:val="04A0"/>
        <w:tblLayout w:type="fixed"/>
        <w:tblLayout w:type="fixed"/>
      </w:tblPr>
      <w:tblGrid>
        <w:gridCol w:w="850"/>
        <w:gridCol w:w="1474"/>
        <w:gridCol w:w="1417"/>
        <w:gridCol w:w="1587"/>
        <w:gridCol w:w="1304"/>
        <w:gridCol w:w="1304"/>
        <w:gridCol w:w="1304"/>
      </w:tblGrid>
      <w:tr>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5"/>
              </w:rPr>
              <w:t>Year</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Title of Model / Product</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5"/>
              </w:rPr>
              <w:t>Faculty / Student Team</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5"/>
              </w:rPr>
              <w:t>Description</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5"/>
              </w:rPr>
              <w:t>Status (Prototype/Deployed/Patented)</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5"/>
              </w:rPr>
              <w:t>Application / Impact</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5"/>
              </w:rPr>
              <w:t>Evidence Reference</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2022–23</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Smart Irrigation Device</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5"/>
              </w:rPr>
              <w:t>Dr. R. Kumar &amp; Final-Year Team</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5"/>
              </w:rPr>
              <w:t>Automated water control using AI</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Prototype</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Used in local farms</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Product_Proof_2023</w:t>
            </w:r>
          </w:p>
        </w:tc>
      </w:tr>
      <w:tr>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5"/>
              </w:rPr>
              <w:t>2023–24</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IoT Air Quality Device</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5"/>
              </w:rPr>
              <w:t>Mr. A. Menon</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5"/>
              </w:rPr>
              <w:t>Low-cost AQ sensor with GSM</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Deployed</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Used by NGO for monitoring</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Model_Photo_2024</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2024–25</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AI Chatbot for Farmers</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5"/>
              </w:rPr>
              <w:t>Ms. S. Iyer</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5"/>
              </w:rPr>
              <w:t>Multilingual chatbot for crop advisory</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Prototype</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Pilot under testing</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Demo_Report_2025</w:t>
            </w:r>
          </w:p>
        </w:tc>
      </w:tr>
      <w:tr>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5"/>
              </w:rPr>
              <w:t>2024–25</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Solar-Powered Drone</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5"/>
              </w:rPr>
              <w:t>Prof. M. Rao</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5"/>
              </w:rPr>
              <w:t>Drone for crop survey</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Prototype</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Filed for Patent</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Patent_App_2025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Summary of R&amp;D and Consultancy Performance (3-Year Overview)</w:t>
      </w:r>
    </w:p>
    <w:tbl>
      <w:tblPr>
        <w:tblW w:type="auto" w:w="0"/>
        <w:jc w:val="center"/>
        <w:tblLook w:firstColumn="1" w:firstRow="1" w:lastColumn="0" w:lastRow="0" w:noHBand="0" w:noVBand="1" w:val="04A0"/>
        <w:tblLayout w:type="fixed"/>
        <w:tblLayout w:type="fixed"/>
      </w:tblPr>
      <w:tblGrid>
        <w:gridCol w:w="850"/>
        <w:gridCol w:w="1134"/>
        <w:gridCol w:w="1304"/>
        <w:gridCol w:w="1304"/>
        <w:gridCol w:w="1191"/>
        <w:gridCol w:w="1304"/>
        <w:gridCol w:w="1304"/>
        <w:gridCol w:w="1134"/>
      </w:tblGrid>
      <w:tr>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5"/>
              </w:rPr>
              <w:t>Year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No. of R&amp;D Projects</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5"/>
              </w:rPr>
              <w:t>Total R&amp;D Funding (₹)</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5"/>
              </w:rPr>
              <w:t>No. of Consultancy Projects</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5"/>
              </w:rPr>
              <w:t>Consultancy Income (₹)</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5"/>
              </w:rPr>
              <w:t>No. of Working Models Developed</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5"/>
              </w:rPr>
              <w:t>Total Outcome Value (₹)</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Evidence Reference</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2022–23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2</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11,50,000</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1</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75,000</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1</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12,25,000</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R&amp;D_Report_2023</w:t>
            </w:r>
          </w:p>
        </w:tc>
      </w:tr>
      <w:tr>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5"/>
              </w:rPr>
              <w:t>2023–24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2</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7,20,000</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1</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1,20,000</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1</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8,40,000</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IQAC_File_2024</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2024–25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2</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1,50,000</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1</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90,000</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2</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2,40,000</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R&amp;D_Audit_2025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Observations and Continuous Improvement Actions</w:t>
      </w:r>
    </w:p>
    <w:p>
      <w:pPr>
        <w:keepNext/>
        <w:spacing w:before="200" w:after="80"/>
      </w:pPr>
      <w:r>
        <w:rPr>
          <w:rFonts w:ascii="Cambria" w:hAnsi="Cambria" w:eastAsia="Cambria"/>
          <w:b/>
          <w:i w:val="0"/>
          <w:color w:val="1F3A5F"/>
          <w:sz w:val="23"/>
        </w:rPr>
        <w:t>2022–23 – Limited industry consultancy</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Weak industry linkage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Signed 2 new MoUs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HoD + R&amp;D Cell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1 new consultancy project initiated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ATR_2023</w:t>
            </w:r>
          </w:p>
        </w:tc>
      </w:tr>
    </w:tbl>
    <w:p>
      <w:pPr>
        <w:keepNext/>
        <w:spacing w:before="200" w:after="80"/>
      </w:pPr>
      <w:r>
        <w:rPr>
          <w:rFonts w:ascii="Cambria" w:hAnsi="Cambria" w:eastAsia="Cambria"/>
          <w:b/>
          <w:i w:val="0"/>
          <w:color w:val="1F3A5F"/>
          <w:sz w:val="23"/>
        </w:rPr>
        <w:t>2023–24 – Low product commercialization</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Lack of funding</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Applied for MSME grant</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IQAC + R&amp;D Cell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MSME project sanctioned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Report_2024</w:t>
            </w:r>
          </w:p>
        </w:tc>
      </w:tr>
    </w:tbl>
    <w:p>
      <w:pPr>
        <w:keepNext/>
        <w:spacing w:before="200" w:after="80"/>
      </w:pPr>
      <w:r>
        <w:rPr>
          <w:rFonts w:ascii="Cambria" w:hAnsi="Cambria" w:eastAsia="Cambria"/>
          <w:b/>
          <w:i w:val="0"/>
          <w:color w:val="1F3A5F"/>
          <w:sz w:val="23"/>
        </w:rPr>
        <w:t>2024–25 – Few interdisciplinary projects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Departmental isolation</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Encouraged inter-department R&amp;D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Academic Council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Outcome/Impact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2 joint projects initiated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Evidence_2025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Department R&amp;D Cell</w:t>
      </w:r>
      <w:r>
        <w:rPr>
          <w:rFonts w:ascii="Cambria" w:hAnsi="Cambria" w:eastAsia="Cambria"/>
          <w:b w:val="0"/>
          <w:i w:val="0"/>
          <w:color w:val="000000"/>
          <w:sz w:val="22"/>
        </w:rPr>
        <w:t xml:space="preserve"> maintains records of all project proposals, sanctions, and outcomes.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Utilization Certificates</w:t>
      </w:r>
      <w:r>
        <w:rPr>
          <w:rFonts w:ascii="Cambria" w:hAnsi="Cambria" w:eastAsia="Cambria"/>
          <w:b w:val="0"/>
          <w:i w:val="0"/>
          <w:color w:val="000000"/>
          <w:sz w:val="22"/>
        </w:rPr>
        <w:t xml:space="preserve"> and </w:t>
      </w:r>
      <w:r>
        <w:rPr>
          <w:rFonts w:ascii="Cambria" w:hAnsi="Cambria" w:eastAsia="Cambria"/>
          <w:b w:val="0"/>
          <w:i/>
          <w:color w:val="000000"/>
          <w:sz w:val="22"/>
        </w:rPr>
        <w:t>completion reports</w:t>
      </w:r>
      <w:r>
        <w:rPr>
          <w:rFonts w:ascii="Cambria" w:hAnsi="Cambria" w:eastAsia="Cambria"/>
          <w:b w:val="0"/>
          <w:i w:val="0"/>
          <w:color w:val="000000"/>
          <w:sz w:val="22"/>
        </w:rPr>
        <w:t xml:space="preserve"> verified by Finance and IQAC.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Progress reviewed quarterly</w:t>
      </w:r>
      <w:r>
        <w:rPr>
          <w:rFonts w:ascii="Cambria" w:hAnsi="Cambria" w:eastAsia="Cambria"/>
          <w:b w:val="0"/>
          <w:i w:val="0"/>
          <w:color w:val="000000"/>
          <w:sz w:val="22"/>
        </w:rPr>
        <w:t xml:space="preserve"> by Research Advisory Committee (RAC).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Working models verified physically</w:t>
      </w:r>
      <w:r>
        <w:rPr>
          <w:rFonts w:ascii="Cambria" w:hAnsi="Cambria" w:eastAsia="Cambria"/>
          <w:b w:val="0"/>
          <w:i w:val="0"/>
          <w:color w:val="000000"/>
          <w:sz w:val="22"/>
        </w:rPr>
        <w:t xml:space="preserve"> and showcased during annual Tech Expo / Project Day.</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7 (R&amp;D, Innovation, and Consultancy)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Include copies of sanction letters, MoUs, financial utilization proofs, and photographs of prototypes.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Maintain </w:t>
      </w:r>
      <w:r>
        <w:rPr>
          <w:rFonts w:ascii="Cambria" w:hAnsi="Cambria" w:eastAsia="Cambria"/>
          <w:b w:val="0"/>
          <w:i/>
          <w:color w:val="000000"/>
          <w:sz w:val="22"/>
        </w:rPr>
        <w:t>separate folders for R&amp;D Projects, Consultancy Projects, and Working Models</w:t>
      </w:r>
      <w:r>
        <w:rPr>
          <w:rFonts w:ascii="Cambria" w:hAnsi="Cambria" w:eastAsia="Cambria"/>
          <w:b w:val="0"/>
          <w:i w:val="0"/>
          <w:color w:val="000000"/>
          <w:sz w:val="22"/>
        </w:rPr>
        <w:t xml:space="preserve"> for CAY, CAYm1, CAYm2.</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Demonstrated evidence of active research culture and industry collaboration.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Increased funded project participation and consultancy income generation.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Tangible product and prototype outcomes aligned with SDG and innovation goals.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 Criterion 7 &amp; 10 – R&amp;D, Innovation, Consultancy, and Continuous Improvement standards.</w:t>
      </w:r>
    </w:p>
    <w:p>
      <w:r>
        <w:br w:type="page"/>
      </w:r>
    </w:p>
    <w:p>
      <w:pPr>
        <w:keepNext/>
        <w:spacing w:before="240" w:after="160"/>
        <w:jc w:val="left"/>
      </w:pPr>
      <w:r>
        <w:rPr>
          <w:rFonts w:ascii="Cambria" w:hAnsi="Cambria" w:eastAsia="Cambria"/>
          <w:b/>
          <w:i w:val="0"/>
          <w:color w:val="1F3A5F"/>
          <w:sz w:val="25"/>
        </w:rPr>
        <w:t>33. P.30 Records of student feedback on teaching learning process &amp; faculty performance appraisal system and corrective measures taken in the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evidence of a structured feedback and performance evaluation mechanism that ensures continuous improvement in teaching–learning quality.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how student feedback and faculty performance appraisals are systematically collected, analyzed, and acted upon for enhancing academic effectiveness.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align with NBA Criterion 8 (Teaching–Learning and Evaluation) and Criterion 10 (Continuous Improvement) emphasizing reflective teaching practices and institutional accountability.</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Student Feedback on Teaching–Learning:</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Feedback forms collected every semester on parameters such as subject clarity, communication, punctuality, learning support, and innovative teaching methods.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Mode of collection: Google Forms / ERP / LMS-based feedback systems.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Summary of average scores and qualitative suggestions.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Faculty Performance Appraisal System (FPAS):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Annual self-appraisal and peer review system covering teaching, research, mentoring, and institutional contributions.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Evaluation parameters: academic performance, publications, FDPs, student mentoring, and innovation.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Corrective Measures and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Actions taken based on feedback: mentoring sessions, pedagogy workshops, peer observations, or classroom audits.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of improved student satisfaction and teaching outcomes across subsequent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Department-wise student feedback data (raw and analyzed).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Faculty performance appraisal reports (self, peer, and HoD evaluations).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Minutes of IQAC / Academic Audit meetings reviewing feedback outcomes.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Records of mentoring, training, or counseling conducted for faculty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Circulars or notices on corrective actions implemented.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Comparative analysis of faculty feedback ratings year-wise.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Student Feedback Summary (Last 3 Years)</w:t>
      </w:r>
    </w:p>
    <w:tbl>
      <w:tblPr>
        <w:tblW w:type="auto" w:w="0"/>
        <w:jc w:val="center"/>
        <w:tblLook w:firstColumn="1" w:firstRow="1" w:lastColumn="0" w:lastRow="0" w:noHBand="0" w:noVBand="1" w:val="04A0"/>
        <w:tblLayout w:type="fixed"/>
        <w:tblLayout w:type="fixed"/>
      </w:tblPr>
      <w:tblGrid>
        <w:gridCol w:w="794"/>
        <w:gridCol w:w="737"/>
        <w:gridCol w:w="1134"/>
        <w:gridCol w:w="1077"/>
        <w:gridCol w:w="964"/>
        <w:gridCol w:w="1474"/>
        <w:gridCol w:w="1191"/>
        <w:gridCol w:w="1417"/>
      </w:tblGrid>
      <w:tr>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4"/>
              </w:rPr>
              <w:t>Year</w:t>
            </w:r>
          </w:p>
        </w:tc>
        <w:tc>
          <w:tcPr>
            <w:tcW w:type="dxa" w:w="737"/>
            <w:tcBorders>
              <w:top w:val="single" w:sz="4" w:space="0" w:color="BFBFBF"/>
              <w:left w:val="single" w:sz="4" w:space="0" w:color="BFBFBF"/>
              <w:bottom w:val="single" w:sz="4" w:space="0" w:color="BFBFBF"/>
              <w:right w:val="single" w:sz="4" w:space="0" w:color="BFBFBF"/>
            </w:tcBorders>
            <w:tcW w:w="737" w:type="dxa"/>
            <w:shd w:val="clear" w:color="auto" w:fill="1F3A5F"/>
            <w:tcW w:w="737" w:type="dxa"/>
          </w:tcPr>
          <w:p>
            <w:pPr>
              <w:spacing w:after="40" w:before="40" w:line="264" w:lineRule="auto"/>
              <w:jc w:val="center"/>
            </w:pPr>
            <w:r/>
            <w:r>
              <w:rPr>
                <w:rFonts w:ascii="Cambria" w:hAnsi="Cambria" w:eastAsia="Cambria"/>
                <w:b/>
                <w:i w:val="0"/>
                <w:color w:val="FFFFFF"/>
                <w:sz w:val="14"/>
              </w:rPr>
              <w:t>Semester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4"/>
              </w:rPr>
              <w:t>No. of Students Responded</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4"/>
              </w:rPr>
              <w:t>Average Feedback Score (out of 5)</w:t>
            </w:r>
          </w:p>
        </w:tc>
        <w:tc>
          <w:tcPr>
            <w:tcW w:type="dxa" w:w="964"/>
            <w:tcBorders>
              <w:top w:val="single" w:sz="4" w:space="0" w:color="BFBFBF"/>
              <w:left w:val="single" w:sz="4" w:space="0" w:color="BFBFBF"/>
              <w:bottom w:val="single" w:sz="4" w:space="0" w:color="BFBFBF"/>
              <w:right w:val="single" w:sz="4" w:space="0" w:color="BFBFBF"/>
            </w:tcBorders>
            <w:tcW w:w="964" w:type="dxa"/>
            <w:shd w:val="clear" w:color="auto" w:fill="1F3A5F"/>
            <w:tcW w:w="964" w:type="dxa"/>
          </w:tcPr>
          <w:p>
            <w:pPr>
              <w:spacing w:after="40" w:before="40" w:line="264" w:lineRule="auto"/>
              <w:jc w:val="center"/>
            </w:pPr>
            <w:r/>
            <w:r>
              <w:rPr>
                <w:rFonts w:ascii="Cambria" w:hAnsi="Cambria" w:eastAsia="Cambria"/>
                <w:b/>
                <w:i w:val="0"/>
                <w:color w:val="FFFFFF"/>
                <w:sz w:val="14"/>
              </w:rPr>
              <w:t>Feedback Method</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4"/>
              </w:rPr>
              <w:t>Key Strengths Identified</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4"/>
              </w:rPr>
              <w:t>Areas for Improvement</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4"/>
              </w:rPr>
              <w:t>Evidence Reference</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2022–23</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4"/>
              </w:rPr>
              <w:t>Even</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210</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4"/>
              </w:rPr>
              <w:t>4.2</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4"/>
              </w:rPr>
              <w:t>Online Form</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4"/>
              </w:rPr>
              <w:t>Good communication, conceptual clarity</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4"/>
              </w:rPr>
              <w:t>More real-life examples</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4"/>
              </w:rPr>
              <w:t>Feedback_2023</w:t>
            </w:r>
          </w:p>
        </w:tc>
      </w:tr>
      <w:tr>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2023–24</w:t>
            </w:r>
          </w:p>
        </w:tc>
        <w:tc>
          <w:tcPr>
            <w:tcW w:type="dxa" w:w="737"/>
            <w:shd w:val="clear" w:color="auto" w:fill="FFFFFF"/>
            <w:tcW w:w="737" w:type="dxa"/>
          </w:tcPr>
          <w:p>
            <w:pPr>
              <w:spacing w:after="40" w:before="40" w:line="264" w:lineRule="auto"/>
              <w:jc w:val="left"/>
            </w:pPr>
            <w:r/>
            <w:r>
              <w:rPr>
                <w:rFonts w:ascii="Cambria" w:hAnsi="Cambria" w:eastAsia="Cambria"/>
                <w:b w:val="0"/>
                <w:i w:val="0"/>
                <w:color w:val="000000"/>
                <w:sz w:val="14"/>
              </w:rPr>
              <w:t>Odd</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225</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4"/>
              </w:rPr>
              <w:t>4.4</w:t>
            </w:r>
          </w:p>
        </w:tc>
        <w:tc>
          <w:tcPr>
            <w:tcW w:type="dxa" w:w="964"/>
            <w:shd w:val="clear" w:color="auto" w:fill="FFFFFF"/>
            <w:tcW w:w="964" w:type="dxa"/>
          </w:tcPr>
          <w:p>
            <w:pPr>
              <w:spacing w:after="40" w:before="40" w:line="264" w:lineRule="auto"/>
              <w:jc w:val="left"/>
            </w:pPr>
            <w:r/>
            <w:r>
              <w:rPr>
                <w:rFonts w:ascii="Cambria" w:hAnsi="Cambria" w:eastAsia="Cambria"/>
                <w:b w:val="0"/>
                <w:i w:val="0"/>
                <w:color w:val="000000"/>
                <w:sz w:val="14"/>
              </w:rPr>
              <w:t>Google Form</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4"/>
              </w:rPr>
              <w:t>Practical demonstrations</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4"/>
              </w:rPr>
              <w:t>Improve lab management</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4"/>
              </w:rPr>
              <w:t>IQAC_Report_2024</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2024–25</w:t>
            </w:r>
          </w:p>
        </w:tc>
        <w:tc>
          <w:tcPr>
            <w:tcW w:type="dxa" w:w="737"/>
            <w:shd w:val="clear" w:color="auto" w:fill="E8ECF2"/>
            <w:tcW w:w="737" w:type="dxa"/>
          </w:tcPr>
          <w:p>
            <w:pPr>
              <w:spacing w:after="40" w:before="40" w:line="264" w:lineRule="auto"/>
              <w:jc w:val="left"/>
            </w:pPr>
            <w:r/>
            <w:r>
              <w:rPr>
                <w:rFonts w:ascii="Cambria" w:hAnsi="Cambria" w:eastAsia="Cambria"/>
                <w:b w:val="0"/>
                <w:i w:val="0"/>
                <w:color w:val="000000"/>
                <w:sz w:val="14"/>
              </w:rPr>
              <w:t>Even</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240</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4"/>
              </w:rPr>
              <w:t>4.6</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4"/>
              </w:rPr>
              <w:t>ERP Feedback Portal</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4"/>
              </w:rPr>
              <w:t>Interactive sessions, clarity</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4"/>
              </w:rPr>
              <w:t>More case studies</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4"/>
              </w:rPr>
              <w:t>Feedback_Summary_2025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Feedback Parameters and Weightage (Example)</w:t>
      </w:r>
    </w:p>
    <w:tbl>
      <w:tblPr>
        <w:tblW w:type="auto" w:w="0"/>
        <w:jc w:val="center"/>
        <w:tblLook w:firstColumn="1" w:firstRow="1" w:lastColumn="0" w:lastRow="0" w:noHBand="0" w:noVBand="1" w:val="04A0"/>
        <w:tblLayout w:type="fixed"/>
        <w:tblLayout w:type="fixed"/>
      </w:tblPr>
      <w:tblGrid>
        <w:gridCol w:w="1871"/>
        <w:gridCol w:w="1077"/>
        <w:gridCol w:w="1417"/>
        <w:gridCol w:w="1417"/>
        <w:gridCol w:w="1417"/>
        <w:gridCol w:w="1474"/>
      </w:tblGrid>
      <w:tr>
        <w:tc>
          <w:tcPr>
            <w:tcW w:type="dxa" w:w="1871"/>
            <w:tcBorders>
              <w:top w:val="single" w:sz="4" w:space="0" w:color="BFBFBF"/>
              <w:left w:val="single" w:sz="4" w:space="0" w:color="BFBFBF"/>
              <w:bottom w:val="single" w:sz="4" w:space="0" w:color="BFBFBF"/>
              <w:right w:val="single" w:sz="4" w:space="0" w:color="BFBFBF"/>
            </w:tcBorders>
            <w:tcW w:w="1871" w:type="dxa"/>
            <w:shd w:val="clear" w:color="auto" w:fill="1F3A5F"/>
            <w:tcW w:w="1871" w:type="dxa"/>
          </w:tcPr>
          <w:p>
            <w:pPr>
              <w:spacing w:after="40" w:before="40" w:line="264" w:lineRule="auto"/>
              <w:jc w:val="center"/>
            </w:pPr>
            <w:r/>
            <w:r>
              <w:rPr>
                <w:rFonts w:ascii="Cambria" w:hAnsi="Cambria" w:eastAsia="Cambria"/>
                <w:b/>
                <w:i w:val="0"/>
                <w:color w:val="FFFFFF"/>
                <w:sz w:val="17"/>
              </w:rPr>
              <w:t>Parameter</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7"/>
              </w:rPr>
              <w:t>Weightage (%)</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7"/>
              </w:rPr>
              <w:t>Average Score (2022–23)</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7"/>
              </w:rPr>
              <w:t>Average Score (2023–24)</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7"/>
              </w:rPr>
              <w:t>Average Score (2024–25)</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7"/>
              </w:rPr>
              <w:t>Trend / Remark</w:t>
            </w:r>
          </w:p>
        </w:tc>
      </w:tr>
      <w:tr>
        <w:tc>
          <w:tcPr>
            <w:tcW w:type="dxa" w:w="1871"/>
            <w:shd w:val="clear" w:color="auto" w:fill="E8ECF2"/>
            <w:tcW w:w="1871" w:type="dxa"/>
          </w:tcPr>
          <w:p>
            <w:pPr>
              <w:spacing w:after="40" w:before="40" w:line="264" w:lineRule="auto"/>
              <w:jc w:val="left"/>
            </w:pPr>
            <w:r/>
            <w:r>
              <w:rPr>
                <w:rFonts w:ascii="Cambria" w:hAnsi="Cambria" w:eastAsia="Cambria"/>
                <w:b w:val="0"/>
                <w:i w:val="0"/>
                <w:color w:val="000000"/>
                <w:sz w:val="17"/>
              </w:rPr>
              <w:t>Subject Knowledge</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25</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4.5</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4.6</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4.8</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Improving</w:t>
            </w:r>
          </w:p>
        </w:tc>
      </w:tr>
      <w:tr>
        <w:tc>
          <w:tcPr>
            <w:tcW w:type="dxa" w:w="1871"/>
            <w:shd w:val="clear" w:color="auto" w:fill="FFFFFF"/>
            <w:tcW w:w="1871" w:type="dxa"/>
          </w:tcPr>
          <w:p>
            <w:pPr>
              <w:spacing w:after="40" w:before="40" w:line="264" w:lineRule="auto"/>
              <w:jc w:val="left"/>
            </w:pPr>
            <w:r/>
            <w:r>
              <w:rPr>
                <w:rFonts w:ascii="Cambria" w:hAnsi="Cambria" w:eastAsia="Cambria"/>
                <w:b w:val="0"/>
                <w:i w:val="0"/>
                <w:color w:val="000000"/>
                <w:sz w:val="17"/>
              </w:rPr>
              <w:t>Communication Skills</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7"/>
              </w:rPr>
              <w:t>20</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7"/>
              </w:rPr>
              <w:t>4.4</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7"/>
              </w:rPr>
              <w:t>4.5</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7"/>
              </w:rPr>
              <w:t>4.7</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Consistent</w:t>
            </w:r>
          </w:p>
        </w:tc>
      </w:tr>
      <w:tr>
        <w:tc>
          <w:tcPr>
            <w:tcW w:type="dxa" w:w="1871"/>
            <w:shd w:val="clear" w:color="auto" w:fill="E8ECF2"/>
            <w:tcW w:w="1871" w:type="dxa"/>
          </w:tcPr>
          <w:p>
            <w:pPr>
              <w:spacing w:after="40" w:before="40" w:line="264" w:lineRule="auto"/>
              <w:jc w:val="left"/>
            </w:pPr>
            <w:r/>
            <w:r>
              <w:rPr>
                <w:rFonts w:ascii="Cambria" w:hAnsi="Cambria" w:eastAsia="Cambria"/>
                <w:b w:val="0"/>
                <w:i w:val="0"/>
                <w:color w:val="000000"/>
                <w:sz w:val="17"/>
              </w:rPr>
              <w:t>Punctuality &amp; Preparation</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15</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4.3</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4.5</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4.6</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Stable</w:t>
            </w:r>
          </w:p>
        </w:tc>
      </w:tr>
      <w:tr>
        <w:tc>
          <w:tcPr>
            <w:tcW w:type="dxa" w:w="1871"/>
            <w:shd w:val="clear" w:color="auto" w:fill="FFFFFF"/>
            <w:tcW w:w="1871" w:type="dxa"/>
          </w:tcPr>
          <w:p>
            <w:pPr>
              <w:spacing w:after="40" w:before="40" w:line="264" w:lineRule="auto"/>
              <w:jc w:val="left"/>
            </w:pPr>
            <w:r/>
            <w:r>
              <w:rPr>
                <w:rFonts w:ascii="Cambria" w:hAnsi="Cambria" w:eastAsia="Cambria"/>
                <w:b w:val="0"/>
                <w:i w:val="0"/>
                <w:color w:val="000000"/>
                <w:sz w:val="17"/>
              </w:rPr>
              <w:t>Interaction &amp; Engagement</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7"/>
              </w:rPr>
              <w:t>20</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7"/>
              </w:rPr>
              <w:t>4.0</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7"/>
              </w:rPr>
              <w:t>4.3</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7"/>
              </w:rPr>
              <w:t>4.5</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7"/>
              </w:rPr>
              <w:t>Improved</w:t>
            </w:r>
          </w:p>
        </w:tc>
      </w:tr>
      <w:tr>
        <w:tc>
          <w:tcPr>
            <w:tcW w:type="dxa" w:w="1871"/>
            <w:shd w:val="clear" w:color="auto" w:fill="E8ECF2"/>
            <w:tcW w:w="1871" w:type="dxa"/>
          </w:tcPr>
          <w:p>
            <w:pPr>
              <w:spacing w:after="40" w:before="40" w:line="264" w:lineRule="auto"/>
              <w:jc w:val="left"/>
            </w:pPr>
            <w:r/>
            <w:r>
              <w:rPr>
                <w:rFonts w:ascii="Cambria" w:hAnsi="Cambria" w:eastAsia="Cambria"/>
                <w:b w:val="0"/>
                <w:i w:val="0"/>
                <w:color w:val="000000"/>
                <w:sz w:val="17"/>
              </w:rPr>
              <w:t>Practical Orientation</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7"/>
              </w:rPr>
              <w:t>20</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3.9</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4.2</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4.4</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7"/>
              </w:rPr>
              <w:t>Strong upward trend</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Faculty Performance Appraisal Summary</w:t>
      </w:r>
    </w:p>
    <w:tbl>
      <w:tblPr>
        <w:tblW w:type="auto" w:w="0"/>
        <w:jc w:val="center"/>
        <w:tblLook w:firstColumn="1" w:firstRow="1" w:lastColumn="0" w:lastRow="0" w:noHBand="0" w:noVBand="1" w:val="04A0"/>
        <w:tblLayout w:type="fixed"/>
        <w:tblLayout w:type="fixed"/>
      </w:tblPr>
      <w:tblGrid>
        <w:gridCol w:w="850"/>
        <w:gridCol w:w="1134"/>
        <w:gridCol w:w="1247"/>
        <w:gridCol w:w="1134"/>
        <w:gridCol w:w="1191"/>
        <w:gridCol w:w="1077"/>
        <w:gridCol w:w="1020"/>
        <w:gridCol w:w="1191"/>
      </w:tblGrid>
      <w:tr>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5"/>
              </w:rPr>
              <w:t>Year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Faculty Name</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5"/>
              </w:rPr>
              <w:t>Teaching Evaluation Score (out of 5)</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Research &amp; Publications Score</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5"/>
              </w:rPr>
              <w:t>Institutional Contribution Score</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5"/>
              </w:rPr>
              <w:t>Overall Appraisal Rating</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Appraisal Grade</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5"/>
              </w:rPr>
              <w:t>Evidence Reference</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2022–23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Dr. R. Kumar</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5"/>
              </w:rPr>
              <w:t>4.5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4.3</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4.6</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5"/>
              </w:rPr>
              <w:t>4.47</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Excellent</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Appraisal_2023</w:t>
            </w:r>
          </w:p>
        </w:tc>
      </w:tr>
      <w:tr>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5"/>
              </w:rPr>
              <w:t>2022–23</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Ms. S. Iyer</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5"/>
              </w:rPr>
              <w:t>4.2</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3.8</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4.0</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5"/>
              </w:rPr>
              <w:t>4.00</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Very Good</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Appraisal_2023</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2023–24</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Prof. M. Rao</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5"/>
              </w:rPr>
              <w:t>4.6</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4.5</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4.8</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5"/>
              </w:rPr>
              <w:t>4.63</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Excellent</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Appraisal_2024</w:t>
            </w:r>
          </w:p>
        </w:tc>
      </w:tr>
      <w:tr>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5"/>
              </w:rPr>
              <w:t>2024–25</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Mr. A. Menon</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5"/>
              </w:rPr>
              <w:t>4.4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4.2</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4.5</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5"/>
              </w:rPr>
              <w:t>4.37</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Very Good</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Appraisal_2025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Corrective Measures &amp; Follow-up Actions Based on Feedback</w:t>
      </w:r>
    </w:p>
    <w:p>
      <w:pPr>
        <w:keepNext/>
        <w:spacing w:before="200" w:after="80"/>
      </w:pPr>
      <w:r>
        <w:rPr>
          <w:rFonts w:ascii="Cambria" w:hAnsi="Cambria" w:eastAsia="Cambria"/>
          <w:b/>
          <w:i w:val="0"/>
          <w:color w:val="1F3A5F"/>
          <w:sz w:val="23"/>
        </w:rPr>
        <w:t>2022–23 – Need for more hands-on sessions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Corrective Measure Taken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Conducted lab-based teaching workshops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HoD + IQAC</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Outcome/Improvement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15% increase in lab feedback score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Workshop_Report_2023</w:t>
            </w:r>
          </w:p>
        </w:tc>
      </w:tr>
    </w:tbl>
    <w:p>
      <w:pPr>
        <w:keepNext/>
        <w:spacing w:before="200" w:after="80"/>
      </w:pPr>
      <w:r>
        <w:rPr>
          <w:rFonts w:ascii="Cambria" w:hAnsi="Cambria" w:eastAsia="Cambria"/>
          <w:b/>
          <w:i w:val="0"/>
          <w:color w:val="1F3A5F"/>
          <w:sz w:val="23"/>
        </w:rPr>
        <w:t>2023–24 – Students suggested more practical examples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Corrective Measure Taken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Introduced case-based teaching modules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Faculty Dev. Cell</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Outcome/Improvement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Improved course satisfaction</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ATR_2024</w:t>
            </w:r>
          </w:p>
        </w:tc>
      </w:tr>
    </w:tbl>
    <w:p>
      <w:pPr>
        <w:keepNext/>
        <w:spacing w:before="200" w:after="80"/>
      </w:pPr>
      <w:r>
        <w:rPr>
          <w:rFonts w:ascii="Cambria" w:hAnsi="Cambria" w:eastAsia="Cambria"/>
          <w:b/>
          <w:i w:val="0"/>
          <w:color w:val="1F3A5F"/>
          <w:sz w:val="23"/>
        </w:rPr>
        <w:t>2024–25 – Some classes required ICT enhancement</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Corrective Measure Taken</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Provided Smart Board training to faculty</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ICT Cell</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Outcome/Improvement</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Enhanced student engagement</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ICT_Training_2025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Year-wise Summary of Corrective Actions and Their Impact</w:t>
      </w:r>
    </w:p>
    <w:tbl>
      <w:tblPr>
        <w:tblW w:type="auto" w:w="0"/>
        <w:jc w:val="center"/>
        <w:tblLook w:firstColumn="1" w:firstRow="1" w:lastColumn="0" w:lastRow="0" w:noHBand="0" w:noVBand="1" w:val="04A0"/>
        <w:tblLayout w:type="fixed"/>
        <w:tblLayout w:type="fixed"/>
      </w:tblPr>
      <w:tblGrid>
        <w:gridCol w:w="850"/>
        <w:gridCol w:w="1587"/>
        <w:gridCol w:w="1474"/>
        <w:gridCol w:w="1304"/>
        <w:gridCol w:w="1134"/>
        <w:gridCol w:w="1134"/>
        <w:gridCol w:w="1474"/>
      </w:tblGrid>
      <w:tr>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6"/>
              </w:rPr>
              <w:t>Year</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6"/>
              </w:rPr>
              <w:t>No. of Faculty Trained / Counseled</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6"/>
              </w:rPr>
              <w:t>No. of Teaching Workshops Conducted</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6"/>
              </w:rPr>
              <w:t>Average Feedback Score Before</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6"/>
              </w:rPr>
              <w:t>Average Score After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6"/>
              </w:rPr>
              <w:t>% Improvement</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6"/>
              </w:rPr>
              <w:t>Evidence Reference</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6"/>
              </w:rPr>
              <w:t>2022–23</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6"/>
              </w:rPr>
              <w:t>6</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2</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4.2</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4.3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+2.4%</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Feedback_Review_2023</w:t>
            </w:r>
          </w:p>
        </w:tc>
      </w:tr>
      <w:tr>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6"/>
              </w:rPr>
              <w:t>2023–24</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6"/>
              </w:rPr>
              <w:t>7</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3</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6"/>
              </w:rPr>
              <w:t>4.3</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4.5</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+4.6%</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Feedback_Review_2024</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6"/>
              </w:rPr>
              <w:t>2024–25</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6"/>
              </w:rPr>
              <w:t>8</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4</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4.5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4.6</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+2.2%</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Feedback_Review_2025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Linkage Between Feedback and Faculty Appraisal</w:t>
      </w:r>
    </w:p>
    <w:tbl>
      <w:tblPr>
        <w:tblW w:type="auto" w:w="0"/>
        <w:jc w:val="center"/>
        <w:tblLook w:firstColumn="1" w:firstRow="1" w:lastColumn="0" w:lastRow="0" w:noHBand="0" w:noVBand="1" w:val="04A0"/>
        <w:tblLayout w:type="fixed"/>
        <w:tblLayout w:type="fixed"/>
      </w:tblPr>
      <w:tblGrid>
        <w:gridCol w:w="1474"/>
        <w:gridCol w:w="1644"/>
        <w:gridCol w:w="1644"/>
        <w:gridCol w:w="1304"/>
        <w:gridCol w:w="1304"/>
        <w:gridCol w:w="1531"/>
      </w:tblGrid>
      <w:tr>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6"/>
              </w:rPr>
              <w:t>Feedback Area</w:t>
            </w:r>
          </w:p>
        </w:tc>
        <w:tc>
          <w:tcPr>
            <w:tcW w:type="dxa" w:w="1644"/>
            <w:tcBorders>
              <w:top w:val="single" w:sz="4" w:space="0" w:color="BFBFBF"/>
              <w:left w:val="single" w:sz="4" w:space="0" w:color="BFBFBF"/>
              <w:bottom w:val="single" w:sz="4" w:space="0" w:color="BFBFBF"/>
              <w:right w:val="single" w:sz="4" w:space="0" w:color="BFBFBF"/>
            </w:tcBorders>
            <w:tcW w:w="1644" w:type="dxa"/>
            <w:shd w:val="clear" w:color="auto" w:fill="1F3A5F"/>
            <w:tcW w:w="1644" w:type="dxa"/>
          </w:tcPr>
          <w:p>
            <w:pPr>
              <w:spacing w:after="40" w:before="40" w:line="264" w:lineRule="auto"/>
              <w:jc w:val="center"/>
            </w:pPr>
            <w:r/>
            <w:r>
              <w:rPr>
                <w:rFonts w:ascii="Cambria" w:hAnsi="Cambria" w:eastAsia="Cambria"/>
                <w:b/>
                <w:i w:val="0"/>
                <w:color w:val="FFFFFF"/>
                <w:sz w:val="16"/>
              </w:rPr>
              <w:t>Linked Appraisal Parameter</w:t>
            </w:r>
          </w:p>
        </w:tc>
        <w:tc>
          <w:tcPr>
            <w:tcW w:type="dxa" w:w="1644"/>
            <w:tcBorders>
              <w:top w:val="single" w:sz="4" w:space="0" w:color="BFBFBF"/>
              <w:left w:val="single" w:sz="4" w:space="0" w:color="BFBFBF"/>
              <w:bottom w:val="single" w:sz="4" w:space="0" w:color="BFBFBF"/>
              <w:right w:val="single" w:sz="4" w:space="0" w:color="BFBFBF"/>
            </w:tcBorders>
            <w:tcW w:w="1644" w:type="dxa"/>
            <w:shd w:val="clear" w:color="auto" w:fill="1F3A5F"/>
            <w:tcW w:w="1644" w:type="dxa"/>
          </w:tcPr>
          <w:p>
            <w:pPr>
              <w:spacing w:after="40" w:before="40" w:line="264" w:lineRule="auto"/>
              <w:jc w:val="center"/>
            </w:pPr>
            <w:r/>
            <w:r>
              <w:rPr>
                <w:rFonts w:ascii="Cambria" w:hAnsi="Cambria" w:eastAsia="Cambria"/>
                <w:b/>
                <w:i w:val="0"/>
                <w:color w:val="FFFFFF"/>
                <w:sz w:val="16"/>
              </w:rPr>
              <w:t>Action Taken</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6"/>
              </w:rPr>
              <w:t>Monitoring Mechanism</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6"/>
              </w:rPr>
              <w:t>Responsible Cell</w:t>
            </w:r>
          </w:p>
        </w:tc>
        <w:tc>
          <w:tcPr>
            <w:tcW w:type="dxa" w:w="1531"/>
            <w:tcBorders>
              <w:top w:val="single" w:sz="4" w:space="0" w:color="BFBFBF"/>
              <w:left w:val="single" w:sz="4" w:space="0" w:color="BFBFBF"/>
              <w:bottom w:val="single" w:sz="4" w:space="0" w:color="BFBFBF"/>
              <w:right w:val="single" w:sz="4" w:space="0" w:color="BFBFBF"/>
            </w:tcBorders>
            <w:tcW w:w="1531" w:type="dxa"/>
            <w:shd w:val="clear" w:color="auto" w:fill="1F3A5F"/>
            <w:tcW w:w="1531" w:type="dxa"/>
          </w:tcPr>
          <w:p>
            <w:pPr>
              <w:spacing w:after="40" w:before="40" w:line="264" w:lineRule="auto"/>
              <w:jc w:val="center"/>
            </w:pPr>
            <w:r/>
            <w:r>
              <w:rPr>
                <w:rFonts w:ascii="Cambria" w:hAnsi="Cambria" w:eastAsia="Cambria"/>
                <w:b/>
                <w:i w:val="0"/>
                <w:color w:val="FFFFFF"/>
                <w:sz w:val="16"/>
              </w:rPr>
              <w:t>Impact</w:t>
            </w:r>
          </w:p>
        </w:tc>
      </w:tr>
      <w:tr>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Classroom Delivery</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6"/>
              </w:rPr>
              <w:t>Teaching Evaluation</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6"/>
              </w:rPr>
              <w:t>Pedagogy Workshops</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Monthly Review</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IQAC / FDP Cell</w:t>
            </w:r>
          </w:p>
        </w:tc>
        <w:tc>
          <w:tcPr>
            <w:tcW w:type="dxa" w:w="1531"/>
            <w:shd w:val="clear" w:color="auto" w:fill="E8ECF2"/>
            <w:tcW w:w="1531" w:type="dxa"/>
          </w:tcPr>
          <w:p>
            <w:pPr>
              <w:spacing w:after="40" w:before="40" w:line="264" w:lineRule="auto"/>
              <w:jc w:val="left"/>
            </w:pPr>
            <w:r/>
            <w:r>
              <w:rPr>
                <w:rFonts w:ascii="Cambria" w:hAnsi="Cambria" w:eastAsia="Cambria"/>
                <w:b w:val="0"/>
                <w:i w:val="0"/>
                <w:color w:val="000000"/>
                <w:sz w:val="16"/>
              </w:rPr>
              <w:t>Improved engagement</w:t>
            </w:r>
          </w:p>
        </w:tc>
      </w:tr>
      <w:tr>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Communication Skills</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6"/>
              </w:rPr>
              <w:t>Student Interaction</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6"/>
              </w:rPr>
              <w:t>English &amp; Communication Training</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6"/>
              </w:rPr>
              <w:t>Peer Observation</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6"/>
              </w:rPr>
              <w:t>HoD</w:t>
            </w:r>
          </w:p>
        </w:tc>
        <w:tc>
          <w:tcPr>
            <w:tcW w:type="dxa" w:w="1531"/>
            <w:shd w:val="clear" w:color="auto" w:fill="FFFFFF"/>
            <w:tcW w:w="1531" w:type="dxa"/>
          </w:tcPr>
          <w:p>
            <w:pPr>
              <w:spacing w:after="40" w:before="40" w:line="264" w:lineRule="auto"/>
              <w:jc w:val="left"/>
            </w:pPr>
            <w:r/>
            <w:r>
              <w:rPr>
                <w:rFonts w:ascii="Cambria" w:hAnsi="Cambria" w:eastAsia="Cambria"/>
                <w:b w:val="0"/>
                <w:i w:val="0"/>
                <w:color w:val="000000"/>
                <w:sz w:val="16"/>
              </w:rPr>
              <w:t>Higher student satisfaction</w:t>
            </w:r>
          </w:p>
        </w:tc>
      </w:tr>
      <w:tr>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Research Orientation</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6"/>
              </w:rPr>
              <w:t>Academic Contribution</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6"/>
              </w:rPr>
              <w:t>R&amp;D Incentive Scheme</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Annual Review</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Research Cell</w:t>
            </w:r>
          </w:p>
        </w:tc>
        <w:tc>
          <w:tcPr>
            <w:tcW w:type="dxa" w:w="1531"/>
            <w:shd w:val="clear" w:color="auto" w:fill="E8ECF2"/>
            <w:tcW w:w="1531" w:type="dxa"/>
          </w:tcPr>
          <w:p>
            <w:pPr>
              <w:spacing w:after="40" w:before="40" w:line="264" w:lineRule="auto"/>
              <w:jc w:val="left"/>
            </w:pPr>
            <w:r/>
            <w:r>
              <w:rPr>
                <w:rFonts w:ascii="Cambria" w:hAnsi="Cambria" w:eastAsia="Cambria"/>
                <w:b w:val="0"/>
                <w:i w:val="0"/>
                <w:color w:val="000000"/>
                <w:sz w:val="16"/>
              </w:rPr>
              <w:t>30% more publications</w:t>
            </w:r>
          </w:p>
        </w:tc>
      </w:tr>
      <w:tr>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Mentorship Quality</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6"/>
              </w:rPr>
              <w:t>Institutional Contribution</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6"/>
              </w:rPr>
              <w:t>Mentor Review Meetings</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6"/>
              </w:rPr>
              <w:t>Feedback Tracker</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6"/>
              </w:rPr>
              <w:t>Student Cell</w:t>
            </w:r>
          </w:p>
        </w:tc>
        <w:tc>
          <w:tcPr>
            <w:tcW w:type="dxa" w:w="1531"/>
            <w:shd w:val="clear" w:color="auto" w:fill="FFFFFF"/>
            <w:tcW w:w="1531" w:type="dxa"/>
          </w:tcPr>
          <w:p>
            <w:pPr>
              <w:spacing w:after="40" w:before="40" w:line="264" w:lineRule="auto"/>
              <w:jc w:val="left"/>
            </w:pPr>
            <w:r/>
            <w:r>
              <w:rPr>
                <w:rFonts w:ascii="Cambria" w:hAnsi="Cambria" w:eastAsia="Cambria"/>
                <w:b w:val="0"/>
                <w:i w:val="0"/>
                <w:color w:val="000000"/>
                <w:sz w:val="16"/>
              </w:rPr>
              <w:t>Increased mentor effectiveness</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Student feedback collected anonymously</w:t>
      </w:r>
      <w:r>
        <w:rPr>
          <w:rFonts w:ascii="Cambria" w:hAnsi="Cambria" w:eastAsia="Cambria"/>
          <w:b w:val="0"/>
          <w:i w:val="0"/>
          <w:color w:val="000000"/>
          <w:sz w:val="22"/>
        </w:rPr>
        <w:t xml:space="preserve"> through institutional ERP or LMS each semester.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Data analyzed by IQAC</w:t>
      </w:r>
      <w:r>
        <w:rPr>
          <w:rFonts w:ascii="Cambria" w:hAnsi="Cambria" w:eastAsia="Cambria"/>
          <w:b w:val="0"/>
          <w:i w:val="0"/>
          <w:color w:val="000000"/>
          <w:sz w:val="22"/>
        </w:rPr>
        <w:t xml:space="preserve"> and shared confidentially with faculty.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Performance appraisal</w:t>
      </w:r>
      <w:r>
        <w:rPr>
          <w:rFonts w:ascii="Cambria" w:hAnsi="Cambria" w:eastAsia="Cambria"/>
          <w:b w:val="0"/>
          <w:i w:val="0"/>
          <w:color w:val="000000"/>
          <w:sz w:val="22"/>
        </w:rPr>
        <w:t xml:space="preserve"> conducted annually combining student feedback, peer review, and HoD evaluation.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Corrective measures tracked</w:t>
      </w:r>
      <w:r>
        <w:rPr>
          <w:rFonts w:ascii="Cambria" w:hAnsi="Cambria" w:eastAsia="Cambria"/>
          <w:b w:val="0"/>
          <w:i w:val="0"/>
          <w:color w:val="000000"/>
          <w:sz w:val="22"/>
        </w:rPr>
        <w:t xml:space="preserve"> through Action Taken Reports (ATRs).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Continuous monitoring</w:t>
      </w:r>
      <w:r>
        <w:rPr>
          <w:rFonts w:ascii="Cambria" w:hAnsi="Cambria" w:eastAsia="Cambria"/>
          <w:b w:val="0"/>
          <w:i w:val="0"/>
          <w:color w:val="000000"/>
          <w:sz w:val="22"/>
        </w:rPr>
        <w:t xml:space="preserve"> ensures accountability and measurable improvement.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8 (Teaching–Learning &amp; Evaluation)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Maintain both </w:t>
      </w:r>
      <w:r>
        <w:rPr>
          <w:rFonts w:ascii="Cambria" w:hAnsi="Cambria" w:eastAsia="Cambria"/>
          <w:b w:val="0"/>
          <w:i/>
          <w:color w:val="000000"/>
          <w:sz w:val="22"/>
        </w:rPr>
        <w:t>feedback summary reports</w:t>
      </w:r>
      <w:r>
        <w:rPr>
          <w:rFonts w:ascii="Cambria" w:hAnsi="Cambria" w:eastAsia="Cambria"/>
          <w:b w:val="0"/>
          <w:i w:val="0"/>
          <w:color w:val="000000"/>
          <w:sz w:val="22"/>
        </w:rPr>
        <w:t xml:space="preserve"> and </w:t>
      </w:r>
      <w:r>
        <w:rPr>
          <w:rFonts w:ascii="Cambria" w:hAnsi="Cambria" w:eastAsia="Cambria"/>
          <w:b w:val="0"/>
          <w:i/>
          <w:color w:val="000000"/>
          <w:sz w:val="22"/>
        </w:rPr>
        <w:t>faculty appraisal forms</w:t>
      </w:r>
      <w:r>
        <w:rPr>
          <w:rFonts w:ascii="Cambria" w:hAnsi="Cambria" w:eastAsia="Cambria"/>
          <w:b w:val="0"/>
          <w:i w:val="0"/>
          <w:color w:val="000000"/>
          <w:sz w:val="22"/>
        </w:rPr>
        <w:t xml:space="preserve"> for CAY, CAYm1,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Include evidence of </w:t>
      </w:r>
      <w:r>
        <w:rPr>
          <w:rFonts w:ascii="Cambria" w:hAnsi="Cambria" w:eastAsia="Cambria"/>
          <w:b w:val="0"/>
          <w:i/>
          <w:color w:val="000000"/>
          <w:sz w:val="22"/>
        </w:rPr>
        <w:t>corrective workshops, counseling sessions,</w:t>
      </w:r>
      <w:r>
        <w:rPr>
          <w:rFonts w:ascii="Cambria" w:hAnsi="Cambria" w:eastAsia="Cambria"/>
          <w:b w:val="0"/>
          <w:i w:val="0"/>
          <w:color w:val="000000"/>
          <w:sz w:val="22"/>
        </w:rPr>
        <w:t xml:space="preserve"> and </w:t>
      </w:r>
      <w:r>
        <w:rPr>
          <w:rFonts w:ascii="Cambria" w:hAnsi="Cambria" w:eastAsia="Cambria"/>
          <w:b w:val="0"/>
          <w:i/>
          <w:color w:val="000000"/>
          <w:sz w:val="22"/>
        </w:rPr>
        <w:t>academic audits.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Systematic monitoring and enhancement of faculty performance.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Improved student learning experience through responsive teaching strategies.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Transparent performance appraisal promoting accountability and professional growth.</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8 &amp; 10 – Teaching Effectiveness, Feedback, and Continuous Improvement standards.</w:t>
      </w:r>
    </w:p>
    <w:p>
      <w:r>
        <w:br w:type="page"/>
      </w:r>
    </w:p>
    <w:p>
      <w:pPr>
        <w:keepNext/>
        <w:spacing w:before="240" w:after="160"/>
        <w:jc w:val="left"/>
      </w:pPr>
      <w:r>
        <w:rPr>
          <w:rFonts w:ascii="Cambria" w:hAnsi="Cambria" w:eastAsia="Cambria"/>
          <w:b/>
          <w:i w:val="0"/>
          <w:color w:val="1F3A5F"/>
          <w:sz w:val="25"/>
        </w:rPr>
        <w:t>34. P.31 Records of list of program specific laboratories and other computing facilities available within the department.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comprehensive documentation of laboratories, computing facilities, and supporting infrastructure available for the program.</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that the department provides adequate, modern, and program-relevant facilities for students and faculty to achieve desired outcomes (POs &amp; PSOs).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ensure compliance with NBA Criterion 5 (Infrastructure and Learning Resources) regarding adequacy, maintenance, and modernization of departmental labs and computing resources.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List of Program-Specific Laboratories: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Name of laboratory, course linkage, area (in sq. m), list of major equipment, and availability schedule.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Computing Facilities: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 computer labs, server facilities, software licenses, and internet connectivity.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Maintenance &amp; Upgradation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AMC (Annual Maintenance Contract) copies, lab stock registers, and calibration certificates.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Utilization and Accessibility: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Lab time-tables, student-to-system ratio, and records of lab-based projects.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Supporting Facilities: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 library, project lab, seminar hall, innovation lab, IoT/AI research cell, etc.</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Department-wise lab list mapped with courses and semesters.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Laboratory layout plans with equipment inventory.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Stock registers and calibration/AMC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Software license documents (MATLAB, Anaconda, AutoCAD, etc.).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Photographs of labs, server rooms, and project workstations.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 IT policy and equipment maintenance logs.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List of Program-Specific Laboratories</w:t>
      </w:r>
    </w:p>
    <w:tbl>
      <w:tblPr>
        <w:tblW w:type="auto" w:w="0"/>
        <w:jc w:val="center"/>
        <w:tblLook w:firstColumn="1" w:firstRow="1" w:lastColumn="0" w:lastRow="0" w:noHBand="0" w:noVBand="1" w:val="04A0"/>
        <w:tblLayout w:type="fixed"/>
        <w:tblLayout w:type="fixed"/>
      </w:tblPr>
      <w:tblGrid>
        <w:gridCol w:w="624"/>
        <w:gridCol w:w="1361"/>
        <w:gridCol w:w="1304"/>
        <w:gridCol w:w="794"/>
        <w:gridCol w:w="1814"/>
        <w:gridCol w:w="794"/>
        <w:gridCol w:w="1020"/>
        <w:gridCol w:w="1361"/>
      </w:tblGrid>
      <w:tr>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4"/>
              </w:rPr>
              <w:t>S.No.</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4"/>
              </w:rPr>
              <w:t>Name of Laboratory</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4"/>
              </w:rPr>
              <w:t>Linked Course / Subject</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4"/>
              </w:rPr>
              <w:t>Lab Area (Sq. m)</w:t>
            </w:r>
          </w:p>
        </w:tc>
        <w:tc>
          <w:tcPr>
            <w:tcW w:type="dxa" w:w="1814"/>
            <w:tcBorders>
              <w:top w:val="single" w:sz="4" w:space="0" w:color="BFBFBF"/>
              <w:left w:val="single" w:sz="4" w:space="0" w:color="BFBFBF"/>
              <w:bottom w:val="single" w:sz="4" w:space="0" w:color="BFBFBF"/>
              <w:right w:val="single" w:sz="4" w:space="0" w:color="BFBFBF"/>
            </w:tcBorders>
            <w:tcW w:w="1814" w:type="dxa"/>
            <w:shd w:val="clear" w:color="auto" w:fill="1F3A5F"/>
            <w:tcW w:w="1814" w:type="dxa"/>
          </w:tcPr>
          <w:p>
            <w:pPr>
              <w:spacing w:after="40" w:before="40" w:line="264" w:lineRule="auto"/>
              <w:jc w:val="center"/>
            </w:pPr>
            <w:r/>
            <w:r>
              <w:rPr>
                <w:rFonts w:ascii="Cambria" w:hAnsi="Cambria" w:eastAsia="Cambria"/>
                <w:b/>
                <w:i w:val="0"/>
                <w:color w:val="FFFFFF"/>
                <w:sz w:val="14"/>
              </w:rPr>
              <w:t>Major Equipment / Software</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4"/>
              </w:rPr>
              <w:t>No. of Systems</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4"/>
              </w:rPr>
              <w:t>Average Students per Batch</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4"/>
              </w:rPr>
              <w:t>Evidence Reference</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1</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4"/>
              </w:rPr>
              <w:t>Programming Lab</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4"/>
              </w:rPr>
              <w:t>Programming in Python / C</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80</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4"/>
              </w:rPr>
              <w:t>PCs, Python IDEs, C Compilers</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35</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30</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4"/>
              </w:rPr>
              <w:t>Lab_Inventory_2023</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2</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4"/>
              </w:rPr>
              <w:t>Database Systems Lab</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4"/>
              </w:rPr>
              <w:t>DBMS, SQL Applications</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75</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4"/>
              </w:rPr>
              <w:t>MySQL Server, PostgreSQL, Oracle</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30</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25</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4"/>
              </w:rPr>
              <w:t>DB_Lab_Stock_2023</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3</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4"/>
              </w:rPr>
              <w:t>Artificial Intelligence Lab</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4"/>
              </w:rPr>
              <w:t>AI, ML, DL</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90</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4"/>
              </w:rPr>
              <w:t>GPU PCs, Anaconda, TensorFlow</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40</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35</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4"/>
              </w:rPr>
              <w:t>AI_Lab_2024</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4</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4"/>
              </w:rPr>
              <w:t>Internet of Things (IoT) Lab</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4"/>
              </w:rPr>
              <w:t>IoT Systems, Embedded</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85</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4"/>
              </w:rPr>
              <w:t>NodeMCU, Arduino, Raspberry Pi Kits</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25</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20</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4"/>
              </w:rPr>
              <w:t>IoT_Equipments_2024</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5</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4"/>
              </w:rPr>
              <w:t>Data Analytics Lab</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4"/>
              </w:rPr>
              <w:t>Big Data Analytics</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80</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4"/>
              </w:rPr>
              <w:t>R, Power BI, Tableau</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35</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30</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4"/>
              </w:rPr>
              <w:t>DA_Lab_2025</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6</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4"/>
              </w:rPr>
              <w:t>Project &amp; Research Lab</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4"/>
              </w:rPr>
              <w:t>Final Year Projects</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100</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4"/>
              </w:rPr>
              <w:t>Workstations, Cloud Access</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20</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15</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4"/>
              </w:rPr>
              <w:t>ProjectLab_2025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List of Computing Facilities (Hardware &amp; Network Infrastructure)</w:t>
      </w:r>
    </w:p>
    <w:tbl>
      <w:tblPr>
        <w:tblW w:type="auto" w:w="0"/>
        <w:jc w:val="center"/>
        <w:tblLook w:firstColumn="1" w:firstRow="1" w:lastColumn="0" w:lastRow="0" w:noHBand="0" w:noVBand="1" w:val="04A0"/>
        <w:tblLayout w:type="fixed"/>
        <w:tblLayout w:type="fixed"/>
      </w:tblPr>
      <w:tblGrid>
        <w:gridCol w:w="1474"/>
        <w:gridCol w:w="2041"/>
        <w:gridCol w:w="1474"/>
        <w:gridCol w:w="1134"/>
        <w:gridCol w:w="1304"/>
        <w:gridCol w:w="1417"/>
      </w:tblGrid>
      <w:tr>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6"/>
              </w:rPr>
              <w:t>Facility Type</w:t>
            </w:r>
          </w:p>
        </w:tc>
        <w:tc>
          <w:tcPr>
            <w:tcW w:type="dxa" w:w="2041"/>
            <w:tcBorders>
              <w:top w:val="single" w:sz="4" w:space="0" w:color="BFBFBF"/>
              <w:left w:val="single" w:sz="4" w:space="0" w:color="BFBFBF"/>
              <w:bottom w:val="single" w:sz="4" w:space="0" w:color="BFBFBF"/>
              <w:right w:val="single" w:sz="4" w:space="0" w:color="BFBFBF"/>
            </w:tcBorders>
            <w:tcW w:w="2041" w:type="dxa"/>
            <w:shd w:val="clear" w:color="auto" w:fill="1F3A5F"/>
            <w:tcW w:w="2041" w:type="dxa"/>
          </w:tcPr>
          <w:p>
            <w:pPr>
              <w:spacing w:after="40" w:before="40" w:line="264" w:lineRule="auto"/>
              <w:jc w:val="center"/>
            </w:pPr>
            <w:r/>
            <w:r>
              <w:rPr>
                <w:rFonts w:ascii="Cambria" w:hAnsi="Cambria" w:eastAsia="Cambria"/>
                <w:b/>
                <w:i w:val="0"/>
                <w:color w:val="FFFFFF"/>
                <w:sz w:val="16"/>
              </w:rPr>
              <w:t>Description</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6"/>
              </w:rPr>
              <w:t>Quantity / Specification</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6"/>
              </w:rPr>
              <w:t>Availability</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6"/>
              </w:rPr>
              <w:t>Maintenance Status</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6"/>
              </w:rPr>
              <w:t>Evidence Reference</w:t>
            </w:r>
          </w:p>
        </w:tc>
      </w:tr>
      <w:tr>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Desktop Computers</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6"/>
              </w:rPr>
              <w:t>Intel i7 / 16 GB RAM / 512 GB SSD</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120 Units</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8 AM – 6 PM</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AMC under vendor</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AMC_Records_2024</w:t>
            </w:r>
          </w:p>
        </w:tc>
      </w:tr>
      <w:tr>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Laptops (Faculty Use)</w:t>
            </w:r>
          </w:p>
        </w:tc>
        <w:tc>
          <w:tcPr>
            <w:tcW w:type="dxa" w:w="2041"/>
            <w:shd w:val="clear" w:color="auto" w:fill="FFFFFF"/>
            <w:tcW w:w="2041" w:type="dxa"/>
          </w:tcPr>
          <w:p>
            <w:pPr>
              <w:spacing w:after="40" w:before="40" w:line="264" w:lineRule="auto"/>
              <w:jc w:val="left"/>
            </w:pPr>
            <w:r/>
            <w:r>
              <w:rPr>
                <w:rFonts w:ascii="Cambria" w:hAnsi="Cambria" w:eastAsia="Cambria"/>
                <w:b w:val="0"/>
                <w:i w:val="0"/>
                <w:color w:val="000000"/>
                <w:sz w:val="16"/>
              </w:rPr>
              <w:t>i5 / 8 GB RAM</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10 Units</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Assigned</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6"/>
              </w:rPr>
              <w:t>Working</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6"/>
              </w:rPr>
              <w:t>IT_Inventory_2023</w:t>
            </w:r>
          </w:p>
        </w:tc>
      </w:tr>
      <w:tr>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Server</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6"/>
              </w:rPr>
              <w:t>Dell PowerEdge R540</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1</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24/7</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Maintained</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Server_Log_2024</w:t>
            </w:r>
          </w:p>
        </w:tc>
      </w:tr>
      <w:tr>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Internet Bandwidth</w:t>
            </w:r>
          </w:p>
        </w:tc>
        <w:tc>
          <w:tcPr>
            <w:tcW w:type="dxa" w:w="2041"/>
            <w:shd w:val="clear" w:color="auto" w:fill="FFFFFF"/>
            <w:tcW w:w="2041" w:type="dxa"/>
          </w:tcPr>
          <w:p>
            <w:pPr>
              <w:spacing w:after="40" w:before="40" w:line="264" w:lineRule="auto"/>
              <w:jc w:val="left"/>
            </w:pPr>
            <w:r/>
            <w:r>
              <w:rPr>
                <w:rFonts w:ascii="Cambria" w:hAnsi="Cambria" w:eastAsia="Cambria"/>
                <w:b w:val="0"/>
                <w:i w:val="0"/>
                <w:color w:val="000000"/>
                <w:sz w:val="16"/>
              </w:rPr>
              <w:t>1 Gbps (Leased Line)</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2 Connections</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24/7</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6"/>
              </w:rPr>
              <w:t>Verified</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6"/>
              </w:rPr>
              <w:t>ISP_Bill_2025</w:t>
            </w:r>
          </w:p>
        </w:tc>
      </w:tr>
      <w:tr>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Printers &amp; Scanners</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6"/>
              </w:rPr>
              <w:t>Laser Printers, Scanners</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8 Units</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Shared</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Working</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Peripheral_Log_2025</w:t>
            </w:r>
          </w:p>
        </w:tc>
      </w:tr>
      <w:tr>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UPS Power Backup</w:t>
            </w:r>
          </w:p>
        </w:tc>
        <w:tc>
          <w:tcPr>
            <w:tcW w:type="dxa" w:w="2041"/>
            <w:shd w:val="clear" w:color="auto" w:fill="FFFFFF"/>
            <w:tcW w:w="2041" w:type="dxa"/>
          </w:tcPr>
          <w:p>
            <w:pPr>
              <w:spacing w:after="40" w:before="40" w:line="264" w:lineRule="auto"/>
              <w:jc w:val="left"/>
            </w:pPr>
            <w:r/>
            <w:r>
              <w:rPr>
                <w:rFonts w:ascii="Cambria" w:hAnsi="Cambria" w:eastAsia="Cambria"/>
                <w:b w:val="0"/>
                <w:i w:val="0"/>
                <w:color w:val="000000"/>
                <w:sz w:val="16"/>
              </w:rPr>
              <w:t>APC 5 kVA</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2 Units</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All Labs</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6"/>
              </w:rPr>
              <w:t>Working</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6"/>
              </w:rPr>
              <w:t>Maintenance_Report_2025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Licensed Software and Tools Available</w:t>
      </w:r>
    </w:p>
    <w:tbl>
      <w:tblPr>
        <w:tblW w:type="auto" w:w="0"/>
        <w:jc w:val="center"/>
        <w:tblLook w:firstColumn="1" w:firstRow="1" w:lastColumn="0" w:lastRow="0" w:noHBand="0" w:noVBand="1" w:val="04A0"/>
        <w:tblLayout w:type="fixed"/>
        <w:tblLayout w:type="fixed"/>
      </w:tblPr>
      <w:tblGrid>
        <w:gridCol w:w="1644"/>
        <w:gridCol w:w="1077"/>
        <w:gridCol w:w="1417"/>
        <w:gridCol w:w="1644"/>
        <w:gridCol w:w="1077"/>
        <w:gridCol w:w="1417"/>
      </w:tblGrid>
      <w:tr>
        <w:tc>
          <w:tcPr>
            <w:tcW w:type="dxa" w:w="1644"/>
            <w:tcBorders>
              <w:top w:val="single" w:sz="4" w:space="0" w:color="BFBFBF"/>
              <w:left w:val="single" w:sz="4" w:space="0" w:color="BFBFBF"/>
              <w:bottom w:val="single" w:sz="4" w:space="0" w:color="BFBFBF"/>
              <w:right w:val="single" w:sz="4" w:space="0" w:color="BFBFBF"/>
            </w:tcBorders>
            <w:tcW w:w="1644" w:type="dxa"/>
            <w:shd w:val="clear" w:color="auto" w:fill="1F3A5F"/>
            <w:tcW w:w="1644" w:type="dxa"/>
          </w:tcPr>
          <w:p>
            <w:pPr>
              <w:spacing w:after="40" w:before="40" w:line="264" w:lineRule="auto"/>
              <w:jc w:val="center"/>
            </w:pPr>
            <w:r/>
            <w:r>
              <w:rPr>
                <w:rFonts w:ascii="Cambria" w:hAnsi="Cambria" w:eastAsia="Cambria"/>
                <w:b/>
                <w:i w:val="0"/>
                <w:color w:val="FFFFFF"/>
                <w:sz w:val="16"/>
              </w:rPr>
              <w:t>Software Name</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6"/>
              </w:rPr>
              <w:t>Version</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6"/>
              </w:rPr>
              <w:t>Type (Licensed/Open Source)</w:t>
            </w:r>
          </w:p>
        </w:tc>
        <w:tc>
          <w:tcPr>
            <w:tcW w:type="dxa" w:w="1644"/>
            <w:tcBorders>
              <w:top w:val="single" w:sz="4" w:space="0" w:color="BFBFBF"/>
              <w:left w:val="single" w:sz="4" w:space="0" w:color="BFBFBF"/>
              <w:bottom w:val="single" w:sz="4" w:space="0" w:color="BFBFBF"/>
              <w:right w:val="single" w:sz="4" w:space="0" w:color="BFBFBF"/>
            </w:tcBorders>
            <w:tcW w:w="1644" w:type="dxa"/>
            <w:shd w:val="clear" w:color="auto" w:fill="1F3A5F"/>
            <w:tcW w:w="1644" w:type="dxa"/>
          </w:tcPr>
          <w:p>
            <w:pPr>
              <w:spacing w:after="40" w:before="40" w:line="264" w:lineRule="auto"/>
              <w:jc w:val="center"/>
            </w:pPr>
            <w:r/>
            <w:r>
              <w:rPr>
                <w:rFonts w:ascii="Cambria" w:hAnsi="Cambria" w:eastAsia="Cambria"/>
                <w:b/>
                <w:i w:val="0"/>
                <w:color w:val="FFFFFF"/>
                <w:sz w:val="16"/>
              </w:rPr>
              <w:t>Installed In</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6"/>
              </w:rPr>
              <w:t>License Validity</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6"/>
              </w:rPr>
              <w:t>Evidence Reference</w:t>
            </w:r>
          </w:p>
        </w:tc>
      </w:tr>
      <w:tr>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6"/>
              </w:rPr>
              <w:t>MATLAB</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6"/>
              </w:rPr>
              <w:t>R2023a</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Licensed</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6"/>
              </w:rPr>
              <w:t>AI / Research Labs</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6"/>
              </w:rPr>
              <w:t>2026</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License_2023</w:t>
            </w:r>
          </w:p>
        </w:tc>
      </w:tr>
      <w:tr>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6"/>
              </w:rPr>
              <w:t>AutoCAD</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6"/>
              </w:rPr>
              <w:t>2024</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6"/>
              </w:rPr>
              <w:t>Licensed</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6"/>
              </w:rPr>
              <w:t>Design Lab</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6"/>
              </w:rPr>
              <w:t>2025</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6"/>
              </w:rPr>
              <w:t>Autodesk_License</w:t>
            </w:r>
          </w:p>
        </w:tc>
      </w:tr>
      <w:tr>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6"/>
              </w:rPr>
              <w:t>Anaconda (Python)</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6"/>
              </w:rPr>
              <w:t>2023</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Open Source</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6"/>
              </w:rPr>
              <w:t>Programming / AI Lab</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6"/>
              </w:rPr>
              <w:t>N/A</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Software_List_2023</w:t>
            </w:r>
          </w:p>
        </w:tc>
      </w:tr>
      <w:tr>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6"/>
              </w:rPr>
              <w:t>Power BI</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6"/>
              </w:rPr>
              <w:t>Desktop Pro</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6"/>
              </w:rPr>
              <w:t>Licensed</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6"/>
              </w:rPr>
              <w:t>Data Analytics Lab</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6"/>
              </w:rPr>
              <w:t>2026</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6"/>
              </w:rPr>
              <w:t>Microsoft_Invoice</w:t>
            </w:r>
          </w:p>
        </w:tc>
      </w:tr>
      <w:tr>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6"/>
              </w:rPr>
              <w:t>Tableau</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6"/>
              </w:rPr>
              <w:t>2023.4</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Academic License</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6"/>
              </w:rPr>
              <w:t>Analytics Lab</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6"/>
              </w:rPr>
              <w:t>2025</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Tableau_Cert_2024</w:t>
            </w:r>
          </w:p>
        </w:tc>
      </w:tr>
      <w:tr>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6"/>
              </w:rPr>
              <w:t>TensorFlow &amp; PyTorch</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6"/>
              </w:rPr>
              <w:t>Latest</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6"/>
              </w:rPr>
              <w:t>Open Source</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6"/>
              </w:rPr>
              <w:t>AI Lab</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6"/>
              </w:rPr>
              <w:t>N/A</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6"/>
              </w:rPr>
              <w:t>OpenSource_Log_2024</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Laboratory Maintenance &amp; Upgradation Record</w:t>
      </w:r>
    </w:p>
    <w:tbl>
      <w:tblPr>
        <w:tblW w:type="auto" w:w="0"/>
        <w:jc w:val="center"/>
        <w:tblLook w:firstColumn="1" w:firstRow="1" w:lastColumn="0" w:lastRow="0" w:noHBand="0" w:noVBand="1" w:val="04A0"/>
        <w:tblLayout w:type="fixed"/>
        <w:tblLayout w:type="fixed"/>
      </w:tblPr>
      <w:tblGrid>
        <w:gridCol w:w="850"/>
        <w:gridCol w:w="1134"/>
        <w:gridCol w:w="1247"/>
        <w:gridCol w:w="1474"/>
        <w:gridCol w:w="1020"/>
        <w:gridCol w:w="1020"/>
        <w:gridCol w:w="1020"/>
        <w:gridCol w:w="1304"/>
      </w:tblGrid>
      <w:tr>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5"/>
              </w:rPr>
              <w:t>Year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Lab Name</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5"/>
              </w:rPr>
              <w:t>Type of Maintenance</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Description of Work Done</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Vendor / In-house</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Cost (₹)</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5"/>
              </w:rPr>
              <w:t>Status</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5"/>
              </w:rPr>
              <w:t>Evidence Reference</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2022–23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Programming Lab</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5"/>
              </w:rPr>
              <w:t>Upgradation</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OS &amp; IDE updates</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In-house</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25,000</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Completed</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Maintenance_2023</w:t>
            </w:r>
          </w:p>
        </w:tc>
      </w:tr>
      <w:tr>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5"/>
              </w:rPr>
              <w:t>2023–24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IoT Lab</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5"/>
              </w:rPr>
              <w:t>Equipment Purchase</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10 new Arduino kits</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Vendor</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50,000</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5"/>
              </w:rPr>
              <w:t>Completed</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Purchase_Bill_2024</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2024–25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AI Lab</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5"/>
              </w:rPr>
              <w:t>Hardware Upgrade</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GPU installation</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Vendor</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2,20,000</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5"/>
              </w:rPr>
              <w:t>Completed</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Invoice_2025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Specialized Facilities for Research &amp; Innovation</w:t>
      </w:r>
    </w:p>
    <w:tbl>
      <w:tblPr>
        <w:tblW w:type="auto" w:w="0"/>
        <w:jc w:val="center"/>
        <w:tblLook w:firstColumn="1" w:firstRow="1" w:lastColumn="0" w:lastRow="0" w:noHBand="0" w:noVBand="1" w:val="04A0"/>
        <w:tblLayout w:type="fixed"/>
        <w:tblLayout w:type="fixed"/>
      </w:tblPr>
      <w:tblGrid>
        <w:gridCol w:w="1531"/>
        <w:gridCol w:w="1644"/>
        <w:gridCol w:w="1020"/>
        <w:gridCol w:w="1701"/>
        <w:gridCol w:w="1247"/>
        <w:gridCol w:w="1474"/>
      </w:tblGrid>
      <w:tr>
        <w:tc>
          <w:tcPr>
            <w:tcW w:type="dxa" w:w="1531"/>
            <w:tcBorders>
              <w:top w:val="single" w:sz="4" w:space="0" w:color="BFBFBF"/>
              <w:left w:val="single" w:sz="4" w:space="0" w:color="BFBFBF"/>
              <w:bottom w:val="single" w:sz="4" w:space="0" w:color="BFBFBF"/>
              <w:right w:val="single" w:sz="4" w:space="0" w:color="BFBFBF"/>
            </w:tcBorders>
            <w:tcW w:w="1531" w:type="dxa"/>
            <w:shd w:val="clear" w:color="auto" w:fill="1F3A5F"/>
            <w:tcW w:w="1531" w:type="dxa"/>
          </w:tcPr>
          <w:p>
            <w:pPr>
              <w:spacing w:after="40" w:before="40" w:line="264" w:lineRule="auto"/>
              <w:jc w:val="center"/>
            </w:pPr>
            <w:r/>
            <w:r>
              <w:rPr>
                <w:rFonts w:ascii="Cambria" w:hAnsi="Cambria" w:eastAsia="Cambria"/>
                <w:b/>
                <w:i w:val="0"/>
                <w:color w:val="FFFFFF"/>
                <w:sz w:val="16"/>
              </w:rPr>
              <w:t>Facility Name</w:t>
            </w:r>
          </w:p>
        </w:tc>
        <w:tc>
          <w:tcPr>
            <w:tcW w:type="dxa" w:w="1644"/>
            <w:tcBorders>
              <w:top w:val="single" w:sz="4" w:space="0" w:color="BFBFBF"/>
              <w:left w:val="single" w:sz="4" w:space="0" w:color="BFBFBF"/>
              <w:bottom w:val="single" w:sz="4" w:space="0" w:color="BFBFBF"/>
              <w:right w:val="single" w:sz="4" w:space="0" w:color="BFBFBF"/>
            </w:tcBorders>
            <w:tcW w:w="1644" w:type="dxa"/>
            <w:shd w:val="clear" w:color="auto" w:fill="1F3A5F"/>
            <w:tcW w:w="1644" w:type="dxa"/>
          </w:tcPr>
          <w:p>
            <w:pPr>
              <w:spacing w:after="40" w:before="40" w:line="264" w:lineRule="auto"/>
              <w:jc w:val="center"/>
            </w:pPr>
            <w:r/>
            <w:r>
              <w:rPr>
                <w:rFonts w:ascii="Cambria" w:hAnsi="Cambria" w:eastAsia="Cambria"/>
                <w:b/>
                <w:i w:val="0"/>
                <w:color w:val="FFFFFF"/>
                <w:sz w:val="16"/>
              </w:rPr>
              <w:t>Purpose</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6"/>
              </w:rPr>
              <w:t>Location</w:t>
            </w:r>
          </w:p>
        </w:tc>
        <w:tc>
          <w:tcPr>
            <w:tcW w:type="dxa" w:w="1701"/>
            <w:tcBorders>
              <w:top w:val="single" w:sz="4" w:space="0" w:color="BFBFBF"/>
              <w:left w:val="single" w:sz="4" w:space="0" w:color="BFBFBF"/>
              <w:bottom w:val="single" w:sz="4" w:space="0" w:color="BFBFBF"/>
              <w:right w:val="single" w:sz="4" w:space="0" w:color="BFBFBF"/>
            </w:tcBorders>
            <w:tcW w:w="1701" w:type="dxa"/>
            <w:shd w:val="clear" w:color="auto" w:fill="1F3A5F"/>
            <w:tcW w:w="1701" w:type="dxa"/>
          </w:tcPr>
          <w:p>
            <w:pPr>
              <w:spacing w:after="40" w:before="40" w:line="264" w:lineRule="auto"/>
              <w:jc w:val="center"/>
            </w:pPr>
            <w:r/>
            <w:r>
              <w:rPr>
                <w:rFonts w:ascii="Cambria" w:hAnsi="Cambria" w:eastAsia="Cambria"/>
                <w:b/>
                <w:i w:val="0"/>
                <w:color w:val="FFFFFF"/>
                <w:sz w:val="16"/>
              </w:rPr>
              <w:t>Major Equipment / Software</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6"/>
              </w:rPr>
              <w:t>Responsible Faculty</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6"/>
              </w:rPr>
              <w:t>Evidence Reference</w:t>
            </w:r>
          </w:p>
        </w:tc>
      </w:tr>
      <w:tr>
        <w:tc>
          <w:tcPr>
            <w:tcW w:type="dxa" w:w="1531"/>
            <w:shd w:val="clear" w:color="auto" w:fill="E8ECF2"/>
            <w:tcW w:w="1531" w:type="dxa"/>
          </w:tcPr>
          <w:p>
            <w:pPr>
              <w:spacing w:after="40" w:before="40" w:line="264" w:lineRule="auto"/>
              <w:jc w:val="left"/>
            </w:pPr>
            <w:r/>
            <w:r>
              <w:rPr>
                <w:rFonts w:ascii="Cambria" w:hAnsi="Cambria" w:eastAsia="Cambria"/>
                <w:b w:val="0"/>
                <w:i w:val="0"/>
                <w:color w:val="000000"/>
                <w:sz w:val="16"/>
              </w:rPr>
              <w:t>Innovation &amp; Incubation Cell</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6"/>
              </w:rPr>
              <w:t>Product Prototyping &amp; Startup Support</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6"/>
              </w:rPr>
              <w:t>Room 410</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6"/>
              </w:rPr>
              <w:t>3D Printer, Arduino Kits</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6"/>
              </w:rPr>
              <w:t>Dr. R. Kumar</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Incubation_Report_2025</w:t>
            </w:r>
          </w:p>
        </w:tc>
      </w:tr>
      <w:tr>
        <w:tc>
          <w:tcPr>
            <w:tcW w:type="dxa" w:w="1531"/>
            <w:shd w:val="clear" w:color="auto" w:fill="FFFFFF"/>
            <w:tcW w:w="1531" w:type="dxa"/>
          </w:tcPr>
          <w:p>
            <w:pPr>
              <w:spacing w:after="40" w:before="40" w:line="264" w:lineRule="auto"/>
              <w:jc w:val="left"/>
            </w:pPr>
            <w:r/>
            <w:r>
              <w:rPr>
                <w:rFonts w:ascii="Cambria" w:hAnsi="Cambria" w:eastAsia="Cambria"/>
                <w:b w:val="0"/>
                <w:i w:val="0"/>
                <w:color w:val="000000"/>
                <w:sz w:val="16"/>
              </w:rPr>
              <w:t>R&amp;D and Project Lab</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6"/>
              </w:rPr>
              <w:t>Faculty &amp; Student Research</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6"/>
              </w:rPr>
              <w:t>Room 305</w:t>
            </w:r>
          </w:p>
        </w:tc>
        <w:tc>
          <w:tcPr>
            <w:tcW w:type="dxa" w:w="1701"/>
            <w:shd w:val="clear" w:color="auto" w:fill="FFFFFF"/>
            <w:tcW w:w="1701" w:type="dxa"/>
          </w:tcPr>
          <w:p>
            <w:pPr>
              <w:spacing w:after="40" w:before="40" w:line="264" w:lineRule="auto"/>
              <w:jc w:val="left"/>
            </w:pPr>
            <w:r/>
            <w:r>
              <w:rPr>
                <w:rFonts w:ascii="Cambria" w:hAnsi="Cambria" w:eastAsia="Cambria"/>
                <w:b w:val="0"/>
                <w:i w:val="0"/>
                <w:color w:val="000000"/>
                <w:sz w:val="16"/>
              </w:rPr>
              <w:t>High-performance Workstations</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6"/>
              </w:rPr>
              <w:t>Prof. M. Rao</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R&amp;D_Inventory_2024</w:t>
            </w:r>
          </w:p>
        </w:tc>
      </w:tr>
      <w:tr>
        <w:tc>
          <w:tcPr>
            <w:tcW w:type="dxa" w:w="1531"/>
            <w:shd w:val="clear" w:color="auto" w:fill="E8ECF2"/>
            <w:tcW w:w="1531" w:type="dxa"/>
          </w:tcPr>
          <w:p>
            <w:pPr>
              <w:spacing w:after="40" w:before="40" w:line="264" w:lineRule="auto"/>
              <w:jc w:val="left"/>
            </w:pPr>
            <w:r/>
            <w:r>
              <w:rPr>
                <w:rFonts w:ascii="Cambria" w:hAnsi="Cambria" w:eastAsia="Cambria"/>
                <w:b w:val="0"/>
                <w:i w:val="0"/>
                <w:color w:val="000000"/>
                <w:sz w:val="16"/>
              </w:rPr>
              <w:t>Seminar Hall</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6"/>
              </w:rPr>
              <w:t>Presentations &amp; Workshops</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6"/>
              </w:rPr>
              <w:t>Room 215</w:t>
            </w:r>
          </w:p>
        </w:tc>
        <w:tc>
          <w:tcPr>
            <w:tcW w:type="dxa" w:w="1701"/>
            <w:shd w:val="clear" w:color="auto" w:fill="E8ECF2"/>
            <w:tcW w:w="1701" w:type="dxa"/>
          </w:tcPr>
          <w:p>
            <w:pPr>
              <w:spacing w:after="40" w:before="40" w:line="264" w:lineRule="auto"/>
              <w:jc w:val="left"/>
            </w:pPr>
            <w:r/>
            <w:r>
              <w:rPr>
                <w:rFonts w:ascii="Cambria" w:hAnsi="Cambria" w:eastAsia="Cambria"/>
                <w:b w:val="0"/>
                <w:i w:val="0"/>
                <w:color w:val="000000"/>
                <w:sz w:val="16"/>
              </w:rPr>
              <w:t>Projector, Audio System</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6"/>
              </w:rPr>
              <w:t>Admin Dept.</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Seminar_Usage_2023</w:t>
            </w:r>
          </w:p>
        </w:tc>
      </w:tr>
      <w:tr>
        <w:tc>
          <w:tcPr>
            <w:tcW w:type="dxa" w:w="1531"/>
            <w:shd w:val="clear" w:color="auto" w:fill="FFFFFF"/>
            <w:tcW w:w="1531" w:type="dxa"/>
          </w:tcPr>
          <w:p>
            <w:pPr>
              <w:spacing w:after="40" w:before="40" w:line="264" w:lineRule="auto"/>
              <w:jc w:val="left"/>
            </w:pPr>
            <w:r/>
            <w:r>
              <w:rPr>
                <w:rFonts w:ascii="Cambria" w:hAnsi="Cambria" w:eastAsia="Cambria"/>
                <w:b w:val="0"/>
                <w:i w:val="0"/>
                <w:color w:val="000000"/>
                <w:sz w:val="16"/>
              </w:rPr>
              <w:t>Digital Library</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6"/>
              </w:rPr>
              <w:t>Online Access &amp; e-Journals</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6"/>
              </w:rPr>
              <w:t>Dept. Library</w:t>
            </w:r>
          </w:p>
        </w:tc>
        <w:tc>
          <w:tcPr>
            <w:tcW w:type="dxa" w:w="1701"/>
            <w:shd w:val="clear" w:color="auto" w:fill="FFFFFF"/>
            <w:tcW w:w="1701" w:type="dxa"/>
          </w:tcPr>
          <w:p>
            <w:pPr>
              <w:spacing w:after="40" w:before="40" w:line="264" w:lineRule="auto"/>
              <w:jc w:val="left"/>
            </w:pPr>
            <w:r/>
            <w:r>
              <w:rPr>
                <w:rFonts w:ascii="Cambria" w:hAnsi="Cambria" w:eastAsia="Cambria"/>
                <w:b w:val="0"/>
                <w:i w:val="0"/>
                <w:color w:val="000000"/>
                <w:sz w:val="16"/>
              </w:rPr>
              <w:t>IEEE, ScienceDirect, NPTEL</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6"/>
              </w:rPr>
              <w:t>Librarian</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EResource_Log_2025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Utilization of Laboratory Resources</w:t>
      </w:r>
    </w:p>
    <w:tbl>
      <w:tblPr>
        <w:tblW w:type="auto" w:w="0"/>
        <w:jc w:val="center"/>
        <w:tblLook w:firstColumn="1" w:firstRow="1" w:lastColumn="0" w:lastRow="0" w:noHBand="0" w:noVBand="1" w:val="04A0"/>
        <w:tblLayout w:type="fixed"/>
        <w:tblLayout w:type="fixed"/>
      </w:tblPr>
      <w:tblGrid>
        <w:gridCol w:w="907"/>
        <w:gridCol w:w="1191"/>
        <w:gridCol w:w="1304"/>
        <w:gridCol w:w="1247"/>
        <w:gridCol w:w="1417"/>
        <w:gridCol w:w="1304"/>
        <w:gridCol w:w="1247"/>
      </w:tblGrid>
      <w:tr>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7"/>
              </w:rPr>
              <w:t>Year</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7"/>
              </w:rPr>
              <w:t>Lab Name</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7"/>
              </w:rPr>
              <w:t>Utilization Hours / Week</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7"/>
              </w:rPr>
              <w:t>Courses Supported</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7"/>
              </w:rPr>
              <w:t>Research / Project Usage</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7"/>
              </w:rPr>
              <w:t>Student–System Ratio</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7"/>
              </w:rPr>
              <w:t>Evidence Reference</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7"/>
              </w:rPr>
              <w:t>2022–23</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7"/>
              </w:rPr>
              <w:t>Programming Lab</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7"/>
              </w:rPr>
              <w:t>25</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7"/>
              </w:rPr>
              <w:t>UG Core</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Mini Projects</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7"/>
              </w:rPr>
              <w:t>1:1</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7"/>
              </w:rPr>
              <w:t>Utilization_2023</w:t>
            </w:r>
          </w:p>
        </w:tc>
      </w:tr>
      <w:tr>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7"/>
              </w:rPr>
              <w:t>2023–24</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7"/>
              </w:rPr>
              <w:t>AI Lab</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7"/>
              </w:rPr>
              <w:t>30</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7"/>
              </w:rPr>
              <w:t>PG Electives</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7"/>
              </w:rPr>
              <w:t>Research Projects</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7"/>
              </w:rPr>
              <w:t>1:1</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7"/>
              </w:rPr>
              <w:t>Utilization_2024</w:t>
            </w:r>
          </w:p>
        </w:tc>
      </w:tr>
      <w:tr>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7"/>
              </w:rPr>
              <w:t>2024–25</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7"/>
              </w:rPr>
              <w:t>IoT Lab</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7"/>
              </w:rPr>
              <w:t>20</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7"/>
              </w:rPr>
              <w:t>UG Elective</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7"/>
              </w:rPr>
              <w:t>Prototype Design</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7"/>
              </w:rPr>
              <w:t>1:1</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7"/>
              </w:rPr>
              <w:t>Utilization_2025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Continuous Improvement in Lab Infrastructure</w:t>
      </w:r>
    </w:p>
    <w:p>
      <w:pPr>
        <w:keepNext/>
        <w:spacing w:before="200" w:after="80"/>
      </w:pPr>
      <w:r>
        <w:rPr>
          <w:rFonts w:ascii="Cambria" w:hAnsi="Cambria" w:eastAsia="Cambria"/>
          <w:b/>
          <w:i w:val="0"/>
          <w:color w:val="1F3A5F"/>
          <w:sz w:val="23"/>
        </w:rPr>
        <w:t>2022–23 – Need for more programming systems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High lab load</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Corrective 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Added 10 new computers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HoD + IT Cell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Outcome/Improvement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100% system availability</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Purchase_2023</w:t>
            </w:r>
          </w:p>
        </w:tc>
      </w:tr>
    </w:tbl>
    <w:p>
      <w:pPr>
        <w:keepNext/>
        <w:spacing w:before="200" w:after="80"/>
      </w:pPr>
      <w:r>
        <w:rPr>
          <w:rFonts w:ascii="Cambria" w:hAnsi="Cambria" w:eastAsia="Cambria"/>
          <w:b/>
          <w:i w:val="0"/>
          <w:color w:val="1F3A5F"/>
          <w:sz w:val="23"/>
        </w:rPr>
        <w:t>2023–24 – Outdated IoT kits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Low experiment success rate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Corrective 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Procured new kits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Lab In-Charge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Outcome/Improvement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Improved student feedback</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ATR_2024</w:t>
            </w:r>
          </w:p>
        </w:tc>
      </w:tr>
    </w:tbl>
    <w:p>
      <w:pPr>
        <w:keepNext/>
        <w:spacing w:before="200" w:after="80"/>
      </w:pPr>
      <w:r>
        <w:rPr>
          <w:rFonts w:ascii="Cambria" w:hAnsi="Cambria" w:eastAsia="Cambria"/>
          <w:b/>
          <w:i w:val="0"/>
          <w:color w:val="1F3A5F"/>
          <w:sz w:val="23"/>
        </w:rPr>
        <w:t>2024–25 – Insufficient GPU workstations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AI research demand</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Corrective 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Installed GPU servers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IQAC + R&amp;D Cell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Outcome/Improvement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Enabled ML model training</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Report_2025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Department Lab Committee</w:t>
      </w:r>
      <w:r>
        <w:rPr>
          <w:rFonts w:ascii="Cambria" w:hAnsi="Cambria" w:eastAsia="Cambria"/>
          <w:b w:val="0"/>
          <w:i w:val="0"/>
          <w:color w:val="000000"/>
          <w:sz w:val="22"/>
        </w:rPr>
        <w:t xml:space="preserve"> oversees establishment, maintenance, and upgradation of labs.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Stock verification and calibration</w:t>
      </w:r>
      <w:r>
        <w:rPr>
          <w:rFonts w:ascii="Cambria" w:hAnsi="Cambria" w:eastAsia="Cambria"/>
          <w:b w:val="0"/>
          <w:i w:val="0"/>
          <w:color w:val="000000"/>
          <w:sz w:val="22"/>
        </w:rPr>
        <w:t xml:space="preserve"> conducted annually.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Lab manuals and safety records</w:t>
      </w:r>
      <w:r>
        <w:rPr>
          <w:rFonts w:ascii="Cambria" w:hAnsi="Cambria" w:eastAsia="Cambria"/>
          <w:b w:val="0"/>
          <w:i w:val="0"/>
          <w:color w:val="000000"/>
          <w:sz w:val="22"/>
        </w:rPr>
        <w:t xml:space="preserve"> maintained for each course.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IQAC audits</w:t>
      </w:r>
      <w:r>
        <w:rPr>
          <w:rFonts w:ascii="Cambria" w:hAnsi="Cambria" w:eastAsia="Cambria"/>
          <w:b w:val="0"/>
          <w:i w:val="0"/>
          <w:color w:val="000000"/>
          <w:sz w:val="22"/>
        </w:rPr>
        <w:t xml:space="preserve"> the adequacy of computing and research infrastructure annually.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Continuous modernization</w:t>
      </w:r>
      <w:r>
        <w:rPr>
          <w:rFonts w:ascii="Cambria" w:hAnsi="Cambria" w:eastAsia="Cambria"/>
          <w:b w:val="0"/>
          <w:i w:val="0"/>
          <w:color w:val="000000"/>
          <w:sz w:val="22"/>
        </w:rPr>
        <w:t xml:space="preserve"> based on curriculum and industry requirements.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5 (Infrastructure and Learning Resources)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Ensure evidence includes </w:t>
      </w:r>
      <w:r>
        <w:rPr>
          <w:rFonts w:ascii="Cambria" w:hAnsi="Cambria" w:eastAsia="Cambria"/>
          <w:b w:val="0"/>
          <w:i/>
          <w:color w:val="000000"/>
          <w:sz w:val="22"/>
        </w:rPr>
        <w:t>lab layout photos, stock registers, purchase invoices,</w:t>
      </w:r>
      <w:r>
        <w:rPr>
          <w:rFonts w:ascii="Cambria" w:hAnsi="Cambria" w:eastAsia="Cambria"/>
          <w:b w:val="0"/>
          <w:i w:val="0"/>
          <w:color w:val="000000"/>
          <w:sz w:val="22"/>
        </w:rPr>
        <w:t xml:space="preserve"> and </w:t>
      </w:r>
      <w:r>
        <w:rPr>
          <w:rFonts w:ascii="Cambria" w:hAnsi="Cambria" w:eastAsia="Cambria"/>
          <w:b w:val="0"/>
          <w:i/>
          <w:color w:val="000000"/>
          <w:sz w:val="22"/>
        </w:rPr>
        <w:t>AMC / calibration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separate folders for CAY, CAYm1, CAYm2 with respective lab and computing details.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Availability of modern, well-equipped, and program-specific laboratories.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Enhanced student learning and research productivity through improved computing facilities.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Transparent maintenance, upgradation, and usage tracking system.</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5 &amp; 10 – Infrastructure, Computing Facilities, and Continuous Improvement standards.</w:t>
      </w:r>
    </w:p>
    <w:p>
      <w:r>
        <w:br w:type="page"/>
      </w:r>
    </w:p>
    <w:p>
      <w:pPr>
        <w:keepNext/>
        <w:spacing w:before="240" w:after="160"/>
        <w:jc w:val="left"/>
      </w:pPr>
      <w:r>
        <w:rPr>
          <w:rFonts w:ascii="Cambria" w:hAnsi="Cambria" w:eastAsia="Cambria"/>
          <w:b/>
          <w:i w:val="0"/>
          <w:color w:val="1F3A5F"/>
          <w:sz w:val="25"/>
        </w:rPr>
        <w:t>35. P.32 Records of project laboratories, research laboratories, industry-supported laboratories and other additional facilities available within the department.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document the specialized laboratory infrastructure developed by the department to support project work, research, innovation, and industry collaboration.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the department's commitment to fostering applied learning, research excellence, and technology transfer aligned with institutional and NBA objectives.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highlight industry tie-ups and additional departmental facilities that contribute to innovation and employability enhancement of students.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Project Laboratories: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Facilities dedicated to final-year / capstone projects, innovation prototypes, and multidisciplinary research.</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Availability of tools, workstations, and fabrication equipment.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Research Laboratories: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Labs established for advanced domain research (AI, IoT, Robotics, Cloud, etc.).</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List of funded projects, ongoing experiments, and research equipment.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Industry-Supported Laboratories: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Labs developed in collaboration with industries (e.g., IBM, Infosys, TCS, Bosch).</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MoUs, approval letters, and equipment sponsorship details.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Additional Facilities: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 Innovation Cell (DIC), Centre of Excellence (CoE), Incubation Centre, and Department Library.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Specialized computational resources, servers, or simulation environments.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Department-wise list of project, research, and industry-linked laboratories.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MoUs or letters of support from partner industries or funding agencies.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Lab layout diagrams, stock registers, and equipment purchase bills.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Photographs of labs, working prototypes, and research activities.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Maintenance records, utilization logs, and calibration certificates.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of student/faculty research outcomes (papers, patents, models) from these labs.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List of Project Laboratories</w:t>
      </w:r>
    </w:p>
    <w:tbl>
      <w:tblPr>
        <w:tblW w:type="auto" w:w="0"/>
        <w:jc w:val="center"/>
        <w:tblLook w:firstColumn="1" w:firstRow="1" w:lastColumn="0" w:lastRow="0" w:noHBand="0" w:noVBand="1" w:val="04A0"/>
        <w:tblLayout w:type="fixed"/>
        <w:tblLayout w:type="fixed"/>
      </w:tblPr>
      <w:tblGrid>
        <w:gridCol w:w="624"/>
        <w:gridCol w:w="1361"/>
        <w:gridCol w:w="1474"/>
        <w:gridCol w:w="1587"/>
        <w:gridCol w:w="794"/>
        <w:gridCol w:w="1020"/>
        <w:gridCol w:w="1020"/>
        <w:gridCol w:w="1134"/>
      </w:tblGrid>
      <w:tr>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4"/>
              </w:rPr>
              <w:t>S.No.</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4"/>
              </w:rPr>
              <w:t>Name of Project Lab</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4"/>
              </w:rPr>
              <w:t>Purpose / Linked Activities</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4"/>
              </w:rPr>
              <w:t>Major Equipment / Software</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4"/>
              </w:rPr>
              <w:t>Lab Area (Sq. m)</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4"/>
              </w:rPr>
              <w:t>Responsible Faculty</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4"/>
              </w:rPr>
              <w:t>No. of Student Projects Supported per Year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4"/>
              </w:rPr>
              <w:t>Evidence Reference</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1</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4"/>
              </w:rPr>
              <w:t>Final Year Project Lab</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4"/>
              </w:rPr>
              <w:t>Capstone design &amp; prototype development</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4"/>
              </w:rPr>
              <w:t>Workstations, 3D Printer, Soldering Kit, Arduino</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100</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Dr. R. Kumar</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35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ProjectLab_2023</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2</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4"/>
              </w:rPr>
              <w:t>Innovation Lab</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4"/>
              </w:rPr>
              <w:t>Interdisciplinary innovation &amp; mini projects</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4"/>
              </w:rPr>
              <w:t>IoT Kits, Sensors, PCB Design Tools</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80</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Mr. A. Menon</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25</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InnovationLab_2024</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3</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4"/>
              </w:rPr>
              <w:t>AI–ML Research Cell</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4"/>
              </w:rPr>
              <w:t>Data-driven projects &amp; competitions</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4"/>
              </w:rPr>
              <w:t>GPU PCs, Python, TensorFlow</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85</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Ms. S. Iyer</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20</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AI_Lab_2025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List of Research Laboratories</w:t>
      </w:r>
    </w:p>
    <w:tbl>
      <w:tblPr>
        <w:tblW w:type="auto" w:w="0"/>
        <w:jc w:val="center"/>
        <w:tblLook w:firstColumn="1" w:firstRow="1" w:lastColumn="0" w:lastRow="0" w:noHBand="0" w:noVBand="1" w:val="04A0"/>
        <w:tblLayout w:type="fixed"/>
        <w:tblLayout w:type="fixed"/>
      </w:tblPr>
      <w:tblGrid>
        <w:gridCol w:w="624"/>
        <w:gridCol w:w="1304"/>
        <w:gridCol w:w="1304"/>
        <w:gridCol w:w="1474"/>
        <w:gridCol w:w="907"/>
        <w:gridCol w:w="794"/>
        <w:gridCol w:w="850"/>
        <w:gridCol w:w="850"/>
        <w:gridCol w:w="1020"/>
      </w:tblGrid>
      <w:tr>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3"/>
              </w:rPr>
              <w:t>S.No.</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3"/>
              </w:rPr>
              <w:t>Name of Research Lab</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3"/>
              </w:rPr>
              <w:t>Research Domain</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3"/>
              </w:rPr>
              <w:t>Major Equipment / Tools</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3"/>
              </w:rPr>
              <w:t>Funding Source</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3"/>
              </w:rPr>
              <w:t>Year of Establishment</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3"/>
              </w:rPr>
              <w:t>Responsible Faculty</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3"/>
              </w:rPr>
              <w:t>Ongoing Research Projects</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3"/>
              </w:rPr>
              <w:t>Evidence Reference</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3"/>
              </w:rPr>
              <w:t>1</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3"/>
              </w:rPr>
              <w:t>Data Science Research Lab</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3"/>
              </w:rPr>
              <w:t>Data Analytics, Visualization</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3"/>
              </w:rPr>
              <w:t>High-performance Servers, Power BI, R</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3"/>
              </w:rPr>
              <w:t>AICTE (MODROB)</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3"/>
              </w:rPr>
              <w:t>2021</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3"/>
              </w:rPr>
              <w:t>Prof. M. Rao</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3"/>
              </w:rPr>
              <w:t>3</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3"/>
              </w:rPr>
              <w:t>DSRL_Report_2023</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3"/>
              </w:rPr>
              <w:t>2</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3"/>
              </w:rPr>
              <w:t>IoT &amp; Embedded Systems Lab</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3"/>
              </w:rPr>
              <w:t>Smart Devices &amp; Wireless Networks</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3"/>
              </w:rPr>
              <w:t>Raspberry Pi, Sensors, Wi-Fi Modules</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3"/>
              </w:rPr>
              <w:t>DST-SERB</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3"/>
              </w:rPr>
              <w:t>2022</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3"/>
              </w:rPr>
              <w:t>Mr. A. Menon</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3"/>
              </w:rPr>
              <w:t>2</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3"/>
              </w:rPr>
              <w:t>IoT_Report_2024</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3"/>
              </w:rPr>
              <w:t>3</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3"/>
              </w:rPr>
              <w:t>Cloud &amp; Cybersecurity Lab</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3"/>
              </w:rPr>
              <w:t>Cloud Architecture &amp; Security</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3"/>
              </w:rPr>
              <w:t>AWS Academy, Azure, Subscriptions</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3"/>
              </w:rPr>
              <w:t>Institutional Fund</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3"/>
              </w:rPr>
              <w:t>2023</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3"/>
              </w:rPr>
              <w:t>Dr. P. Reddy</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3"/>
              </w:rPr>
              <w:t>1</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3"/>
              </w:rPr>
              <w:t>CyberLab_2025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List of Industry-Supported Laboratories</w:t>
      </w:r>
    </w:p>
    <w:tbl>
      <w:tblPr>
        <w:tblW w:type="auto" w:w="0"/>
        <w:jc w:val="center"/>
        <w:tblLook w:firstColumn="1" w:firstRow="1" w:lastColumn="0" w:lastRow="0" w:noHBand="0" w:noVBand="1" w:val="04A0"/>
        <w:tblLayout w:type="fixed"/>
        <w:tblLayout w:type="fixed"/>
      </w:tblPr>
      <w:tblGrid>
        <w:gridCol w:w="624"/>
        <w:gridCol w:w="1304"/>
        <w:gridCol w:w="1191"/>
        <w:gridCol w:w="1587"/>
        <w:gridCol w:w="1134"/>
        <w:gridCol w:w="794"/>
        <w:gridCol w:w="1304"/>
        <w:gridCol w:w="1134"/>
      </w:tblGrid>
      <w:tr>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4"/>
              </w:rPr>
              <w:t>S.No.</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4"/>
              </w:rPr>
              <w:t>Name of Lab</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4"/>
              </w:rPr>
              <w:t>Industry Partner</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4"/>
              </w:rPr>
              <w:t>Type of Support (Equipment/Training/Funding)</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4"/>
              </w:rPr>
              <w:t>MoU Reference No.</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4"/>
              </w:rPr>
              <w:t>Year of Setup</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4"/>
              </w:rPr>
              <w:t>Courses / Projects Supported</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4"/>
              </w:rPr>
              <w:t>Evidence Reference</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1</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4"/>
              </w:rPr>
              <w:t>IBM Centre of Excellence</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4"/>
              </w:rPr>
              <w:t>IBM India Pvt. Ltd.</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4"/>
              </w:rPr>
              <w:t>Software tools, faculty training</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MoU/IBM/2021/15</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2021</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4"/>
              </w:rPr>
              <w:t>Data Science, Cloud Computing</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IBM_CoE_2023</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2</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4"/>
              </w:rPr>
              <w:t>TCS–AI Learning Hub</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4"/>
              </w:rPr>
              <w:t>Tata Consultancy Services</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4"/>
              </w:rPr>
              <w:t>Training content, mentorship</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MoU/TCS/2022/09</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2022</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4"/>
              </w:rPr>
              <w:t>AI &amp; ML Courses</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TCS_Lab_2024</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3</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4"/>
              </w:rPr>
              <w:t>Bosch Innovation Lab</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4"/>
              </w:rPr>
              <w:t>Bosch Ltd.</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4"/>
              </w:rPr>
              <w:t>IoT kits, embedded system support</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MoU/BOSCH/2023/07</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2023</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4"/>
              </w:rPr>
              <w:t>Mechatronics &amp; IoT Projects</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BoschLab_2025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Additional Departmental Facilities</w:t>
      </w:r>
    </w:p>
    <w:tbl>
      <w:tblPr>
        <w:tblW w:type="auto" w:w="0"/>
        <w:jc w:val="center"/>
        <w:tblLook w:firstColumn="1" w:firstRow="1" w:lastColumn="0" w:lastRow="0" w:noHBand="0" w:noVBand="1" w:val="04A0"/>
        <w:tblLayout w:type="fixed"/>
        <w:tblLayout w:type="fixed"/>
      </w:tblPr>
      <w:tblGrid>
        <w:gridCol w:w="1757"/>
        <w:gridCol w:w="1644"/>
        <w:gridCol w:w="907"/>
        <w:gridCol w:w="1644"/>
        <w:gridCol w:w="1531"/>
        <w:gridCol w:w="1361"/>
      </w:tblGrid>
      <w:tr>
        <w:tc>
          <w:tcPr>
            <w:tcW w:type="dxa" w:w="1757"/>
            <w:tcBorders>
              <w:top w:val="single" w:sz="4" w:space="0" w:color="BFBFBF"/>
              <w:left w:val="single" w:sz="4" w:space="0" w:color="BFBFBF"/>
              <w:bottom w:val="single" w:sz="4" w:space="0" w:color="BFBFBF"/>
              <w:right w:val="single" w:sz="4" w:space="0" w:color="BFBFBF"/>
            </w:tcBorders>
            <w:tcW w:w="1757" w:type="dxa"/>
            <w:shd w:val="clear" w:color="auto" w:fill="1F3A5F"/>
            <w:tcW w:w="1757" w:type="dxa"/>
          </w:tcPr>
          <w:p>
            <w:pPr>
              <w:spacing w:after="40" w:before="40" w:line="264" w:lineRule="auto"/>
              <w:jc w:val="center"/>
            </w:pPr>
            <w:r/>
            <w:r>
              <w:rPr>
                <w:rFonts w:ascii="Cambria" w:hAnsi="Cambria" w:eastAsia="Cambria"/>
                <w:b/>
                <w:i w:val="0"/>
                <w:color w:val="FFFFFF"/>
                <w:sz w:val="15"/>
              </w:rPr>
              <w:t>Facility Name</w:t>
            </w:r>
          </w:p>
        </w:tc>
        <w:tc>
          <w:tcPr>
            <w:tcW w:type="dxa" w:w="1644"/>
            <w:tcBorders>
              <w:top w:val="single" w:sz="4" w:space="0" w:color="BFBFBF"/>
              <w:left w:val="single" w:sz="4" w:space="0" w:color="BFBFBF"/>
              <w:bottom w:val="single" w:sz="4" w:space="0" w:color="BFBFBF"/>
              <w:right w:val="single" w:sz="4" w:space="0" w:color="BFBFBF"/>
            </w:tcBorders>
            <w:tcW w:w="1644" w:type="dxa"/>
            <w:shd w:val="clear" w:color="auto" w:fill="1F3A5F"/>
            <w:tcW w:w="1644" w:type="dxa"/>
          </w:tcPr>
          <w:p>
            <w:pPr>
              <w:spacing w:after="40" w:before="40" w:line="264" w:lineRule="auto"/>
              <w:jc w:val="center"/>
            </w:pPr>
            <w:r/>
            <w:r>
              <w:rPr>
                <w:rFonts w:ascii="Cambria" w:hAnsi="Cambria" w:eastAsia="Cambria"/>
                <w:b/>
                <w:i w:val="0"/>
                <w:color w:val="FFFFFF"/>
                <w:sz w:val="15"/>
              </w:rPr>
              <w:t>Function / Purpose</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Location</w:t>
            </w:r>
          </w:p>
        </w:tc>
        <w:tc>
          <w:tcPr>
            <w:tcW w:type="dxa" w:w="1644"/>
            <w:tcBorders>
              <w:top w:val="single" w:sz="4" w:space="0" w:color="BFBFBF"/>
              <w:left w:val="single" w:sz="4" w:space="0" w:color="BFBFBF"/>
              <w:bottom w:val="single" w:sz="4" w:space="0" w:color="BFBFBF"/>
              <w:right w:val="single" w:sz="4" w:space="0" w:color="BFBFBF"/>
            </w:tcBorders>
            <w:tcW w:w="1644" w:type="dxa"/>
            <w:shd w:val="clear" w:color="auto" w:fill="1F3A5F"/>
            <w:tcW w:w="1644" w:type="dxa"/>
          </w:tcPr>
          <w:p>
            <w:pPr>
              <w:spacing w:after="40" w:before="40" w:line="264" w:lineRule="auto"/>
              <w:jc w:val="center"/>
            </w:pPr>
            <w:r/>
            <w:r>
              <w:rPr>
                <w:rFonts w:ascii="Cambria" w:hAnsi="Cambria" w:eastAsia="Cambria"/>
                <w:b/>
                <w:i w:val="0"/>
                <w:color w:val="FFFFFF"/>
                <w:sz w:val="15"/>
              </w:rPr>
              <w:t>Key Resources Available</w:t>
            </w:r>
          </w:p>
        </w:tc>
        <w:tc>
          <w:tcPr>
            <w:tcW w:type="dxa" w:w="1531"/>
            <w:tcBorders>
              <w:top w:val="single" w:sz="4" w:space="0" w:color="BFBFBF"/>
              <w:left w:val="single" w:sz="4" w:space="0" w:color="BFBFBF"/>
              <w:bottom w:val="single" w:sz="4" w:space="0" w:color="BFBFBF"/>
              <w:right w:val="single" w:sz="4" w:space="0" w:color="BFBFBF"/>
            </w:tcBorders>
            <w:tcW w:w="1531" w:type="dxa"/>
            <w:shd w:val="clear" w:color="auto" w:fill="1F3A5F"/>
            <w:tcW w:w="1531" w:type="dxa"/>
          </w:tcPr>
          <w:p>
            <w:pPr>
              <w:spacing w:after="40" w:before="40" w:line="264" w:lineRule="auto"/>
              <w:jc w:val="center"/>
            </w:pPr>
            <w:r/>
            <w:r>
              <w:rPr>
                <w:rFonts w:ascii="Cambria" w:hAnsi="Cambria" w:eastAsia="Cambria"/>
                <w:b/>
                <w:i w:val="0"/>
                <w:color w:val="FFFFFF"/>
                <w:sz w:val="15"/>
              </w:rPr>
              <w:t>Responsible Faculty / Coordinator</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5"/>
              </w:rPr>
              <w:t>Evidence Reference</w:t>
            </w:r>
          </w:p>
        </w:tc>
      </w:tr>
      <w:tr>
        <w:tc>
          <w:tcPr>
            <w:tcW w:type="dxa" w:w="1757"/>
            <w:shd w:val="clear" w:color="auto" w:fill="E8ECF2"/>
            <w:tcW w:w="1757" w:type="dxa"/>
          </w:tcPr>
          <w:p>
            <w:pPr>
              <w:spacing w:after="40" w:before="40" w:line="264" w:lineRule="auto"/>
              <w:jc w:val="left"/>
            </w:pPr>
            <w:r/>
            <w:r>
              <w:rPr>
                <w:rFonts w:ascii="Cambria" w:hAnsi="Cambria" w:eastAsia="Cambria"/>
                <w:b w:val="0"/>
                <w:i w:val="0"/>
                <w:color w:val="000000"/>
                <w:sz w:val="15"/>
              </w:rPr>
              <w:t>Department Innovation Cell (DIC)</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5"/>
              </w:rPr>
              <w:t>Ideation &amp; Prototype Development</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Room 412</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5"/>
              </w:rPr>
              <w:t>PCB Printer, Sensors, IoT Kits</w:t>
            </w:r>
          </w:p>
        </w:tc>
        <w:tc>
          <w:tcPr>
            <w:tcW w:type="dxa" w:w="1531"/>
            <w:shd w:val="clear" w:color="auto" w:fill="E8ECF2"/>
            <w:tcW w:w="1531" w:type="dxa"/>
          </w:tcPr>
          <w:p>
            <w:pPr>
              <w:spacing w:after="40" w:before="40" w:line="264" w:lineRule="auto"/>
              <w:jc w:val="left"/>
            </w:pPr>
            <w:r/>
            <w:r>
              <w:rPr>
                <w:rFonts w:ascii="Cambria" w:hAnsi="Cambria" w:eastAsia="Cambria"/>
                <w:b w:val="0"/>
                <w:i w:val="0"/>
                <w:color w:val="000000"/>
                <w:sz w:val="15"/>
              </w:rPr>
              <w:t>HoD / Innovation Coordinator</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DIC_Report_2024</w:t>
            </w:r>
          </w:p>
        </w:tc>
      </w:tr>
      <w:tr>
        <w:tc>
          <w:tcPr>
            <w:tcW w:type="dxa" w:w="1757"/>
            <w:shd w:val="clear" w:color="auto" w:fill="FFFFFF"/>
            <w:tcW w:w="1757" w:type="dxa"/>
          </w:tcPr>
          <w:p>
            <w:pPr>
              <w:spacing w:after="40" w:before="40" w:line="264" w:lineRule="auto"/>
              <w:jc w:val="left"/>
            </w:pPr>
            <w:r/>
            <w:r>
              <w:rPr>
                <w:rFonts w:ascii="Cambria" w:hAnsi="Cambria" w:eastAsia="Cambria"/>
                <w:b w:val="0"/>
                <w:i w:val="0"/>
                <w:color w:val="000000"/>
                <w:sz w:val="15"/>
              </w:rPr>
              <w:t>Centre of Excellence (CoE) in AI</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5"/>
              </w:rPr>
              <w:t>Advanced Research &amp; Training</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Room 315</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5"/>
              </w:rPr>
              <w:t>GPU Workstations, NVIDIA Toolkit</w:t>
            </w:r>
          </w:p>
        </w:tc>
        <w:tc>
          <w:tcPr>
            <w:tcW w:type="dxa" w:w="1531"/>
            <w:shd w:val="clear" w:color="auto" w:fill="FFFFFF"/>
            <w:tcW w:w="1531" w:type="dxa"/>
          </w:tcPr>
          <w:p>
            <w:pPr>
              <w:spacing w:after="40" w:before="40" w:line="264" w:lineRule="auto"/>
              <w:jc w:val="left"/>
            </w:pPr>
            <w:r/>
            <w:r>
              <w:rPr>
                <w:rFonts w:ascii="Cambria" w:hAnsi="Cambria" w:eastAsia="Cambria"/>
                <w:b w:val="0"/>
                <w:i w:val="0"/>
                <w:color w:val="000000"/>
                <w:sz w:val="15"/>
              </w:rPr>
              <w:t>Dr. R. Kumar</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5"/>
              </w:rPr>
              <w:t>CoE_Report_2025</w:t>
            </w:r>
          </w:p>
        </w:tc>
      </w:tr>
      <w:tr>
        <w:tc>
          <w:tcPr>
            <w:tcW w:type="dxa" w:w="1757"/>
            <w:shd w:val="clear" w:color="auto" w:fill="E8ECF2"/>
            <w:tcW w:w="1757" w:type="dxa"/>
          </w:tcPr>
          <w:p>
            <w:pPr>
              <w:spacing w:after="40" w:before="40" w:line="264" w:lineRule="auto"/>
              <w:jc w:val="left"/>
            </w:pPr>
            <w:r/>
            <w:r>
              <w:rPr>
                <w:rFonts w:ascii="Cambria" w:hAnsi="Cambria" w:eastAsia="Cambria"/>
                <w:b w:val="0"/>
                <w:i w:val="0"/>
                <w:color w:val="000000"/>
                <w:sz w:val="15"/>
              </w:rPr>
              <w:t>Incubation Centre</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5"/>
              </w:rPr>
              <w:t>Startup Support &amp; Mentorship</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Room 510</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5"/>
              </w:rPr>
              <w:t>Workbenches, 3D Printer, PCs</w:t>
            </w:r>
          </w:p>
        </w:tc>
        <w:tc>
          <w:tcPr>
            <w:tcW w:type="dxa" w:w="1531"/>
            <w:shd w:val="clear" w:color="auto" w:fill="E8ECF2"/>
            <w:tcW w:w="1531" w:type="dxa"/>
          </w:tcPr>
          <w:p>
            <w:pPr>
              <w:spacing w:after="40" w:before="40" w:line="264" w:lineRule="auto"/>
              <w:jc w:val="left"/>
            </w:pPr>
            <w:r/>
            <w:r>
              <w:rPr>
                <w:rFonts w:ascii="Cambria" w:hAnsi="Cambria" w:eastAsia="Cambria"/>
                <w:b w:val="0"/>
                <w:i w:val="0"/>
                <w:color w:val="000000"/>
                <w:sz w:val="15"/>
              </w:rPr>
              <w:t>Prof. M. Rao</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Incubation_Agreement_2025</w:t>
            </w:r>
          </w:p>
        </w:tc>
      </w:tr>
      <w:tr>
        <w:tc>
          <w:tcPr>
            <w:tcW w:type="dxa" w:w="1757"/>
            <w:shd w:val="clear" w:color="auto" w:fill="FFFFFF"/>
            <w:tcW w:w="1757" w:type="dxa"/>
          </w:tcPr>
          <w:p>
            <w:pPr>
              <w:spacing w:after="40" w:before="40" w:line="264" w:lineRule="auto"/>
              <w:jc w:val="left"/>
            </w:pPr>
            <w:r/>
            <w:r>
              <w:rPr>
                <w:rFonts w:ascii="Cambria" w:hAnsi="Cambria" w:eastAsia="Cambria"/>
                <w:b w:val="0"/>
                <w:i w:val="0"/>
                <w:color w:val="000000"/>
                <w:sz w:val="15"/>
              </w:rPr>
              <w:t>Department Library</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5"/>
              </w:rPr>
              <w:t>Resource Access &amp; Journals</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Room 205</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5"/>
              </w:rPr>
              <w:t>IEEE, Springer, Elsevier Access</w:t>
            </w:r>
          </w:p>
        </w:tc>
        <w:tc>
          <w:tcPr>
            <w:tcW w:type="dxa" w:w="1531"/>
            <w:shd w:val="clear" w:color="auto" w:fill="FFFFFF"/>
            <w:tcW w:w="1531" w:type="dxa"/>
          </w:tcPr>
          <w:p>
            <w:pPr>
              <w:spacing w:after="40" w:before="40" w:line="264" w:lineRule="auto"/>
              <w:jc w:val="left"/>
            </w:pPr>
            <w:r/>
            <w:r>
              <w:rPr>
                <w:rFonts w:ascii="Cambria" w:hAnsi="Cambria" w:eastAsia="Cambria"/>
                <w:b w:val="0"/>
                <w:i w:val="0"/>
                <w:color w:val="000000"/>
                <w:sz w:val="15"/>
              </w:rPr>
              <w:t>Librarian</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5"/>
              </w:rPr>
              <w:t>Library_Inventory_2023</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Equipment / Software Summary for Specialized Labs</w:t>
      </w:r>
    </w:p>
    <w:tbl>
      <w:tblPr>
        <w:tblW w:type="auto" w:w="0"/>
        <w:jc w:val="center"/>
        <w:tblLook w:firstColumn="1" w:firstRow="1" w:lastColumn="0" w:lastRow="0" w:noHBand="0" w:noVBand="1" w:val="04A0"/>
        <w:tblLayout w:type="fixed"/>
        <w:tblLayout w:type="fixed"/>
      </w:tblPr>
      <w:tblGrid>
        <w:gridCol w:w="1134"/>
        <w:gridCol w:w="1928"/>
        <w:gridCol w:w="907"/>
        <w:gridCol w:w="1474"/>
        <w:gridCol w:w="1134"/>
        <w:gridCol w:w="1134"/>
        <w:gridCol w:w="1417"/>
      </w:tblGrid>
      <w:tr>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6"/>
              </w:rPr>
              <w:t>Lab Name</w:t>
            </w:r>
          </w:p>
        </w:tc>
        <w:tc>
          <w:tcPr>
            <w:tcW w:type="dxa" w:w="1928"/>
            <w:tcBorders>
              <w:top w:val="single" w:sz="4" w:space="0" w:color="BFBFBF"/>
              <w:left w:val="single" w:sz="4" w:space="0" w:color="BFBFBF"/>
              <w:bottom w:val="single" w:sz="4" w:space="0" w:color="BFBFBF"/>
              <w:right w:val="single" w:sz="4" w:space="0" w:color="BFBFBF"/>
            </w:tcBorders>
            <w:tcW w:w="1928" w:type="dxa"/>
            <w:shd w:val="clear" w:color="auto" w:fill="1F3A5F"/>
            <w:tcW w:w="1928" w:type="dxa"/>
          </w:tcPr>
          <w:p>
            <w:pPr>
              <w:spacing w:after="40" w:before="40" w:line="264" w:lineRule="auto"/>
              <w:jc w:val="center"/>
            </w:pPr>
            <w:r/>
            <w:r>
              <w:rPr>
                <w:rFonts w:ascii="Cambria" w:hAnsi="Cambria" w:eastAsia="Cambria"/>
                <w:b/>
                <w:i w:val="0"/>
                <w:color w:val="FFFFFF"/>
                <w:sz w:val="16"/>
              </w:rPr>
              <w:t>Equipment / Software</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6"/>
              </w:rPr>
              <w:t>Quantity</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6"/>
              </w:rPr>
              <w:t>Cost (₹)</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6"/>
              </w:rPr>
              <w:t>Purchase Year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6"/>
              </w:rPr>
              <w:t>Funding Source</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6"/>
              </w:rPr>
              <w:t>Evidence Reference</w:t>
            </w:r>
          </w:p>
        </w:tc>
      </w:tr>
      <w:tr>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IoT &amp; Embedded Lab</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6"/>
              </w:rPr>
              <w:t>Raspberry Pi 4 Kits</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15</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1,20,000</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2023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DST</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Purchase_Bill_2023</w:t>
            </w:r>
          </w:p>
        </w:tc>
      </w:tr>
      <w:tr>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AI–ML Lab</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6"/>
              </w:rPr>
              <w:t>GPU Workstations</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6"/>
              </w:rPr>
              <w:t>10</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8,00,000</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2024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Institutional</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6"/>
              </w:rPr>
              <w:t>Invoice_2024</w:t>
            </w:r>
          </w:p>
        </w:tc>
      </w:tr>
      <w:tr>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Project Lab</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6"/>
              </w:rPr>
              <w:t>3D Printer + PCB Milling Machine</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6"/>
              </w:rPr>
              <w:t>2</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2,50,000</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2022</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6"/>
              </w:rPr>
              <w:t>AICTE</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Bill_2022</w:t>
            </w:r>
          </w:p>
        </w:tc>
      </w:tr>
      <w:tr>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Cloud Lab</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6"/>
              </w:rPr>
              <w:t>AWS Academic Subscriptions</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6"/>
              </w:rPr>
              <w:t>50</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0 (Educational Grant)</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2023</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6"/>
              </w:rPr>
              <w:t>AWS</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6"/>
              </w:rPr>
              <w:t>AWS_Agreement_2023</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Utilization and Achievements from Special Labs</w:t>
      </w:r>
    </w:p>
    <w:tbl>
      <w:tblPr>
        <w:tblW w:type="auto" w:w="0"/>
        <w:jc w:val="center"/>
        <w:tblLook w:firstColumn="1" w:firstRow="1" w:lastColumn="0" w:lastRow="0" w:noHBand="0" w:noVBand="1" w:val="04A0"/>
        <w:tblLayout w:type="fixed"/>
        <w:tblLayout w:type="fixed"/>
      </w:tblPr>
      <w:tblGrid>
        <w:gridCol w:w="850"/>
        <w:gridCol w:w="1247"/>
        <w:gridCol w:w="1247"/>
        <w:gridCol w:w="1361"/>
        <w:gridCol w:w="1020"/>
        <w:gridCol w:w="1417"/>
        <w:gridCol w:w="1361"/>
      </w:tblGrid>
      <w:tr>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6"/>
              </w:rPr>
              <w:t>Year</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6"/>
              </w:rPr>
              <w:t>Lab Name</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6"/>
              </w:rPr>
              <w:t>No. of Projects Completed</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6"/>
              </w:rPr>
              <w:t>No. of Research Papers Published</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6"/>
              </w:rPr>
              <w:t>No. of Patents Filed</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6"/>
              </w:rPr>
              <w:t>No. of Student Startups / Products</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6"/>
              </w:rPr>
              <w:t>Evidence Reference</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6"/>
              </w:rPr>
              <w:t>2022–23</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6"/>
              </w:rPr>
              <w:t>Project Lab</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6"/>
              </w:rPr>
              <w:t>20</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6"/>
              </w:rPr>
              <w:t>5</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6"/>
              </w:rPr>
              <w:t>1</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1</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6"/>
              </w:rPr>
              <w:t>Project_Report_2023</w:t>
            </w:r>
          </w:p>
        </w:tc>
      </w:tr>
      <w:tr>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6"/>
              </w:rPr>
              <w:t>2023–24</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6"/>
              </w:rPr>
              <w:t>IoT Research Lab</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6"/>
              </w:rPr>
              <w:t>15</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6"/>
              </w:rPr>
              <w:t>4</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6"/>
              </w:rPr>
              <w:t>1</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6"/>
              </w:rPr>
              <w:t>2</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6"/>
              </w:rPr>
              <w:t>IoT_Report_2024</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6"/>
              </w:rPr>
              <w:t>2024–25</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6"/>
              </w:rPr>
              <w:t>AI–ML CoE</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6"/>
              </w:rPr>
              <w:t>25</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6"/>
              </w:rPr>
              <w:t>8</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6"/>
              </w:rPr>
              <w:t>2</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3</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6"/>
              </w:rPr>
              <w:t>CoE_Report_2025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Continuous Improvement and Upgradation Plan</w:t>
      </w:r>
    </w:p>
    <w:p>
      <w:pPr>
        <w:keepNext/>
        <w:spacing w:before="200" w:after="80"/>
      </w:pPr>
      <w:r>
        <w:rPr>
          <w:rFonts w:ascii="Cambria" w:hAnsi="Cambria" w:eastAsia="Cambria"/>
          <w:b/>
          <w:i w:val="0"/>
          <w:color w:val="1F3A5F"/>
          <w:sz w:val="23"/>
        </w:rPr>
        <w:t>2022–23 – Need for industry-linked research</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Limited external collaboration</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Signed MoU with IBM</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HoD + R&amp;D Cell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Outcome/Improvement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IBM CoE established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ATR_2023</w:t>
            </w:r>
          </w:p>
        </w:tc>
      </w:tr>
    </w:tbl>
    <w:p>
      <w:pPr>
        <w:keepNext/>
        <w:spacing w:before="200" w:after="80"/>
      </w:pPr>
      <w:r>
        <w:rPr>
          <w:rFonts w:ascii="Cambria" w:hAnsi="Cambria" w:eastAsia="Cambria"/>
          <w:b/>
          <w:i w:val="0"/>
          <w:color w:val="1F3A5F"/>
          <w:sz w:val="23"/>
        </w:rPr>
        <w:t>2023–24 – Insufficient high-end computing</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Delay in ML training</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Added 10 GPU systems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IQAC + IT Cell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Outcome/Improvement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Faster experimentation</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Report_2024</w:t>
            </w:r>
          </w:p>
        </w:tc>
      </w:tr>
    </w:tbl>
    <w:p>
      <w:pPr>
        <w:keepNext/>
        <w:spacing w:before="200" w:after="80"/>
      </w:pPr>
      <w:r>
        <w:rPr>
          <w:rFonts w:ascii="Cambria" w:hAnsi="Cambria" w:eastAsia="Cambria"/>
          <w:b/>
          <w:i w:val="0"/>
          <w:color w:val="1F3A5F"/>
          <w:sz w:val="23"/>
        </w:rPr>
        <w:t>2024–25 – Lack of dedicated innovation space</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Student startup needs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Created incubation lab</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Management + IIC</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Outcome/Improvement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3 startups incubated</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Evidence_2025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Department R&amp;D Cell</w:t>
      </w:r>
      <w:r>
        <w:rPr>
          <w:rFonts w:ascii="Cambria" w:hAnsi="Cambria" w:eastAsia="Cambria"/>
          <w:b w:val="0"/>
          <w:i w:val="0"/>
          <w:color w:val="000000"/>
          <w:sz w:val="22"/>
        </w:rPr>
        <w:t xml:space="preserve"> oversees project and research lab activities.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Industry Advisory Board (IAB)</w:t>
      </w:r>
      <w:r>
        <w:rPr>
          <w:rFonts w:ascii="Cambria" w:hAnsi="Cambria" w:eastAsia="Cambria"/>
          <w:b w:val="0"/>
          <w:i w:val="0"/>
          <w:color w:val="000000"/>
          <w:sz w:val="22"/>
        </w:rPr>
        <w:t xml:space="preserve"> reviews the performance of industry-supported labs annually.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IQAC and Lab Committee</w:t>
      </w:r>
      <w:r>
        <w:rPr>
          <w:rFonts w:ascii="Cambria" w:hAnsi="Cambria" w:eastAsia="Cambria"/>
          <w:b w:val="0"/>
          <w:i w:val="0"/>
          <w:color w:val="000000"/>
          <w:sz w:val="22"/>
        </w:rPr>
        <w:t xml:space="preserve"> monitor equipment utilization, calibration, and safety compliance.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Upgradation and funding proposals</w:t>
      </w:r>
      <w:r>
        <w:rPr>
          <w:rFonts w:ascii="Cambria" w:hAnsi="Cambria" w:eastAsia="Cambria"/>
          <w:b w:val="0"/>
          <w:i w:val="0"/>
          <w:color w:val="000000"/>
          <w:sz w:val="22"/>
        </w:rPr>
        <w:t xml:space="preserve"> submitted periodically to AICTE, DST, and internal management.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Student outcomes (publications, patents, products)</w:t>
      </w:r>
      <w:r>
        <w:rPr>
          <w:rFonts w:ascii="Cambria" w:hAnsi="Cambria" w:eastAsia="Cambria"/>
          <w:b w:val="0"/>
          <w:i w:val="0"/>
          <w:color w:val="000000"/>
          <w:sz w:val="22"/>
        </w:rPr>
        <w:t xml:space="preserve"> tracked and documented in annual reports.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7 (Research, Development, and Innovation) and Criterion 5 (Infrastructure and Learning Resources).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separate folders for Project Labs, Research Labs, and Industry-Supported Labs for CAY, CAYm1, and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Include </w:t>
      </w:r>
      <w:r>
        <w:rPr>
          <w:rFonts w:ascii="Cambria" w:hAnsi="Cambria" w:eastAsia="Cambria"/>
          <w:b w:val="0"/>
          <w:i/>
          <w:color w:val="000000"/>
          <w:sz w:val="22"/>
        </w:rPr>
        <w:t>MoUs, funding letters, utilization certificates, and photos of lab infrastructure</w:t>
      </w:r>
      <w:r>
        <w:rPr>
          <w:rFonts w:ascii="Cambria" w:hAnsi="Cambria" w:eastAsia="Cambria"/>
          <w:b w:val="0"/>
          <w:i w:val="0"/>
          <w:color w:val="000000"/>
          <w:sz w:val="22"/>
        </w:rPr>
        <w:t>.</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Establishment of state-of-the-art labs supporting project, research, and industry collaboration.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Enhanced student innovation, patent filing, and entrepreneurship activities.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Increased industry-academia linkage and experiential learning opportunities.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5, 7, and 10 – Infrastructure, R&amp;D, Innovation, and Continuous Improvement standards.</w:t>
      </w:r>
    </w:p>
    <w:p>
      <w:r>
        <w:br w:type="page"/>
      </w:r>
    </w:p>
    <w:p>
      <w:pPr>
        <w:keepNext/>
        <w:spacing w:before="240" w:after="160"/>
        <w:jc w:val="left"/>
      </w:pPr>
      <w:r>
        <w:rPr>
          <w:rFonts w:ascii="Cambria" w:hAnsi="Cambria" w:eastAsia="Cambria"/>
          <w:b/>
          <w:i w:val="0"/>
          <w:color w:val="1F3A5F"/>
          <w:sz w:val="25"/>
        </w:rPr>
        <w:t>36. P.33 Records of lab maintenance and safety measures available within the department laboratories.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document the maintenance, calibration, and safety management systems established within the department's laboratories.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ensure compliance with AICTE / NBA safety and infrastructure norms, promoting a safe and sustainable environment for students and staff.</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that preventive maintenance, safety protocols, and periodic audits are practiced consistently over the last three academic years (CAY, CAYm1, CAYm2).</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Lab Maintenance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Annual Maintenance Contracts (AMCs), calibration logs, repair reports, and preventive maintenance schedules.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Equipment inspection records and breakdown maintenance logs.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Safety Measures: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Fire safety equipment, first-aid kits, and electrical safety provisions.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Display of lab rules, emergency exit plans, and handling instructions.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Hazardous material storage, chemical waste disposal records (for relevant labs).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Audit &amp; Compliance: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Annual infrastructure audit reports from IQAC or Lab Committee.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Calibration certificates and equipment health check documentation.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Training or mock drill records for lab safety awareness.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Year-wise AMC, calibration, and maintenance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Logbooks for equipment servicing and breakdown repairs.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Fire safety and first-aid equipment stock registers.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Electrical inspection and earthing verification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Safety instruction posters and emergency procedure documentation.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IQAC audit reports on safety compliance.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Laboratory Maintenance Record (Last 3 Years)</w:t>
      </w:r>
    </w:p>
    <w:tbl>
      <w:tblPr>
        <w:tblW w:type="auto" w:w="0"/>
        <w:jc w:val="center"/>
        <w:tblLook w:firstColumn="1" w:firstRow="1" w:lastColumn="0" w:lastRow="0" w:noHBand="0" w:noVBand="1" w:val="04A0"/>
        <w:tblLayout w:type="fixed"/>
        <w:tblLayout w:type="fixed"/>
      </w:tblPr>
      <w:tblGrid>
        <w:gridCol w:w="794"/>
        <w:gridCol w:w="1134"/>
        <w:gridCol w:w="1077"/>
        <w:gridCol w:w="1644"/>
        <w:gridCol w:w="1247"/>
        <w:gridCol w:w="907"/>
        <w:gridCol w:w="907"/>
        <w:gridCol w:w="1304"/>
      </w:tblGrid>
      <w:tr>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4"/>
              </w:rPr>
              <w:t>Year</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4"/>
              </w:rPr>
              <w:t>Lab Name</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4"/>
              </w:rPr>
              <w:t>Type of Maintenance</w:t>
            </w:r>
          </w:p>
        </w:tc>
        <w:tc>
          <w:tcPr>
            <w:tcW w:type="dxa" w:w="1644"/>
            <w:tcBorders>
              <w:top w:val="single" w:sz="4" w:space="0" w:color="BFBFBF"/>
              <w:left w:val="single" w:sz="4" w:space="0" w:color="BFBFBF"/>
              <w:bottom w:val="single" w:sz="4" w:space="0" w:color="BFBFBF"/>
              <w:right w:val="single" w:sz="4" w:space="0" w:color="BFBFBF"/>
            </w:tcBorders>
            <w:tcW w:w="1644" w:type="dxa"/>
            <w:shd w:val="clear" w:color="auto" w:fill="1F3A5F"/>
            <w:tcW w:w="1644" w:type="dxa"/>
          </w:tcPr>
          <w:p>
            <w:pPr>
              <w:spacing w:after="40" w:before="40" w:line="264" w:lineRule="auto"/>
              <w:jc w:val="center"/>
            </w:pPr>
            <w:r/>
            <w:r>
              <w:rPr>
                <w:rFonts w:ascii="Cambria" w:hAnsi="Cambria" w:eastAsia="Cambria"/>
                <w:b/>
                <w:i w:val="0"/>
                <w:color w:val="FFFFFF"/>
                <w:sz w:val="14"/>
              </w:rPr>
              <w:t>Work Description</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4"/>
              </w:rPr>
              <w:t>Vendor / In-house</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4"/>
              </w:rPr>
              <w:t>Cost (₹)</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4"/>
              </w:rPr>
              <w:t>Status</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4"/>
              </w:rPr>
              <w:t>Evidence Reference</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2022–23</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Programming Lab</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4"/>
              </w:rPr>
              <w:t>Preventive</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4"/>
              </w:rPr>
              <w:t>OS &amp; antivirus updates, system cleaning</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4"/>
              </w:rPr>
              <w:t>In-house</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15,000</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Completed</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4"/>
              </w:rPr>
              <w:t>AMC_Report_2023</w:t>
            </w:r>
          </w:p>
        </w:tc>
      </w:tr>
      <w:tr>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2022–23</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IoT Lab</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4"/>
              </w:rPr>
              <w:t>Corrective</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4"/>
              </w:rPr>
              <w:t>Replacement of damaged sensors</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4"/>
              </w:rPr>
              <w:t>Vendor</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4"/>
              </w:rPr>
              <w:t>22,000</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4"/>
              </w:rPr>
              <w:t>Completed</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4"/>
              </w:rPr>
              <w:t>Repair_Log_2023</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2023–24</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AI Lab</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4"/>
              </w:rPr>
              <w:t>AMC</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4"/>
              </w:rPr>
              <w:t>GPU system servicing</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4"/>
              </w:rPr>
              <w:t>Dell Service India</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65,000</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Completed</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4"/>
              </w:rPr>
              <w:t>AMC_Invoice_2024</w:t>
            </w:r>
          </w:p>
        </w:tc>
      </w:tr>
      <w:tr>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2023–24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Electronics Lab</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4"/>
              </w:rPr>
              <w:t>Calibration</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4"/>
              </w:rPr>
              <w:t>Multimeters, Oscilloscopes</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4"/>
              </w:rPr>
              <w:t>Authorized Vendor</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4"/>
              </w:rPr>
              <w:t>30,000</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4"/>
              </w:rPr>
              <w:t>Completed</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4"/>
              </w:rPr>
              <w:t>Calibration_Cert_2024</w:t>
            </w:r>
          </w:p>
        </w:tc>
      </w:tr>
      <w:tr>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2024–25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Project Lab</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4"/>
              </w:rPr>
              <w:t>Upgradation</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4"/>
              </w:rPr>
              <w:t>3D Printer Maintenance + Firmware update</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4"/>
              </w:rPr>
              <w:t>In-house</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20,000</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4"/>
              </w:rPr>
              <w:t>Completed</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4"/>
              </w:rPr>
              <w:t>Maintenance_2025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Calibration Record of Equipment</w:t>
      </w:r>
    </w:p>
    <w:tbl>
      <w:tblPr>
        <w:tblW w:type="auto" w:w="0"/>
        <w:jc w:val="center"/>
        <w:tblLook w:firstColumn="1" w:firstRow="1" w:lastColumn="0" w:lastRow="0" w:noHBand="0" w:noVBand="1" w:val="04A0"/>
        <w:tblLayout w:type="fixed"/>
        <w:tblLayout w:type="fixed"/>
      </w:tblPr>
      <w:tblGrid>
        <w:gridCol w:w="624"/>
        <w:gridCol w:w="1417"/>
        <w:gridCol w:w="1134"/>
        <w:gridCol w:w="1474"/>
        <w:gridCol w:w="1191"/>
        <w:gridCol w:w="1191"/>
        <w:gridCol w:w="907"/>
        <w:gridCol w:w="1191"/>
      </w:tblGrid>
      <w:tr>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5"/>
              </w:rPr>
              <w:t>S.No.</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5"/>
              </w:rPr>
              <w:t>Equipment Name</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Lab Name</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Calibration Agency</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5"/>
              </w:rPr>
              <w:t>Last Calibration Date</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5"/>
              </w:rPr>
              <w:t>Next Due Date</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Status</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5"/>
              </w:rPr>
              <w:t>Evidence Reference</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1</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5"/>
              </w:rPr>
              <w:t>Digital Oscilloscope</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Electronics Lab</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TechCal India Pvt. Ltd.</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05-06-2023</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05-06-2024</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Calibrated</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Cert_2023</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2</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5"/>
              </w:rPr>
              <w:t>pH Meter</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Chemistry Lab</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Standard Labs</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10-07-2023</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10-07-2024</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Calibrated</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Cert_2024</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5"/>
              </w:rPr>
              <w:t>3</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5"/>
              </w:rPr>
              <w:t>Arduino Kits</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IoT Lab</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Internal Verification</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15-08-2024</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15-08-2025</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Working</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Internal_Log_2024</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5"/>
              </w:rPr>
              <w:t>4</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5"/>
              </w:rPr>
              <w:t>GPU Workstations</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AI Lab</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Dell Authorised</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22-03-2025</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22-03-2026</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Functional</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AMC_Proof_2025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Safety Equipment and Installations</w:t>
      </w:r>
    </w:p>
    <w:tbl>
      <w:tblPr>
        <w:tblW w:type="auto" w:w="0"/>
        <w:jc w:val="center"/>
        <w:tblLook w:firstColumn="1" w:firstRow="1" w:lastColumn="0" w:lastRow="0" w:noHBand="0" w:noVBand="1" w:val="04A0"/>
        <w:tblLayout w:type="fixed"/>
        <w:tblLayout w:type="fixed"/>
      </w:tblPr>
      <w:tblGrid>
        <w:gridCol w:w="624"/>
        <w:gridCol w:w="1814"/>
        <w:gridCol w:w="794"/>
        <w:gridCol w:w="1134"/>
        <w:gridCol w:w="1020"/>
        <w:gridCol w:w="1020"/>
        <w:gridCol w:w="1134"/>
        <w:gridCol w:w="1247"/>
      </w:tblGrid>
      <w:tr>
        <w:tc>
          <w:tcPr>
            <w:tcW w:type="dxa" w:w="624"/>
            <w:tcBorders>
              <w:top w:val="single" w:sz="4" w:space="0" w:color="BFBFBF"/>
              <w:left w:val="single" w:sz="4" w:space="0" w:color="BFBFBF"/>
              <w:bottom w:val="single" w:sz="4" w:space="0" w:color="BFBFBF"/>
              <w:right w:val="single" w:sz="4" w:space="0" w:color="BFBFBF"/>
            </w:tcBorders>
            <w:tcW w:w="624" w:type="dxa"/>
            <w:shd w:val="clear" w:color="auto" w:fill="1F3A5F"/>
            <w:tcW w:w="624" w:type="dxa"/>
          </w:tcPr>
          <w:p>
            <w:pPr>
              <w:spacing w:after="40" w:before="40" w:line="264" w:lineRule="auto"/>
              <w:jc w:val="center"/>
            </w:pPr>
            <w:r/>
            <w:r>
              <w:rPr>
                <w:rFonts w:ascii="Cambria" w:hAnsi="Cambria" w:eastAsia="Cambria"/>
                <w:b/>
                <w:i w:val="0"/>
                <w:color w:val="FFFFFF"/>
                <w:sz w:val="14"/>
              </w:rPr>
              <w:t>S.No.</w:t>
            </w:r>
          </w:p>
        </w:tc>
        <w:tc>
          <w:tcPr>
            <w:tcW w:type="dxa" w:w="1814"/>
            <w:tcBorders>
              <w:top w:val="single" w:sz="4" w:space="0" w:color="BFBFBF"/>
              <w:left w:val="single" w:sz="4" w:space="0" w:color="BFBFBF"/>
              <w:bottom w:val="single" w:sz="4" w:space="0" w:color="BFBFBF"/>
              <w:right w:val="single" w:sz="4" w:space="0" w:color="BFBFBF"/>
            </w:tcBorders>
            <w:tcW w:w="1814" w:type="dxa"/>
            <w:shd w:val="clear" w:color="auto" w:fill="1F3A5F"/>
            <w:tcW w:w="1814" w:type="dxa"/>
          </w:tcPr>
          <w:p>
            <w:pPr>
              <w:spacing w:after="40" w:before="40" w:line="264" w:lineRule="auto"/>
              <w:jc w:val="center"/>
            </w:pPr>
            <w:r/>
            <w:r>
              <w:rPr>
                <w:rFonts w:ascii="Cambria" w:hAnsi="Cambria" w:eastAsia="Cambria"/>
                <w:b/>
                <w:i w:val="0"/>
                <w:color w:val="FFFFFF"/>
                <w:sz w:val="14"/>
              </w:rPr>
              <w:t>Safety Equipment</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4"/>
              </w:rPr>
              <w:t>Quantity</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4"/>
              </w:rPr>
              <w:t>Location / Lab</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4"/>
              </w:rPr>
              <w:t>Installed On</w:t>
            </w:r>
          </w:p>
        </w:tc>
        <w:tc>
          <w:tcPr>
            <w:tcW w:type="dxa" w:w="1020"/>
            <w:tcBorders>
              <w:top w:val="single" w:sz="4" w:space="0" w:color="BFBFBF"/>
              <w:left w:val="single" w:sz="4" w:space="0" w:color="BFBFBF"/>
              <w:bottom w:val="single" w:sz="4" w:space="0" w:color="BFBFBF"/>
              <w:right w:val="single" w:sz="4" w:space="0" w:color="BFBFBF"/>
            </w:tcBorders>
            <w:tcW w:w="1020" w:type="dxa"/>
            <w:shd w:val="clear" w:color="auto" w:fill="1F3A5F"/>
            <w:tcW w:w="1020" w:type="dxa"/>
          </w:tcPr>
          <w:p>
            <w:pPr>
              <w:spacing w:after="40" w:before="40" w:line="264" w:lineRule="auto"/>
              <w:jc w:val="center"/>
            </w:pPr>
            <w:r/>
            <w:r>
              <w:rPr>
                <w:rFonts w:ascii="Cambria" w:hAnsi="Cambria" w:eastAsia="Cambria"/>
                <w:b/>
                <w:i w:val="0"/>
                <w:color w:val="FFFFFF"/>
                <w:sz w:val="14"/>
              </w:rPr>
              <w:t>Last Inspection Date</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4"/>
              </w:rPr>
              <w:t>Responsible Person</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4"/>
              </w:rPr>
              <w:t>Evidence Reference</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1</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4"/>
              </w:rPr>
              <w:t>Fire Extinguishers (CO₂ &amp; Dry Chemical)</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12</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All Labs &amp; Corridors</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01-04-2023</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05-04-2024</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Lab Assistant</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4"/>
              </w:rPr>
              <w:t>Fire_Cert_2024</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2</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4"/>
              </w:rPr>
              <w:t>First Aid Kits</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6</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Each Major Lab</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12-01-2024</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15-07-2024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Safety Officer</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4"/>
              </w:rPr>
              <w:t>FirstAid_Log_2024</w:t>
            </w:r>
          </w:p>
        </w:tc>
      </w:tr>
      <w:tr>
        <w:tc>
          <w:tcPr>
            <w:tcW w:type="dxa" w:w="624"/>
            <w:shd w:val="clear" w:color="auto" w:fill="E8ECF2"/>
            <w:tcW w:w="624" w:type="dxa"/>
          </w:tcPr>
          <w:p>
            <w:pPr>
              <w:spacing w:after="40" w:before="40" w:line="264" w:lineRule="auto"/>
              <w:jc w:val="left"/>
            </w:pPr>
            <w:r/>
            <w:r>
              <w:rPr>
                <w:rFonts w:ascii="Cambria" w:hAnsi="Cambria" w:eastAsia="Cambria"/>
                <w:b w:val="0"/>
                <w:i w:val="0"/>
                <w:color w:val="000000"/>
                <w:sz w:val="14"/>
              </w:rPr>
              <w:t>3</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4"/>
              </w:rPr>
              <w:t>Emergency Exit Signage</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4"/>
              </w:rPr>
              <w:t>10</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Corridors &amp; Labs</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01-02-2023</w:t>
            </w:r>
          </w:p>
        </w:tc>
        <w:tc>
          <w:tcPr>
            <w:tcW w:type="dxa" w:w="1020"/>
            <w:shd w:val="clear" w:color="auto" w:fill="E8ECF2"/>
            <w:tcW w:w="1020" w:type="dxa"/>
          </w:tcPr>
          <w:p>
            <w:pPr>
              <w:spacing w:after="40" w:before="40" w:line="264" w:lineRule="auto"/>
              <w:jc w:val="left"/>
            </w:pPr>
            <w:r/>
            <w:r>
              <w:rPr>
                <w:rFonts w:ascii="Cambria" w:hAnsi="Cambria" w:eastAsia="Cambria"/>
                <w:b w:val="0"/>
                <w:i w:val="0"/>
                <w:color w:val="000000"/>
                <w:sz w:val="14"/>
              </w:rPr>
              <w:t>05-04-2025</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Admin Dept.</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4"/>
              </w:rPr>
              <w:t>Safety_Audit_2025</w:t>
            </w:r>
          </w:p>
        </w:tc>
      </w:tr>
      <w:tr>
        <w:tc>
          <w:tcPr>
            <w:tcW w:type="dxa" w:w="624"/>
            <w:shd w:val="clear" w:color="auto" w:fill="FFFFFF"/>
            <w:tcW w:w="624" w:type="dxa"/>
          </w:tcPr>
          <w:p>
            <w:pPr>
              <w:spacing w:after="40" w:before="40" w:line="264" w:lineRule="auto"/>
              <w:jc w:val="left"/>
            </w:pPr>
            <w:r/>
            <w:r>
              <w:rPr>
                <w:rFonts w:ascii="Cambria" w:hAnsi="Cambria" w:eastAsia="Cambria"/>
                <w:b w:val="0"/>
                <w:i w:val="0"/>
                <w:color w:val="000000"/>
                <w:sz w:val="14"/>
              </w:rPr>
              <w:t>4</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4"/>
              </w:rPr>
              <w:t>Circuit Breakers &amp; ELCB</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4"/>
              </w:rPr>
              <w:t>8</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Electrical Panels</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15-06-2023</w:t>
            </w:r>
          </w:p>
        </w:tc>
        <w:tc>
          <w:tcPr>
            <w:tcW w:type="dxa" w:w="1020"/>
            <w:shd w:val="clear" w:color="auto" w:fill="FFFFFF"/>
            <w:tcW w:w="1020" w:type="dxa"/>
          </w:tcPr>
          <w:p>
            <w:pPr>
              <w:spacing w:after="40" w:before="40" w:line="264" w:lineRule="auto"/>
              <w:jc w:val="left"/>
            </w:pPr>
            <w:r/>
            <w:r>
              <w:rPr>
                <w:rFonts w:ascii="Cambria" w:hAnsi="Cambria" w:eastAsia="Cambria"/>
                <w:b w:val="0"/>
                <w:i w:val="0"/>
                <w:color w:val="000000"/>
                <w:sz w:val="14"/>
              </w:rPr>
              <w:t>15-06-2024</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Electrician</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4"/>
              </w:rPr>
              <w:t>Inspection_Report_2024</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Safety Training and Awareness Programs</w:t>
      </w:r>
    </w:p>
    <w:tbl>
      <w:tblPr>
        <w:tblW w:type="auto" w:w="0"/>
        <w:jc w:val="center"/>
        <w:tblLook w:firstColumn="1" w:firstRow="1" w:lastColumn="0" w:lastRow="0" w:noHBand="0" w:noVBand="1" w:val="04A0"/>
        <w:tblLayout w:type="fixed"/>
        <w:tblLayout w:type="fixed"/>
      </w:tblPr>
      <w:tblGrid>
        <w:gridCol w:w="850"/>
        <w:gridCol w:w="1191"/>
        <w:gridCol w:w="1587"/>
        <w:gridCol w:w="1134"/>
        <w:gridCol w:w="907"/>
        <w:gridCol w:w="1134"/>
        <w:gridCol w:w="1304"/>
        <w:gridCol w:w="1361"/>
      </w:tblGrid>
      <w:tr>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5"/>
              </w:rPr>
              <w:t>Year</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5"/>
              </w:rPr>
              <w:t>Type of Program</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5"/>
              </w:rPr>
              <w:t>Topic / Activity</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Conducted By</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Duration</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No. of Participants</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5"/>
              </w:rPr>
              <w:t>Target Group</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5"/>
              </w:rPr>
              <w:t>Evidence Reference</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2022–23</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Safety Orientation</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5"/>
              </w:rPr>
              <w:t>Lab Safety Rules &amp; Fire Drill</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Fire Department</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1 Day</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80</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Students &amp; Staff</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Training_Report_2023</w:t>
            </w:r>
          </w:p>
        </w:tc>
      </w:tr>
      <w:tr>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5"/>
              </w:rPr>
              <w:t>2023–24</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Workshop</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5"/>
              </w:rPr>
              <w:t>Electrical Safety &amp; Equipment Handling</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Safety Officer</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Half-Day</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60</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Faculty &amp; Lab Assistants</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5"/>
              </w:rPr>
              <w:t>Safety_Workshop_2024</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2024–25</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Mock Drill</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5"/>
              </w:rPr>
              <w:t>Emergency Evacuation</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Local Fire Station</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2 Hours</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100</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Students</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MockDrill_Report_2025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Hazard Management and Disposal Records (for Applicable Labs)</w:t>
      </w:r>
    </w:p>
    <w:tbl>
      <w:tblPr>
        <w:tblW w:type="auto" w:w="0"/>
        <w:jc w:val="center"/>
        <w:tblLook w:firstColumn="1" w:firstRow="1" w:lastColumn="0" w:lastRow="0" w:noHBand="0" w:noVBand="1" w:val="04A0"/>
        <w:tblLayout w:type="fixed"/>
        <w:tblLayout w:type="fixed"/>
      </w:tblPr>
      <w:tblGrid>
        <w:gridCol w:w="850"/>
        <w:gridCol w:w="1191"/>
        <w:gridCol w:w="1644"/>
        <w:gridCol w:w="2041"/>
        <w:gridCol w:w="1134"/>
        <w:gridCol w:w="1247"/>
        <w:gridCol w:w="1304"/>
      </w:tblGrid>
      <w:tr>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5"/>
              </w:rPr>
              <w:t>Year</w:t>
            </w:r>
          </w:p>
        </w:tc>
        <w:tc>
          <w:tcPr>
            <w:tcW w:type="dxa" w:w="1191"/>
            <w:tcBorders>
              <w:top w:val="single" w:sz="4" w:space="0" w:color="BFBFBF"/>
              <w:left w:val="single" w:sz="4" w:space="0" w:color="BFBFBF"/>
              <w:bottom w:val="single" w:sz="4" w:space="0" w:color="BFBFBF"/>
              <w:right w:val="single" w:sz="4" w:space="0" w:color="BFBFBF"/>
            </w:tcBorders>
            <w:tcW w:w="1191" w:type="dxa"/>
            <w:shd w:val="clear" w:color="auto" w:fill="1F3A5F"/>
            <w:tcW w:w="1191" w:type="dxa"/>
          </w:tcPr>
          <w:p>
            <w:pPr>
              <w:spacing w:after="40" w:before="40" w:line="264" w:lineRule="auto"/>
              <w:jc w:val="center"/>
            </w:pPr>
            <w:r/>
            <w:r>
              <w:rPr>
                <w:rFonts w:ascii="Cambria" w:hAnsi="Cambria" w:eastAsia="Cambria"/>
                <w:b/>
                <w:i w:val="0"/>
                <w:color w:val="FFFFFF"/>
                <w:sz w:val="15"/>
              </w:rPr>
              <w:t>Lab Name</w:t>
            </w:r>
          </w:p>
        </w:tc>
        <w:tc>
          <w:tcPr>
            <w:tcW w:type="dxa" w:w="1644"/>
            <w:tcBorders>
              <w:top w:val="single" w:sz="4" w:space="0" w:color="BFBFBF"/>
              <w:left w:val="single" w:sz="4" w:space="0" w:color="BFBFBF"/>
              <w:bottom w:val="single" w:sz="4" w:space="0" w:color="BFBFBF"/>
              <w:right w:val="single" w:sz="4" w:space="0" w:color="BFBFBF"/>
            </w:tcBorders>
            <w:tcW w:w="1644" w:type="dxa"/>
            <w:shd w:val="clear" w:color="auto" w:fill="1F3A5F"/>
            <w:tcW w:w="1644" w:type="dxa"/>
          </w:tcPr>
          <w:p>
            <w:pPr>
              <w:spacing w:after="40" w:before="40" w:line="264" w:lineRule="auto"/>
              <w:jc w:val="center"/>
            </w:pPr>
            <w:r/>
            <w:r>
              <w:rPr>
                <w:rFonts w:ascii="Cambria" w:hAnsi="Cambria" w:eastAsia="Cambria"/>
                <w:b/>
                <w:i w:val="0"/>
                <w:color w:val="FFFFFF"/>
                <w:sz w:val="15"/>
              </w:rPr>
              <w:t>Type of Hazardous Material</w:t>
            </w:r>
          </w:p>
        </w:tc>
        <w:tc>
          <w:tcPr>
            <w:tcW w:type="dxa" w:w="2041"/>
            <w:tcBorders>
              <w:top w:val="single" w:sz="4" w:space="0" w:color="BFBFBF"/>
              <w:left w:val="single" w:sz="4" w:space="0" w:color="BFBFBF"/>
              <w:bottom w:val="single" w:sz="4" w:space="0" w:color="BFBFBF"/>
              <w:right w:val="single" w:sz="4" w:space="0" w:color="BFBFBF"/>
            </w:tcBorders>
            <w:tcW w:w="2041" w:type="dxa"/>
            <w:shd w:val="clear" w:color="auto" w:fill="1F3A5F"/>
            <w:tcW w:w="2041" w:type="dxa"/>
          </w:tcPr>
          <w:p>
            <w:pPr>
              <w:spacing w:after="40" w:before="40" w:line="264" w:lineRule="auto"/>
              <w:jc w:val="center"/>
            </w:pPr>
            <w:r/>
            <w:r>
              <w:rPr>
                <w:rFonts w:ascii="Cambria" w:hAnsi="Cambria" w:eastAsia="Cambria"/>
                <w:b/>
                <w:i w:val="0"/>
                <w:color w:val="FFFFFF"/>
                <w:sz w:val="15"/>
              </w:rPr>
              <w:t>Disposal Method</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5"/>
              </w:rPr>
              <w:t>Disposal Date</w:t>
            </w:r>
          </w:p>
        </w:tc>
        <w:tc>
          <w:tcPr>
            <w:tcW w:type="dxa" w:w="1247"/>
            <w:tcBorders>
              <w:top w:val="single" w:sz="4" w:space="0" w:color="BFBFBF"/>
              <w:left w:val="single" w:sz="4" w:space="0" w:color="BFBFBF"/>
              <w:bottom w:val="single" w:sz="4" w:space="0" w:color="BFBFBF"/>
              <w:right w:val="single" w:sz="4" w:space="0" w:color="BFBFBF"/>
            </w:tcBorders>
            <w:tcW w:w="1247" w:type="dxa"/>
            <w:shd w:val="clear" w:color="auto" w:fill="1F3A5F"/>
            <w:tcW w:w="1247" w:type="dxa"/>
          </w:tcPr>
          <w:p>
            <w:pPr>
              <w:spacing w:after="40" w:before="40" w:line="264" w:lineRule="auto"/>
              <w:jc w:val="center"/>
            </w:pPr>
            <w:r/>
            <w:r>
              <w:rPr>
                <w:rFonts w:ascii="Cambria" w:hAnsi="Cambria" w:eastAsia="Cambria"/>
                <w:b/>
                <w:i w:val="0"/>
                <w:color w:val="FFFFFF"/>
                <w:sz w:val="15"/>
              </w:rPr>
              <w:t>Responsible Person</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5"/>
              </w:rPr>
              <w:t>Evidence Reference</w:t>
            </w:r>
          </w:p>
        </w:tc>
      </w:tr>
      <w:tr>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5"/>
              </w:rPr>
              <w:t>2022–23</w:t>
            </w:r>
          </w:p>
        </w:tc>
        <w:tc>
          <w:tcPr>
            <w:tcW w:type="dxa" w:w="1191"/>
            <w:shd w:val="clear" w:color="auto" w:fill="E8ECF2"/>
            <w:tcW w:w="1191" w:type="dxa"/>
          </w:tcPr>
          <w:p>
            <w:pPr>
              <w:spacing w:after="40" w:before="40" w:line="264" w:lineRule="auto"/>
              <w:jc w:val="left"/>
            </w:pPr>
            <w:r/>
            <w:r>
              <w:rPr>
                <w:rFonts w:ascii="Cambria" w:hAnsi="Cambria" w:eastAsia="Cambria"/>
                <w:b w:val="0"/>
                <w:i w:val="0"/>
                <w:color w:val="000000"/>
                <w:sz w:val="15"/>
              </w:rPr>
              <w:t>Chemistry Lab</w:t>
            </w:r>
          </w:p>
        </w:tc>
        <w:tc>
          <w:tcPr>
            <w:tcW w:type="dxa" w:w="1644"/>
            <w:shd w:val="clear" w:color="auto" w:fill="E8ECF2"/>
            <w:tcW w:w="1644" w:type="dxa"/>
          </w:tcPr>
          <w:p>
            <w:pPr>
              <w:spacing w:after="40" w:before="40" w:line="264" w:lineRule="auto"/>
              <w:jc w:val="left"/>
            </w:pPr>
            <w:r/>
            <w:r>
              <w:rPr>
                <w:rFonts w:ascii="Cambria" w:hAnsi="Cambria" w:eastAsia="Cambria"/>
                <w:b w:val="0"/>
                <w:i w:val="0"/>
                <w:color w:val="000000"/>
                <w:sz w:val="15"/>
              </w:rPr>
              <w:t>Used Solvents</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5"/>
              </w:rPr>
              <w:t>Neutralization &amp; Disposal via Authorized Vendor</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5"/>
              </w:rPr>
              <w:t>10-03-2023</w:t>
            </w:r>
          </w:p>
        </w:tc>
        <w:tc>
          <w:tcPr>
            <w:tcW w:type="dxa" w:w="1247"/>
            <w:shd w:val="clear" w:color="auto" w:fill="E8ECF2"/>
            <w:tcW w:w="1247" w:type="dxa"/>
          </w:tcPr>
          <w:p>
            <w:pPr>
              <w:spacing w:after="40" w:before="40" w:line="264" w:lineRule="auto"/>
              <w:jc w:val="left"/>
            </w:pPr>
            <w:r/>
            <w:r>
              <w:rPr>
                <w:rFonts w:ascii="Cambria" w:hAnsi="Cambria" w:eastAsia="Cambria"/>
                <w:b w:val="0"/>
                <w:i w:val="0"/>
                <w:color w:val="000000"/>
                <w:sz w:val="15"/>
              </w:rPr>
              <w:t>Lab In-charge</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5"/>
              </w:rPr>
              <w:t>Disposal_Proof_2023</w:t>
            </w:r>
          </w:p>
        </w:tc>
      </w:tr>
      <w:tr>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5"/>
              </w:rPr>
              <w:t>2023–24</w:t>
            </w:r>
          </w:p>
        </w:tc>
        <w:tc>
          <w:tcPr>
            <w:tcW w:type="dxa" w:w="1191"/>
            <w:shd w:val="clear" w:color="auto" w:fill="FFFFFF"/>
            <w:tcW w:w="1191" w:type="dxa"/>
          </w:tcPr>
          <w:p>
            <w:pPr>
              <w:spacing w:after="40" w:before="40" w:line="264" w:lineRule="auto"/>
              <w:jc w:val="left"/>
            </w:pPr>
            <w:r/>
            <w:r>
              <w:rPr>
                <w:rFonts w:ascii="Cambria" w:hAnsi="Cambria" w:eastAsia="Cambria"/>
                <w:b w:val="0"/>
                <w:i w:val="0"/>
                <w:color w:val="000000"/>
                <w:sz w:val="15"/>
              </w:rPr>
              <w:t>IoT Lab</w:t>
            </w:r>
          </w:p>
        </w:tc>
        <w:tc>
          <w:tcPr>
            <w:tcW w:type="dxa" w:w="1644"/>
            <w:shd w:val="clear" w:color="auto" w:fill="FFFFFF"/>
            <w:tcW w:w="1644" w:type="dxa"/>
          </w:tcPr>
          <w:p>
            <w:pPr>
              <w:spacing w:after="40" w:before="40" w:line="264" w:lineRule="auto"/>
              <w:jc w:val="left"/>
            </w:pPr>
            <w:r/>
            <w:r>
              <w:rPr>
                <w:rFonts w:ascii="Cambria" w:hAnsi="Cambria" w:eastAsia="Cambria"/>
                <w:b w:val="0"/>
                <w:i w:val="0"/>
                <w:color w:val="000000"/>
                <w:sz w:val="15"/>
              </w:rPr>
              <w:t>E-waste (Damaged boards)</w:t>
            </w:r>
          </w:p>
        </w:tc>
        <w:tc>
          <w:tcPr>
            <w:tcW w:type="dxa" w:w="2041"/>
            <w:shd w:val="clear" w:color="auto" w:fill="FFFFFF"/>
            <w:tcW w:w="2041" w:type="dxa"/>
          </w:tcPr>
          <w:p>
            <w:pPr>
              <w:spacing w:after="40" w:before="40" w:line="264" w:lineRule="auto"/>
              <w:jc w:val="left"/>
            </w:pPr>
            <w:r/>
            <w:r>
              <w:rPr>
                <w:rFonts w:ascii="Cambria" w:hAnsi="Cambria" w:eastAsia="Cambria"/>
                <w:b w:val="0"/>
                <w:i w:val="0"/>
                <w:color w:val="000000"/>
                <w:sz w:val="15"/>
              </w:rPr>
              <w:t>Recycled via E-waste Partner</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5"/>
              </w:rPr>
              <w:t>12-07-2024</w:t>
            </w:r>
          </w:p>
        </w:tc>
        <w:tc>
          <w:tcPr>
            <w:tcW w:type="dxa" w:w="1247"/>
            <w:shd w:val="clear" w:color="auto" w:fill="FFFFFF"/>
            <w:tcW w:w="1247" w:type="dxa"/>
          </w:tcPr>
          <w:p>
            <w:pPr>
              <w:spacing w:after="40" w:before="40" w:line="264" w:lineRule="auto"/>
              <w:jc w:val="left"/>
            </w:pPr>
            <w:r/>
            <w:r>
              <w:rPr>
                <w:rFonts w:ascii="Cambria" w:hAnsi="Cambria" w:eastAsia="Cambria"/>
                <w:b w:val="0"/>
                <w:i w:val="0"/>
                <w:color w:val="000000"/>
                <w:sz w:val="15"/>
              </w:rPr>
              <w:t>Dept. Technician</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5"/>
              </w:rPr>
              <w:t>Ewaste_Invoice_2024</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Laboratory Safety Display &amp; Compliance</w:t>
      </w:r>
    </w:p>
    <w:tbl>
      <w:tblPr>
        <w:tblW w:type="auto" w:w="0"/>
        <w:jc w:val="center"/>
        <w:tblLook w:firstColumn="1" w:firstRow="1" w:lastColumn="0" w:lastRow="0" w:noHBand="0" w:noVBand="1" w:val="04A0"/>
        <w:tblLayout w:type="fixed"/>
        <w:tblLayout w:type="fixed"/>
      </w:tblPr>
      <w:tblGrid>
        <w:gridCol w:w="1304"/>
        <w:gridCol w:w="1531"/>
        <w:gridCol w:w="1417"/>
        <w:gridCol w:w="850"/>
        <w:gridCol w:w="1304"/>
        <w:gridCol w:w="1304"/>
        <w:gridCol w:w="1361"/>
      </w:tblGrid>
      <w:tr>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6"/>
              </w:rPr>
              <w:t>Lab Name</w:t>
            </w:r>
          </w:p>
        </w:tc>
        <w:tc>
          <w:tcPr>
            <w:tcW w:type="dxa" w:w="1531"/>
            <w:tcBorders>
              <w:top w:val="single" w:sz="4" w:space="0" w:color="BFBFBF"/>
              <w:left w:val="single" w:sz="4" w:space="0" w:color="BFBFBF"/>
              <w:bottom w:val="single" w:sz="4" w:space="0" w:color="BFBFBF"/>
              <w:right w:val="single" w:sz="4" w:space="0" w:color="BFBFBF"/>
            </w:tcBorders>
            <w:tcW w:w="1531" w:type="dxa"/>
            <w:shd w:val="clear" w:color="auto" w:fill="1F3A5F"/>
            <w:tcW w:w="1531" w:type="dxa"/>
          </w:tcPr>
          <w:p>
            <w:pPr>
              <w:spacing w:after="40" w:before="40" w:line="264" w:lineRule="auto"/>
              <w:jc w:val="center"/>
            </w:pPr>
            <w:r/>
            <w:r>
              <w:rPr>
                <w:rFonts w:ascii="Cambria" w:hAnsi="Cambria" w:eastAsia="Cambria"/>
                <w:b/>
                <w:i w:val="0"/>
                <w:color w:val="FFFFFF"/>
                <w:sz w:val="16"/>
              </w:rPr>
              <w:t>Displayed Safety Instructions</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6"/>
              </w:rPr>
              <w:t>Fire Extinguisher Available</w:t>
            </w:r>
          </w:p>
        </w:tc>
        <w:tc>
          <w:tcPr>
            <w:tcW w:type="dxa" w:w="850"/>
            <w:tcBorders>
              <w:top w:val="single" w:sz="4" w:space="0" w:color="BFBFBF"/>
              <w:left w:val="single" w:sz="4" w:space="0" w:color="BFBFBF"/>
              <w:bottom w:val="single" w:sz="4" w:space="0" w:color="BFBFBF"/>
              <w:right w:val="single" w:sz="4" w:space="0" w:color="BFBFBF"/>
            </w:tcBorders>
            <w:tcW w:w="850" w:type="dxa"/>
            <w:shd w:val="clear" w:color="auto" w:fill="1F3A5F"/>
            <w:tcW w:w="850" w:type="dxa"/>
          </w:tcPr>
          <w:p>
            <w:pPr>
              <w:spacing w:after="40" w:before="40" w:line="264" w:lineRule="auto"/>
              <w:jc w:val="center"/>
            </w:pPr>
            <w:r/>
            <w:r>
              <w:rPr>
                <w:rFonts w:ascii="Cambria" w:hAnsi="Cambria" w:eastAsia="Cambria"/>
                <w:b/>
                <w:i w:val="0"/>
                <w:color w:val="FFFFFF"/>
                <w:sz w:val="16"/>
              </w:rPr>
              <w:t>First Aid Kit</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6"/>
              </w:rPr>
              <w:t>Emergency Exit Plan</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6"/>
              </w:rPr>
              <w:t>Lab Safety Poster</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6"/>
              </w:rPr>
              <w:t>Evidence Reference</w:t>
            </w:r>
          </w:p>
        </w:tc>
      </w:tr>
      <w:tr>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Programming Lab</w:t>
            </w:r>
          </w:p>
        </w:tc>
        <w:tc>
          <w:tcPr>
            <w:tcW w:type="dxa" w:w="1531"/>
            <w:shd w:val="clear" w:color="auto" w:fill="E8ECF2"/>
            <w:tcW w:w="1531" w:type="dxa"/>
          </w:tcPr>
          <w:p>
            <w:pPr>
              <w:spacing w:after="40" w:before="40" w:line="264" w:lineRule="auto"/>
              <w:jc w:val="left"/>
            </w:pPr>
            <w:r/>
            <w:r>
              <w:rPr>
                <w:rFonts w:ascii="Cambria" w:hAnsi="Cambria" w:eastAsia="Cambria"/>
                <w:b w:val="0"/>
                <w:i w:val="0"/>
                <w:color w:val="000000"/>
                <w:sz w:val="16"/>
              </w:rPr>
              <w:t>Yes</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Yes</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6"/>
              </w:rPr>
              <w:t>Yes</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Yes</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Yes</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6"/>
              </w:rPr>
              <w:t>Display_Photo_2023</w:t>
            </w:r>
          </w:p>
        </w:tc>
      </w:tr>
      <w:tr>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6"/>
              </w:rPr>
              <w:t>AI Lab</w:t>
            </w:r>
          </w:p>
        </w:tc>
        <w:tc>
          <w:tcPr>
            <w:tcW w:type="dxa" w:w="1531"/>
            <w:shd w:val="clear" w:color="auto" w:fill="FFFFFF"/>
            <w:tcW w:w="1531" w:type="dxa"/>
          </w:tcPr>
          <w:p>
            <w:pPr>
              <w:spacing w:after="40" w:before="40" w:line="264" w:lineRule="auto"/>
              <w:jc w:val="left"/>
            </w:pPr>
            <w:r/>
            <w:r>
              <w:rPr>
                <w:rFonts w:ascii="Cambria" w:hAnsi="Cambria" w:eastAsia="Cambria"/>
                <w:b w:val="0"/>
                <w:i w:val="0"/>
                <w:color w:val="000000"/>
                <w:sz w:val="16"/>
              </w:rPr>
              <w:t>Yes</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6"/>
              </w:rPr>
              <w:t>Yes</w:t>
            </w:r>
          </w:p>
        </w:tc>
        <w:tc>
          <w:tcPr>
            <w:tcW w:type="dxa" w:w="850"/>
            <w:shd w:val="clear" w:color="auto" w:fill="FFFFFF"/>
            <w:tcW w:w="850" w:type="dxa"/>
          </w:tcPr>
          <w:p>
            <w:pPr>
              <w:spacing w:after="40" w:before="40" w:line="264" w:lineRule="auto"/>
              <w:jc w:val="left"/>
            </w:pPr>
            <w:r/>
            <w:r>
              <w:rPr>
                <w:rFonts w:ascii="Cambria" w:hAnsi="Cambria" w:eastAsia="Cambria"/>
                <w:b w:val="0"/>
                <w:i w:val="0"/>
                <w:color w:val="000000"/>
                <w:sz w:val="16"/>
              </w:rPr>
              <w:t>Yes</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6"/>
              </w:rPr>
              <w:t>Yes</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6"/>
              </w:rPr>
              <w:t>Yes</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6"/>
              </w:rPr>
              <w:t>Photo_2024</w:t>
            </w:r>
          </w:p>
        </w:tc>
      </w:tr>
      <w:tr>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IoT Lab</w:t>
            </w:r>
          </w:p>
        </w:tc>
        <w:tc>
          <w:tcPr>
            <w:tcW w:type="dxa" w:w="1531"/>
            <w:shd w:val="clear" w:color="auto" w:fill="E8ECF2"/>
            <w:tcW w:w="1531" w:type="dxa"/>
          </w:tcPr>
          <w:p>
            <w:pPr>
              <w:spacing w:after="40" w:before="40" w:line="264" w:lineRule="auto"/>
              <w:jc w:val="left"/>
            </w:pPr>
            <w:r/>
            <w:r>
              <w:rPr>
                <w:rFonts w:ascii="Cambria" w:hAnsi="Cambria" w:eastAsia="Cambria"/>
                <w:b w:val="0"/>
                <w:i w:val="0"/>
                <w:color w:val="000000"/>
                <w:sz w:val="16"/>
              </w:rPr>
              <w:t>Yes</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6"/>
              </w:rPr>
              <w:t>Yes</w:t>
            </w:r>
          </w:p>
        </w:tc>
        <w:tc>
          <w:tcPr>
            <w:tcW w:type="dxa" w:w="850"/>
            <w:shd w:val="clear" w:color="auto" w:fill="E8ECF2"/>
            <w:tcW w:w="850" w:type="dxa"/>
          </w:tcPr>
          <w:p>
            <w:pPr>
              <w:spacing w:after="40" w:before="40" w:line="264" w:lineRule="auto"/>
              <w:jc w:val="left"/>
            </w:pPr>
            <w:r/>
            <w:r>
              <w:rPr>
                <w:rFonts w:ascii="Cambria" w:hAnsi="Cambria" w:eastAsia="Cambria"/>
                <w:b w:val="0"/>
                <w:i w:val="0"/>
                <w:color w:val="000000"/>
                <w:sz w:val="16"/>
              </w:rPr>
              <w:t>Yes</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Yes</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6"/>
              </w:rPr>
              <w:t>Yes</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6"/>
              </w:rPr>
              <w:t>Photo_2025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Continuous Improvement and Corrective Actions in Lab Safety &amp; Maintenance</w:t>
      </w:r>
    </w:p>
    <w:p>
      <w:pPr>
        <w:keepNext/>
        <w:spacing w:before="200" w:after="80"/>
      </w:pPr>
      <w:r>
        <w:rPr>
          <w:rFonts w:ascii="Cambria" w:hAnsi="Cambria" w:eastAsia="Cambria"/>
          <w:b/>
          <w:i w:val="0"/>
          <w:color w:val="1F3A5F"/>
          <w:sz w:val="23"/>
        </w:rPr>
        <w:t>2022–23 – Fire extinguishers outdated</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Expired cylinders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Corrective 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Replaced all extinguishers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Safety Officer</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Outcome/Improvement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All labs compliant</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ATR_2023</w:t>
            </w:r>
          </w:p>
        </w:tc>
      </w:tr>
    </w:tbl>
    <w:p>
      <w:pPr>
        <w:keepNext/>
        <w:spacing w:before="200" w:after="80"/>
      </w:pPr>
      <w:r>
        <w:rPr>
          <w:rFonts w:ascii="Cambria" w:hAnsi="Cambria" w:eastAsia="Cambria"/>
          <w:b/>
          <w:i w:val="0"/>
          <w:color w:val="1F3A5F"/>
          <w:sz w:val="23"/>
        </w:rPr>
        <w:t>2023–24 – Equipment overheating issues</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Lack of UPS backup</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Corrective 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Installed UPS in AI Lab</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HoD + IT Cell</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Outcome/Improvement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Improved safety</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ATR_2024</w:t>
            </w:r>
          </w:p>
        </w:tc>
      </w:tr>
    </w:tbl>
    <w:p>
      <w:pPr>
        <w:keepNext/>
        <w:spacing w:before="200" w:after="80"/>
      </w:pPr>
      <w:r>
        <w:rPr>
          <w:rFonts w:ascii="Cambria" w:hAnsi="Cambria" w:eastAsia="Cambria"/>
          <w:b/>
          <w:i w:val="0"/>
          <w:color w:val="1F3A5F"/>
          <w:sz w:val="23"/>
        </w:rPr>
        <w:t>2024–25 – Inadequate safety signage</w:t>
      </w:r>
    </w:p>
    <w:tbl>
      <w:tblPr>
        <w:tblW w:type="auto" w:w="0"/>
        <w:jc w:val="center"/>
        <w:tblLook w:firstColumn="1" w:firstRow="1" w:lastColumn="0" w:lastRow="0" w:noHBand="0" w:noVBand="1" w:val="04A0"/>
        <w:tblLayout w:type="fixed"/>
        <w:tblLayout w:type="fixed"/>
      </w:tblPr>
      <w:tblGrid>
        <w:gridCol w:w="3118"/>
        <w:gridCol w:w="6293"/>
      </w:tblGrid>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Identified Gap</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Missing exit indicators</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Corrective Action Taken</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Added glow signboards</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Responsible Authority</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Lab Committee</w:t>
            </w:r>
          </w:p>
        </w:tc>
      </w:tr>
      <w:tr>
        <w:tc>
          <w:tcPr>
            <w:tcW w:type="dxa" w:w="3118"/>
            <w:shd w:val="clear" w:color="auto" w:fill="FFFFFF"/>
            <w:tcW w:w="3118" w:type="dxa"/>
          </w:tcPr>
          <w:p>
            <w:pPr>
              <w:spacing w:after="40" w:before="40" w:line="264" w:lineRule="auto"/>
              <w:jc w:val="left"/>
            </w:pPr>
            <w:r/>
            <w:r>
              <w:rPr>
                <w:rFonts w:ascii="Cambria" w:hAnsi="Cambria" w:eastAsia="Cambria"/>
                <w:b/>
                <w:i w:val="0"/>
                <w:color w:val="000000"/>
                <w:sz w:val="22"/>
              </w:rPr>
              <w:t>Outcome/Improvement</w:t>
            </w:r>
          </w:p>
        </w:tc>
        <w:tc>
          <w:tcPr>
            <w:tcW w:type="dxa" w:w="6293"/>
            <w:shd w:val="clear" w:color="auto" w:fill="FFFFFF"/>
            <w:tcW w:w="6293" w:type="dxa"/>
          </w:tcPr>
          <w:p>
            <w:pPr>
              <w:spacing w:after="40" w:before="40" w:line="264" w:lineRule="auto"/>
              <w:jc w:val="both"/>
            </w:pPr>
            <w:r/>
            <w:r>
              <w:rPr>
                <w:rFonts w:ascii="Cambria" w:hAnsi="Cambria" w:eastAsia="Cambria"/>
                <w:b w:val="0"/>
                <w:i w:val="0"/>
                <w:color w:val="000000"/>
                <w:sz w:val="22"/>
              </w:rPr>
              <w:t>Full safety compliance</w:t>
            </w:r>
          </w:p>
        </w:tc>
      </w:tr>
      <w:tr>
        <w:tc>
          <w:tcPr>
            <w:tcW w:type="dxa" w:w="3118"/>
            <w:shd w:val="clear" w:color="auto" w:fill="E8ECF2"/>
            <w:tcW w:w="3118" w:type="dxa"/>
          </w:tcPr>
          <w:p>
            <w:pPr>
              <w:spacing w:after="40" w:before="40" w:line="264" w:lineRule="auto"/>
              <w:jc w:val="left"/>
            </w:pPr>
            <w:r/>
            <w:r>
              <w:rPr>
                <w:rFonts w:ascii="Cambria" w:hAnsi="Cambria" w:eastAsia="Cambria"/>
                <w:b/>
                <w:i w:val="0"/>
                <w:color w:val="000000"/>
                <w:sz w:val="22"/>
              </w:rPr>
              <w:t>Evidence Reference</w:t>
            </w:r>
          </w:p>
        </w:tc>
        <w:tc>
          <w:tcPr>
            <w:tcW w:type="dxa" w:w="6293"/>
            <w:shd w:val="clear" w:color="auto" w:fill="E8ECF2"/>
            <w:tcW w:w="6293" w:type="dxa"/>
          </w:tcPr>
          <w:p>
            <w:pPr>
              <w:spacing w:after="40" w:before="40" w:line="264" w:lineRule="auto"/>
              <w:jc w:val="both"/>
            </w:pPr>
            <w:r/>
            <w:r>
              <w:rPr>
                <w:rFonts w:ascii="Cambria" w:hAnsi="Cambria" w:eastAsia="Cambria"/>
                <w:b w:val="0"/>
                <w:i w:val="0"/>
                <w:color w:val="000000"/>
                <w:sz w:val="22"/>
              </w:rPr>
              <w:t>Audit_2025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Process: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Department Lab Committee</w:t>
      </w:r>
      <w:r>
        <w:rPr>
          <w:rFonts w:ascii="Cambria" w:hAnsi="Cambria" w:eastAsia="Cambria"/>
          <w:b w:val="0"/>
          <w:i w:val="0"/>
          <w:color w:val="000000"/>
          <w:sz w:val="22"/>
        </w:rPr>
        <w:t xml:space="preserve"> and </w:t>
      </w:r>
      <w:r>
        <w:rPr>
          <w:rFonts w:ascii="Cambria" w:hAnsi="Cambria" w:eastAsia="Cambria"/>
          <w:b w:val="0"/>
          <w:i/>
          <w:color w:val="000000"/>
          <w:sz w:val="22"/>
        </w:rPr>
        <w:t>Safety Officer</w:t>
      </w:r>
      <w:r>
        <w:rPr>
          <w:rFonts w:ascii="Cambria" w:hAnsi="Cambria" w:eastAsia="Cambria"/>
          <w:b w:val="0"/>
          <w:i w:val="0"/>
          <w:color w:val="000000"/>
          <w:sz w:val="22"/>
        </w:rPr>
        <w:t xml:space="preserve"> maintain all safety and maintenance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IQAC and Administrative Audit Teams</w:t>
      </w:r>
      <w:r>
        <w:rPr>
          <w:rFonts w:ascii="Cambria" w:hAnsi="Cambria" w:eastAsia="Cambria"/>
          <w:b w:val="0"/>
          <w:i w:val="0"/>
          <w:color w:val="000000"/>
          <w:sz w:val="22"/>
        </w:rPr>
        <w:t xml:space="preserve"> perform annual lab inspections.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Vendor-certified AMC and calibration</w:t>
      </w:r>
      <w:r>
        <w:rPr>
          <w:rFonts w:ascii="Cambria" w:hAnsi="Cambria" w:eastAsia="Cambria"/>
          <w:b w:val="0"/>
          <w:i w:val="0"/>
          <w:color w:val="000000"/>
          <w:sz w:val="22"/>
        </w:rPr>
        <w:t xml:space="preserve"> ensure reliable equipment performance.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Regular mock drills and training sessions</w:t>
      </w:r>
      <w:r>
        <w:rPr>
          <w:rFonts w:ascii="Cambria" w:hAnsi="Cambria" w:eastAsia="Cambria"/>
          <w:b w:val="0"/>
          <w:i w:val="0"/>
          <w:color w:val="000000"/>
          <w:sz w:val="22"/>
        </w:rPr>
        <w:t xml:space="preserve"> for faculty, staff, and students.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Lab assistants maintain stock &amp; service registers</w:t>
      </w:r>
      <w:r>
        <w:rPr>
          <w:rFonts w:ascii="Cambria" w:hAnsi="Cambria" w:eastAsia="Cambria"/>
          <w:b w:val="0"/>
          <w:i w:val="0"/>
          <w:color w:val="000000"/>
          <w:sz w:val="22"/>
        </w:rPr>
        <w:t xml:space="preserve"> verified each semester.</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color w:val="000000"/>
          <w:sz w:val="22"/>
        </w:rPr>
        <w:t>See your SAR (Self-Assessment Report); based on that, you have to build documents.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Align with SAR Criterion 5 (Infrastructure and Learning Resources) and Criterion 10 (Continuous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Maintain AMC agreements, calibration certificates, inspection reports, and safety photos for CAY, CAYm1, and CAYm2.</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Include </w:t>
      </w:r>
      <w:r>
        <w:rPr>
          <w:rFonts w:ascii="Cambria" w:hAnsi="Cambria" w:eastAsia="Cambria"/>
          <w:b w:val="0"/>
          <w:i/>
          <w:color w:val="000000"/>
          <w:sz w:val="22"/>
        </w:rPr>
        <w:t>lab floor maps, equipment tags, and safety audit checklists</w:t>
      </w:r>
      <w:r>
        <w:rPr>
          <w:rFonts w:ascii="Cambria" w:hAnsi="Cambria" w:eastAsia="Cambria"/>
          <w:b w:val="0"/>
          <w:i w:val="0"/>
          <w:color w:val="000000"/>
          <w:sz w:val="22"/>
        </w:rPr>
        <w:t xml:space="preserve"> as evidence.</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Well-maintained, safe, and compliant laboratory environment.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Reduced equipment downtime and operational risks.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Enhanced student and staff safety awareness.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5 &amp; 10 – Infrastructure, Safety, and Continuous Improvement standards.</w:t>
      </w:r>
    </w:p>
    <w:p>
      <w:r>
        <w:br w:type="page"/>
      </w:r>
    </w:p>
    <w:p>
      <w:pPr>
        <w:keepNext/>
        <w:spacing w:before="240" w:after="160"/>
        <w:jc w:val="left"/>
      </w:pPr>
      <w:r>
        <w:rPr>
          <w:rFonts w:ascii="Cambria" w:hAnsi="Cambria" w:eastAsia="Cambria"/>
          <w:b/>
          <w:i w:val="0"/>
          <w:color w:val="1F3A5F"/>
          <w:sz w:val="25"/>
        </w:rPr>
        <w:t>37. P.34 Evidences of non-teaching staff members along with their appointment letters, degree, skill upgradation, etc.</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provide complete documentation of non-teaching (technical and administrative) staff employed within the department.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that the department maintains qualified and trained supporting staff essential for smooth functioning of laboratories, administrative work, and technical assistance.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show compliance with NBA Criterion 6 (Faculty and Support Staff Adequacy) and institutional HR norms concerning qualification, appointment, and skill development of non-teaching personnel.</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Appointment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Appointment letters, joining reports, and designation details for all technical and non-technical staff.</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Qualification &amp; Experience Proofs: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Copies of academic degrees, technical diplomas, or certifications relevant to assigned duties.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Experience certificates from previous institutions (if applicable).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Skill Upgradation / Training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Certificates of skill development, technical training (software, equipment handling, safety).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Participation in FDPs, workshops, or institutional training programs.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Promotion &amp; Appraisal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Details of internal promotions, annual performance appraisals, and increments.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Consolidated list of all non-teaching staff (technical + administrative).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Appointment and service-related documents approved by the Principal / HR.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Copies of qualification and skill upgradation certificates.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Annual performance review or appraisal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Attendance and work allocation records (lab-wise / office-wise).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IQAC or HR audit reports validating non-teaching staff adequacy.</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List of Non-Teaching Staff Members</w:t>
      </w:r>
    </w:p>
    <w:tbl>
      <w:tblPr>
        <w:tblW w:type="auto" w:w="0"/>
        <w:jc w:val="center"/>
        <w:tblLook w:firstColumn="1" w:firstRow="1" w:lastColumn="0" w:lastRow="0" w:noHBand="0" w:noVBand="1" w:val="04A0"/>
        <w:tblLayout w:type="fixed"/>
        <w:tblLayout w:type="fixed"/>
      </w:tblPr>
      <w:tblGrid>
        <w:gridCol w:w="567"/>
        <w:gridCol w:w="1304"/>
        <w:gridCol w:w="1474"/>
        <w:gridCol w:w="1077"/>
        <w:gridCol w:w="1134"/>
        <w:gridCol w:w="1474"/>
        <w:gridCol w:w="1474"/>
        <w:gridCol w:w="964"/>
      </w:tblGrid>
      <w:tr>
        <w:tc>
          <w:tcPr>
            <w:tcW w:type="dxa" w:w="567"/>
            <w:tcBorders>
              <w:top w:val="single" w:sz="4" w:space="0" w:color="BFBFBF"/>
              <w:left w:val="single" w:sz="4" w:space="0" w:color="BFBFBF"/>
              <w:bottom w:val="single" w:sz="4" w:space="0" w:color="BFBFBF"/>
              <w:right w:val="single" w:sz="4" w:space="0" w:color="BFBFBF"/>
            </w:tcBorders>
            <w:tcW w:w="567" w:type="dxa"/>
            <w:shd w:val="clear" w:color="auto" w:fill="1F3A5F"/>
            <w:tcW w:w="567" w:type="dxa"/>
          </w:tcPr>
          <w:p>
            <w:pPr>
              <w:spacing w:after="40" w:before="40" w:line="264" w:lineRule="auto"/>
              <w:jc w:val="center"/>
            </w:pPr>
            <w:r/>
            <w:r>
              <w:rPr>
                <w:rFonts w:ascii="Cambria" w:hAnsi="Cambria" w:eastAsia="Cambria"/>
                <w:b/>
                <w:i w:val="0"/>
                <w:color w:val="FFFFFF"/>
                <w:sz w:val="14"/>
              </w:rPr>
              <w:t>S.No.</w:t>
            </w:r>
          </w:p>
        </w:tc>
        <w:tc>
          <w:tcPr>
            <w:tcW w:type="dxa" w:w="1304"/>
            <w:tcBorders>
              <w:top w:val="single" w:sz="4" w:space="0" w:color="BFBFBF"/>
              <w:left w:val="single" w:sz="4" w:space="0" w:color="BFBFBF"/>
              <w:bottom w:val="single" w:sz="4" w:space="0" w:color="BFBFBF"/>
              <w:right w:val="single" w:sz="4" w:space="0" w:color="BFBFBF"/>
            </w:tcBorders>
            <w:tcW w:w="1304" w:type="dxa"/>
            <w:shd w:val="clear" w:color="auto" w:fill="1F3A5F"/>
            <w:tcW w:w="1304" w:type="dxa"/>
          </w:tcPr>
          <w:p>
            <w:pPr>
              <w:spacing w:after="40" w:before="40" w:line="264" w:lineRule="auto"/>
              <w:jc w:val="center"/>
            </w:pPr>
            <w:r/>
            <w:r>
              <w:rPr>
                <w:rFonts w:ascii="Cambria" w:hAnsi="Cambria" w:eastAsia="Cambria"/>
                <w:b/>
                <w:i w:val="0"/>
                <w:color w:val="FFFFFF"/>
                <w:sz w:val="14"/>
              </w:rPr>
              <w:t>Name</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4"/>
              </w:rPr>
              <w:t>Designation</w:t>
            </w:r>
          </w:p>
        </w:tc>
        <w:tc>
          <w:tcPr>
            <w:tcW w:type="dxa" w:w="1077"/>
            <w:tcBorders>
              <w:top w:val="single" w:sz="4" w:space="0" w:color="BFBFBF"/>
              <w:left w:val="single" w:sz="4" w:space="0" w:color="BFBFBF"/>
              <w:bottom w:val="single" w:sz="4" w:space="0" w:color="BFBFBF"/>
              <w:right w:val="single" w:sz="4" w:space="0" w:color="BFBFBF"/>
            </w:tcBorders>
            <w:tcW w:w="1077" w:type="dxa"/>
            <w:shd w:val="clear" w:color="auto" w:fill="1F3A5F"/>
            <w:tcW w:w="1077" w:type="dxa"/>
          </w:tcPr>
          <w:p>
            <w:pPr>
              <w:spacing w:after="40" w:before="40" w:line="264" w:lineRule="auto"/>
              <w:jc w:val="center"/>
            </w:pPr>
            <w:r/>
            <w:r>
              <w:rPr>
                <w:rFonts w:ascii="Cambria" w:hAnsi="Cambria" w:eastAsia="Cambria"/>
                <w:b/>
                <w:i w:val="0"/>
                <w:color w:val="FFFFFF"/>
                <w:sz w:val="14"/>
              </w:rPr>
              <w:t>Qualification</w:t>
            </w:r>
          </w:p>
        </w:tc>
        <w:tc>
          <w:tcPr>
            <w:tcW w:type="dxa" w:w="1134"/>
            <w:tcBorders>
              <w:top w:val="single" w:sz="4" w:space="0" w:color="BFBFBF"/>
              <w:left w:val="single" w:sz="4" w:space="0" w:color="BFBFBF"/>
              <w:bottom w:val="single" w:sz="4" w:space="0" w:color="BFBFBF"/>
              <w:right w:val="single" w:sz="4" w:space="0" w:color="BFBFBF"/>
            </w:tcBorders>
            <w:tcW w:w="1134" w:type="dxa"/>
            <w:shd w:val="clear" w:color="auto" w:fill="1F3A5F"/>
            <w:tcW w:w="1134" w:type="dxa"/>
          </w:tcPr>
          <w:p>
            <w:pPr>
              <w:spacing w:after="40" w:before="40" w:line="264" w:lineRule="auto"/>
              <w:jc w:val="center"/>
            </w:pPr>
            <w:r/>
            <w:r>
              <w:rPr>
                <w:rFonts w:ascii="Cambria" w:hAnsi="Cambria" w:eastAsia="Cambria"/>
                <w:b/>
                <w:i w:val="0"/>
                <w:color w:val="FFFFFF"/>
                <w:sz w:val="14"/>
              </w:rPr>
              <w:t>Date of Joining</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4"/>
              </w:rPr>
              <w:t>Nature of Duty</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4"/>
              </w:rPr>
              <w:t>Training/Certification Attended</w:t>
            </w:r>
          </w:p>
        </w:tc>
        <w:tc>
          <w:tcPr>
            <w:tcW w:type="dxa" w:w="964"/>
            <w:tcBorders>
              <w:top w:val="single" w:sz="4" w:space="0" w:color="BFBFBF"/>
              <w:left w:val="single" w:sz="4" w:space="0" w:color="BFBFBF"/>
              <w:bottom w:val="single" w:sz="4" w:space="0" w:color="BFBFBF"/>
              <w:right w:val="single" w:sz="4" w:space="0" w:color="BFBFBF"/>
            </w:tcBorders>
            <w:tcW w:w="964" w:type="dxa"/>
            <w:shd w:val="clear" w:color="auto" w:fill="1F3A5F"/>
            <w:tcW w:w="964" w:type="dxa"/>
          </w:tcPr>
          <w:p>
            <w:pPr>
              <w:spacing w:after="40" w:before="40" w:line="264" w:lineRule="auto"/>
              <w:jc w:val="center"/>
            </w:pPr>
            <w:r/>
            <w:r>
              <w:rPr>
                <w:rFonts w:ascii="Cambria" w:hAnsi="Cambria" w:eastAsia="Cambria"/>
                <w:b/>
                <w:i w:val="0"/>
                <w:color w:val="FFFFFF"/>
                <w:sz w:val="14"/>
              </w:rPr>
              <w:t>Evidence Reference</w:t>
            </w:r>
          </w:p>
        </w:tc>
      </w:tr>
      <w:tr>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4"/>
              </w:rPr>
              <w:t>1</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4"/>
              </w:rPr>
              <w:t>Mr. Ramesh Kumar</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4"/>
              </w:rPr>
              <w:t>Lab Technician (Programming)</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4"/>
              </w:rPr>
              <w:t>B.Sc. (CS)</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12-Jun-2015</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4"/>
              </w:rPr>
              <w:t>Programming Lab Maintenance</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4"/>
              </w:rPr>
              <w:t>Python Workshop (2023)</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4"/>
              </w:rPr>
              <w:t>NTStaff_2023</w:t>
            </w:r>
          </w:p>
        </w:tc>
      </w:tr>
      <w:tr>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4"/>
              </w:rPr>
              <w:t>2</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4"/>
              </w:rPr>
              <w:t>Ms. Meena Rani</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4"/>
              </w:rPr>
              <w:t>Lab Assistant (IoT)</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4"/>
              </w:rPr>
              <w:t>Diploma (ECE)</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04-Aug-2018</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4"/>
              </w:rPr>
              <w:t>IoT Lab Support</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4"/>
              </w:rPr>
              <w:t>IoT Hands-on Training (2022)</w:t>
            </w:r>
          </w:p>
        </w:tc>
        <w:tc>
          <w:tcPr>
            <w:tcW w:type="dxa" w:w="964"/>
            <w:shd w:val="clear" w:color="auto" w:fill="FFFFFF"/>
            <w:tcW w:w="964" w:type="dxa"/>
          </w:tcPr>
          <w:p>
            <w:pPr>
              <w:spacing w:after="40" w:before="40" w:line="264" w:lineRule="auto"/>
              <w:jc w:val="left"/>
            </w:pPr>
            <w:r/>
            <w:r>
              <w:rPr>
                <w:rFonts w:ascii="Cambria" w:hAnsi="Cambria" w:eastAsia="Cambria"/>
                <w:b w:val="0"/>
                <w:i w:val="0"/>
                <w:color w:val="000000"/>
                <w:sz w:val="14"/>
              </w:rPr>
              <w:t>NTStaff_2022</w:t>
            </w:r>
          </w:p>
        </w:tc>
      </w:tr>
      <w:tr>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4"/>
              </w:rPr>
              <w:t>3</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4"/>
              </w:rPr>
              <w:t>Mr. Karthik S</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4"/>
              </w:rPr>
              <w:t>Office Assistant</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4"/>
              </w:rPr>
              <w:t>B.Com.</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15-Jan-2017</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4"/>
              </w:rPr>
              <w:t>Department Administration</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4"/>
              </w:rPr>
              <w:t>Office Automation Training (2021)</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4"/>
              </w:rPr>
              <w:t>NTStaff_2021</w:t>
            </w:r>
          </w:p>
        </w:tc>
      </w:tr>
      <w:tr>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4"/>
              </w:rPr>
              <w:t>4</w:t>
            </w:r>
          </w:p>
        </w:tc>
        <w:tc>
          <w:tcPr>
            <w:tcW w:type="dxa" w:w="1304"/>
            <w:shd w:val="clear" w:color="auto" w:fill="FFFFFF"/>
            <w:tcW w:w="1304" w:type="dxa"/>
          </w:tcPr>
          <w:p>
            <w:pPr>
              <w:spacing w:after="40" w:before="40" w:line="264" w:lineRule="auto"/>
              <w:jc w:val="left"/>
            </w:pPr>
            <w:r/>
            <w:r>
              <w:rPr>
                <w:rFonts w:ascii="Cambria" w:hAnsi="Cambria" w:eastAsia="Cambria"/>
                <w:b w:val="0"/>
                <w:i w:val="0"/>
                <w:color w:val="000000"/>
                <w:sz w:val="14"/>
              </w:rPr>
              <w:t>Ms. Priya Das</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4"/>
              </w:rPr>
              <w:t>Technical Assistant (AI Lab)</w:t>
            </w:r>
          </w:p>
        </w:tc>
        <w:tc>
          <w:tcPr>
            <w:tcW w:type="dxa" w:w="1077"/>
            <w:shd w:val="clear" w:color="auto" w:fill="FFFFFF"/>
            <w:tcW w:w="1077" w:type="dxa"/>
          </w:tcPr>
          <w:p>
            <w:pPr>
              <w:spacing w:after="40" w:before="40" w:line="264" w:lineRule="auto"/>
              <w:jc w:val="left"/>
            </w:pPr>
            <w:r/>
            <w:r>
              <w:rPr>
                <w:rFonts w:ascii="Cambria" w:hAnsi="Cambria" w:eastAsia="Cambria"/>
                <w:b w:val="0"/>
                <w:i w:val="0"/>
                <w:color w:val="000000"/>
                <w:sz w:val="14"/>
              </w:rPr>
              <w:t>B.Sc. (IT)</w:t>
            </w:r>
          </w:p>
        </w:tc>
        <w:tc>
          <w:tcPr>
            <w:tcW w:type="dxa" w:w="1134"/>
            <w:shd w:val="clear" w:color="auto" w:fill="FFFFFF"/>
            <w:tcW w:w="1134" w:type="dxa"/>
          </w:tcPr>
          <w:p>
            <w:pPr>
              <w:spacing w:after="40" w:before="40" w:line="264" w:lineRule="auto"/>
              <w:jc w:val="left"/>
            </w:pPr>
            <w:r/>
            <w:r>
              <w:rPr>
                <w:rFonts w:ascii="Cambria" w:hAnsi="Cambria" w:eastAsia="Cambria"/>
                <w:b w:val="0"/>
                <w:i w:val="0"/>
                <w:color w:val="000000"/>
                <w:sz w:val="14"/>
              </w:rPr>
              <w:t>22-Jul-2020</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4"/>
              </w:rPr>
              <w:t>AI Lab Maintenance</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4"/>
              </w:rPr>
              <w:t>AI Tools Certification (2024)</w:t>
            </w:r>
          </w:p>
        </w:tc>
        <w:tc>
          <w:tcPr>
            <w:tcW w:type="dxa" w:w="964"/>
            <w:shd w:val="clear" w:color="auto" w:fill="FFFFFF"/>
            <w:tcW w:w="964" w:type="dxa"/>
          </w:tcPr>
          <w:p>
            <w:pPr>
              <w:spacing w:after="40" w:before="40" w:line="264" w:lineRule="auto"/>
              <w:jc w:val="left"/>
            </w:pPr>
            <w:r/>
            <w:r>
              <w:rPr>
                <w:rFonts w:ascii="Cambria" w:hAnsi="Cambria" w:eastAsia="Cambria"/>
                <w:b w:val="0"/>
                <w:i w:val="0"/>
                <w:color w:val="000000"/>
                <w:sz w:val="14"/>
              </w:rPr>
              <w:t>NTStaff_2024</w:t>
            </w:r>
          </w:p>
        </w:tc>
      </w:tr>
      <w:tr>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4"/>
              </w:rPr>
              <w:t>5</w:t>
            </w:r>
          </w:p>
        </w:tc>
        <w:tc>
          <w:tcPr>
            <w:tcW w:type="dxa" w:w="1304"/>
            <w:shd w:val="clear" w:color="auto" w:fill="E8ECF2"/>
            <w:tcW w:w="1304" w:type="dxa"/>
          </w:tcPr>
          <w:p>
            <w:pPr>
              <w:spacing w:after="40" w:before="40" w:line="264" w:lineRule="auto"/>
              <w:jc w:val="left"/>
            </w:pPr>
            <w:r/>
            <w:r>
              <w:rPr>
                <w:rFonts w:ascii="Cambria" w:hAnsi="Cambria" w:eastAsia="Cambria"/>
                <w:b w:val="0"/>
                <w:i w:val="0"/>
                <w:color w:val="000000"/>
                <w:sz w:val="14"/>
              </w:rPr>
              <w:t>Mr. Vijay Nair</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4"/>
              </w:rPr>
              <w:t>Electrician / Maintenance</w:t>
            </w:r>
          </w:p>
        </w:tc>
        <w:tc>
          <w:tcPr>
            <w:tcW w:type="dxa" w:w="1077"/>
            <w:shd w:val="clear" w:color="auto" w:fill="E8ECF2"/>
            <w:tcW w:w="1077" w:type="dxa"/>
          </w:tcPr>
          <w:p>
            <w:pPr>
              <w:spacing w:after="40" w:before="40" w:line="264" w:lineRule="auto"/>
              <w:jc w:val="left"/>
            </w:pPr>
            <w:r/>
            <w:r>
              <w:rPr>
                <w:rFonts w:ascii="Cambria" w:hAnsi="Cambria" w:eastAsia="Cambria"/>
                <w:b w:val="0"/>
                <w:i w:val="0"/>
                <w:color w:val="000000"/>
                <w:sz w:val="14"/>
              </w:rPr>
              <w:t>ITI (Electrical)</w:t>
            </w:r>
          </w:p>
        </w:tc>
        <w:tc>
          <w:tcPr>
            <w:tcW w:type="dxa" w:w="1134"/>
            <w:shd w:val="clear" w:color="auto" w:fill="E8ECF2"/>
            <w:tcW w:w="1134" w:type="dxa"/>
          </w:tcPr>
          <w:p>
            <w:pPr>
              <w:spacing w:after="40" w:before="40" w:line="264" w:lineRule="auto"/>
              <w:jc w:val="left"/>
            </w:pPr>
            <w:r/>
            <w:r>
              <w:rPr>
                <w:rFonts w:ascii="Cambria" w:hAnsi="Cambria" w:eastAsia="Cambria"/>
                <w:b w:val="0"/>
                <w:i w:val="0"/>
                <w:color w:val="000000"/>
                <w:sz w:val="14"/>
              </w:rPr>
              <w:t>10-Mar-2016</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4"/>
              </w:rPr>
              <w:t>Electrical &amp; General Maintenance</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4"/>
              </w:rPr>
              <w:t>Safety Training (2023)</w:t>
            </w:r>
          </w:p>
        </w:tc>
        <w:tc>
          <w:tcPr>
            <w:tcW w:type="dxa" w:w="964"/>
            <w:shd w:val="clear" w:color="auto" w:fill="E8ECF2"/>
            <w:tcW w:w="964" w:type="dxa"/>
          </w:tcPr>
          <w:p>
            <w:pPr>
              <w:spacing w:after="40" w:before="40" w:line="264" w:lineRule="auto"/>
              <w:jc w:val="left"/>
            </w:pPr>
            <w:r/>
            <w:r>
              <w:rPr>
                <w:rFonts w:ascii="Cambria" w:hAnsi="Cambria" w:eastAsia="Cambria"/>
                <w:b w:val="0"/>
                <w:i w:val="0"/>
                <w:color w:val="000000"/>
                <w:sz w:val="14"/>
              </w:rPr>
              <w:t>NTStaff_2023b</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Qualification and Certification Summary</w:t>
      </w:r>
    </w:p>
    <w:tbl>
      <w:tblPr>
        <w:tblW w:type="auto" w:w="0"/>
        <w:jc w:val="center"/>
        <w:tblLook w:firstColumn="1" w:firstRow="1" w:lastColumn="0" w:lastRow="0" w:noHBand="0" w:noVBand="1" w:val="04A0"/>
        <w:tblLayout w:type="fixed"/>
        <w:tblLayout w:type="fixed"/>
      </w:tblPr>
      <w:tblGrid>
        <w:gridCol w:w="4252"/>
        <w:gridCol w:w="2551"/>
        <w:gridCol w:w="2551"/>
      </w:tblGrid>
      <w:tr>
        <w:tc>
          <w:tcPr>
            <w:tcW w:type="dxa" w:w="4252"/>
            <w:tcBorders>
              <w:top w:val="single" w:sz="4" w:space="0" w:color="BFBFBF"/>
              <w:left w:val="single" w:sz="4" w:space="0" w:color="BFBFBF"/>
              <w:bottom w:val="single" w:sz="4" w:space="0" w:color="BFBFBF"/>
              <w:right w:val="single" w:sz="4" w:space="0" w:color="BFBFBF"/>
            </w:tcBorders>
            <w:tcW w:w="4252" w:type="dxa"/>
            <w:shd w:val="clear" w:color="auto" w:fill="1F3A5F"/>
            <w:tcW w:w="4252" w:type="dxa"/>
          </w:tcPr>
          <w:p>
            <w:pPr>
              <w:spacing w:after="40" w:before="40" w:line="264" w:lineRule="auto"/>
              <w:jc w:val="center"/>
            </w:pPr>
            <w:r/>
            <w:r>
              <w:rPr>
                <w:rFonts w:ascii="Cambria" w:hAnsi="Cambria" w:eastAsia="Cambria"/>
                <w:b/>
                <w:i w:val="0"/>
                <w:color w:val="FFFFFF"/>
                <w:sz w:val="18"/>
              </w:rPr>
              <w:t>Qualification Level</w:t>
            </w:r>
          </w:p>
        </w:tc>
        <w:tc>
          <w:tcPr>
            <w:tcW w:type="dxa" w:w="2551"/>
            <w:tcBorders>
              <w:top w:val="single" w:sz="4" w:space="0" w:color="BFBFBF"/>
              <w:left w:val="single" w:sz="4" w:space="0" w:color="BFBFBF"/>
              <w:bottom w:val="single" w:sz="4" w:space="0" w:color="BFBFBF"/>
              <w:right w:val="single" w:sz="4" w:space="0" w:color="BFBFBF"/>
            </w:tcBorders>
            <w:tcW w:w="2551" w:type="dxa"/>
            <w:shd w:val="clear" w:color="auto" w:fill="1F3A5F"/>
            <w:tcW w:w="2551" w:type="dxa"/>
          </w:tcPr>
          <w:p>
            <w:pPr>
              <w:spacing w:after="40" w:before="40" w:line="264" w:lineRule="auto"/>
              <w:jc w:val="center"/>
            </w:pPr>
            <w:r/>
            <w:r>
              <w:rPr>
                <w:rFonts w:ascii="Cambria" w:hAnsi="Cambria" w:eastAsia="Cambria"/>
                <w:b/>
                <w:i w:val="0"/>
                <w:color w:val="FFFFFF"/>
                <w:sz w:val="18"/>
              </w:rPr>
              <w:t>No. of Staff</w:t>
            </w:r>
          </w:p>
        </w:tc>
        <w:tc>
          <w:tcPr>
            <w:tcW w:type="dxa" w:w="2551"/>
            <w:tcBorders>
              <w:top w:val="single" w:sz="4" w:space="0" w:color="BFBFBF"/>
              <w:left w:val="single" w:sz="4" w:space="0" w:color="BFBFBF"/>
              <w:bottom w:val="single" w:sz="4" w:space="0" w:color="BFBFBF"/>
              <w:right w:val="single" w:sz="4" w:space="0" w:color="BFBFBF"/>
            </w:tcBorders>
            <w:tcW w:w="2551" w:type="dxa"/>
            <w:shd w:val="clear" w:color="auto" w:fill="1F3A5F"/>
            <w:tcW w:w="2551" w:type="dxa"/>
          </w:tcPr>
          <w:p>
            <w:pPr>
              <w:spacing w:after="40" w:before="40" w:line="264" w:lineRule="auto"/>
              <w:jc w:val="center"/>
            </w:pPr>
            <w:r/>
            <w:r>
              <w:rPr>
                <w:rFonts w:ascii="Cambria" w:hAnsi="Cambria" w:eastAsia="Cambria"/>
                <w:b/>
                <w:i w:val="0"/>
                <w:color w:val="FFFFFF"/>
                <w:sz w:val="18"/>
              </w:rPr>
              <w:t>Percentage (%)</w:t>
            </w:r>
          </w:p>
        </w:tc>
      </w:tr>
      <w:tr>
        <w:tc>
          <w:tcPr>
            <w:tcW w:type="dxa" w:w="4252"/>
            <w:shd w:val="clear" w:color="auto" w:fill="E8ECF2"/>
            <w:tcW w:w="4252" w:type="dxa"/>
          </w:tcPr>
          <w:p>
            <w:pPr>
              <w:spacing w:after="40" w:before="40" w:line="264" w:lineRule="auto"/>
              <w:jc w:val="left"/>
            </w:pPr>
            <w:r/>
            <w:r>
              <w:rPr>
                <w:rFonts w:ascii="Cambria" w:hAnsi="Cambria" w:eastAsia="Cambria"/>
                <w:b w:val="0"/>
                <w:i w:val="0"/>
                <w:color w:val="000000"/>
                <w:sz w:val="18"/>
              </w:rPr>
              <w:t>Diploma</w:t>
            </w:r>
          </w:p>
        </w:tc>
        <w:tc>
          <w:tcPr>
            <w:tcW w:type="dxa" w:w="2551"/>
            <w:shd w:val="clear" w:color="auto" w:fill="E8ECF2"/>
            <w:tcW w:w="2551" w:type="dxa"/>
          </w:tcPr>
          <w:p>
            <w:pPr>
              <w:spacing w:after="40" w:before="40" w:line="264" w:lineRule="auto"/>
              <w:jc w:val="left"/>
            </w:pPr>
            <w:r/>
            <w:r>
              <w:rPr>
                <w:rFonts w:ascii="Cambria" w:hAnsi="Cambria" w:eastAsia="Cambria"/>
                <w:b w:val="0"/>
                <w:i w:val="0"/>
                <w:color w:val="000000"/>
                <w:sz w:val="18"/>
              </w:rPr>
              <w:t>1</w:t>
            </w:r>
          </w:p>
        </w:tc>
        <w:tc>
          <w:tcPr>
            <w:tcW w:type="dxa" w:w="2551"/>
            <w:shd w:val="clear" w:color="auto" w:fill="E8ECF2"/>
            <w:tcW w:w="2551" w:type="dxa"/>
          </w:tcPr>
          <w:p>
            <w:pPr>
              <w:spacing w:after="40" w:before="40" w:line="264" w:lineRule="auto"/>
              <w:jc w:val="left"/>
            </w:pPr>
            <w:r/>
            <w:r>
              <w:rPr>
                <w:rFonts w:ascii="Cambria" w:hAnsi="Cambria" w:eastAsia="Cambria"/>
                <w:b w:val="0"/>
                <w:i w:val="0"/>
                <w:color w:val="000000"/>
                <w:sz w:val="18"/>
              </w:rPr>
              <w:t>20</w:t>
            </w:r>
          </w:p>
        </w:tc>
      </w:tr>
      <w:tr>
        <w:tc>
          <w:tcPr>
            <w:tcW w:type="dxa" w:w="4252"/>
            <w:shd w:val="clear" w:color="auto" w:fill="FFFFFF"/>
            <w:tcW w:w="4252" w:type="dxa"/>
          </w:tcPr>
          <w:p>
            <w:pPr>
              <w:spacing w:after="40" w:before="40" w:line="264" w:lineRule="auto"/>
              <w:jc w:val="left"/>
            </w:pPr>
            <w:r/>
            <w:r>
              <w:rPr>
                <w:rFonts w:ascii="Cambria" w:hAnsi="Cambria" w:eastAsia="Cambria"/>
                <w:b w:val="0"/>
                <w:i w:val="0"/>
                <w:color w:val="000000"/>
                <w:sz w:val="18"/>
              </w:rPr>
              <w:t>Graduate (B.Sc./B.Com./B.IT)</w:t>
            </w:r>
          </w:p>
        </w:tc>
        <w:tc>
          <w:tcPr>
            <w:tcW w:type="dxa" w:w="2551"/>
            <w:shd w:val="clear" w:color="auto" w:fill="FFFFFF"/>
            <w:tcW w:w="2551" w:type="dxa"/>
          </w:tcPr>
          <w:p>
            <w:pPr>
              <w:spacing w:after="40" w:before="40" w:line="264" w:lineRule="auto"/>
              <w:jc w:val="left"/>
            </w:pPr>
            <w:r/>
            <w:r>
              <w:rPr>
                <w:rFonts w:ascii="Cambria" w:hAnsi="Cambria" w:eastAsia="Cambria"/>
                <w:b w:val="0"/>
                <w:i w:val="0"/>
                <w:color w:val="000000"/>
                <w:sz w:val="18"/>
              </w:rPr>
              <w:t>3</w:t>
            </w:r>
          </w:p>
        </w:tc>
        <w:tc>
          <w:tcPr>
            <w:tcW w:type="dxa" w:w="2551"/>
            <w:shd w:val="clear" w:color="auto" w:fill="FFFFFF"/>
            <w:tcW w:w="2551" w:type="dxa"/>
          </w:tcPr>
          <w:p>
            <w:pPr>
              <w:spacing w:after="40" w:before="40" w:line="264" w:lineRule="auto"/>
              <w:jc w:val="left"/>
            </w:pPr>
            <w:r/>
            <w:r>
              <w:rPr>
                <w:rFonts w:ascii="Cambria" w:hAnsi="Cambria" w:eastAsia="Cambria"/>
                <w:b w:val="0"/>
                <w:i w:val="0"/>
                <w:color w:val="000000"/>
                <w:sz w:val="18"/>
              </w:rPr>
              <w:t>60</w:t>
            </w:r>
          </w:p>
        </w:tc>
      </w:tr>
      <w:tr>
        <w:tc>
          <w:tcPr>
            <w:tcW w:type="dxa" w:w="4252"/>
            <w:shd w:val="clear" w:color="auto" w:fill="E8ECF2"/>
            <w:tcW w:w="4252" w:type="dxa"/>
          </w:tcPr>
          <w:p>
            <w:pPr>
              <w:spacing w:after="40" w:before="40" w:line="264" w:lineRule="auto"/>
              <w:jc w:val="left"/>
            </w:pPr>
            <w:r/>
            <w:r>
              <w:rPr>
                <w:rFonts w:ascii="Cambria" w:hAnsi="Cambria" w:eastAsia="Cambria"/>
                <w:b w:val="0"/>
                <w:i w:val="0"/>
                <w:color w:val="000000"/>
                <w:sz w:val="18"/>
              </w:rPr>
              <w:t>ITI / Vocational</w:t>
            </w:r>
          </w:p>
        </w:tc>
        <w:tc>
          <w:tcPr>
            <w:tcW w:type="dxa" w:w="2551"/>
            <w:shd w:val="clear" w:color="auto" w:fill="E8ECF2"/>
            <w:tcW w:w="2551" w:type="dxa"/>
          </w:tcPr>
          <w:p>
            <w:pPr>
              <w:spacing w:after="40" w:before="40" w:line="264" w:lineRule="auto"/>
              <w:jc w:val="left"/>
            </w:pPr>
            <w:r/>
            <w:r>
              <w:rPr>
                <w:rFonts w:ascii="Cambria" w:hAnsi="Cambria" w:eastAsia="Cambria"/>
                <w:b w:val="0"/>
                <w:i w:val="0"/>
                <w:color w:val="000000"/>
                <w:sz w:val="18"/>
              </w:rPr>
              <w:t>1</w:t>
            </w:r>
          </w:p>
        </w:tc>
        <w:tc>
          <w:tcPr>
            <w:tcW w:type="dxa" w:w="2551"/>
            <w:shd w:val="clear" w:color="auto" w:fill="E8ECF2"/>
            <w:tcW w:w="2551" w:type="dxa"/>
          </w:tcPr>
          <w:p>
            <w:pPr>
              <w:spacing w:after="40" w:before="40" w:line="264" w:lineRule="auto"/>
              <w:jc w:val="left"/>
            </w:pPr>
            <w:r/>
            <w:r>
              <w:rPr>
                <w:rFonts w:ascii="Cambria" w:hAnsi="Cambria" w:eastAsia="Cambria"/>
                <w:b w:val="0"/>
                <w:i w:val="0"/>
                <w:color w:val="000000"/>
                <w:sz w:val="18"/>
              </w:rPr>
              <w:t>20</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Skill Upgradation and Training Programs Attended</w:t>
      </w:r>
    </w:p>
    <w:tbl>
      <w:tblPr>
        <w:tblW w:type="auto" w:w="0"/>
        <w:jc w:val="center"/>
        <w:tblLook w:firstColumn="1" w:firstRow="1" w:lastColumn="0" w:lastRow="0" w:noHBand="0" w:noVBand="1" w:val="04A0"/>
        <w:tblLayout w:type="fixed"/>
        <w:tblLayout w:type="fixed"/>
      </w:tblPr>
      <w:tblGrid>
        <w:gridCol w:w="567"/>
        <w:gridCol w:w="1474"/>
        <w:gridCol w:w="1814"/>
        <w:gridCol w:w="794"/>
        <w:gridCol w:w="1928"/>
        <w:gridCol w:w="907"/>
      </w:tblGrid>
      <w:tr>
        <w:tc>
          <w:tcPr>
            <w:tcW w:type="dxa" w:w="567"/>
            <w:tcBorders>
              <w:top w:val="single" w:sz="4" w:space="0" w:color="BFBFBF"/>
              <w:left w:val="single" w:sz="4" w:space="0" w:color="BFBFBF"/>
              <w:bottom w:val="single" w:sz="4" w:space="0" w:color="BFBFBF"/>
              <w:right w:val="single" w:sz="4" w:space="0" w:color="BFBFBF"/>
            </w:tcBorders>
            <w:tcW w:w="567" w:type="dxa"/>
            <w:shd w:val="clear" w:color="auto" w:fill="1F3A5F"/>
            <w:tcW w:w="567" w:type="dxa"/>
          </w:tcPr>
          <w:p>
            <w:pPr>
              <w:spacing w:after="40" w:before="40" w:line="264" w:lineRule="auto"/>
              <w:jc w:val="center"/>
            </w:pPr>
            <w:r/>
            <w:r>
              <w:rPr>
                <w:rFonts w:ascii="Cambria" w:hAnsi="Cambria" w:eastAsia="Cambria"/>
                <w:b/>
                <w:i w:val="0"/>
                <w:color w:val="FFFFFF"/>
                <w:sz w:val="15"/>
              </w:rPr>
              <w:t>S.No.</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Name of Staff</w:t>
            </w:r>
          </w:p>
        </w:tc>
        <w:tc>
          <w:tcPr>
            <w:tcW w:type="dxa" w:w="1814"/>
            <w:tcBorders>
              <w:top w:val="single" w:sz="4" w:space="0" w:color="BFBFBF"/>
              <w:left w:val="single" w:sz="4" w:space="0" w:color="BFBFBF"/>
              <w:bottom w:val="single" w:sz="4" w:space="0" w:color="BFBFBF"/>
              <w:right w:val="single" w:sz="4" w:space="0" w:color="BFBFBF"/>
            </w:tcBorders>
            <w:tcW w:w="1814" w:type="dxa"/>
            <w:shd w:val="clear" w:color="auto" w:fill="1F3A5F"/>
            <w:tcW w:w="1814" w:type="dxa"/>
          </w:tcPr>
          <w:p>
            <w:pPr>
              <w:spacing w:after="40" w:before="40" w:line="264" w:lineRule="auto"/>
              <w:jc w:val="center"/>
            </w:pPr>
            <w:r/>
            <w:r>
              <w:rPr>
                <w:rFonts w:ascii="Cambria" w:hAnsi="Cambria" w:eastAsia="Cambria"/>
                <w:b/>
                <w:i w:val="0"/>
                <w:color w:val="FFFFFF"/>
                <w:sz w:val="15"/>
              </w:rPr>
              <w:t>Training Program</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Year</w:t>
            </w:r>
          </w:p>
        </w:tc>
        <w:tc>
          <w:tcPr>
            <w:tcW w:type="dxa" w:w="1928"/>
            <w:tcBorders>
              <w:top w:val="single" w:sz="4" w:space="0" w:color="BFBFBF"/>
              <w:left w:val="single" w:sz="4" w:space="0" w:color="BFBFBF"/>
              <w:bottom w:val="single" w:sz="4" w:space="0" w:color="BFBFBF"/>
              <w:right w:val="single" w:sz="4" w:space="0" w:color="BFBFBF"/>
            </w:tcBorders>
            <w:tcW w:w="1928" w:type="dxa"/>
            <w:shd w:val="clear" w:color="auto" w:fill="1F3A5F"/>
            <w:tcW w:w="1928" w:type="dxa"/>
          </w:tcPr>
          <w:p>
            <w:pPr>
              <w:spacing w:after="40" w:before="40" w:line="264" w:lineRule="auto"/>
              <w:jc w:val="center"/>
            </w:pPr>
            <w:r/>
            <w:r>
              <w:rPr>
                <w:rFonts w:ascii="Cambria" w:hAnsi="Cambria" w:eastAsia="Cambria"/>
                <w:b/>
                <w:i w:val="0"/>
                <w:color w:val="FFFFFF"/>
                <w:sz w:val="15"/>
              </w:rPr>
              <w:t>Organized By</w:t>
            </w:r>
          </w:p>
        </w:tc>
        <w:tc>
          <w:tcPr>
            <w:tcW w:type="dxa" w:w="907"/>
            <w:tcBorders>
              <w:top w:val="single" w:sz="4" w:space="0" w:color="BFBFBF"/>
              <w:left w:val="single" w:sz="4" w:space="0" w:color="BFBFBF"/>
              <w:bottom w:val="single" w:sz="4" w:space="0" w:color="BFBFBF"/>
              <w:right w:val="single" w:sz="4" w:space="0" w:color="BFBFBF"/>
            </w:tcBorders>
            <w:tcW w:w="907" w:type="dxa"/>
            <w:shd w:val="clear" w:color="auto" w:fill="1F3A5F"/>
            <w:tcW w:w="907" w:type="dxa"/>
          </w:tcPr>
          <w:p>
            <w:pPr>
              <w:spacing w:after="40" w:before="40" w:line="264" w:lineRule="auto"/>
              <w:jc w:val="center"/>
            </w:pPr>
            <w:r/>
            <w:r>
              <w:rPr>
                <w:rFonts w:ascii="Cambria" w:hAnsi="Cambria" w:eastAsia="Cambria"/>
                <w:b/>
                <w:i w:val="0"/>
                <w:color w:val="FFFFFF"/>
                <w:sz w:val="15"/>
              </w:rPr>
              <w:t>Duration</w:t>
            </w:r>
          </w:p>
        </w:tc>
      </w:tr>
      <w:tr>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5"/>
              </w:rPr>
              <w:t>1</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Mr. Ramesh Kumar</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5"/>
              </w:rPr>
              <w:t>Python Workshop</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2023</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5"/>
              </w:rPr>
              <w:t>Institution IQAC</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3 Days</w:t>
            </w:r>
          </w:p>
        </w:tc>
      </w:tr>
      <w:tr>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5"/>
              </w:rPr>
              <w:t>2</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Ms. Meena Rani</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5"/>
              </w:rPr>
              <w:t>IoT Hands-on Training</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2022</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5"/>
              </w:rPr>
              <w:t>AICTE ATAL Academy</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5 Days</w:t>
            </w:r>
          </w:p>
        </w:tc>
      </w:tr>
      <w:tr>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5"/>
              </w:rPr>
              <w:t>3</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Mr. Karthik S</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5"/>
              </w:rPr>
              <w:t>Office Automation Training</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2021</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5"/>
              </w:rPr>
              <w:t>Institution Admin Cell</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2 Days</w:t>
            </w:r>
          </w:p>
        </w:tc>
      </w:tr>
      <w:tr>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5"/>
              </w:rPr>
              <w:t>4</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Ms. Priya Das</w:t>
            </w:r>
          </w:p>
        </w:tc>
        <w:tc>
          <w:tcPr>
            <w:tcW w:type="dxa" w:w="1814"/>
            <w:shd w:val="clear" w:color="auto" w:fill="FFFFFF"/>
            <w:tcW w:w="1814" w:type="dxa"/>
          </w:tcPr>
          <w:p>
            <w:pPr>
              <w:spacing w:after="40" w:before="40" w:line="264" w:lineRule="auto"/>
              <w:jc w:val="left"/>
            </w:pPr>
            <w:r/>
            <w:r>
              <w:rPr>
                <w:rFonts w:ascii="Cambria" w:hAnsi="Cambria" w:eastAsia="Cambria"/>
                <w:b w:val="0"/>
                <w:i w:val="0"/>
                <w:color w:val="000000"/>
                <w:sz w:val="15"/>
              </w:rPr>
              <w:t>AI Tools Certification</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2024</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5"/>
              </w:rPr>
              <w:t>NPTEL</w:t>
            </w:r>
          </w:p>
        </w:tc>
        <w:tc>
          <w:tcPr>
            <w:tcW w:type="dxa" w:w="907"/>
            <w:shd w:val="clear" w:color="auto" w:fill="FFFFFF"/>
            <w:tcW w:w="907" w:type="dxa"/>
          </w:tcPr>
          <w:p>
            <w:pPr>
              <w:spacing w:after="40" w:before="40" w:line="264" w:lineRule="auto"/>
              <w:jc w:val="left"/>
            </w:pPr>
            <w:r/>
            <w:r>
              <w:rPr>
                <w:rFonts w:ascii="Cambria" w:hAnsi="Cambria" w:eastAsia="Cambria"/>
                <w:b w:val="0"/>
                <w:i w:val="0"/>
                <w:color w:val="000000"/>
                <w:sz w:val="15"/>
              </w:rPr>
              <w:t>4 Weeks</w:t>
            </w:r>
          </w:p>
        </w:tc>
      </w:tr>
      <w:tr>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5"/>
              </w:rPr>
              <w:t>5</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Mr. Vijay Nair</w:t>
            </w:r>
          </w:p>
        </w:tc>
        <w:tc>
          <w:tcPr>
            <w:tcW w:type="dxa" w:w="1814"/>
            <w:shd w:val="clear" w:color="auto" w:fill="E8ECF2"/>
            <w:tcW w:w="1814" w:type="dxa"/>
          </w:tcPr>
          <w:p>
            <w:pPr>
              <w:spacing w:after="40" w:before="40" w:line="264" w:lineRule="auto"/>
              <w:jc w:val="left"/>
            </w:pPr>
            <w:r/>
            <w:r>
              <w:rPr>
                <w:rFonts w:ascii="Cambria" w:hAnsi="Cambria" w:eastAsia="Cambria"/>
                <w:b w:val="0"/>
                <w:i w:val="0"/>
                <w:color w:val="000000"/>
                <w:sz w:val="15"/>
              </w:rPr>
              <w:t>Safety Training</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2023</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5"/>
              </w:rPr>
              <w:t>Institution Safety Committee</w:t>
            </w:r>
          </w:p>
        </w:tc>
        <w:tc>
          <w:tcPr>
            <w:tcW w:type="dxa" w:w="907"/>
            <w:shd w:val="clear" w:color="auto" w:fill="E8ECF2"/>
            <w:tcW w:w="907" w:type="dxa"/>
          </w:tcPr>
          <w:p>
            <w:pPr>
              <w:spacing w:after="40" w:before="40" w:line="264" w:lineRule="auto"/>
              <w:jc w:val="left"/>
            </w:pPr>
            <w:r/>
            <w:r>
              <w:rPr>
                <w:rFonts w:ascii="Cambria" w:hAnsi="Cambria" w:eastAsia="Cambria"/>
                <w:b w:val="0"/>
                <w:i w:val="0"/>
                <w:color w:val="000000"/>
                <w:sz w:val="15"/>
              </w:rPr>
              <w:t>1 Day</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Performance Appraisal and Promotion Summary</w:t>
      </w:r>
    </w:p>
    <w:tbl>
      <w:tblPr>
        <w:tblW w:type="auto" w:w="0"/>
        <w:jc w:val="center"/>
        <w:tblLook w:firstColumn="1" w:firstRow="1" w:lastColumn="0" w:lastRow="0" w:noHBand="0" w:noVBand="1" w:val="04A0"/>
        <w:tblLayout w:type="fixed"/>
        <w:tblLayout w:type="fixed"/>
      </w:tblPr>
      <w:tblGrid>
        <w:gridCol w:w="567"/>
        <w:gridCol w:w="1587"/>
        <w:gridCol w:w="1361"/>
        <w:gridCol w:w="1474"/>
        <w:gridCol w:w="2494"/>
      </w:tblGrid>
      <w:tr>
        <w:tc>
          <w:tcPr>
            <w:tcW w:type="dxa" w:w="567"/>
            <w:tcBorders>
              <w:top w:val="single" w:sz="4" w:space="0" w:color="BFBFBF"/>
              <w:left w:val="single" w:sz="4" w:space="0" w:color="BFBFBF"/>
              <w:bottom w:val="single" w:sz="4" w:space="0" w:color="BFBFBF"/>
              <w:right w:val="single" w:sz="4" w:space="0" w:color="BFBFBF"/>
            </w:tcBorders>
            <w:tcW w:w="567" w:type="dxa"/>
            <w:shd w:val="clear" w:color="auto" w:fill="1F3A5F"/>
            <w:tcW w:w="567" w:type="dxa"/>
          </w:tcPr>
          <w:p>
            <w:pPr>
              <w:spacing w:after="40" w:before="40" w:line="264" w:lineRule="auto"/>
              <w:jc w:val="center"/>
            </w:pPr>
            <w:r/>
            <w:r>
              <w:rPr>
                <w:rFonts w:ascii="Cambria" w:hAnsi="Cambria" w:eastAsia="Cambria"/>
                <w:b/>
                <w:i w:val="0"/>
                <w:color w:val="FFFFFF"/>
                <w:sz w:val="16"/>
              </w:rPr>
              <w:t>S.No.</w:t>
            </w:r>
          </w:p>
        </w:tc>
        <w:tc>
          <w:tcPr>
            <w:tcW w:type="dxa" w:w="1587"/>
            <w:tcBorders>
              <w:top w:val="single" w:sz="4" w:space="0" w:color="BFBFBF"/>
              <w:left w:val="single" w:sz="4" w:space="0" w:color="BFBFBF"/>
              <w:bottom w:val="single" w:sz="4" w:space="0" w:color="BFBFBF"/>
              <w:right w:val="single" w:sz="4" w:space="0" w:color="BFBFBF"/>
            </w:tcBorders>
            <w:tcW w:w="1587" w:type="dxa"/>
            <w:shd w:val="clear" w:color="auto" w:fill="1F3A5F"/>
            <w:tcW w:w="1587" w:type="dxa"/>
          </w:tcPr>
          <w:p>
            <w:pPr>
              <w:spacing w:after="40" w:before="40" w:line="264" w:lineRule="auto"/>
              <w:jc w:val="center"/>
            </w:pPr>
            <w:r/>
            <w:r>
              <w:rPr>
                <w:rFonts w:ascii="Cambria" w:hAnsi="Cambria" w:eastAsia="Cambria"/>
                <w:b/>
                <w:i w:val="0"/>
                <w:color w:val="FFFFFF"/>
                <w:sz w:val="16"/>
              </w:rPr>
              <w:t>Name</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6"/>
              </w:rPr>
              <w:t>Year of Appraisal</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6"/>
              </w:rPr>
              <w:t>Performance Rating</w:t>
            </w:r>
          </w:p>
        </w:tc>
        <w:tc>
          <w:tcPr>
            <w:tcW w:type="dxa" w:w="2494"/>
            <w:tcBorders>
              <w:top w:val="single" w:sz="4" w:space="0" w:color="BFBFBF"/>
              <w:left w:val="single" w:sz="4" w:space="0" w:color="BFBFBF"/>
              <w:bottom w:val="single" w:sz="4" w:space="0" w:color="BFBFBF"/>
              <w:right w:val="single" w:sz="4" w:space="0" w:color="BFBFBF"/>
            </w:tcBorders>
            <w:tcW w:w="2494" w:type="dxa"/>
            <w:shd w:val="clear" w:color="auto" w:fill="1F3A5F"/>
            <w:tcW w:w="2494" w:type="dxa"/>
          </w:tcPr>
          <w:p>
            <w:pPr>
              <w:spacing w:after="40" w:before="40" w:line="264" w:lineRule="auto"/>
              <w:jc w:val="center"/>
            </w:pPr>
            <w:r/>
            <w:r>
              <w:rPr>
                <w:rFonts w:ascii="Cambria" w:hAnsi="Cambria" w:eastAsia="Cambria"/>
                <w:b/>
                <w:i w:val="0"/>
                <w:color w:val="FFFFFF"/>
                <w:sz w:val="16"/>
              </w:rPr>
              <w:t>Promotion / Increment Granted</w:t>
            </w:r>
          </w:p>
        </w:tc>
      </w:tr>
      <w:tr>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6"/>
              </w:rPr>
              <w:t>1</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6"/>
              </w:rPr>
              <w:t>Mr. Ramesh Kumar</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6"/>
              </w:rPr>
              <w:t>2024</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Good</w:t>
            </w:r>
          </w:p>
        </w:tc>
        <w:tc>
          <w:tcPr>
            <w:tcW w:type="dxa" w:w="2494"/>
            <w:shd w:val="clear" w:color="auto" w:fill="E8ECF2"/>
            <w:tcW w:w="2494" w:type="dxa"/>
          </w:tcPr>
          <w:p>
            <w:pPr>
              <w:spacing w:after="40" w:before="40" w:line="264" w:lineRule="auto"/>
              <w:jc w:val="left"/>
            </w:pPr>
            <w:r/>
            <w:r>
              <w:rPr>
                <w:rFonts w:ascii="Cambria" w:hAnsi="Cambria" w:eastAsia="Cambria"/>
                <w:b w:val="0"/>
                <w:i w:val="0"/>
                <w:color w:val="000000"/>
                <w:sz w:val="16"/>
              </w:rPr>
              <w:t>Increment</w:t>
            </w:r>
          </w:p>
        </w:tc>
      </w:tr>
      <w:tr>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6"/>
              </w:rPr>
              <w:t>2</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6"/>
              </w:rPr>
              <w:t>Ms. Meena Rani</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6"/>
              </w:rPr>
              <w:t>2024</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Very Good</w:t>
            </w:r>
          </w:p>
        </w:tc>
        <w:tc>
          <w:tcPr>
            <w:tcW w:type="dxa" w:w="2494"/>
            <w:shd w:val="clear" w:color="auto" w:fill="FFFFFF"/>
            <w:tcW w:w="2494" w:type="dxa"/>
          </w:tcPr>
          <w:p>
            <w:pPr>
              <w:spacing w:after="40" w:before="40" w:line="264" w:lineRule="auto"/>
              <w:jc w:val="left"/>
            </w:pPr>
            <w:r/>
            <w:r>
              <w:rPr>
                <w:rFonts w:ascii="Cambria" w:hAnsi="Cambria" w:eastAsia="Cambria"/>
                <w:b w:val="0"/>
                <w:i w:val="0"/>
                <w:color w:val="000000"/>
                <w:sz w:val="16"/>
              </w:rPr>
              <w:t>Increment</w:t>
            </w:r>
          </w:p>
        </w:tc>
      </w:tr>
      <w:tr>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6"/>
              </w:rPr>
              <w:t>3</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6"/>
              </w:rPr>
              <w:t>Mr. Karthik S</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6"/>
              </w:rPr>
              <w:t>2023</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Good</w:t>
            </w:r>
          </w:p>
        </w:tc>
        <w:tc>
          <w:tcPr>
            <w:tcW w:type="dxa" w:w="2494"/>
            <w:shd w:val="clear" w:color="auto" w:fill="E8ECF2"/>
            <w:tcW w:w="2494" w:type="dxa"/>
          </w:tcPr>
          <w:p>
            <w:pPr>
              <w:spacing w:after="40" w:before="40" w:line="264" w:lineRule="auto"/>
              <w:jc w:val="left"/>
            </w:pPr>
            <w:r/>
            <w:r>
              <w:rPr>
                <w:rFonts w:ascii="Cambria" w:hAnsi="Cambria" w:eastAsia="Cambria"/>
                <w:b w:val="0"/>
                <w:i w:val="0"/>
                <w:color w:val="000000"/>
                <w:sz w:val="16"/>
              </w:rPr>
              <w:t>Increment</w:t>
            </w:r>
          </w:p>
        </w:tc>
      </w:tr>
      <w:tr>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6"/>
              </w:rPr>
              <w:t>4</w:t>
            </w:r>
          </w:p>
        </w:tc>
        <w:tc>
          <w:tcPr>
            <w:tcW w:type="dxa" w:w="1587"/>
            <w:shd w:val="clear" w:color="auto" w:fill="FFFFFF"/>
            <w:tcW w:w="1587" w:type="dxa"/>
          </w:tcPr>
          <w:p>
            <w:pPr>
              <w:spacing w:after="40" w:before="40" w:line="264" w:lineRule="auto"/>
              <w:jc w:val="left"/>
            </w:pPr>
            <w:r/>
            <w:r>
              <w:rPr>
                <w:rFonts w:ascii="Cambria" w:hAnsi="Cambria" w:eastAsia="Cambria"/>
                <w:b w:val="0"/>
                <w:i w:val="0"/>
                <w:color w:val="000000"/>
                <w:sz w:val="16"/>
              </w:rPr>
              <w:t>Ms. Priya Das</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6"/>
              </w:rPr>
              <w:t>2024</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6"/>
              </w:rPr>
              <w:t>Excellent</w:t>
            </w:r>
          </w:p>
        </w:tc>
        <w:tc>
          <w:tcPr>
            <w:tcW w:type="dxa" w:w="2494"/>
            <w:shd w:val="clear" w:color="auto" w:fill="FFFFFF"/>
            <w:tcW w:w="2494" w:type="dxa"/>
          </w:tcPr>
          <w:p>
            <w:pPr>
              <w:spacing w:after="40" w:before="40" w:line="264" w:lineRule="auto"/>
              <w:jc w:val="left"/>
            </w:pPr>
            <w:r/>
            <w:r>
              <w:rPr>
                <w:rFonts w:ascii="Cambria" w:hAnsi="Cambria" w:eastAsia="Cambria"/>
                <w:b w:val="0"/>
                <w:i w:val="0"/>
                <w:color w:val="000000"/>
                <w:sz w:val="16"/>
              </w:rPr>
              <w:t>Promotion + Increment</w:t>
            </w:r>
          </w:p>
        </w:tc>
      </w:tr>
      <w:tr>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6"/>
              </w:rPr>
              <w:t>5</w:t>
            </w:r>
          </w:p>
        </w:tc>
        <w:tc>
          <w:tcPr>
            <w:tcW w:type="dxa" w:w="1587"/>
            <w:shd w:val="clear" w:color="auto" w:fill="E8ECF2"/>
            <w:tcW w:w="1587" w:type="dxa"/>
          </w:tcPr>
          <w:p>
            <w:pPr>
              <w:spacing w:after="40" w:before="40" w:line="264" w:lineRule="auto"/>
              <w:jc w:val="left"/>
            </w:pPr>
            <w:r/>
            <w:r>
              <w:rPr>
                <w:rFonts w:ascii="Cambria" w:hAnsi="Cambria" w:eastAsia="Cambria"/>
                <w:b w:val="0"/>
                <w:i w:val="0"/>
                <w:color w:val="000000"/>
                <w:sz w:val="16"/>
              </w:rPr>
              <w:t>Mr. Vijay Nair</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6"/>
              </w:rPr>
              <w:t>2023</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6"/>
              </w:rPr>
              <w:t>Good</w:t>
            </w:r>
          </w:p>
        </w:tc>
        <w:tc>
          <w:tcPr>
            <w:tcW w:type="dxa" w:w="2494"/>
            <w:shd w:val="clear" w:color="auto" w:fill="E8ECF2"/>
            <w:tcW w:w="2494" w:type="dxa"/>
          </w:tcPr>
          <w:p>
            <w:pPr>
              <w:spacing w:after="40" w:before="40" w:line="264" w:lineRule="auto"/>
              <w:jc w:val="left"/>
            </w:pPr>
            <w:r/>
            <w:r>
              <w:rPr>
                <w:rFonts w:ascii="Cambria" w:hAnsi="Cambria" w:eastAsia="Cambria"/>
                <w:b w:val="0"/>
                <w:i w:val="0"/>
                <w:color w:val="000000"/>
                <w:sz w:val="16"/>
              </w:rPr>
              <w:t>Increment</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Department-Wise Non-Teaching Staff Deployment Summary</w:t>
      </w:r>
    </w:p>
    <w:tbl>
      <w:tblPr>
        <w:tblW w:type="auto" w:w="0"/>
        <w:jc w:val="center"/>
        <w:tblLook w:firstColumn="1" w:firstRow="1" w:lastColumn="0" w:lastRow="0" w:noHBand="0" w:noVBand="1" w:val="04A0"/>
        <w:tblLayout w:type="fixed"/>
        <w:tblLayout w:type="fixed"/>
      </w:tblPr>
      <w:tblGrid>
        <w:gridCol w:w="3118"/>
        <w:gridCol w:w="1417"/>
        <w:gridCol w:w="3685"/>
      </w:tblGrid>
      <w:tr>
        <w:tc>
          <w:tcPr>
            <w:tcW w:type="dxa" w:w="3118"/>
            <w:tcBorders>
              <w:top w:val="single" w:sz="4" w:space="0" w:color="BFBFBF"/>
              <w:left w:val="single" w:sz="4" w:space="0" w:color="BFBFBF"/>
              <w:bottom w:val="single" w:sz="4" w:space="0" w:color="BFBFBF"/>
              <w:right w:val="single" w:sz="4" w:space="0" w:color="BFBFBF"/>
            </w:tcBorders>
            <w:tcW w:w="3118" w:type="dxa"/>
            <w:shd w:val="clear" w:color="auto" w:fill="1F3A5F"/>
            <w:tcW w:w="3118" w:type="dxa"/>
          </w:tcPr>
          <w:p>
            <w:pPr>
              <w:spacing w:after="40" w:before="40" w:line="264" w:lineRule="auto"/>
              <w:jc w:val="center"/>
            </w:pPr>
            <w:r/>
            <w:r>
              <w:rPr>
                <w:rFonts w:ascii="Cambria" w:hAnsi="Cambria" w:eastAsia="Cambria"/>
                <w:b/>
                <w:i w:val="0"/>
                <w:color w:val="FFFFFF"/>
                <w:sz w:val="18"/>
              </w:rPr>
              <w:t>Area of Deployment</w:t>
            </w:r>
          </w:p>
        </w:tc>
        <w:tc>
          <w:tcPr>
            <w:tcW w:type="dxa" w:w="1417"/>
            <w:tcBorders>
              <w:top w:val="single" w:sz="4" w:space="0" w:color="BFBFBF"/>
              <w:left w:val="single" w:sz="4" w:space="0" w:color="BFBFBF"/>
              <w:bottom w:val="single" w:sz="4" w:space="0" w:color="BFBFBF"/>
              <w:right w:val="single" w:sz="4" w:space="0" w:color="BFBFBF"/>
            </w:tcBorders>
            <w:tcW w:w="1417" w:type="dxa"/>
            <w:shd w:val="clear" w:color="auto" w:fill="1F3A5F"/>
            <w:tcW w:w="1417" w:type="dxa"/>
          </w:tcPr>
          <w:p>
            <w:pPr>
              <w:spacing w:after="40" w:before="40" w:line="264" w:lineRule="auto"/>
              <w:jc w:val="center"/>
            </w:pPr>
            <w:r/>
            <w:r>
              <w:rPr>
                <w:rFonts w:ascii="Cambria" w:hAnsi="Cambria" w:eastAsia="Cambria"/>
                <w:b/>
                <w:i w:val="0"/>
                <w:color w:val="FFFFFF"/>
                <w:sz w:val="18"/>
              </w:rPr>
              <w:t>No. of Staff</w:t>
            </w:r>
          </w:p>
        </w:tc>
        <w:tc>
          <w:tcPr>
            <w:tcW w:type="dxa" w:w="3685"/>
            <w:tcBorders>
              <w:top w:val="single" w:sz="4" w:space="0" w:color="BFBFBF"/>
              <w:left w:val="single" w:sz="4" w:space="0" w:color="BFBFBF"/>
              <w:bottom w:val="single" w:sz="4" w:space="0" w:color="BFBFBF"/>
              <w:right w:val="single" w:sz="4" w:space="0" w:color="BFBFBF"/>
            </w:tcBorders>
            <w:tcW w:w="3685" w:type="dxa"/>
            <w:shd w:val="clear" w:color="auto" w:fill="1F3A5F"/>
            <w:tcW w:w="3685" w:type="dxa"/>
          </w:tcPr>
          <w:p>
            <w:pPr>
              <w:spacing w:after="40" w:before="40" w:line="264" w:lineRule="auto"/>
              <w:jc w:val="center"/>
            </w:pPr>
            <w:r/>
            <w:r>
              <w:rPr>
                <w:rFonts w:ascii="Cambria" w:hAnsi="Cambria" w:eastAsia="Cambria"/>
                <w:b/>
                <w:i w:val="0"/>
                <w:color w:val="FFFFFF"/>
                <w:sz w:val="18"/>
              </w:rPr>
              <w:t>Key Responsibility</w:t>
            </w:r>
          </w:p>
        </w:tc>
      </w:tr>
      <w:tr>
        <w:tc>
          <w:tcPr>
            <w:tcW w:type="dxa" w:w="3118"/>
            <w:shd w:val="clear" w:color="auto" w:fill="E8ECF2"/>
            <w:tcW w:w="3118" w:type="dxa"/>
          </w:tcPr>
          <w:p>
            <w:pPr>
              <w:spacing w:after="40" w:before="40" w:line="264" w:lineRule="auto"/>
              <w:jc w:val="left"/>
            </w:pPr>
            <w:r/>
            <w:r>
              <w:rPr>
                <w:rFonts w:ascii="Cambria" w:hAnsi="Cambria" w:eastAsia="Cambria"/>
                <w:b w:val="0"/>
                <w:i w:val="0"/>
                <w:color w:val="000000"/>
                <w:sz w:val="18"/>
              </w:rPr>
              <w:t>Programming Lab</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8"/>
              </w:rPr>
              <w:t>1</w:t>
            </w:r>
          </w:p>
        </w:tc>
        <w:tc>
          <w:tcPr>
            <w:tcW w:type="dxa" w:w="3685"/>
            <w:shd w:val="clear" w:color="auto" w:fill="E8ECF2"/>
            <w:tcW w:w="3685" w:type="dxa"/>
          </w:tcPr>
          <w:p>
            <w:pPr>
              <w:spacing w:after="40" w:before="40" w:line="264" w:lineRule="auto"/>
              <w:jc w:val="left"/>
            </w:pPr>
            <w:r/>
            <w:r>
              <w:rPr>
                <w:rFonts w:ascii="Cambria" w:hAnsi="Cambria" w:eastAsia="Cambria"/>
                <w:b w:val="0"/>
                <w:i w:val="0"/>
                <w:color w:val="000000"/>
                <w:sz w:val="18"/>
              </w:rPr>
              <w:t>Lab setup &amp; maintenance</w:t>
            </w:r>
          </w:p>
        </w:tc>
      </w:tr>
      <w:tr>
        <w:tc>
          <w:tcPr>
            <w:tcW w:type="dxa" w:w="3118"/>
            <w:shd w:val="clear" w:color="auto" w:fill="FFFFFF"/>
            <w:tcW w:w="3118" w:type="dxa"/>
          </w:tcPr>
          <w:p>
            <w:pPr>
              <w:spacing w:after="40" w:before="40" w:line="264" w:lineRule="auto"/>
              <w:jc w:val="left"/>
            </w:pPr>
            <w:r/>
            <w:r>
              <w:rPr>
                <w:rFonts w:ascii="Cambria" w:hAnsi="Cambria" w:eastAsia="Cambria"/>
                <w:b w:val="0"/>
                <w:i w:val="0"/>
                <w:color w:val="000000"/>
                <w:sz w:val="18"/>
              </w:rPr>
              <w:t>IoT Lab</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8"/>
              </w:rPr>
              <w:t>1</w:t>
            </w:r>
          </w:p>
        </w:tc>
        <w:tc>
          <w:tcPr>
            <w:tcW w:type="dxa" w:w="3685"/>
            <w:shd w:val="clear" w:color="auto" w:fill="FFFFFF"/>
            <w:tcW w:w="3685" w:type="dxa"/>
          </w:tcPr>
          <w:p>
            <w:pPr>
              <w:spacing w:after="40" w:before="40" w:line="264" w:lineRule="auto"/>
              <w:jc w:val="left"/>
            </w:pPr>
            <w:r/>
            <w:r>
              <w:rPr>
                <w:rFonts w:ascii="Cambria" w:hAnsi="Cambria" w:eastAsia="Cambria"/>
                <w:b w:val="0"/>
                <w:i w:val="0"/>
                <w:color w:val="000000"/>
                <w:sz w:val="18"/>
              </w:rPr>
              <w:t>Equipment handling &amp; student support</w:t>
            </w:r>
          </w:p>
        </w:tc>
      </w:tr>
      <w:tr>
        <w:tc>
          <w:tcPr>
            <w:tcW w:type="dxa" w:w="3118"/>
            <w:shd w:val="clear" w:color="auto" w:fill="E8ECF2"/>
            <w:tcW w:w="3118" w:type="dxa"/>
          </w:tcPr>
          <w:p>
            <w:pPr>
              <w:spacing w:after="40" w:before="40" w:line="264" w:lineRule="auto"/>
              <w:jc w:val="left"/>
            </w:pPr>
            <w:r/>
            <w:r>
              <w:rPr>
                <w:rFonts w:ascii="Cambria" w:hAnsi="Cambria" w:eastAsia="Cambria"/>
                <w:b w:val="0"/>
                <w:i w:val="0"/>
                <w:color w:val="000000"/>
                <w:sz w:val="18"/>
              </w:rPr>
              <w:t>Administration</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8"/>
              </w:rPr>
              <w:t>1</w:t>
            </w:r>
          </w:p>
        </w:tc>
        <w:tc>
          <w:tcPr>
            <w:tcW w:type="dxa" w:w="3685"/>
            <w:shd w:val="clear" w:color="auto" w:fill="E8ECF2"/>
            <w:tcW w:w="3685" w:type="dxa"/>
          </w:tcPr>
          <w:p>
            <w:pPr>
              <w:spacing w:after="40" w:before="40" w:line="264" w:lineRule="auto"/>
              <w:jc w:val="left"/>
            </w:pPr>
            <w:r/>
            <w:r>
              <w:rPr>
                <w:rFonts w:ascii="Cambria" w:hAnsi="Cambria" w:eastAsia="Cambria"/>
                <w:b w:val="0"/>
                <w:i w:val="0"/>
                <w:color w:val="000000"/>
                <w:sz w:val="18"/>
              </w:rPr>
              <w:t>Documentation &amp; office support</w:t>
            </w:r>
          </w:p>
        </w:tc>
      </w:tr>
      <w:tr>
        <w:tc>
          <w:tcPr>
            <w:tcW w:type="dxa" w:w="3118"/>
            <w:shd w:val="clear" w:color="auto" w:fill="FFFFFF"/>
            <w:tcW w:w="3118" w:type="dxa"/>
          </w:tcPr>
          <w:p>
            <w:pPr>
              <w:spacing w:after="40" w:before="40" w:line="264" w:lineRule="auto"/>
              <w:jc w:val="left"/>
            </w:pPr>
            <w:r/>
            <w:r>
              <w:rPr>
                <w:rFonts w:ascii="Cambria" w:hAnsi="Cambria" w:eastAsia="Cambria"/>
                <w:b w:val="0"/>
                <w:i w:val="0"/>
                <w:color w:val="000000"/>
                <w:sz w:val="18"/>
              </w:rPr>
              <w:t>AI Lab</w:t>
            </w:r>
          </w:p>
        </w:tc>
        <w:tc>
          <w:tcPr>
            <w:tcW w:type="dxa" w:w="1417"/>
            <w:shd w:val="clear" w:color="auto" w:fill="FFFFFF"/>
            <w:tcW w:w="1417" w:type="dxa"/>
          </w:tcPr>
          <w:p>
            <w:pPr>
              <w:spacing w:after="40" w:before="40" w:line="264" w:lineRule="auto"/>
              <w:jc w:val="left"/>
            </w:pPr>
            <w:r/>
            <w:r>
              <w:rPr>
                <w:rFonts w:ascii="Cambria" w:hAnsi="Cambria" w:eastAsia="Cambria"/>
                <w:b w:val="0"/>
                <w:i w:val="0"/>
                <w:color w:val="000000"/>
                <w:sz w:val="18"/>
              </w:rPr>
              <w:t>1</w:t>
            </w:r>
          </w:p>
        </w:tc>
        <w:tc>
          <w:tcPr>
            <w:tcW w:type="dxa" w:w="3685"/>
            <w:shd w:val="clear" w:color="auto" w:fill="FFFFFF"/>
            <w:tcW w:w="3685" w:type="dxa"/>
          </w:tcPr>
          <w:p>
            <w:pPr>
              <w:spacing w:after="40" w:before="40" w:line="264" w:lineRule="auto"/>
              <w:jc w:val="left"/>
            </w:pPr>
            <w:r/>
            <w:r>
              <w:rPr>
                <w:rFonts w:ascii="Cambria" w:hAnsi="Cambria" w:eastAsia="Cambria"/>
                <w:b w:val="0"/>
                <w:i w:val="0"/>
                <w:color w:val="000000"/>
                <w:sz w:val="18"/>
              </w:rPr>
              <w:t>Technical assistance for AI/ML projects</w:t>
            </w:r>
          </w:p>
        </w:tc>
      </w:tr>
      <w:tr>
        <w:tc>
          <w:tcPr>
            <w:tcW w:type="dxa" w:w="3118"/>
            <w:shd w:val="clear" w:color="auto" w:fill="E8ECF2"/>
            <w:tcW w:w="3118" w:type="dxa"/>
          </w:tcPr>
          <w:p>
            <w:pPr>
              <w:spacing w:after="40" w:before="40" w:line="264" w:lineRule="auto"/>
              <w:jc w:val="left"/>
            </w:pPr>
            <w:r/>
            <w:r>
              <w:rPr>
                <w:rFonts w:ascii="Cambria" w:hAnsi="Cambria" w:eastAsia="Cambria"/>
                <w:b w:val="0"/>
                <w:i w:val="0"/>
                <w:color w:val="000000"/>
                <w:sz w:val="18"/>
              </w:rPr>
              <w:t>Maintenance</w:t>
            </w:r>
          </w:p>
        </w:tc>
        <w:tc>
          <w:tcPr>
            <w:tcW w:type="dxa" w:w="1417"/>
            <w:shd w:val="clear" w:color="auto" w:fill="E8ECF2"/>
            <w:tcW w:w="1417" w:type="dxa"/>
          </w:tcPr>
          <w:p>
            <w:pPr>
              <w:spacing w:after="40" w:before="40" w:line="264" w:lineRule="auto"/>
              <w:jc w:val="left"/>
            </w:pPr>
            <w:r/>
            <w:r>
              <w:rPr>
                <w:rFonts w:ascii="Cambria" w:hAnsi="Cambria" w:eastAsia="Cambria"/>
                <w:b w:val="0"/>
                <w:i w:val="0"/>
                <w:color w:val="000000"/>
                <w:sz w:val="18"/>
              </w:rPr>
              <w:t>1</w:t>
            </w:r>
          </w:p>
        </w:tc>
        <w:tc>
          <w:tcPr>
            <w:tcW w:type="dxa" w:w="3685"/>
            <w:shd w:val="clear" w:color="auto" w:fill="E8ECF2"/>
            <w:tcW w:w="3685" w:type="dxa"/>
          </w:tcPr>
          <w:p>
            <w:pPr>
              <w:spacing w:after="40" w:before="40" w:line="264" w:lineRule="auto"/>
              <w:jc w:val="left"/>
            </w:pPr>
            <w:r/>
            <w:r>
              <w:rPr>
                <w:rFonts w:ascii="Cambria" w:hAnsi="Cambria" w:eastAsia="Cambria"/>
                <w:b w:val="0"/>
                <w:i w:val="0"/>
                <w:color w:val="000000"/>
                <w:sz w:val="18"/>
              </w:rPr>
              <w:t>Electrical &amp; general upkeep</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Observations on Continuous Improvement and Skill Upgradation Plan:</w:t>
      </w:r>
    </w:p>
    <w:p>
      <w:pPr>
        <w:keepNext/>
        <w:spacing w:before="200" w:after="80"/>
      </w:pPr>
      <w:r>
        <w:rPr>
          <w:rFonts w:ascii="Cambria" w:hAnsi="Cambria" w:eastAsia="Cambria"/>
          <w:b/>
          <w:i w:val="0"/>
          <w:color w:val="1F3A5F"/>
          <w:sz w:val="23"/>
        </w:rPr>
        <w:t>Regular Training Participation</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Observation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Staff consistently attend at least one skill-upgradation program annually.</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Impact</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Improved technical competency in lab handling and equipment maintenance.</w:t>
            </w:r>
          </w:p>
        </w:tc>
      </w:tr>
    </w:tbl>
    <w:p>
      <w:pPr>
        <w:keepNext/>
        <w:spacing w:before="200" w:after="80"/>
      </w:pPr>
      <w:r>
        <w:rPr>
          <w:rFonts w:ascii="Cambria" w:hAnsi="Cambria" w:eastAsia="Cambria"/>
          <w:b/>
          <w:i w:val="0"/>
          <w:color w:val="1F3A5F"/>
          <w:sz w:val="23"/>
        </w:rPr>
        <w:t>Performance-Linked Growth</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Observation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Appraisals are linked to promotions and increments.</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Impact</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Encourages accountability and motivation among non-teaching staff.</w:t>
            </w:r>
          </w:p>
        </w:tc>
      </w:tr>
    </w:tbl>
    <w:p>
      <w:pPr>
        <w:keepNext/>
        <w:spacing w:before="200" w:after="80"/>
      </w:pPr>
      <w:r>
        <w:rPr>
          <w:rFonts w:ascii="Cambria" w:hAnsi="Cambria" w:eastAsia="Cambria"/>
          <w:b/>
          <w:i w:val="0"/>
          <w:color w:val="1F3A5F"/>
          <w:sz w:val="23"/>
        </w:rPr>
        <w:t>Balanced Deployment</w:t>
      </w:r>
    </w:p>
    <w:tbl>
      <w:tblPr>
        <w:tblW w:type="auto" w:w="0"/>
        <w:jc w:val="center"/>
        <w:tblLook w:firstColumn="1" w:firstRow="1" w:lastColumn="0" w:lastRow="0" w:noHBand="0" w:noVBand="1" w:val="04A0"/>
        <w:tblLayout w:type="fixed"/>
        <w:tblLayout w:type="fixed"/>
      </w:tblPr>
      <w:tblGrid>
        <w:gridCol w:w="2835"/>
        <w:gridCol w:w="6576"/>
      </w:tblGrid>
      <w:tr>
        <w:tc>
          <w:tcPr>
            <w:tcW w:type="dxa" w:w="2835"/>
            <w:shd w:val="clear" w:color="auto" w:fill="E8ECF2"/>
            <w:tcW w:w="2835" w:type="dxa"/>
          </w:tcPr>
          <w:p>
            <w:pPr>
              <w:spacing w:after="40" w:before="40" w:line="264" w:lineRule="auto"/>
              <w:jc w:val="left"/>
            </w:pPr>
            <w:r/>
            <w:r>
              <w:rPr>
                <w:rFonts w:ascii="Cambria" w:hAnsi="Cambria" w:eastAsia="Cambria"/>
                <w:b/>
                <w:i w:val="0"/>
                <w:color w:val="000000"/>
                <w:sz w:val="22"/>
              </w:rPr>
              <w:t>Observation</w:t>
            </w:r>
          </w:p>
        </w:tc>
        <w:tc>
          <w:tcPr>
            <w:tcW w:type="dxa" w:w="6576"/>
            <w:shd w:val="clear" w:color="auto" w:fill="E8ECF2"/>
            <w:tcW w:w="6576" w:type="dxa"/>
          </w:tcPr>
          <w:p>
            <w:pPr>
              <w:spacing w:after="40" w:before="40" w:line="264" w:lineRule="auto"/>
              <w:jc w:val="both"/>
            </w:pPr>
            <w:r/>
            <w:r>
              <w:rPr>
                <w:rFonts w:ascii="Cambria" w:hAnsi="Cambria" w:eastAsia="Cambria"/>
                <w:b w:val="0"/>
                <w:i w:val="0"/>
                <w:color w:val="000000"/>
                <w:sz w:val="22"/>
              </w:rPr>
              <w:t>Staff are deployed proportionately across labs and administrative functions.</w:t>
            </w:r>
          </w:p>
        </w:tc>
      </w:tr>
      <w:tr>
        <w:tc>
          <w:tcPr>
            <w:tcW w:type="dxa" w:w="2835"/>
            <w:shd w:val="clear" w:color="auto" w:fill="FFFFFF"/>
            <w:tcW w:w="2835" w:type="dxa"/>
          </w:tcPr>
          <w:p>
            <w:pPr>
              <w:spacing w:after="40" w:before="40" w:line="264" w:lineRule="auto"/>
              <w:jc w:val="left"/>
            </w:pPr>
            <w:r/>
            <w:r>
              <w:rPr>
                <w:rFonts w:ascii="Cambria" w:hAnsi="Cambria" w:eastAsia="Cambria"/>
                <w:b/>
                <w:i w:val="0"/>
                <w:color w:val="000000"/>
                <w:sz w:val="22"/>
              </w:rPr>
              <w:t>Impact</w:t>
            </w:r>
          </w:p>
        </w:tc>
        <w:tc>
          <w:tcPr>
            <w:tcW w:type="dxa" w:w="6576"/>
            <w:shd w:val="clear" w:color="auto" w:fill="FFFFFF"/>
            <w:tcW w:w="6576" w:type="dxa"/>
          </w:tcPr>
          <w:p>
            <w:pPr>
              <w:spacing w:after="40" w:before="40" w:line="264" w:lineRule="auto"/>
              <w:jc w:val="both"/>
            </w:pPr>
            <w:r/>
            <w:r>
              <w:rPr>
                <w:rFonts w:ascii="Cambria" w:hAnsi="Cambria" w:eastAsia="Cambria"/>
                <w:b w:val="0"/>
                <w:i w:val="0"/>
                <w:color w:val="000000"/>
                <w:sz w:val="22"/>
              </w:rPr>
              <w:t>Ensures smooth departmental operations without overload on any single area.</w:t>
            </w:r>
          </w:p>
        </w:tc>
      </w:tr>
    </w:tbl>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Checklist: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Verify that all appointment letters and qualification certificates are on file.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Confirm training/certification records are updated annually.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performance appraisal reports are signed and dated.</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Cross-check staff deployment against actual lab/office requirements.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Maintain </w:t>
      </w:r>
      <w:r>
        <w:rPr>
          <w:rFonts w:ascii="Cambria" w:hAnsi="Cambria" w:eastAsia="Cambria"/>
          <w:b w:val="0"/>
          <w:i/>
          <w:color w:val="000000"/>
          <w:sz w:val="22"/>
        </w:rPr>
        <w:t>confidentiality of personal staff records</w:t>
      </w:r>
      <w:r>
        <w:rPr>
          <w:rFonts w:ascii="Cambria" w:hAnsi="Cambria" w:eastAsia="Cambria"/>
          <w:b w:val="0"/>
          <w:i w:val="0"/>
          <w:color w:val="000000"/>
          <w:sz w:val="22"/>
        </w:rPr>
        <w:t xml:space="preserve"> while making them available for audit purposes.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Well-documented, qualified, and continuously trained non-teaching staff.</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Transparent appraisal and promotion mechanism.</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6 – Faculty and Support Staff Adequacy standards.</w:t>
      </w:r>
    </w:p>
    <w:p>
      <w:r>
        <w:br w:type="page"/>
      </w:r>
    </w:p>
    <w:p>
      <w:pPr>
        <w:keepNext/>
        <w:spacing w:before="240" w:after="160"/>
        <w:jc w:val="left"/>
      </w:pPr>
      <w:r>
        <w:rPr>
          <w:rFonts w:ascii="Cambria" w:hAnsi="Cambria" w:eastAsia="Cambria"/>
          <w:b/>
          <w:i w:val="0"/>
          <w:color w:val="1F3A5F"/>
          <w:sz w:val="25"/>
        </w:rPr>
        <w:t>38. P.35 Records of academic audit and corrective measures taken in the last 3 years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Purpose: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demonstrate that the department undergoes periodic academic audits to assess teaching-learning quality, curriculum delivery, and administrative efficiency.</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document the corrective and preventive actions taken based on audit findings, ensuring continuous academic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To show compliance with NBA/NAAC requirements for quality assurance through structured internal and external academic audits.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Core Documentation Requirements: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Academic Audit Reports: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Internal and external academic audit reports for the last three years.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Audit Scope: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Coverage of curriculum delivery, attendance, assessment practices, and infrastructure utilization.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Corrective Measures: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Action Taken Reports (ATRs) addressing audit observations.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Monitoring &amp; Review:</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Follow-up reviews confirming implementation of corrective actions.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Keep the Following Records: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Academic audit schedules and committee composition.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Audit observation reports (internal/IQAC and external).</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Action Taken Reports (ATRs) with timelines and responsible persons.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Minutes of meetings discussing audit findings.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Evidence of implemented corrective actions (circulars, revised SOPs, etc.).</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Summary of Academic Audits (Last 3 Years)</w:t>
      </w:r>
    </w:p>
    <w:tbl>
      <w:tblPr>
        <w:tblW w:type="auto" w:w="0"/>
        <w:jc w:val="center"/>
        <w:tblLook w:firstColumn="1" w:firstRow="1" w:lastColumn="0" w:lastRow="0" w:noHBand="0" w:noVBand="1" w:val="04A0"/>
        <w:tblLayout w:type="fixed"/>
        <w:tblLayout w:type="fixed"/>
      </w:tblPr>
      <w:tblGrid>
        <w:gridCol w:w="1361"/>
        <w:gridCol w:w="1361"/>
        <w:gridCol w:w="1361"/>
        <w:gridCol w:w="2041"/>
        <w:gridCol w:w="3288"/>
      </w:tblGrid>
      <w:tr>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7"/>
              </w:rPr>
              <w:t>Academic Year</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7"/>
              </w:rPr>
              <w:t>Type of Audit</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7"/>
              </w:rPr>
              <w:t>Audit Date</w:t>
            </w:r>
          </w:p>
        </w:tc>
        <w:tc>
          <w:tcPr>
            <w:tcW w:type="dxa" w:w="2041"/>
            <w:tcBorders>
              <w:top w:val="single" w:sz="4" w:space="0" w:color="BFBFBF"/>
              <w:left w:val="single" w:sz="4" w:space="0" w:color="BFBFBF"/>
              <w:bottom w:val="single" w:sz="4" w:space="0" w:color="BFBFBF"/>
              <w:right w:val="single" w:sz="4" w:space="0" w:color="BFBFBF"/>
            </w:tcBorders>
            <w:tcW w:w="2041" w:type="dxa"/>
            <w:shd w:val="clear" w:color="auto" w:fill="1F3A5F"/>
            <w:tcW w:w="2041" w:type="dxa"/>
          </w:tcPr>
          <w:p>
            <w:pPr>
              <w:spacing w:after="40" w:before="40" w:line="264" w:lineRule="auto"/>
              <w:jc w:val="center"/>
            </w:pPr>
            <w:r/>
            <w:r>
              <w:rPr>
                <w:rFonts w:ascii="Cambria" w:hAnsi="Cambria" w:eastAsia="Cambria"/>
                <w:b/>
                <w:i w:val="0"/>
                <w:color w:val="FFFFFF"/>
                <w:sz w:val="17"/>
              </w:rPr>
              <w:t>Audited By</w:t>
            </w:r>
          </w:p>
        </w:tc>
        <w:tc>
          <w:tcPr>
            <w:tcW w:type="dxa" w:w="3288"/>
            <w:tcBorders>
              <w:top w:val="single" w:sz="4" w:space="0" w:color="BFBFBF"/>
              <w:left w:val="single" w:sz="4" w:space="0" w:color="BFBFBF"/>
              <w:bottom w:val="single" w:sz="4" w:space="0" w:color="BFBFBF"/>
              <w:right w:val="single" w:sz="4" w:space="0" w:color="BFBFBF"/>
            </w:tcBorders>
            <w:tcW w:w="3288" w:type="dxa"/>
            <w:shd w:val="clear" w:color="auto" w:fill="1F3A5F"/>
            <w:tcW w:w="3288" w:type="dxa"/>
          </w:tcPr>
          <w:p>
            <w:pPr>
              <w:spacing w:after="40" w:before="40" w:line="264" w:lineRule="auto"/>
              <w:jc w:val="center"/>
            </w:pPr>
            <w:r/>
            <w:r>
              <w:rPr>
                <w:rFonts w:ascii="Cambria" w:hAnsi="Cambria" w:eastAsia="Cambria"/>
                <w:b/>
                <w:i w:val="0"/>
                <w:color w:val="FFFFFF"/>
                <w:sz w:val="17"/>
              </w:rPr>
              <w:t>Major Area Covered</w:t>
            </w:r>
          </w:p>
        </w:tc>
      </w:tr>
      <w:tr>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2022-23</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Internal</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15-Dec-2022</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7"/>
              </w:rPr>
              <w:t>IQAC Committee</w:t>
            </w:r>
          </w:p>
        </w:tc>
        <w:tc>
          <w:tcPr>
            <w:tcW w:type="dxa" w:w="3288"/>
            <w:shd w:val="clear" w:color="auto" w:fill="E8ECF2"/>
            <w:tcW w:w="3288" w:type="dxa"/>
          </w:tcPr>
          <w:p>
            <w:pPr>
              <w:spacing w:after="40" w:before="40" w:line="264" w:lineRule="auto"/>
              <w:jc w:val="left"/>
            </w:pPr>
            <w:r/>
            <w:r>
              <w:rPr>
                <w:rFonts w:ascii="Cambria" w:hAnsi="Cambria" w:eastAsia="Cambria"/>
                <w:b w:val="0"/>
                <w:i w:val="0"/>
                <w:color w:val="000000"/>
                <w:sz w:val="17"/>
              </w:rPr>
              <w:t>Curriculum delivery &amp; assessment</w:t>
            </w:r>
          </w:p>
        </w:tc>
      </w:tr>
      <w:tr>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7"/>
              </w:rPr>
              <w:t>2023-24</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7"/>
              </w:rPr>
              <w:t>External</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7"/>
              </w:rPr>
              <w:t>20-Jan-2024</w:t>
            </w:r>
          </w:p>
        </w:tc>
        <w:tc>
          <w:tcPr>
            <w:tcW w:type="dxa" w:w="2041"/>
            <w:shd w:val="clear" w:color="auto" w:fill="FFFFFF"/>
            <w:tcW w:w="2041" w:type="dxa"/>
          </w:tcPr>
          <w:p>
            <w:pPr>
              <w:spacing w:after="40" w:before="40" w:line="264" w:lineRule="auto"/>
              <w:jc w:val="left"/>
            </w:pPr>
            <w:r/>
            <w:r>
              <w:rPr>
                <w:rFonts w:ascii="Cambria" w:hAnsi="Cambria" w:eastAsia="Cambria"/>
                <w:b w:val="0"/>
                <w:i w:val="0"/>
                <w:color w:val="000000"/>
                <w:sz w:val="17"/>
              </w:rPr>
              <w:t>External Academic Auditor</w:t>
            </w:r>
          </w:p>
        </w:tc>
        <w:tc>
          <w:tcPr>
            <w:tcW w:type="dxa" w:w="3288"/>
            <w:shd w:val="clear" w:color="auto" w:fill="FFFFFF"/>
            <w:tcW w:w="3288" w:type="dxa"/>
          </w:tcPr>
          <w:p>
            <w:pPr>
              <w:spacing w:after="40" w:before="40" w:line="264" w:lineRule="auto"/>
              <w:jc w:val="left"/>
            </w:pPr>
            <w:r/>
            <w:r>
              <w:rPr>
                <w:rFonts w:ascii="Cambria" w:hAnsi="Cambria" w:eastAsia="Cambria"/>
                <w:b w:val="0"/>
                <w:i w:val="0"/>
                <w:color w:val="000000"/>
                <w:sz w:val="17"/>
              </w:rPr>
              <w:t>Infrastructure &amp; learning outcomes</w:t>
            </w:r>
          </w:p>
        </w:tc>
      </w:tr>
      <w:tr>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2024-25</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Internal</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7"/>
              </w:rPr>
              <w:t>18-Dec-2024</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7"/>
              </w:rPr>
              <w:t>IQAC Committee</w:t>
            </w:r>
          </w:p>
        </w:tc>
        <w:tc>
          <w:tcPr>
            <w:tcW w:type="dxa" w:w="3288"/>
            <w:shd w:val="clear" w:color="auto" w:fill="E8ECF2"/>
            <w:tcW w:w="3288" w:type="dxa"/>
          </w:tcPr>
          <w:p>
            <w:pPr>
              <w:spacing w:after="40" w:before="40" w:line="264" w:lineRule="auto"/>
              <w:jc w:val="left"/>
            </w:pPr>
            <w:r/>
            <w:r>
              <w:rPr>
                <w:rFonts w:ascii="Cambria" w:hAnsi="Cambria" w:eastAsia="Cambria"/>
                <w:b w:val="0"/>
                <w:i w:val="0"/>
                <w:color w:val="000000"/>
                <w:sz w:val="17"/>
              </w:rPr>
              <w:t>Attendance &amp; examination process</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Key Findings and Recommendations (Audit Observations)</w:t>
      </w:r>
    </w:p>
    <w:tbl>
      <w:tblPr>
        <w:tblW w:type="auto" w:w="0"/>
        <w:jc w:val="center"/>
        <w:tblLook w:firstColumn="1" w:firstRow="1" w:lastColumn="0" w:lastRow="0" w:noHBand="0" w:noVBand="1" w:val="04A0"/>
        <w:tblLayout w:type="fixed"/>
        <w:tblLayout w:type="fixed"/>
      </w:tblPr>
      <w:tblGrid>
        <w:gridCol w:w="680"/>
        <w:gridCol w:w="4252"/>
        <w:gridCol w:w="4479"/>
      </w:tblGrid>
      <w:tr>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7"/>
              </w:rPr>
              <w:t>S.No.</w:t>
            </w:r>
          </w:p>
        </w:tc>
        <w:tc>
          <w:tcPr>
            <w:tcW w:type="dxa" w:w="4252"/>
            <w:tcBorders>
              <w:top w:val="single" w:sz="4" w:space="0" w:color="BFBFBF"/>
              <w:left w:val="single" w:sz="4" w:space="0" w:color="BFBFBF"/>
              <w:bottom w:val="single" w:sz="4" w:space="0" w:color="BFBFBF"/>
              <w:right w:val="single" w:sz="4" w:space="0" w:color="BFBFBF"/>
            </w:tcBorders>
            <w:tcW w:w="4252" w:type="dxa"/>
            <w:shd w:val="clear" w:color="auto" w:fill="1F3A5F"/>
            <w:tcW w:w="4252" w:type="dxa"/>
          </w:tcPr>
          <w:p>
            <w:pPr>
              <w:spacing w:after="40" w:before="40" w:line="264" w:lineRule="auto"/>
              <w:jc w:val="center"/>
            </w:pPr>
            <w:r/>
            <w:r>
              <w:rPr>
                <w:rFonts w:ascii="Cambria" w:hAnsi="Cambria" w:eastAsia="Cambria"/>
                <w:b/>
                <w:i w:val="0"/>
                <w:color w:val="FFFFFF"/>
                <w:sz w:val="17"/>
              </w:rPr>
              <w:t>Observation</w:t>
            </w:r>
          </w:p>
        </w:tc>
        <w:tc>
          <w:tcPr>
            <w:tcW w:type="dxa" w:w="4479"/>
            <w:tcBorders>
              <w:top w:val="single" w:sz="4" w:space="0" w:color="BFBFBF"/>
              <w:left w:val="single" w:sz="4" w:space="0" w:color="BFBFBF"/>
              <w:bottom w:val="single" w:sz="4" w:space="0" w:color="BFBFBF"/>
              <w:right w:val="single" w:sz="4" w:space="0" w:color="BFBFBF"/>
            </w:tcBorders>
            <w:tcW w:w="4479" w:type="dxa"/>
            <w:shd w:val="clear" w:color="auto" w:fill="1F3A5F"/>
            <w:tcW w:w="4479" w:type="dxa"/>
          </w:tcPr>
          <w:p>
            <w:pPr>
              <w:spacing w:after="40" w:before="40" w:line="264" w:lineRule="auto"/>
              <w:jc w:val="center"/>
            </w:pPr>
            <w:r/>
            <w:r>
              <w:rPr>
                <w:rFonts w:ascii="Cambria" w:hAnsi="Cambria" w:eastAsia="Cambria"/>
                <w:b/>
                <w:i w:val="0"/>
                <w:color w:val="FFFFFF"/>
                <w:sz w:val="17"/>
              </w:rPr>
              <w:t>Recommendation</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1</w:t>
            </w:r>
          </w:p>
        </w:tc>
        <w:tc>
          <w:tcPr>
            <w:tcW w:type="dxa" w:w="4252"/>
            <w:shd w:val="clear" w:color="auto" w:fill="E8ECF2"/>
            <w:tcW w:w="4252" w:type="dxa"/>
          </w:tcPr>
          <w:p>
            <w:pPr>
              <w:spacing w:after="40" w:before="40" w:line="264" w:lineRule="auto"/>
              <w:jc w:val="left"/>
            </w:pPr>
            <w:r/>
            <w:r>
              <w:rPr>
                <w:rFonts w:ascii="Cambria" w:hAnsi="Cambria" w:eastAsia="Cambria"/>
                <w:b w:val="0"/>
                <w:i w:val="0"/>
                <w:color w:val="000000"/>
                <w:sz w:val="17"/>
              </w:rPr>
              <w:t>Delay in internal assessment marks entry</w:t>
            </w:r>
          </w:p>
        </w:tc>
        <w:tc>
          <w:tcPr>
            <w:tcW w:type="dxa" w:w="4479"/>
            <w:shd w:val="clear" w:color="auto" w:fill="E8ECF2"/>
            <w:tcW w:w="4479" w:type="dxa"/>
          </w:tcPr>
          <w:p>
            <w:pPr>
              <w:spacing w:after="40" w:before="40" w:line="264" w:lineRule="auto"/>
              <w:jc w:val="left"/>
            </w:pPr>
            <w:r/>
            <w:r>
              <w:rPr>
                <w:rFonts w:ascii="Cambria" w:hAnsi="Cambria" w:eastAsia="Cambria"/>
                <w:b w:val="0"/>
                <w:i w:val="0"/>
                <w:color w:val="000000"/>
                <w:sz w:val="17"/>
              </w:rPr>
              <w:t>Implement online marks entry portal</w:t>
            </w:r>
          </w:p>
        </w:tc>
      </w:tr>
      <w:tr>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7"/>
              </w:rPr>
              <w:t>2</w:t>
            </w:r>
          </w:p>
        </w:tc>
        <w:tc>
          <w:tcPr>
            <w:tcW w:type="dxa" w:w="4252"/>
            <w:shd w:val="clear" w:color="auto" w:fill="FFFFFF"/>
            <w:tcW w:w="4252" w:type="dxa"/>
          </w:tcPr>
          <w:p>
            <w:pPr>
              <w:spacing w:after="40" w:before="40" w:line="264" w:lineRule="auto"/>
              <w:jc w:val="left"/>
            </w:pPr>
            <w:r/>
            <w:r>
              <w:rPr>
                <w:rFonts w:ascii="Cambria" w:hAnsi="Cambria" w:eastAsia="Cambria"/>
                <w:b w:val="0"/>
                <w:i w:val="0"/>
                <w:color w:val="000000"/>
                <w:sz w:val="17"/>
              </w:rPr>
              <w:t>Inconsistent lab record maintenance</w:t>
            </w:r>
          </w:p>
        </w:tc>
        <w:tc>
          <w:tcPr>
            <w:tcW w:type="dxa" w:w="4479"/>
            <w:shd w:val="clear" w:color="auto" w:fill="FFFFFF"/>
            <w:tcW w:w="4479" w:type="dxa"/>
          </w:tcPr>
          <w:p>
            <w:pPr>
              <w:spacing w:after="40" w:before="40" w:line="264" w:lineRule="auto"/>
              <w:jc w:val="left"/>
            </w:pPr>
            <w:r/>
            <w:r>
              <w:rPr>
                <w:rFonts w:ascii="Cambria" w:hAnsi="Cambria" w:eastAsia="Cambria"/>
                <w:b w:val="0"/>
                <w:i w:val="0"/>
                <w:color w:val="000000"/>
                <w:sz w:val="17"/>
              </w:rPr>
              <w:t>Standardize lab record format across labs</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3</w:t>
            </w:r>
          </w:p>
        </w:tc>
        <w:tc>
          <w:tcPr>
            <w:tcW w:type="dxa" w:w="4252"/>
            <w:shd w:val="clear" w:color="auto" w:fill="E8ECF2"/>
            <w:tcW w:w="4252" w:type="dxa"/>
          </w:tcPr>
          <w:p>
            <w:pPr>
              <w:spacing w:after="40" w:before="40" w:line="264" w:lineRule="auto"/>
              <w:jc w:val="left"/>
            </w:pPr>
            <w:r/>
            <w:r>
              <w:rPr>
                <w:rFonts w:ascii="Cambria" w:hAnsi="Cambria" w:eastAsia="Cambria"/>
                <w:b w:val="0"/>
                <w:i w:val="0"/>
                <w:color w:val="000000"/>
                <w:sz w:val="17"/>
              </w:rPr>
              <w:t>Low attendance in elective courses</w:t>
            </w:r>
          </w:p>
        </w:tc>
        <w:tc>
          <w:tcPr>
            <w:tcW w:type="dxa" w:w="4479"/>
            <w:shd w:val="clear" w:color="auto" w:fill="E8ECF2"/>
            <w:tcW w:w="4479" w:type="dxa"/>
          </w:tcPr>
          <w:p>
            <w:pPr>
              <w:spacing w:after="40" w:before="40" w:line="264" w:lineRule="auto"/>
              <w:jc w:val="left"/>
            </w:pPr>
            <w:r/>
            <w:r>
              <w:rPr>
                <w:rFonts w:ascii="Cambria" w:hAnsi="Cambria" w:eastAsia="Cambria"/>
                <w:b w:val="0"/>
                <w:i w:val="0"/>
                <w:color w:val="000000"/>
                <w:sz w:val="17"/>
              </w:rPr>
              <w:t>Introduce mentoring and attendance monitoring</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Corrective Actions Taken (Action Taken Report – ATR)</w:t>
      </w:r>
    </w:p>
    <w:tbl>
      <w:tblPr>
        <w:tblW w:type="auto" w:w="0"/>
        <w:jc w:val="center"/>
        <w:tblLook w:firstColumn="1" w:firstRow="1" w:lastColumn="0" w:lastRow="0" w:noHBand="0" w:noVBand="1" w:val="04A0"/>
        <w:tblLayout w:type="fixed"/>
        <w:tblLayout w:type="fixed"/>
      </w:tblPr>
      <w:tblGrid>
        <w:gridCol w:w="567"/>
        <w:gridCol w:w="1928"/>
        <w:gridCol w:w="2494"/>
        <w:gridCol w:w="1928"/>
        <w:gridCol w:w="794"/>
      </w:tblGrid>
      <w:tr>
        <w:tc>
          <w:tcPr>
            <w:tcW w:type="dxa" w:w="567"/>
            <w:tcBorders>
              <w:top w:val="single" w:sz="4" w:space="0" w:color="BFBFBF"/>
              <w:left w:val="single" w:sz="4" w:space="0" w:color="BFBFBF"/>
              <w:bottom w:val="single" w:sz="4" w:space="0" w:color="BFBFBF"/>
              <w:right w:val="single" w:sz="4" w:space="0" w:color="BFBFBF"/>
            </w:tcBorders>
            <w:tcW w:w="567" w:type="dxa"/>
            <w:shd w:val="clear" w:color="auto" w:fill="1F3A5F"/>
            <w:tcW w:w="567" w:type="dxa"/>
          </w:tcPr>
          <w:p>
            <w:pPr>
              <w:spacing w:after="40" w:before="40" w:line="264" w:lineRule="auto"/>
              <w:jc w:val="center"/>
            </w:pPr>
            <w:r/>
            <w:r>
              <w:rPr>
                <w:rFonts w:ascii="Cambria" w:hAnsi="Cambria" w:eastAsia="Cambria"/>
                <w:b/>
                <w:i w:val="0"/>
                <w:color w:val="FFFFFF"/>
                <w:sz w:val="15"/>
              </w:rPr>
              <w:t>S.No.</w:t>
            </w:r>
          </w:p>
        </w:tc>
        <w:tc>
          <w:tcPr>
            <w:tcW w:type="dxa" w:w="1928"/>
            <w:tcBorders>
              <w:top w:val="single" w:sz="4" w:space="0" w:color="BFBFBF"/>
              <w:left w:val="single" w:sz="4" w:space="0" w:color="BFBFBF"/>
              <w:bottom w:val="single" w:sz="4" w:space="0" w:color="BFBFBF"/>
              <w:right w:val="single" w:sz="4" w:space="0" w:color="BFBFBF"/>
            </w:tcBorders>
            <w:tcW w:w="1928" w:type="dxa"/>
            <w:shd w:val="clear" w:color="auto" w:fill="1F3A5F"/>
            <w:tcW w:w="1928" w:type="dxa"/>
          </w:tcPr>
          <w:p>
            <w:pPr>
              <w:spacing w:after="40" w:before="40" w:line="264" w:lineRule="auto"/>
              <w:jc w:val="center"/>
            </w:pPr>
            <w:r/>
            <w:r>
              <w:rPr>
                <w:rFonts w:ascii="Cambria" w:hAnsi="Cambria" w:eastAsia="Cambria"/>
                <w:b/>
                <w:i w:val="0"/>
                <w:color w:val="FFFFFF"/>
                <w:sz w:val="15"/>
              </w:rPr>
              <w:t>Issue Identified</w:t>
            </w:r>
          </w:p>
        </w:tc>
        <w:tc>
          <w:tcPr>
            <w:tcW w:type="dxa" w:w="2494"/>
            <w:tcBorders>
              <w:top w:val="single" w:sz="4" w:space="0" w:color="BFBFBF"/>
              <w:left w:val="single" w:sz="4" w:space="0" w:color="BFBFBF"/>
              <w:bottom w:val="single" w:sz="4" w:space="0" w:color="BFBFBF"/>
              <w:right w:val="single" w:sz="4" w:space="0" w:color="BFBFBF"/>
            </w:tcBorders>
            <w:tcW w:w="2494" w:type="dxa"/>
            <w:shd w:val="clear" w:color="auto" w:fill="1F3A5F"/>
            <w:tcW w:w="2494" w:type="dxa"/>
          </w:tcPr>
          <w:p>
            <w:pPr>
              <w:spacing w:after="40" w:before="40" w:line="264" w:lineRule="auto"/>
              <w:jc w:val="center"/>
            </w:pPr>
            <w:r/>
            <w:r>
              <w:rPr>
                <w:rFonts w:ascii="Cambria" w:hAnsi="Cambria" w:eastAsia="Cambria"/>
                <w:b/>
                <w:i w:val="0"/>
                <w:color w:val="FFFFFF"/>
                <w:sz w:val="15"/>
              </w:rPr>
              <w:t>Corrective Action</w:t>
            </w:r>
          </w:p>
        </w:tc>
        <w:tc>
          <w:tcPr>
            <w:tcW w:type="dxa" w:w="1928"/>
            <w:tcBorders>
              <w:top w:val="single" w:sz="4" w:space="0" w:color="BFBFBF"/>
              <w:left w:val="single" w:sz="4" w:space="0" w:color="BFBFBF"/>
              <w:bottom w:val="single" w:sz="4" w:space="0" w:color="BFBFBF"/>
              <w:right w:val="single" w:sz="4" w:space="0" w:color="BFBFBF"/>
            </w:tcBorders>
            <w:tcW w:w="1928" w:type="dxa"/>
            <w:shd w:val="clear" w:color="auto" w:fill="1F3A5F"/>
            <w:tcW w:w="1928" w:type="dxa"/>
          </w:tcPr>
          <w:p>
            <w:pPr>
              <w:spacing w:after="40" w:before="40" w:line="264" w:lineRule="auto"/>
              <w:jc w:val="center"/>
            </w:pPr>
            <w:r/>
            <w:r>
              <w:rPr>
                <w:rFonts w:ascii="Cambria" w:hAnsi="Cambria" w:eastAsia="Cambria"/>
                <w:b/>
                <w:i w:val="0"/>
                <w:color w:val="FFFFFF"/>
                <w:sz w:val="15"/>
              </w:rPr>
              <w:t>Responsible Person</w:t>
            </w:r>
          </w:p>
        </w:tc>
        <w:tc>
          <w:tcPr>
            <w:tcW w:type="dxa" w:w="794"/>
            <w:tcBorders>
              <w:top w:val="single" w:sz="4" w:space="0" w:color="BFBFBF"/>
              <w:left w:val="single" w:sz="4" w:space="0" w:color="BFBFBF"/>
              <w:bottom w:val="single" w:sz="4" w:space="0" w:color="BFBFBF"/>
              <w:right w:val="single" w:sz="4" w:space="0" w:color="BFBFBF"/>
            </w:tcBorders>
            <w:tcW w:w="794" w:type="dxa"/>
            <w:shd w:val="clear" w:color="auto" w:fill="1F3A5F"/>
            <w:tcW w:w="794" w:type="dxa"/>
          </w:tcPr>
          <w:p>
            <w:pPr>
              <w:spacing w:after="40" w:before="40" w:line="264" w:lineRule="auto"/>
              <w:jc w:val="center"/>
            </w:pPr>
            <w:r/>
            <w:r>
              <w:rPr>
                <w:rFonts w:ascii="Cambria" w:hAnsi="Cambria" w:eastAsia="Cambria"/>
                <w:b/>
                <w:i w:val="0"/>
                <w:color w:val="FFFFFF"/>
                <w:sz w:val="15"/>
              </w:rPr>
              <w:t>Status</w:t>
            </w:r>
          </w:p>
        </w:tc>
      </w:tr>
      <w:tr>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5"/>
              </w:rPr>
              <w:t>1</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5"/>
              </w:rPr>
              <w:t>Delay in marks entry</w:t>
            </w:r>
          </w:p>
        </w:tc>
        <w:tc>
          <w:tcPr>
            <w:tcW w:type="dxa" w:w="2494"/>
            <w:shd w:val="clear" w:color="auto" w:fill="E8ECF2"/>
            <w:tcW w:w="2494" w:type="dxa"/>
          </w:tcPr>
          <w:p>
            <w:pPr>
              <w:spacing w:after="40" w:before="40" w:line="264" w:lineRule="auto"/>
              <w:jc w:val="left"/>
            </w:pPr>
            <w:r/>
            <w:r>
              <w:rPr>
                <w:rFonts w:ascii="Cambria" w:hAnsi="Cambria" w:eastAsia="Cambria"/>
                <w:b w:val="0"/>
                <w:i w:val="0"/>
                <w:color w:val="000000"/>
                <w:sz w:val="15"/>
              </w:rPr>
              <w:t>Online marks entry portal implemented</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5"/>
              </w:rPr>
              <w:t>Exam Coordinator</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Completed</w:t>
            </w:r>
          </w:p>
        </w:tc>
      </w:tr>
      <w:tr>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5"/>
              </w:rPr>
              <w:t>2</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5"/>
              </w:rPr>
              <w:t>Lab record inconsistency</w:t>
            </w:r>
          </w:p>
        </w:tc>
        <w:tc>
          <w:tcPr>
            <w:tcW w:type="dxa" w:w="2494"/>
            <w:shd w:val="clear" w:color="auto" w:fill="FFFFFF"/>
            <w:tcW w:w="2494" w:type="dxa"/>
          </w:tcPr>
          <w:p>
            <w:pPr>
              <w:spacing w:after="40" w:before="40" w:line="264" w:lineRule="auto"/>
              <w:jc w:val="left"/>
            </w:pPr>
            <w:r/>
            <w:r>
              <w:rPr>
                <w:rFonts w:ascii="Cambria" w:hAnsi="Cambria" w:eastAsia="Cambria"/>
                <w:b w:val="0"/>
                <w:i w:val="0"/>
                <w:color w:val="000000"/>
                <w:sz w:val="15"/>
              </w:rPr>
              <w:t>Standard format circulated to all labs</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5"/>
              </w:rPr>
              <w:t>Lab In-charges</w:t>
            </w:r>
          </w:p>
        </w:tc>
        <w:tc>
          <w:tcPr>
            <w:tcW w:type="dxa" w:w="794"/>
            <w:shd w:val="clear" w:color="auto" w:fill="FFFFFF"/>
            <w:tcW w:w="794" w:type="dxa"/>
          </w:tcPr>
          <w:p>
            <w:pPr>
              <w:spacing w:after="40" w:before="40" w:line="264" w:lineRule="auto"/>
              <w:jc w:val="left"/>
            </w:pPr>
            <w:r/>
            <w:r>
              <w:rPr>
                <w:rFonts w:ascii="Cambria" w:hAnsi="Cambria" w:eastAsia="Cambria"/>
                <w:b w:val="0"/>
                <w:i w:val="0"/>
                <w:color w:val="000000"/>
                <w:sz w:val="15"/>
              </w:rPr>
              <w:t>Completed</w:t>
            </w:r>
          </w:p>
        </w:tc>
      </w:tr>
      <w:tr>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5"/>
              </w:rPr>
              <w:t>3</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5"/>
              </w:rPr>
              <w:t>Low elective attendance</w:t>
            </w:r>
          </w:p>
        </w:tc>
        <w:tc>
          <w:tcPr>
            <w:tcW w:type="dxa" w:w="2494"/>
            <w:shd w:val="clear" w:color="auto" w:fill="E8ECF2"/>
            <w:tcW w:w="2494" w:type="dxa"/>
          </w:tcPr>
          <w:p>
            <w:pPr>
              <w:spacing w:after="40" w:before="40" w:line="264" w:lineRule="auto"/>
              <w:jc w:val="left"/>
            </w:pPr>
            <w:r/>
            <w:r>
              <w:rPr>
                <w:rFonts w:ascii="Cambria" w:hAnsi="Cambria" w:eastAsia="Cambria"/>
                <w:b w:val="0"/>
                <w:i w:val="0"/>
                <w:color w:val="000000"/>
                <w:sz w:val="15"/>
              </w:rPr>
              <w:t>Mentoring system introduced</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5"/>
              </w:rPr>
              <w:t>Class Advisors</w:t>
            </w:r>
          </w:p>
        </w:tc>
        <w:tc>
          <w:tcPr>
            <w:tcW w:type="dxa" w:w="794"/>
            <w:shd w:val="clear" w:color="auto" w:fill="E8ECF2"/>
            <w:tcW w:w="794" w:type="dxa"/>
          </w:tcPr>
          <w:p>
            <w:pPr>
              <w:spacing w:after="40" w:before="40" w:line="264" w:lineRule="auto"/>
              <w:jc w:val="left"/>
            </w:pPr>
            <w:r/>
            <w:r>
              <w:rPr>
                <w:rFonts w:ascii="Cambria" w:hAnsi="Cambria" w:eastAsia="Cambria"/>
                <w:b w:val="0"/>
                <w:i w:val="0"/>
                <w:color w:val="000000"/>
                <w:sz w:val="15"/>
              </w:rPr>
              <w:t>Ongoing</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Audit Performance Improvement Summary</w:t>
      </w:r>
    </w:p>
    <w:tbl>
      <w:tblPr>
        <w:tblW w:type="auto" w:w="0"/>
        <w:jc w:val="center"/>
        <w:tblLook w:firstColumn="1" w:firstRow="1" w:lastColumn="0" w:lastRow="0" w:noHBand="0" w:noVBand="1" w:val="04A0"/>
        <w:tblLayout w:type="fixed"/>
        <w:tblLayout w:type="fixed"/>
      </w:tblPr>
      <w:tblGrid>
        <w:gridCol w:w="3402"/>
        <w:gridCol w:w="3005"/>
        <w:gridCol w:w="3005"/>
      </w:tblGrid>
      <w:tr>
        <w:tc>
          <w:tcPr>
            <w:tcW w:type="dxa" w:w="3402"/>
            <w:tcBorders>
              <w:top w:val="single" w:sz="4" w:space="0" w:color="BFBFBF"/>
              <w:left w:val="single" w:sz="4" w:space="0" w:color="BFBFBF"/>
              <w:bottom w:val="single" w:sz="4" w:space="0" w:color="BFBFBF"/>
              <w:right w:val="single" w:sz="4" w:space="0" w:color="BFBFBF"/>
            </w:tcBorders>
            <w:tcW w:w="3402" w:type="dxa"/>
            <w:shd w:val="clear" w:color="auto" w:fill="1F3A5F"/>
            <w:tcW w:w="3402" w:type="dxa"/>
          </w:tcPr>
          <w:p>
            <w:pPr>
              <w:spacing w:after="40" w:before="40" w:line="264" w:lineRule="auto"/>
              <w:jc w:val="center"/>
            </w:pPr>
            <w:r/>
            <w:r>
              <w:rPr>
                <w:rFonts w:ascii="Cambria" w:hAnsi="Cambria" w:eastAsia="Cambria"/>
                <w:b/>
                <w:i w:val="0"/>
                <w:color w:val="FFFFFF"/>
                <w:sz w:val="18"/>
              </w:rPr>
              <w:t>Parameter</w:t>
            </w:r>
          </w:p>
        </w:tc>
        <w:tc>
          <w:tcPr>
            <w:tcW w:type="dxa" w:w="3005"/>
            <w:tcBorders>
              <w:top w:val="single" w:sz="4" w:space="0" w:color="BFBFBF"/>
              <w:left w:val="single" w:sz="4" w:space="0" w:color="BFBFBF"/>
              <w:bottom w:val="single" w:sz="4" w:space="0" w:color="BFBFBF"/>
              <w:right w:val="single" w:sz="4" w:space="0" w:color="BFBFBF"/>
            </w:tcBorders>
            <w:tcW w:w="3005" w:type="dxa"/>
            <w:shd w:val="clear" w:color="auto" w:fill="1F3A5F"/>
            <w:tcW w:w="3005" w:type="dxa"/>
          </w:tcPr>
          <w:p>
            <w:pPr>
              <w:spacing w:after="40" w:before="40" w:line="264" w:lineRule="auto"/>
              <w:jc w:val="center"/>
            </w:pPr>
            <w:r/>
            <w:r>
              <w:rPr>
                <w:rFonts w:ascii="Cambria" w:hAnsi="Cambria" w:eastAsia="Cambria"/>
                <w:b/>
                <w:i w:val="0"/>
                <w:color w:val="FFFFFF"/>
                <w:sz w:val="18"/>
              </w:rPr>
              <w:t>Before Corrective Action</w:t>
            </w:r>
          </w:p>
        </w:tc>
        <w:tc>
          <w:tcPr>
            <w:tcW w:type="dxa" w:w="3005"/>
            <w:tcBorders>
              <w:top w:val="single" w:sz="4" w:space="0" w:color="BFBFBF"/>
              <w:left w:val="single" w:sz="4" w:space="0" w:color="BFBFBF"/>
              <w:bottom w:val="single" w:sz="4" w:space="0" w:color="BFBFBF"/>
              <w:right w:val="single" w:sz="4" w:space="0" w:color="BFBFBF"/>
            </w:tcBorders>
            <w:tcW w:w="3005" w:type="dxa"/>
            <w:shd w:val="clear" w:color="auto" w:fill="1F3A5F"/>
            <w:tcW w:w="3005" w:type="dxa"/>
          </w:tcPr>
          <w:p>
            <w:pPr>
              <w:spacing w:after="40" w:before="40" w:line="264" w:lineRule="auto"/>
              <w:jc w:val="center"/>
            </w:pPr>
            <w:r/>
            <w:r>
              <w:rPr>
                <w:rFonts w:ascii="Cambria" w:hAnsi="Cambria" w:eastAsia="Cambria"/>
                <w:b/>
                <w:i w:val="0"/>
                <w:color w:val="FFFFFF"/>
                <w:sz w:val="18"/>
              </w:rPr>
              <w:t>After Corrective Action</w:t>
            </w:r>
          </w:p>
        </w:tc>
      </w:tr>
      <w:tr>
        <w:tc>
          <w:tcPr>
            <w:tcW w:type="dxa" w:w="3402"/>
            <w:shd w:val="clear" w:color="auto" w:fill="E8ECF2"/>
            <w:tcW w:w="3402" w:type="dxa"/>
          </w:tcPr>
          <w:p>
            <w:pPr>
              <w:spacing w:after="40" w:before="40" w:line="264" w:lineRule="auto"/>
              <w:jc w:val="left"/>
            </w:pPr>
            <w:r/>
            <w:r>
              <w:rPr>
                <w:rFonts w:ascii="Cambria" w:hAnsi="Cambria" w:eastAsia="Cambria"/>
                <w:b w:val="0"/>
                <w:i w:val="0"/>
                <w:color w:val="000000"/>
                <w:sz w:val="18"/>
              </w:rPr>
              <w:t>Marks Entry Timeliness</w:t>
            </w:r>
          </w:p>
        </w:tc>
        <w:tc>
          <w:tcPr>
            <w:tcW w:type="dxa" w:w="3005"/>
            <w:shd w:val="clear" w:color="auto" w:fill="E8ECF2"/>
            <w:tcW w:w="3005" w:type="dxa"/>
          </w:tcPr>
          <w:p>
            <w:pPr>
              <w:spacing w:after="40" w:before="40" w:line="264" w:lineRule="auto"/>
              <w:jc w:val="left"/>
            </w:pPr>
            <w:r/>
            <w:r>
              <w:rPr>
                <w:rFonts w:ascii="Cambria" w:hAnsi="Cambria" w:eastAsia="Cambria"/>
                <w:b w:val="0"/>
                <w:i w:val="0"/>
                <w:color w:val="000000"/>
                <w:sz w:val="18"/>
              </w:rPr>
              <w:t>60%</w:t>
            </w:r>
          </w:p>
        </w:tc>
        <w:tc>
          <w:tcPr>
            <w:tcW w:type="dxa" w:w="3005"/>
            <w:shd w:val="clear" w:color="auto" w:fill="E8ECF2"/>
            <w:tcW w:w="3005" w:type="dxa"/>
          </w:tcPr>
          <w:p>
            <w:pPr>
              <w:spacing w:after="40" w:before="40" w:line="264" w:lineRule="auto"/>
              <w:jc w:val="left"/>
            </w:pPr>
            <w:r/>
            <w:r>
              <w:rPr>
                <w:rFonts w:ascii="Cambria" w:hAnsi="Cambria" w:eastAsia="Cambria"/>
                <w:b w:val="0"/>
                <w:i w:val="0"/>
                <w:color w:val="000000"/>
                <w:sz w:val="18"/>
              </w:rPr>
              <w:t>95%</w:t>
            </w:r>
          </w:p>
        </w:tc>
      </w:tr>
      <w:tr>
        <w:tc>
          <w:tcPr>
            <w:tcW w:type="dxa" w:w="3402"/>
            <w:shd w:val="clear" w:color="auto" w:fill="FFFFFF"/>
            <w:tcW w:w="3402" w:type="dxa"/>
          </w:tcPr>
          <w:p>
            <w:pPr>
              <w:spacing w:after="40" w:before="40" w:line="264" w:lineRule="auto"/>
              <w:jc w:val="left"/>
            </w:pPr>
            <w:r/>
            <w:r>
              <w:rPr>
                <w:rFonts w:ascii="Cambria" w:hAnsi="Cambria" w:eastAsia="Cambria"/>
                <w:b w:val="0"/>
                <w:i w:val="0"/>
                <w:color w:val="000000"/>
                <w:sz w:val="18"/>
              </w:rPr>
              <w:t>Lab Record Compliance</w:t>
            </w:r>
          </w:p>
        </w:tc>
        <w:tc>
          <w:tcPr>
            <w:tcW w:type="dxa" w:w="3005"/>
            <w:shd w:val="clear" w:color="auto" w:fill="FFFFFF"/>
            <w:tcW w:w="3005" w:type="dxa"/>
          </w:tcPr>
          <w:p>
            <w:pPr>
              <w:spacing w:after="40" w:before="40" w:line="264" w:lineRule="auto"/>
              <w:jc w:val="left"/>
            </w:pPr>
            <w:r/>
            <w:r>
              <w:rPr>
                <w:rFonts w:ascii="Cambria" w:hAnsi="Cambria" w:eastAsia="Cambria"/>
                <w:b w:val="0"/>
                <w:i w:val="0"/>
                <w:color w:val="000000"/>
                <w:sz w:val="18"/>
              </w:rPr>
              <w:t>65%</w:t>
            </w:r>
          </w:p>
        </w:tc>
        <w:tc>
          <w:tcPr>
            <w:tcW w:type="dxa" w:w="3005"/>
            <w:shd w:val="clear" w:color="auto" w:fill="FFFFFF"/>
            <w:tcW w:w="3005" w:type="dxa"/>
          </w:tcPr>
          <w:p>
            <w:pPr>
              <w:spacing w:after="40" w:before="40" w:line="264" w:lineRule="auto"/>
              <w:jc w:val="left"/>
            </w:pPr>
            <w:r/>
            <w:r>
              <w:rPr>
                <w:rFonts w:ascii="Cambria" w:hAnsi="Cambria" w:eastAsia="Cambria"/>
                <w:b w:val="0"/>
                <w:i w:val="0"/>
                <w:color w:val="000000"/>
                <w:sz w:val="18"/>
              </w:rPr>
              <w:t>90%</w:t>
            </w:r>
          </w:p>
        </w:tc>
      </w:tr>
      <w:tr>
        <w:tc>
          <w:tcPr>
            <w:tcW w:type="dxa" w:w="3402"/>
            <w:shd w:val="clear" w:color="auto" w:fill="E8ECF2"/>
            <w:tcW w:w="3402" w:type="dxa"/>
          </w:tcPr>
          <w:p>
            <w:pPr>
              <w:spacing w:after="40" w:before="40" w:line="264" w:lineRule="auto"/>
              <w:jc w:val="left"/>
            </w:pPr>
            <w:r/>
            <w:r>
              <w:rPr>
                <w:rFonts w:ascii="Cambria" w:hAnsi="Cambria" w:eastAsia="Cambria"/>
                <w:b w:val="0"/>
                <w:i w:val="0"/>
                <w:color w:val="000000"/>
                <w:sz w:val="18"/>
              </w:rPr>
              <w:t>Elective Course Attendance</w:t>
            </w:r>
          </w:p>
        </w:tc>
        <w:tc>
          <w:tcPr>
            <w:tcW w:type="dxa" w:w="3005"/>
            <w:shd w:val="clear" w:color="auto" w:fill="E8ECF2"/>
            <w:tcW w:w="3005" w:type="dxa"/>
          </w:tcPr>
          <w:p>
            <w:pPr>
              <w:spacing w:after="40" w:before="40" w:line="264" w:lineRule="auto"/>
              <w:jc w:val="left"/>
            </w:pPr>
            <w:r/>
            <w:r>
              <w:rPr>
                <w:rFonts w:ascii="Cambria" w:hAnsi="Cambria" w:eastAsia="Cambria"/>
                <w:b w:val="0"/>
                <w:i w:val="0"/>
                <w:color w:val="000000"/>
                <w:sz w:val="18"/>
              </w:rPr>
              <w:t>70%</w:t>
            </w:r>
          </w:p>
        </w:tc>
        <w:tc>
          <w:tcPr>
            <w:tcW w:type="dxa" w:w="3005"/>
            <w:shd w:val="clear" w:color="auto" w:fill="E8ECF2"/>
            <w:tcW w:w="3005" w:type="dxa"/>
          </w:tcPr>
          <w:p>
            <w:pPr>
              <w:spacing w:after="40" w:before="40" w:line="264" w:lineRule="auto"/>
              <w:jc w:val="left"/>
            </w:pPr>
            <w:r/>
            <w:r>
              <w:rPr>
                <w:rFonts w:ascii="Cambria" w:hAnsi="Cambria" w:eastAsia="Cambria"/>
                <w:b w:val="0"/>
                <w:i w:val="0"/>
                <w:color w:val="000000"/>
                <w:sz w:val="18"/>
              </w:rPr>
              <w:t>85%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IQAC Review and Follow-Up Actions</w:t>
      </w:r>
    </w:p>
    <w:tbl>
      <w:tblPr>
        <w:tblW w:type="auto" w:w="0"/>
        <w:jc w:val="center"/>
        <w:tblLook w:firstColumn="1" w:firstRow="1" w:lastColumn="0" w:lastRow="0" w:noHBand="0" w:noVBand="1" w:val="04A0"/>
        <w:tblLayout w:type="fixed"/>
        <w:tblLayout w:type="fixed"/>
      </w:tblPr>
      <w:tblGrid>
        <w:gridCol w:w="567"/>
        <w:gridCol w:w="1474"/>
        <w:gridCol w:w="2494"/>
        <w:gridCol w:w="2381"/>
        <w:gridCol w:w="1361"/>
      </w:tblGrid>
      <w:tr>
        <w:tc>
          <w:tcPr>
            <w:tcW w:type="dxa" w:w="567"/>
            <w:tcBorders>
              <w:top w:val="single" w:sz="4" w:space="0" w:color="BFBFBF"/>
              <w:left w:val="single" w:sz="4" w:space="0" w:color="BFBFBF"/>
              <w:bottom w:val="single" w:sz="4" w:space="0" w:color="BFBFBF"/>
              <w:right w:val="single" w:sz="4" w:space="0" w:color="BFBFBF"/>
            </w:tcBorders>
            <w:tcW w:w="567" w:type="dxa"/>
            <w:shd w:val="clear" w:color="auto" w:fill="1F3A5F"/>
            <w:tcW w:w="567" w:type="dxa"/>
          </w:tcPr>
          <w:p>
            <w:pPr>
              <w:spacing w:after="40" w:before="40" w:line="264" w:lineRule="auto"/>
              <w:jc w:val="center"/>
            </w:pPr>
            <w:r/>
            <w:r>
              <w:rPr>
                <w:rFonts w:ascii="Cambria" w:hAnsi="Cambria" w:eastAsia="Cambria"/>
                <w:b/>
                <w:i w:val="0"/>
                <w:color w:val="FFFFFF"/>
                <w:sz w:val="15"/>
              </w:rPr>
              <w:t>S.No.</w:t>
            </w:r>
          </w:p>
        </w:tc>
        <w:tc>
          <w:tcPr>
            <w:tcW w:type="dxa" w:w="1474"/>
            <w:tcBorders>
              <w:top w:val="single" w:sz="4" w:space="0" w:color="BFBFBF"/>
              <w:left w:val="single" w:sz="4" w:space="0" w:color="BFBFBF"/>
              <w:bottom w:val="single" w:sz="4" w:space="0" w:color="BFBFBF"/>
              <w:right w:val="single" w:sz="4" w:space="0" w:color="BFBFBF"/>
            </w:tcBorders>
            <w:tcW w:w="1474" w:type="dxa"/>
            <w:shd w:val="clear" w:color="auto" w:fill="1F3A5F"/>
            <w:tcW w:w="1474" w:type="dxa"/>
          </w:tcPr>
          <w:p>
            <w:pPr>
              <w:spacing w:after="40" w:before="40" w:line="264" w:lineRule="auto"/>
              <w:jc w:val="center"/>
            </w:pPr>
            <w:r/>
            <w:r>
              <w:rPr>
                <w:rFonts w:ascii="Cambria" w:hAnsi="Cambria" w:eastAsia="Cambria"/>
                <w:b/>
                <w:i w:val="0"/>
                <w:color w:val="FFFFFF"/>
                <w:sz w:val="15"/>
              </w:rPr>
              <w:t>Review Date</w:t>
            </w:r>
          </w:p>
        </w:tc>
        <w:tc>
          <w:tcPr>
            <w:tcW w:type="dxa" w:w="2494"/>
            <w:tcBorders>
              <w:top w:val="single" w:sz="4" w:space="0" w:color="BFBFBF"/>
              <w:left w:val="single" w:sz="4" w:space="0" w:color="BFBFBF"/>
              <w:bottom w:val="single" w:sz="4" w:space="0" w:color="BFBFBF"/>
              <w:right w:val="single" w:sz="4" w:space="0" w:color="BFBFBF"/>
            </w:tcBorders>
            <w:tcW w:w="2494" w:type="dxa"/>
            <w:shd w:val="clear" w:color="auto" w:fill="1F3A5F"/>
            <w:tcW w:w="2494" w:type="dxa"/>
          </w:tcPr>
          <w:p>
            <w:pPr>
              <w:spacing w:after="40" w:before="40" w:line="264" w:lineRule="auto"/>
              <w:jc w:val="center"/>
            </w:pPr>
            <w:r/>
            <w:r>
              <w:rPr>
                <w:rFonts w:ascii="Cambria" w:hAnsi="Cambria" w:eastAsia="Cambria"/>
                <w:b/>
                <w:i w:val="0"/>
                <w:color w:val="FFFFFF"/>
                <w:sz w:val="15"/>
              </w:rPr>
              <w:t>Observation Reviewed</w:t>
            </w:r>
          </w:p>
        </w:tc>
        <w:tc>
          <w:tcPr>
            <w:tcW w:type="dxa" w:w="2381"/>
            <w:tcBorders>
              <w:top w:val="single" w:sz="4" w:space="0" w:color="BFBFBF"/>
              <w:left w:val="single" w:sz="4" w:space="0" w:color="BFBFBF"/>
              <w:bottom w:val="single" w:sz="4" w:space="0" w:color="BFBFBF"/>
              <w:right w:val="single" w:sz="4" w:space="0" w:color="BFBFBF"/>
            </w:tcBorders>
            <w:tcW w:w="2381" w:type="dxa"/>
            <w:shd w:val="clear" w:color="auto" w:fill="1F3A5F"/>
            <w:tcW w:w="2381" w:type="dxa"/>
          </w:tcPr>
          <w:p>
            <w:pPr>
              <w:spacing w:after="40" w:before="40" w:line="264" w:lineRule="auto"/>
              <w:jc w:val="center"/>
            </w:pPr>
            <w:r/>
            <w:r>
              <w:rPr>
                <w:rFonts w:ascii="Cambria" w:hAnsi="Cambria" w:eastAsia="Cambria"/>
                <w:b/>
                <w:i w:val="0"/>
                <w:color w:val="FFFFFF"/>
                <w:sz w:val="15"/>
              </w:rPr>
              <w:t>Follow-Up Action</w:t>
            </w:r>
          </w:p>
        </w:tc>
        <w:tc>
          <w:tcPr>
            <w:tcW w:type="dxa" w:w="1361"/>
            <w:tcBorders>
              <w:top w:val="single" w:sz="4" w:space="0" w:color="BFBFBF"/>
              <w:left w:val="single" w:sz="4" w:space="0" w:color="BFBFBF"/>
              <w:bottom w:val="single" w:sz="4" w:space="0" w:color="BFBFBF"/>
              <w:right w:val="single" w:sz="4" w:space="0" w:color="BFBFBF"/>
            </w:tcBorders>
            <w:tcW w:w="1361" w:type="dxa"/>
            <w:shd w:val="clear" w:color="auto" w:fill="1F3A5F"/>
            <w:tcW w:w="1361" w:type="dxa"/>
          </w:tcPr>
          <w:p>
            <w:pPr>
              <w:spacing w:after="40" w:before="40" w:line="264" w:lineRule="auto"/>
              <w:jc w:val="center"/>
            </w:pPr>
            <w:r/>
            <w:r>
              <w:rPr>
                <w:rFonts w:ascii="Cambria" w:hAnsi="Cambria" w:eastAsia="Cambria"/>
                <w:b/>
                <w:i w:val="0"/>
                <w:color w:val="FFFFFF"/>
                <w:sz w:val="15"/>
              </w:rPr>
              <w:t>Outcome</w:t>
            </w:r>
          </w:p>
        </w:tc>
      </w:tr>
      <w:tr>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5"/>
              </w:rPr>
              <w:t>1</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10-Feb-2024</w:t>
            </w:r>
          </w:p>
        </w:tc>
        <w:tc>
          <w:tcPr>
            <w:tcW w:type="dxa" w:w="2494"/>
            <w:shd w:val="clear" w:color="auto" w:fill="E8ECF2"/>
            <w:tcW w:w="2494" w:type="dxa"/>
          </w:tcPr>
          <w:p>
            <w:pPr>
              <w:spacing w:after="40" w:before="40" w:line="264" w:lineRule="auto"/>
              <w:jc w:val="left"/>
            </w:pPr>
            <w:r/>
            <w:r>
              <w:rPr>
                <w:rFonts w:ascii="Cambria" w:hAnsi="Cambria" w:eastAsia="Cambria"/>
                <w:b w:val="0"/>
                <w:i w:val="0"/>
                <w:color w:val="000000"/>
                <w:sz w:val="15"/>
              </w:rPr>
              <w:t>Online marks entry portal usage</w:t>
            </w:r>
          </w:p>
        </w:tc>
        <w:tc>
          <w:tcPr>
            <w:tcW w:type="dxa" w:w="2381"/>
            <w:shd w:val="clear" w:color="auto" w:fill="E8ECF2"/>
            <w:tcW w:w="2381" w:type="dxa"/>
          </w:tcPr>
          <w:p>
            <w:pPr>
              <w:spacing w:after="40" w:before="40" w:line="264" w:lineRule="auto"/>
              <w:jc w:val="left"/>
            </w:pPr>
            <w:r/>
            <w:r>
              <w:rPr>
                <w:rFonts w:ascii="Cambria" w:hAnsi="Cambria" w:eastAsia="Cambria"/>
                <w:b w:val="0"/>
                <w:i w:val="0"/>
                <w:color w:val="000000"/>
                <w:sz w:val="15"/>
              </w:rPr>
              <w:t>Verified full faculty adoption</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Satisfactory</w:t>
            </w:r>
          </w:p>
        </w:tc>
      </w:tr>
      <w:tr>
        <w:tc>
          <w:tcPr>
            <w:tcW w:type="dxa" w:w="567"/>
            <w:shd w:val="clear" w:color="auto" w:fill="FFFFFF"/>
            <w:tcW w:w="567" w:type="dxa"/>
          </w:tcPr>
          <w:p>
            <w:pPr>
              <w:spacing w:after="40" w:before="40" w:line="264" w:lineRule="auto"/>
              <w:jc w:val="left"/>
            </w:pPr>
            <w:r/>
            <w:r>
              <w:rPr>
                <w:rFonts w:ascii="Cambria" w:hAnsi="Cambria" w:eastAsia="Cambria"/>
                <w:b w:val="0"/>
                <w:i w:val="0"/>
                <w:color w:val="000000"/>
                <w:sz w:val="15"/>
              </w:rPr>
              <w:t>2</w:t>
            </w:r>
          </w:p>
        </w:tc>
        <w:tc>
          <w:tcPr>
            <w:tcW w:type="dxa" w:w="1474"/>
            <w:shd w:val="clear" w:color="auto" w:fill="FFFFFF"/>
            <w:tcW w:w="1474" w:type="dxa"/>
          </w:tcPr>
          <w:p>
            <w:pPr>
              <w:spacing w:after="40" w:before="40" w:line="264" w:lineRule="auto"/>
              <w:jc w:val="left"/>
            </w:pPr>
            <w:r/>
            <w:r>
              <w:rPr>
                <w:rFonts w:ascii="Cambria" w:hAnsi="Cambria" w:eastAsia="Cambria"/>
                <w:b w:val="0"/>
                <w:i w:val="0"/>
                <w:color w:val="000000"/>
                <w:sz w:val="15"/>
              </w:rPr>
              <w:t>12-Feb-2024</w:t>
            </w:r>
          </w:p>
        </w:tc>
        <w:tc>
          <w:tcPr>
            <w:tcW w:type="dxa" w:w="2494"/>
            <w:shd w:val="clear" w:color="auto" w:fill="FFFFFF"/>
            <w:tcW w:w="2494" w:type="dxa"/>
          </w:tcPr>
          <w:p>
            <w:pPr>
              <w:spacing w:after="40" w:before="40" w:line="264" w:lineRule="auto"/>
              <w:jc w:val="left"/>
            </w:pPr>
            <w:r/>
            <w:r>
              <w:rPr>
                <w:rFonts w:ascii="Cambria" w:hAnsi="Cambria" w:eastAsia="Cambria"/>
                <w:b w:val="0"/>
                <w:i w:val="0"/>
                <w:color w:val="000000"/>
                <w:sz w:val="15"/>
              </w:rPr>
              <w:t>Lab record format compliance</w:t>
            </w:r>
          </w:p>
        </w:tc>
        <w:tc>
          <w:tcPr>
            <w:tcW w:type="dxa" w:w="2381"/>
            <w:shd w:val="clear" w:color="auto" w:fill="FFFFFF"/>
            <w:tcW w:w="2381" w:type="dxa"/>
          </w:tcPr>
          <w:p>
            <w:pPr>
              <w:spacing w:after="40" w:before="40" w:line="264" w:lineRule="auto"/>
              <w:jc w:val="left"/>
            </w:pPr>
            <w:r/>
            <w:r>
              <w:rPr>
                <w:rFonts w:ascii="Cambria" w:hAnsi="Cambria" w:eastAsia="Cambria"/>
                <w:b w:val="0"/>
                <w:i w:val="0"/>
                <w:color w:val="000000"/>
                <w:sz w:val="15"/>
              </w:rPr>
              <w:t>Spot-checked 3 labs</w:t>
            </w:r>
          </w:p>
        </w:tc>
        <w:tc>
          <w:tcPr>
            <w:tcW w:type="dxa" w:w="1361"/>
            <w:shd w:val="clear" w:color="auto" w:fill="FFFFFF"/>
            <w:tcW w:w="1361" w:type="dxa"/>
          </w:tcPr>
          <w:p>
            <w:pPr>
              <w:spacing w:after="40" w:before="40" w:line="264" w:lineRule="auto"/>
              <w:jc w:val="left"/>
            </w:pPr>
            <w:r/>
            <w:r>
              <w:rPr>
                <w:rFonts w:ascii="Cambria" w:hAnsi="Cambria" w:eastAsia="Cambria"/>
                <w:b w:val="0"/>
                <w:i w:val="0"/>
                <w:color w:val="000000"/>
                <w:sz w:val="15"/>
              </w:rPr>
              <w:t>Satisfactory</w:t>
            </w:r>
          </w:p>
        </w:tc>
      </w:tr>
      <w:tr>
        <w:tc>
          <w:tcPr>
            <w:tcW w:type="dxa" w:w="567"/>
            <w:shd w:val="clear" w:color="auto" w:fill="E8ECF2"/>
            <w:tcW w:w="567" w:type="dxa"/>
          </w:tcPr>
          <w:p>
            <w:pPr>
              <w:spacing w:after="40" w:before="40" w:line="264" w:lineRule="auto"/>
              <w:jc w:val="left"/>
            </w:pPr>
            <w:r/>
            <w:r>
              <w:rPr>
                <w:rFonts w:ascii="Cambria" w:hAnsi="Cambria" w:eastAsia="Cambria"/>
                <w:b w:val="0"/>
                <w:i w:val="0"/>
                <w:color w:val="000000"/>
                <w:sz w:val="15"/>
              </w:rPr>
              <w:t>3</w:t>
            </w:r>
          </w:p>
        </w:tc>
        <w:tc>
          <w:tcPr>
            <w:tcW w:type="dxa" w:w="1474"/>
            <w:shd w:val="clear" w:color="auto" w:fill="E8ECF2"/>
            <w:tcW w:w="1474" w:type="dxa"/>
          </w:tcPr>
          <w:p>
            <w:pPr>
              <w:spacing w:after="40" w:before="40" w:line="264" w:lineRule="auto"/>
              <w:jc w:val="left"/>
            </w:pPr>
            <w:r/>
            <w:r>
              <w:rPr>
                <w:rFonts w:ascii="Cambria" w:hAnsi="Cambria" w:eastAsia="Cambria"/>
                <w:b w:val="0"/>
                <w:i w:val="0"/>
                <w:color w:val="000000"/>
                <w:sz w:val="15"/>
              </w:rPr>
              <w:t>15-Feb-2025</w:t>
            </w:r>
          </w:p>
        </w:tc>
        <w:tc>
          <w:tcPr>
            <w:tcW w:type="dxa" w:w="2494"/>
            <w:shd w:val="clear" w:color="auto" w:fill="E8ECF2"/>
            <w:tcW w:w="2494" w:type="dxa"/>
          </w:tcPr>
          <w:p>
            <w:pPr>
              <w:spacing w:after="40" w:before="40" w:line="264" w:lineRule="auto"/>
              <w:jc w:val="left"/>
            </w:pPr>
            <w:r/>
            <w:r>
              <w:rPr>
                <w:rFonts w:ascii="Cambria" w:hAnsi="Cambria" w:eastAsia="Cambria"/>
                <w:b w:val="0"/>
                <w:i w:val="0"/>
                <w:color w:val="000000"/>
                <w:sz w:val="15"/>
              </w:rPr>
              <w:t>Elective attendance trend</w:t>
            </w:r>
          </w:p>
        </w:tc>
        <w:tc>
          <w:tcPr>
            <w:tcW w:type="dxa" w:w="2381"/>
            <w:shd w:val="clear" w:color="auto" w:fill="E8ECF2"/>
            <w:tcW w:w="2381" w:type="dxa"/>
          </w:tcPr>
          <w:p>
            <w:pPr>
              <w:spacing w:after="40" w:before="40" w:line="264" w:lineRule="auto"/>
              <w:jc w:val="left"/>
            </w:pPr>
            <w:r/>
            <w:r>
              <w:rPr>
                <w:rFonts w:ascii="Cambria" w:hAnsi="Cambria" w:eastAsia="Cambria"/>
                <w:b w:val="0"/>
                <w:i w:val="0"/>
                <w:color w:val="000000"/>
                <w:sz w:val="15"/>
              </w:rPr>
              <w:t>Reviewed semester attendance data</w:t>
            </w:r>
          </w:p>
        </w:tc>
        <w:tc>
          <w:tcPr>
            <w:tcW w:type="dxa" w:w="1361"/>
            <w:shd w:val="clear" w:color="auto" w:fill="E8ECF2"/>
            <w:tcW w:w="1361" w:type="dxa"/>
          </w:tcPr>
          <w:p>
            <w:pPr>
              <w:spacing w:after="40" w:before="40" w:line="264" w:lineRule="auto"/>
              <w:jc w:val="left"/>
            </w:pPr>
            <w:r/>
            <w:r>
              <w:rPr>
                <w:rFonts w:ascii="Cambria" w:hAnsi="Cambria" w:eastAsia="Cambria"/>
                <w:b w:val="0"/>
                <w:i w:val="0"/>
                <w:color w:val="000000"/>
                <w:sz w:val="15"/>
              </w:rPr>
              <w:t>Improved</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Continuous Improvement Outcomes (Post-Audit Implementation)</w:t>
      </w:r>
    </w:p>
    <w:tbl>
      <w:tblPr>
        <w:tblW w:type="auto" w:w="0"/>
        <w:jc w:val="center"/>
        <w:tblLook w:firstColumn="1" w:firstRow="1" w:lastColumn="0" w:lastRow="0" w:noHBand="0" w:noVBand="1" w:val="04A0"/>
        <w:tblLayout w:type="fixed"/>
        <w:tblLayout w:type="fixed"/>
      </w:tblPr>
      <w:tblGrid>
        <w:gridCol w:w="680"/>
        <w:gridCol w:w="3118"/>
        <w:gridCol w:w="5613"/>
      </w:tblGrid>
      <w:tr>
        <w:tc>
          <w:tcPr>
            <w:tcW w:type="dxa" w:w="680"/>
            <w:tcBorders>
              <w:top w:val="single" w:sz="4" w:space="0" w:color="BFBFBF"/>
              <w:left w:val="single" w:sz="4" w:space="0" w:color="BFBFBF"/>
              <w:bottom w:val="single" w:sz="4" w:space="0" w:color="BFBFBF"/>
              <w:right w:val="single" w:sz="4" w:space="0" w:color="BFBFBF"/>
            </w:tcBorders>
            <w:tcW w:w="680" w:type="dxa"/>
            <w:shd w:val="clear" w:color="auto" w:fill="1F3A5F"/>
            <w:tcW w:w="680" w:type="dxa"/>
          </w:tcPr>
          <w:p>
            <w:pPr>
              <w:spacing w:after="40" w:before="40" w:line="264" w:lineRule="auto"/>
              <w:jc w:val="center"/>
            </w:pPr>
            <w:r/>
            <w:r>
              <w:rPr>
                <w:rFonts w:ascii="Cambria" w:hAnsi="Cambria" w:eastAsia="Cambria"/>
                <w:b/>
                <w:i w:val="0"/>
                <w:color w:val="FFFFFF"/>
                <w:sz w:val="17"/>
              </w:rPr>
              <w:t>S.No.</w:t>
            </w:r>
          </w:p>
        </w:tc>
        <w:tc>
          <w:tcPr>
            <w:tcW w:type="dxa" w:w="3118"/>
            <w:tcBorders>
              <w:top w:val="single" w:sz="4" w:space="0" w:color="BFBFBF"/>
              <w:left w:val="single" w:sz="4" w:space="0" w:color="BFBFBF"/>
              <w:bottom w:val="single" w:sz="4" w:space="0" w:color="BFBFBF"/>
              <w:right w:val="single" w:sz="4" w:space="0" w:color="BFBFBF"/>
            </w:tcBorders>
            <w:tcW w:w="3118" w:type="dxa"/>
            <w:shd w:val="clear" w:color="auto" w:fill="1F3A5F"/>
            <w:tcW w:w="3118" w:type="dxa"/>
          </w:tcPr>
          <w:p>
            <w:pPr>
              <w:spacing w:after="40" w:before="40" w:line="264" w:lineRule="auto"/>
              <w:jc w:val="center"/>
            </w:pPr>
            <w:r/>
            <w:r>
              <w:rPr>
                <w:rFonts w:ascii="Cambria" w:hAnsi="Cambria" w:eastAsia="Cambria"/>
                <w:b/>
                <w:i w:val="0"/>
                <w:color w:val="FFFFFF"/>
                <w:sz w:val="17"/>
              </w:rPr>
              <w:t>Improvement Area</w:t>
            </w:r>
          </w:p>
        </w:tc>
        <w:tc>
          <w:tcPr>
            <w:tcW w:type="dxa" w:w="5613"/>
            <w:tcBorders>
              <w:top w:val="single" w:sz="4" w:space="0" w:color="BFBFBF"/>
              <w:left w:val="single" w:sz="4" w:space="0" w:color="BFBFBF"/>
              <w:bottom w:val="single" w:sz="4" w:space="0" w:color="BFBFBF"/>
              <w:right w:val="single" w:sz="4" w:space="0" w:color="BFBFBF"/>
            </w:tcBorders>
            <w:tcW w:w="5613" w:type="dxa"/>
            <w:shd w:val="clear" w:color="auto" w:fill="1F3A5F"/>
            <w:tcW w:w="5613" w:type="dxa"/>
          </w:tcPr>
          <w:p>
            <w:pPr>
              <w:spacing w:after="40" w:before="40" w:line="264" w:lineRule="auto"/>
              <w:jc w:val="center"/>
            </w:pPr>
            <w:r/>
            <w:r>
              <w:rPr>
                <w:rFonts w:ascii="Cambria" w:hAnsi="Cambria" w:eastAsia="Cambria"/>
                <w:b/>
                <w:i w:val="0"/>
                <w:color w:val="FFFFFF"/>
                <w:sz w:val="17"/>
              </w:rPr>
              <w:t>Outcome Achieved</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1</w:t>
            </w:r>
          </w:p>
        </w:tc>
        <w:tc>
          <w:tcPr>
            <w:tcW w:type="dxa" w:w="3118"/>
            <w:shd w:val="clear" w:color="auto" w:fill="E8ECF2"/>
            <w:tcW w:w="3118" w:type="dxa"/>
          </w:tcPr>
          <w:p>
            <w:pPr>
              <w:spacing w:after="40" w:before="40" w:line="264" w:lineRule="auto"/>
              <w:jc w:val="left"/>
            </w:pPr>
            <w:r/>
            <w:r>
              <w:rPr>
                <w:rFonts w:ascii="Cambria" w:hAnsi="Cambria" w:eastAsia="Cambria"/>
                <w:b w:val="0"/>
                <w:i w:val="0"/>
                <w:color w:val="000000"/>
                <w:sz w:val="17"/>
              </w:rPr>
              <w:t>Examination Process</w:t>
            </w:r>
          </w:p>
        </w:tc>
        <w:tc>
          <w:tcPr>
            <w:tcW w:type="dxa" w:w="5613"/>
            <w:shd w:val="clear" w:color="auto" w:fill="E8ECF2"/>
            <w:tcW w:w="5613" w:type="dxa"/>
          </w:tcPr>
          <w:p>
            <w:pPr>
              <w:spacing w:after="40" w:before="40" w:line="264" w:lineRule="auto"/>
              <w:jc w:val="left"/>
            </w:pPr>
            <w:r/>
            <w:r>
              <w:rPr>
                <w:rFonts w:ascii="Cambria" w:hAnsi="Cambria" w:eastAsia="Cambria"/>
                <w:b w:val="0"/>
                <w:i w:val="0"/>
                <w:color w:val="000000"/>
                <w:sz w:val="17"/>
              </w:rPr>
              <w:t>Faster and error-free marks entry</w:t>
            </w:r>
          </w:p>
        </w:tc>
      </w:tr>
      <w:tr>
        <w:tc>
          <w:tcPr>
            <w:tcW w:type="dxa" w:w="680"/>
            <w:shd w:val="clear" w:color="auto" w:fill="FFFFFF"/>
            <w:tcW w:w="680" w:type="dxa"/>
          </w:tcPr>
          <w:p>
            <w:pPr>
              <w:spacing w:after="40" w:before="40" w:line="264" w:lineRule="auto"/>
              <w:jc w:val="left"/>
            </w:pPr>
            <w:r/>
            <w:r>
              <w:rPr>
                <w:rFonts w:ascii="Cambria" w:hAnsi="Cambria" w:eastAsia="Cambria"/>
                <w:b w:val="0"/>
                <w:i w:val="0"/>
                <w:color w:val="000000"/>
                <w:sz w:val="17"/>
              </w:rPr>
              <w:t>2</w:t>
            </w:r>
          </w:p>
        </w:tc>
        <w:tc>
          <w:tcPr>
            <w:tcW w:type="dxa" w:w="3118"/>
            <w:shd w:val="clear" w:color="auto" w:fill="FFFFFF"/>
            <w:tcW w:w="3118" w:type="dxa"/>
          </w:tcPr>
          <w:p>
            <w:pPr>
              <w:spacing w:after="40" w:before="40" w:line="264" w:lineRule="auto"/>
              <w:jc w:val="left"/>
            </w:pPr>
            <w:r/>
            <w:r>
              <w:rPr>
                <w:rFonts w:ascii="Cambria" w:hAnsi="Cambria" w:eastAsia="Cambria"/>
                <w:b w:val="0"/>
                <w:i w:val="0"/>
                <w:color w:val="000000"/>
                <w:sz w:val="17"/>
              </w:rPr>
              <w:t>Laboratory Management</w:t>
            </w:r>
          </w:p>
        </w:tc>
        <w:tc>
          <w:tcPr>
            <w:tcW w:type="dxa" w:w="5613"/>
            <w:shd w:val="clear" w:color="auto" w:fill="FFFFFF"/>
            <w:tcW w:w="5613" w:type="dxa"/>
          </w:tcPr>
          <w:p>
            <w:pPr>
              <w:spacing w:after="40" w:before="40" w:line="264" w:lineRule="auto"/>
              <w:jc w:val="left"/>
            </w:pPr>
            <w:r/>
            <w:r>
              <w:rPr>
                <w:rFonts w:ascii="Cambria" w:hAnsi="Cambria" w:eastAsia="Cambria"/>
                <w:b w:val="0"/>
                <w:i w:val="0"/>
                <w:color w:val="000000"/>
                <w:sz w:val="17"/>
              </w:rPr>
              <w:t>Uniform and well-maintained lab records</w:t>
            </w:r>
          </w:p>
        </w:tc>
      </w:tr>
      <w:tr>
        <w:tc>
          <w:tcPr>
            <w:tcW w:type="dxa" w:w="680"/>
            <w:shd w:val="clear" w:color="auto" w:fill="E8ECF2"/>
            <w:tcW w:w="680" w:type="dxa"/>
          </w:tcPr>
          <w:p>
            <w:pPr>
              <w:spacing w:after="40" w:before="40" w:line="264" w:lineRule="auto"/>
              <w:jc w:val="left"/>
            </w:pPr>
            <w:r/>
            <w:r>
              <w:rPr>
                <w:rFonts w:ascii="Cambria" w:hAnsi="Cambria" w:eastAsia="Cambria"/>
                <w:b w:val="0"/>
                <w:i w:val="0"/>
                <w:color w:val="000000"/>
                <w:sz w:val="17"/>
              </w:rPr>
              <w:t>3</w:t>
            </w:r>
          </w:p>
        </w:tc>
        <w:tc>
          <w:tcPr>
            <w:tcW w:type="dxa" w:w="3118"/>
            <w:shd w:val="clear" w:color="auto" w:fill="E8ECF2"/>
            <w:tcW w:w="3118" w:type="dxa"/>
          </w:tcPr>
          <w:p>
            <w:pPr>
              <w:spacing w:after="40" w:before="40" w:line="264" w:lineRule="auto"/>
              <w:jc w:val="left"/>
            </w:pPr>
            <w:r/>
            <w:r>
              <w:rPr>
                <w:rFonts w:ascii="Cambria" w:hAnsi="Cambria" w:eastAsia="Cambria"/>
                <w:b w:val="0"/>
                <w:i w:val="0"/>
                <w:color w:val="000000"/>
                <w:sz w:val="17"/>
              </w:rPr>
              <w:t>Student Engagement</w:t>
            </w:r>
          </w:p>
        </w:tc>
        <w:tc>
          <w:tcPr>
            <w:tcW w:type="dxa" w:w="5613"/>
            <w:shd w:val="clear" w:color="auto" w:fill="E8ECF2"/>
            <w:tcW w:w="5613" w:type="dxa"/>
          </w:tcPr>
          <w:p>
            <w:pPr>
              <w:spacing w:after="40" w:before="40" w:line="264" w:lineRule="auto"/>
              <w:jc w:val="left"/>
            </w:pPr>
            <w:r/>
            <w:r>
              <w:rPr>
                <w:rFonts w:ascii="Cambria" w:hAnsi="Cambria" w:eastAsia="Cambria"/>
                <w:b w:val="0"/>
                <w:i w:val="0"/>
                <w:color w:val="000000"/>
                <w:sz w:val="17"/>
              </w:rPr>
              <w:t>Increased attendance and participation in electives</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Suggested Table: Audit Trail and Documentation Summary</w:t>
      </w:r>
    </w:p>
    <w:tbl>
      <w:tblPr>
        <w:tblW w:type="auto" w:w="0"/>
        <w:jc w:val="center"/>
        <w:tblLook w:firstColumn="1" w:firstRow="1" w:lastColumn="0" w:lastRow="0" w:noHBand="0" w:noVBand="1" w:val="04A0"/>
        <w:tblLayout w:type="fixed"/>
        <w:tblLayout w:type="fixed"/>
      </w:tblPr>
      <w:tblGrid>
        <w:gridCol w:w="2154"/>
        <w:gridCol w:w="2041"/>
        <w:gridCol w:w="1928"/>
        <w:gridCol w:w="3288"/>
      </w:tblGrid>
      <w:tr>
        <w:tc>
          <w:tcPr>
            <w:tcW w:type="dxa" w:w="2154"/>
            <w:tcBorders>
              <w:top w:val="single" w:sz="4" w:space="0" w:color="BFBFBF"/>
              <w:left w:val="single" w:sz="4" w:space="0" w:color="BFBFBF"/>
              <w:bottom w:val="single" w:sz="4" w:space="0" w:color="BFBFBF"/>
              <w:right w:val="single" w:sz="4" w:space="0" w:color="BFBFBF"/>
            </w:tcBorders>
            <w:tcW w:w="2154" w:type="dxa"/>
            <w:shd w:val="clear" w:color="auto" w:fill="1F3A5F"/>
            <w:tcW w:w="2154" w:type="dxa"/>
          </w:tcPr>
          <w:p>
            <w:pPr>
              <w:spacing w:after="40" w:before="40" w:line="264" w:lineRule="auto"/>
              <w:jc w:val="center"/>
            </w:pPr>
            <w:r/>
            <w:r>
              <w:rPr>
                <w:rFonts w:ascii="Cambria" w:hAnsi="Cambria" w:eastAsia="Cambria"/>
                <w:b/>
                <w:i w:val="0"/>
                <w:color w:val="FFFFFF"/>
                <w:sz w:val="17"/>
              </w:rPr>
              <w:t>Document Type</w:t>
            </w:r>
          </w:p>
        </w:tc>
        <w:tc>
          <w:tcPr>
            <w:tcW w:type="dxa" w:w="2041"/>
            <w:tcBorders>
              <w:top w:val="single" w:sz="4" w:space="0" w:color="BFBFBF"/>
              <w:left w:val="single" w:sz="4" w:space="0" w:color="BFBFBF"/>
              <w:bottom w:val="single" w:sz="4" w:space="0" w:color="BFBFBF"/>
              <w:right w:val="single" w:sz="4" w:space="0" w:color="BFBFBF"/>
            </w:tcBorders>
            <w:tcW w:w="2041" w:type="dxa"/>
            <w:shd w:val="clear" w:color="auto" w:fill="1F3A5F"/>
            <w:tcW w:w="2041" w:type="dxa"/>
          </w:tcPr>
          <w:p>
            <w:pPr>
              <w:spacing w:after="40" w:before="40" w:line="264" w:lineRule="auto"/>
              <w:jc w:val="center"/>
            </w:pPr>
            <w:r/>
            <w:r>
              <w:rPr>
                <w:rFonts w:ascii="Cambria" w:hAnsi="Cambria" w:eastAsia="Cambria"/>
                <w:b/>
                <w:i w:val="0"/>
                <w:color w:val="FFFFFF"/>
                <w:sz w:val="17"/>
              </w:rPr>
              <w:t>Maintained By</w:t>
            </w:r>
          </w:p>
        </w:tc>
        <w:tc>
          <w:tcPr>
            <w:tcW w:type="dxa" w:w="1928"/>
            <w:tcBorders>
              <w:top w:val="single" w:sz="4" w:space="0" w:color="BFBFBF"/>
              <w:left w:val="single" w:sz="4" w:space="0" w:color="BFBFBF"/>
              <w:bottom w:val="single" w:sz="4" w:space="0" w:color="BFBFBF"/>
              <w:right w:val="single" w:sz="4" w:space="0" w:color="BFBFBF"/>
            </w:tcBorders>
            <w:tcW w:w="1928" w:type="dxa"/>
            <w:shd w:val="clear" w:color="auto" w:fill="1F3A5F"/>
            <w:tcW w:w="1928" w:type="dxa"/>
          </w:tcPr>
          <w:p>
            <w:pPr>
              <w:spacing w:after="40" w:before="40" w:line="264" w:lineRule="auto"/>
              <w:jc w:val="center"/>
            </w:pPr>
            <w:r/>
            <w:r>
              <w:rPr>
                <w:rFonts w:ascii="Cambria" w:hAnsi="Cambria" w:eastAsia="Cambria"/>
                <w:b/>
                <w:i w:val="0"/>
                <w:color w:val="FFFFFF"/>
                <w:sz w:val="17"/>
              </w:rPr>
              <w:t>Retention Period</w:t>
            </w:r>
          </w:p>
        </w:tc>
        <w:tc>
          <w:tcPr>
            <w:tcW w:type="dxa" w:w="3288"/>
            <w:tcBorders>
              <w:top w:val="single" w:sz="4" w:space="0" w:color="BFBFBF"/>
              <w:left w:val="single" w:sz="4" w:space="0" w:color="BFBFBF"/>
              <w:bottom w:val="single" w:sz="4" w:space="0" w:color="BFBFBF"/>
              <w:right w:val="single" w:sz="4" w:space="0" w:color="BFBFBF"/>
            </w:tcBorders>
            <w:tcW w:w="3288" w:type="dxa"/>
            <w:shd w:val="clear" w:color="auto" w:fill="1F3A5F"/>
            <w:tcW w:w="3288" w:type="dxa"/>
          </w:tcPr>
          <w:p>
            <w:pPr>
              <w:spacing w:after="40" w:before="40" w:line="264" w:lineRule="auto"/>
              <w:jc w:val="center"/>
            </w:pPr>
            <w:r/>
            <w:r>
              <w:rPr>
                <w:rFonts w:ascii="Cambria" w:hAnsi="Cambria" w:eastAsia="Cambria"/>
                <w:b/>
                <w:i w:val="0"/>
                <w:color w:val="FFFFFF"/>
                <w:sz w:val="17"/>
              </w:rPr>
              <w:t>Evidence Reference</w:t>
            </w:r>
          </w:p>
        </w:tc>
      </w:tr>
      <w:tr>
        <w:tc>
          <w:tcPr>
            <w:tcW w:type="dxa" w:w="2154"/>
            <w:shd w:val="clear" w:color="auto" w:fill="E8ECF2"/>
            <w:tcW w:w="2154" w:type="dxa"/>
          </w:tcPr>
          <w:p>
            <w:pPr>
              <w:spacing w:after="40" w:before="40" w:line="264" w:lineRule="auto"/>
              <w:jc w:val="left"/>
            </w:pPr>
            <w:r/>
            <w:r>
              <w:rPr>
                <w:rFonts w:ascii="Cambria" w:hAnsi="Cambria" w:eastAsia="Cambria"/>
                <w:b w:val="0"/>
                <w:i w:val="0"/>
                <w:color w:val="000000"/>
                <w:sz w:val="17"/>
              </w:rPr>
              <w:t>Audit Reports</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7"/>
              </w:rPr>
              <w:t>IQAC Office</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7"/>
              </w:rPr>
              <w:t>5 Years</w:t>
            </w:r>
          </w:p>
        </w:tc>
        <w:tc>
          <w:tcPr>
            <w:tcW w:type="dxa" w:w="3288"/>
            <w:shd w:val="clear" w:color="auto" w:fill="E8ECF2"/>
            <w:tcW w:w="3288" w:type="dxa"/>
          </w:tcPr>
          <w:p>
            <w:pPr>
              <w:spacing w:after="40" w:before="40" w:line="264" w:lineRule="auto"/>
              <w:jc w:val="left"/>
            </w:pPr>
            <w:r/>
            <w:r>
              <w:rPr>
                <w:rFonts w:ascii="Cambria" w:hAnsi="Cambria" w:eastAsia="Cambria"/>
                <w:b w:val="0"/>
                <w:i w:val="0"/>
                <w:color w:val="000000"/>
                <w:sz w:val="17"/>
              </w:rPr>
              <w:t>AcadAudit_Reports_2022-25</w:t>
            </w:r>
          </w:p>
        </w:tc>
      </w:tr>
      <w:tr>
        <w:tc>
          <w:tcPr>
            <w:tcW w:type="dxa" w:w="2154"/>
            <w:shd w:val="clear" w:color="auto" w:fill="FFFFFF"/>
            <w:tcW w:w="2154" w:type="dxa"/>
          </w:tcPr>
          <w:p>
            <w:pPr>
              <w:spacing w:after="40" w:before="40" w:line="264" w:lineRule="auto"/>
              <w:jc w:val="left"/>
            </w:pPr>
            <w:r/>
            <w:r>
              <w:rPr>
                <w:rFonts w:ascii="Cambria" w:hAnsi="Cambria" w:eastAsia="Cambria"/>
                <w:b w:val="0"/>
                <w:i w:val="0"/>
                <w:color w:val="000000"/>
                <w:sz w:val="17"/>
              </w:rPr>
              <w:t>Action Taken Reports</w:t>
            </w:r>
          </w:p>
        </w:tc>
        <w:tc>
          <w:tcPr>
            <w:tcW w:type="dxa" w:w="2041"/>
            <w:shd w:val="clear" w:color="auto" w:fill="FFFFFF"/>
            <w:tcW w:w="2041" w:type="dxa"/>
          </w:tcPr>
          <w:p>
            <w:pPr>
              <w:spacing w:after="40" w:before="40" w:line="264" w:lineRule="auto"/>
              <w:jc w:val="left"/>
            </w:pPr>
            <w:r/>
            <w:r>
              <w:rPr>
                <w:rFonts w:ascii="Cambria" w:hAnsi="Cambria" w:eastAsia="Cambria"/>
                <w:b w:val="0"/>
                <w:i w:val="0"/>
                <w:color w:val="000000"/>
                <w:sz w:val="17"/>
              </w:rPr>
              <w:t>Department Office</w:t>
            </w:r>
          </w:p>
        </w:tc>
        <w:tc>
          <w:tcPr>
            <w:tcW w:type="dxa" w:w="1928"/>
            <w:shd w:val="clear" w:color="auto" w:fill="FFFFFF"/>
            <w:tcW w:w="1928" w:type="dxa"/>
          </w:tcPr>
          <w:p>
            <w:pPr>
              <w:spacing w:after="40" w:before="40" w:line="264" w:lineRule="auto"/>
              <w:jc w:val="left"/>
            </w:pPr>
            <w:r/>
            <w:r>
              <w:rPr>
                <w:rFonts w:ascii="Cambria" w:hAnsi="Cambria" w:eastAsia="Cambria"/>
                <w:b w:val="0"/>
                <w:i w:val="0"/>
                <w:color w:val="000000"/>
                <w:sz w:val="17"/>
              </w:rPr>
              <w:t>5 Years</w:t>
            </w:r>
          </w:p>
        </w:tc>
        <w:tc>
          <w:tcPr>
            <w:tcW w:type="dxa" w:w="3288"/>
            <w:shd w:val="clear" w:color="auto" w:fill="FFFFFF"/>
            <w:tcW w:w="3288" w:type="dxa"/>
          </w:tcPr>
          <w:p>
            <w:pPr>
              <w:spacing w:after="40" w:before="40" w:line="264" w:lineRule="auto"/>
              <w:jc w:val="left"/>
            </w:pPr>
            <w:r/>
            <w:r>
              <w:rPr>
                <w:rFonts w:ascii="Cambria" w:hAnsi="Cambria" w:eastAsia="Cambria"/>
                <w:b w:val="0"/>
                <w:i w:val="0"/>
                <w:color w:val="000000"/>
                <w:sz w:val="17"/>
              </w:rPr>
              <w:t>ATR_2022-25</w:t>
            </w:r>
          </w:p>
        </w:tc>
      </w:tr>
      <w:tr>
        <w:tc>
          <w:tcPr>
            <w:tcW w:type="dxa" w:w="2154"/>
            <w:shd w:val="clear" w:color="auto" w:fill="E8ECF2"/>
            <w:tcW w:w="2154" w:type="dxa"/>
          </w:tcPr>
          <w:p>
            <w:pPr>
              <w:spacing w:after="40" w:before="40" w:line="264" w:lineRule="auto"/>
              <w:jc w:val="left"/>
            </w:pPr>
            <w:r/>
            <w:r>
              <w:rPr>
                <w:rFonts w:ascii="Cambria" w:hAnsi="Cambria" w:eastAsia="Cambria"/>
                <w:b w:val="0"/>
                <w:i w:val="0"/>
                <w:color w:val="000000"/>
                <w:sz w:val="17"/>
              </w:rPr>
              <w:t>Follow-Up Review Minutes</w:t>
            </w:r>
          </w:p>
        </w:tc>
        <w:tc>
          <w:tcPr>
            <w:tcW w:type="dxa" w:w="2041"/>
            <w:shd w:val="clear" w:color="auto" w:fill="E8ECF2"/>
            <w:tcW w:w="2041" w:type="dxa"/>
          </w:tcPr>
          <w:p>
            <w:pPr>
              <w:spacing w:after="40" w:before="40" w:line="264" w:lineRule="auto"/>
              <w:jc w:val="left"/>
            </w:pPr>
            <w:r/>
            <w:r>
              <w:rPr>
                <w:rFonts w:ascii="Cambria" w:hAnsi="Cambria" w:eastAsia="Cambria"/>
                <w:b w:val="0"/>
                <w:i w:val="0"/>
                <w:color w:val="000000"/>
                <w:sz w:val="17"/>
              </w:rPr>
              <w:t>IQAC Office</w:t>
            </w:r>
          </w:p>
        </w:tc>
        <w:tc>
          <w:tcPr>
            <w:tcW w:type="dxa" w:w="1928"/>
            <w:shd w:val="clear" w:color="auto" w:fill="E8ECF2"/>
            <w:tcW w:w="1928" w:type="dxa"/>
          </w:tcPr>
          <w:p>
            <w:pPr>
              <w:spacing w:after="40" w:before="40" w:line="264" w:lineRule="auto"/>
              <w:jc w:val="left"/>
            </w:pPr>
            <w:r/>
            <w:r>
              <w:rPr>
                <w:rFonts w:ascii="Cambria" w:hAnsi="Cambria" w:eastAsia="Cambria"/>
                <w:b w:val="0"/>
                <w:i w:val="0"/>
                <w:color w:val="000000"/>
                <w:sz w:val="17"/>
              </w:rPr>
              <w:t>5 Years</w:t>
            </w:r>
          </w:p>
        </w:tc>
        <w:tc>
          <w:tcPr>
            <w:tcW w:type="dxa" w:w="3288"/>
            <w:shd w:val="clear" w:color="auto" w:fill="E8ECF2"/>
            <w:tcW w:w="3288" w:type="dxa"/>
          </w:tcPr>
          <w:p>
            <w:pPr>
              <w:spacing w:after="40" w:before="40" w:line="264" w:lineRule="auto"/>
              <w:jc w:val="left"/>
            </w:pPr>
            <w:r/>
            <w:r>
              <w:rPr>
                <w:rFonts w:ascii="Cambria" w:hAnsi="Cambria" w:eastAsia="Cambria"/>
                <w:b w:val="0"/>
                <w:i w:val="0"/>
                <w:color w:val="000000"/>
                <w:sz w:val="17"/>
              </w:rPr>
              <w:t>IQAC_FollowUp_2022-25</w:t>
            </w:r>
          </w:p>
        </w:tc>
      </w:tr>
    </w:tbl>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Quality Assurance Checklist: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Confirm audit reports are signed by the audit committee/external auditor.</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Verify Action Taken Reports are linked to specific audit observations.</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Ensure follow-up review evidence is available for each corrective action.</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Cross-check improvement outcomes with pre- and post-action data.</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Note: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 xml:space="preserve">Ensure audit documentation is </w:t>
      </w:r>
      <w:r>
        <w:rPr>
          <w:rFonts w:ascii="Cambria" w:hAnsi="Cambria" w:eastAsia="Cambria"/>
          <w:b w:val="0"/>
          <w:i/>
          <w:color w:val="000000"/>
          <w:sz w:val="22"/>
        </w:rPr>
        <w:t>traceable and consistent</w:t>
      </w:r>
      <w:r>
        <w:rPr>
          <w:rFonts w:ascii="Cambria" w:hAnsi="Cambria" w:eastAsia="Cambria"/>
          <w:b w:val="0"/>
          <w:i w:val="0"/>
          <w:color w:val="000000"/>
          <w:sz w:val="22"/>
        </w:rPr>
        <w:t xml:space="preserve"> across academic years for audit trail purposes.</w:t>
      </w:r>
    </w:p>
    <w:p>
      <w:pPr>
        <w:spacing w:after="80" w:line="276" w:lineRule="auto"/>
        <w:ind w:left="510" w:hanging="255"/>
        <w:jc w:val="both"/>
      </w:pPr>
      <w:r>
        <w:rPr>
          <w:rFonts w:ascii="Cambria" w:hAnsi="Cambria" w:eastAsia="Cambria"/>
          <w:b w:val="0"/>
          <w:i w:val="0"/>
          <w:color w:val="000000"/>
          <w:sz w:val="22"/>
        </w:rPr>
        <w:t xml:space="preserve">•  </w:t>
      </w:r>
      <w:r>
        <w:rPr>
          <w:rFonts w:ascii="Cambria" w:hAnsi="Cambria" w:eastAsia="Cambria"/>
          <w:b/>
          <w:i w:val="0"/>
          <w:color w:val="000000"/>
          <w:sz w:val="22"/>
        </w:rPr>
        <w:t>Expected Outcome:</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Transparent and periodic academic audit mechanism.</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Demonstrable corrective action cycle with measurable improvement.</w:t>
      </w:r>
    </w:p>
    <w:p>
      <w:pPr>
        <w:spacing w:after="80" w:line="276" w:lineRule="auto"/>
        <w:ind w:left="964" w:hanging="255"/>
        <w:jc w:val="both"/>
      </w:pPr>
      <w:r>
        <w:rPr>
          <w:rFonts w:ascii="Cambria" w:hAnsi="Cambria" w:eastAsia="Cambria"/>
          <w:b w:val="0"/>
          <w:i w:val="0"/>
          <w:color w:val="000000"/>
          <w:sz w:val="22"/>
        </w:rPr>
        <w:t xml:space="preserve">o  </w:t>
      </w:r>
      <w:r>
        <w:rPr>
          <w:rFonts w:ascii="Cambria" w:hAnsi="Cambria" w:eastAsia="Cambria"/>
          <w:b w:val="0"/>
          <w:i w:val="0"/>
          <w:color w:val="000000"/>
          <w:sz w:val="22"/>
        </w:rPr>
        <w:t>Compliance with NBA's Criterion 5 &amp; 10 – Continuous Improvement and Quality Assurance standards.</w:t>
      </w:r>
    </w:p>
    <w:p>
      <w:r>
        <w:br w:type="page"/>
      </w:r>
    </w:p>
    <w:p>
      <w:pPr>
        <w:keepNext/>
        <w:spacing w:before="240" w:after="160"/>
        <w:jc w:val="left"/>
      </w:pPr>
      <w:r>
        <w:rPr>
          <w:rFonts w:ascii="Cambria" w:hAnsi="Cambria" w:eastAsia="Cambria"/>
          <w:b/>
          <w:i w:val="0"/>
          <w:color w:val="1F3A5F"/>
          <w:sz w:val="36"/>
        </w:rPr>
        <w:t>39. References</w:t>
      </w:r>
    </w:p>
    <w:p>
      <w:pPr>
        <w:spacing w:before="200" w:after="80"/>
      </w:pPr>
      <w:r>
        <w:rPr>
          <w:rFonts w:ascii="Cambria" w:hAnsi="Cambria"/>
          <w:b/>
          <w:color w:val="1F3A5F"/>
          <w:sz w:val="24"/>
          <w:u w:val="single"/>
        </w:rPr>
        <w:t>NBA</w:t>
      </w:r>
    </w:p>
    <w:p>
      <w:pPr>
        <w:spacing w:after="80" w:line="276" w:lineRule="auto"/>
        <w:ind w:left="357" w:hanging="357"/>
        <w:jc w:val="both"/>
      </w:pPr>
      <w:r>
        <w:rPr>
          <w:rFonts w:ascii="Cambria" w:hAnsi="Cambria" w:eastAsia="Cambria"/>
          <w:b w:val="0"/>
          <w:i w:val="0"/>
          <w:color w:val="000000"/>
          <w:sz w:val="22"/>
        </w:rPr>
        <w:t xml:space="preserve">1.  </w:t>
      </w:r>
      <w:r>
        <w:rPr>
          <w:rFonts w:ascii="Cambria" w:hAnsi="Cambria" w:eastAsia="Cambria"/>
          <w:b w:val="0"/>
          <w:i w:val="0"/>
          <w:color w:val="000000"/>
          <w:sz w:val="22"/>
        </w:rPr>
        <w:t>NBA Accreditation Process for Tier-1 Institutions – Criterion 1: Outcome-Based Curriculum: Vision, Mission, PEOs, Curriculum Structure, CO–PO–PSO Mapping, and Articulation Framework, Kindle Edition, ASIN: B0FPDCG13D</w:t>
      </w:r>
    </w:p>
    <w:p>
      <w:pPr>
        <w:spacing w:after="120" w:before="0" w:line="276" w:lineRule="auto"/>
        <w:jc w:val="both"/>
      </w:pPr>
      <w:r>
        <w:rPr>
          <w:rFonts w:ascii="Cambria" w:hAnsi="Cambria" w:eastAsia="Cambria"/>
          <w:b w:val="0"/>
          <w:i w:val="0"/>
          <w:color w:val="000000"/>
          <w:sz w:val="22"/>
        </w:rPr>
        <w:t>https://amzn.in/d/4fcc0jE</w:t>
      </w:r>
    </w:p>
    <w:p>
      <w:pPr>
        <w:spacing w:after="80" w:line="276" w:lineRule="auto"/>
        <w:ind w:left="357" w:hanging="357"/>
        <w:jc w:val="both"/>
      </w:pPr>
      <w:r>
        <w:rPr>
          <w:rFonts w:ascii="Cambria" w:hAnsi="Cambria" w:eastAsia="Cambria"/>
          <w:b w:val="0"/>
          <w:i w:val="0"/>
          <w:color w:val="000000"/>
          <w:sz w:val="22"/>
        </w:rPr>
        <w:t xml:space="preserve">2.  </w:t>
      </w:r>
      <w:r>
        <w:rPr>
          <w:rFonts w:ascii="Cambria" w:hAnsi="Cambria" w:eastAsia="Cambria"/>
          <w:b w:val="0"/>
          <w:i w:val="0"/>
          <w:color w:val="000000"/>
          <w:sz w:val="22"/>
        </w:rPr>
        <w:t>NBA Accreditation Process for Tier-1 Institutions – Criterion 2: Outcome-Based Teaching–Learning (OBTL): A Framework of Systematic Processes, Evidence-Based Practices, and CQI in OBE, Kindle Edition, ASIN: B0FPG4KFB1</w:t>
      </w:r>
    </w:p>
    <w:p>
      <w:pPr>
        <w:spacing w:after="120" w:before="0" w:line="276" w:lineRule="auto"/>
        <w:jc w:val="both"/>
      </w:pPr>
      <w:r>
        <w:rPr>
          <w:rFonts w:ascii="Cambria" w:hAnsi="Cambria" w:eastAsia="Cambria"/>
          <w:b w:val="0"/>
          <w:i w:val="0"/>
          <w:color w:val="000000"/>
          <w:sz w:val="22"/>
        </w:rPr>
        <w:t>https://amzn.in/d/g1bchNI</w:t>
      </w:r>
    </w:p>
    <w:p>
      <w:pPr>
        <w:spacing w:after="80" w:line="276" w:lineRule="auto"/>
        <w:ind w:left="357" w:hanging="357"/>
        <w:jc w:val="both"/>
      </w:pPr>
      <w:r>
        <w:rPr>
          <w:rFonts w:ascii="Cambria" w:hAnsi="Cambria" w:eastAsia="Cambria"/>
          <w:b w:val="0"/>
          <w:i w:val="0"/>
          <w:color w:val="000000"/>
          <w:sz w:val="22"/>
        </w:rPr>
        <w:t xml:space="preserve">3.  </w:t>
      </w:r>
      <w:r>
        <w:rPr>
          <w:rFonts w:ascii="Cambria" w:hAnsi="Cambria" w:eastAsia="Cambria"/>
          <w:b w:val="0"/>
          <w:i w:val="0"/>
          <w:color w:val="000000"/>
          <w:sz w:val="22"/>
        </w:rPr>
        <w:t>NBA Accreditation Process for Tier-1 Institutions – Criterion 3: Outcome-Based Assessment: Framework for Evaluating COs, POs, and PSOs in Compliance with NBA Accreditation Standards, Kindle Edition, ASIN: B0FQBQ21S1</w:t>
      </w:r>
    </w:p>
    <w:p>
      <w:pPr>
        <w:spacing w:after="120" w:before="0" w:line="276" w:lineRule="auto"/>
        <w:jc w:val="both"/>
      </w:pPr>
      <w:r>
        <w:rPr>
          <w:rFonts w:ascii="Cambria" w:hAnsi="Cambria" w:eastAsia="Cambria"/>
          <w:b w:val="0"/>
          <w:i w:val="0"/>
          <w:color w:val="000000"/>
          <w:sz w:val="22"/>
        </w:rPr>
        <w:t>https://amzn.in/d/a2nGhnx</w:t>
      </w:r>
    </w:p>
    <w:p>
      <w:pPr>
        <w:spacing w:after="80" w:line="276" w:lineRule="auto"/>
        <w:ind w:left="357" w:hanging="357"/>
        <w:jc w:val="both"/>
      </w:pPr>
      <w:r>
        <w:rPr>
          <w:rFonts w:ascii="Cambria" w:hAnsi="Cambria" w:eastAsia="Cambria"/>
          <w:b w:val="0"/>
          <w:i w:val="0"/>
          <w:color w:val="000000"/>
          <w:sz w:val="22"/>
        </w:rPr>
        <w:t xml:space="preserve">4.  </w:t>
      </w:r>
      <w:r>
        <w:rPr>
          <w:rFonts w:ascii="Cambria" w:hAnsi="Cambria" w:eastAsia="Cambria"/>
          <w:b w:val="0"/>
          <w:i w:val="0"/>
          <w:color w:val="000000"/>
          <w:sz w:val="22"/>
        </w:rPr>
        <w:t>NBA Accreditation Process for Tier-1 Institutions – Criterion 4: Students' Performance: Evaluating Enrolment, Academic Success, and Career Outcomes in Higher Education, Kindle Edition, ASIN: B0FR3JHMXS</w:t>
      </w:r>
    </w:p>
    <w:p>
      <w:pPr>
        <w:spacing w:after="120" w:before="0" w:line="276" w:lineRule="auto"/>
        <w:jc w:val="both"/>
      </w:pPr>
      <w:r>
        <w:rPr>
          <w:rFonts w:ascii="Cambria" w:hAnsi="Cambria" w:eastAsia="Cambria"/>
          <w:b w:val="0"/>
          <w:i w:val="0"/>
          <w:color w:val="000000"/>
          <w:sz w:val="22"/>
        </w:rPr>
        <w:t>https://amzn.in/d/dry9lRW</w:t>
      </w:r>
    </w:p>
    <w:p>
      <w:pPr>
        <w:spacing w:after="80" w:line="276" w:lineRule="auto"/>
        <w:ind w:left="357" w:hanging="357"/>
        <w:jc w:val="both"/>
      </w:pPr>
      <w:r>
        <w:rPr>
          <w:rFonts w:ascii="Cambria" w:hAnsi="Cambria" w:eastAsia="Cambria"/>
          <w:b w:val="0"/>
          <w:i w:val="0"/>
          <w:color w:val="000000"/>
          <w:sz w:val="22"/>
        </w:rPr>
        <w:t xml:space="preserve">5.  </w:t>
      </w:r>
      <w:r>
        <w:rPr>
          <w:rFonts w:ascii="Cambria" w:hAnsi="Cambria" w:eastAsia="Cambria"/>
          <w:b w:val="0"/>
          <w:i w:val="0"/>
          <w:color w:val="000000"/>
          <w:sz w:val="22"/>
        </w:rPr>
        <w:t>NBA Accreditation Process for Tier-1 Institutions – Criterion 5: Faculty Information: Evaluating Faculty Strength, Qualifications, and Development in Higher Education Institutions, Kindle Edition, ASIN: B0FR3DBZ3B</w:t>
      </w:r>
    </w:p>
    <w:p>
      <w:pPr>
        <w:spacing w:after="120" w:before="0" w:line="276" w:lineRule="auto"/>
        <w:jc w:val="both"/>
      </w:pPr>
      <w:r>
        <w:rPr>
          <w:rFonts w:ascii="Cambria" w:hAnsi="Cambria" w:eastAsia="Cambria"/>
          <w:b w:val="0"/>
          <w:i w:val="0"/>
          <w:color w:val="000000"/>
          <w:sz w:val="22"/>
        </w:rPr>
        <w:t>https://amzn.in/d/a1344lj</w:t>
      </w:r>
    </w:p>
    <w:p>
      <w:pPr>
        <w:spacing w:after="80" w:line="276" w:lineRule="auto"/>
        <w:ind w:left="357" w:hanging="357"/>
        <w:jc w:val="both"/>
      </w:pPr>
      <w:r>
        <w:rPr>
          <w:rFonts w:ascii="Cambria" w:hAnsi="Cambria" w:eastAsia="Cambria"/>
          <w:b w:val="0"/>
          <w:i w:val="0"/>
          <w:color w:val="000000"/>
          <w:sz w:val="22"/>
        </w:rPr>
        <w:t xml:space="preserve">6.  </w:t>
      </w:r>
      <w:r>
        <w:rPr>
          <w:rFonts w:ascii="Cambria" w:hAnsi="Cambria" w:eastAsia="Cambria"/>
          <w:b w:val="0"/>
          <w:i w:val="0"/>
          <w:color w:val="000000"/>
          <w:sz w:val="22"/>
        </w:rPr>
        <w:t>NBA Accreditation Process for Tier-1 Institutions – Criterion 6: Faculty Contribution: Recognizing Professional Development, Research, and Institutional Growth, Kindle Edition, ASIN: B0FR1JLR73</w:t>
      </w:r>
    </w:p>
    <w:p>
      <w:pPr>
        <w:spacing w:after="120" w:before="0" w:line="276" w:lineRule="auto"/>
        <w:jc w:val="both"/>
      </w:pPr>
      <w:r>
        <w:rPr>
          <w:rFonts w:ascii="Cambria" w:hAnsi="Cambria" w:eastAsia="Cambria"/>
          <w:b w:val="0"/>
          <w:i w:val="0"/>
          <w:color w:val="000000"/>
          <w:sz w:val="22"/>
        </w:rPr>
        <w:t>https://amzn.in/d/98KXO4k</w:t>
      </w:r>
    </w:p>
    <w:p>
      <w:pPr>
        <w:spacing w:after="80" w:line="276" w:lineRule="auto"/>
        <w:ind w:left="357" w:hanging="357"/>
        <w:jc w:val="both"/>
      </w:pPr>
      <w:r>
        <w:rPr>
          <w:rFonts w:ascii="Cambria" w:hAnsi="Cambria" w:eastAsia="Cambria"/>
          <w:b w:val="0"/>
          <w:i w:val="0"/>
          <w:color w:val="000000"/>
          <w:sz w:val="22"/>
        </w:rPr>
        <w:t xml:space="preserve">7.  </w:t>
      </w:r>
      <w:r>
        <w:rPr>
          <w:rFonts w:ascii="Cambria" w:hAnsi="Cambria" w:eastAsia="Cambria"/>
          <w:b w:val="0"/>
          <w:i w:val="0"/>
          <w:color w:val="000000"/>
          <w:sz w:val="22"/>
        </w:rPr>
        <w:t>NBA Accreditation Process for Tier-1 Institutions – Criterion 7: Facilities and Technical Support: A Comprehensive Guide to Facilities, Laboratories, and Technical Support in Accreditation, Kindle Edition, ASIN: B0FQPHYBRC</w:t>
      </w:r>
    </w:p>
    <w:p>
      <w:pPr>
        <w:spacing w:after="120" w:before="0" w:line="276" w:lineRule="auto"/>
        <w:jc w:val="both"/>
      </w:pPr>
      <w:r>
        <w:rPr>
          <w:rFonts w:ascii="Cambria" w:hAnsi="Cambria" w:eastAsia="Cambria"/>
          <w:b w:val="0"/>
          <w:i w:val="0"/>
          <w:color w:val="000000"/>
          <w:sz w:val="22"/>
        </w:rPr>
        <w:t>https://amzn.in/d/9kAkdLZ</w:t>
      </w:r>
    </w:p>
    <w:p>
      <w:pPr>
        <w:spacing w:after="80" w:line="276" w:lineRule="auto"/>
        <w:ind w:left="357" w:hanging="357"/>
        <w:jc w:val="both"/>
      </w:pPr>
      <w:r>
        <w:rPr>
          <w:rFonts w:ascii="Cambria" w:hAnsi="Cambria" w:eastAsia="Cambria"/>
          <w:b w:val="0"/>
          <w:i w:val="0"/>
          <w:color w:val="000000"/>
          <w:sz w:val="22"/>
        </w:rPr>
        <w:t xml:space="preserve">8.  </w:t>
      </w:r>
      <w:r>
        <w:rPr>
          <w:rFonts w:ascii="Cambria" w:hAnsi="Cambria" w:eastAsia="Cambria"/>
          <w:b w:val="0"/>
          <w:i w:val="0"/>
          <w:color w:val="000000"/>
          <w:sz w:val="22"/>
        </w:rPr>
        <w:t>NBA Accreditation Process for Tier-1 Institutions – Criterion 8: Continuous Improvement: Closing the Loop in Outcome-Based Education for Quality Enhancement, Kindle Edition, ASIN: B0FQJ75CNV</w:t>
      </w:r>
    </w:p>
    <w:p>
      <w:pPr>
        <w:spacing w:after="120" w:before="0" w:line="276" w:lineRule="auto"/>
        <w:jc w:val="both"/>
      </w:pPr>
      <w:r>
        <w:rPr>
          <w:rFonts w:ascii="Cambria" w:hAnsi="Cambria" w:eastAsia="Cambria"/>
          <w:b w:val="0"/>
          <w:i w:val="0"/>
          <w:color w:val="000000"/>
          <w:sz w:val="22"/>
        </w:rPr>
        <w:t>https://amzn.in/d/1Vco5Ye</w:t>
      </w:r>
    </w:p>
    <w:p>
      <w:pPr>
        <w:spacing w:after="80" w:line="276" w:lineRule="auto"/>
        <w:ind w:left="357" w:hanging="357"/>
        <w:jc w:val="both"/>
      </w:pPr>
      <w:r>
        <w:rPr>
          <w:rFonts w:ascii="Cambria" w:hAnsi="Cambria" w:eastAsia="Cambria"/>
          <w:b w:val="0"/>
          <w:i w:val="0"/>
          <w:color w:val="000000"/>
          <w:sz w:val="22"/>
        </w:rPr>
        <w:t xml:space="preserve">9.  </w:t>
      </w:r>
      <w:r>
        <w:rPr>
          <w:rFonts w:ascii="Cambria" w:hAnsi="Cambria" w:eastAsia="Cambria"/>
          <w:b w:val="0"/>
          <w:i w:val="0"/>
          <w:color w:val="000000"/>
          <w:sz w:val="22"/>
        </w:rPr>
        <w:t>NBA Accreditation Process for Tier-1 Institutions – Criterion 9: Student Support System and Governance: A Framework for Student Support, Governance, and Institutional Accountability in HEIs, Kindle Edition, ASIN: B0FQJ2KHPC</w:t>
      </w:r>
    </w:p>
    <w:p>
      <w:pPr>
        <w:spacing w:after="120" w:before="0" w:line="276" w:lineRule="auto"/>
        <w:jc w:val="both"/>
      </w:pPr>
      <w:r>
        <w:rPr>
          <w:rFonts w:ascii="Cambria" w:hAnsi="Cambria" w:eastAsia="Cambria"/>
          <w:b w:val="0"/>
          <w:i w:val="0"/>
          <w:color w:val="000000"/>
          <w:sz w:val="22"/>
        </w:rPr>
        <w:t>https://amzn.in/d/dYBQik0</w:t>
      </w:r>
    </w:p>
    <w:p>
      <w:pPr>
        <w:spacing w:before="200" w:after="80"/>
      </w:pPr>
      <w:r>
        <w:rPr>
          <w:rFonts w:ascii="Cambria" w:hAnsi="Cambria"/>
          <w:b/>
          <w:color w:val="1F3A5F"/>
          <w:sz w:val="24"/>
          <w:u w:val="single"/>
        </w:rPr>
        <w:t>NAAC</w:t>
      </w:r>
    </w:p>
    <w:p>
      <w:pPr>
        <w:spacing w:after="80" w:line="276" w:lineRule="auto"/>
        <w:ind w:left="357" w:hanging="357"/>
        <w:jc w:val="both"/>
      </w:pPr>
      <w:r>
        <w:rPr>
          <w:rFonts w:ascii="Cambria" w:hAnsi="Cambria" w:eastAsia="Cambria"/>
          <w:b w:val="0"/>
          <w:i w:val="0"/>
          <w:color w:val="000000"/>
          <w:sz w:val="22"/>
        </w:rPr>
        <w:t xml:space="preserve">10.  </w:t>
      </w:r>
      <w:r>
        <w:rPr>
          <w:rFonts w:ascii="Cambria" w:hAnsi="Cambria" w:eastAsia="Cambria"/>
          <w:b w:val="0"/>
          <w:i w:val="0"/>
          <w:color w:val="000000"/>
          <w:sz w:val="22"/>
        </w:rPr>
        <w:t>Curricular Aspects under NAAC Accreditation – Criterion 1 for Higher Education Institutions: Ensuring Academic Flexibility, Curriculum Enrichment, and Alignment with NEP 2020, Kindle Edition, ASIN: B0FPR342MM</w:t>
      </w:r>
    </w:p>
    <w:p>
      <w:pPr>
        <w:spacing w:after="120" w:before="0" w:line="276" w:lineRule="auto"/>
        <w:jc w:val="both"/>
      </w:pPr>
      <w:r>
        <w:rPr>
          <w:rFonts w:ascii="Cambria" w:hAnsi="Cambria" w:eastAsia="Cambria"/>
          <w:b w:val="0"/>
          <w:i w:val="0"/>
          <w:color w:val="000000"/>
          <w:sz w:val="22"/>
        </w:rPr>
        <w:t>https://amzn.in/d/0S10khp</w:t>
      </w:r>
    </w:p>
    <w:p>
      <w:pPr>
        <w:spacing w:after="80" w:line="276" w:lineRule="auto"/>
        <w:ind w:left="357" w:hanging="357"/>
        <w:jc w:val="both"/>
      </w:pPr>
      <w:r>
        <w:rPr>
          <w:rFonts w:ascii="Cambria" w:hAnsi="Cambria" w:eastAsia="Cambria"/>
          <w:b w:val="0"/>
          <w:i w:val="0"/>
          <w:color w:val="000000"/>
          <w:sz w:val="22"/>
        </w:rPr>
        <w:t xml:space="preserve">11.  </w:t>
      </w:r>
      <w:r>
        <w:rPr>
          <w:rFonts w:ascii="Cambria" w:hAnsi="Cambria" w:eastAsia="Cambria"/>
          <w:b w:val="0"/>
          <w:i w:val="0"/>
          <w:color w:val="000000"/>
          <w:sz w:val="22"/>
        </w:rPr>
        <w:t>Comprehensive Guide for Teaching-Learning and Evaluation under NAAC Accreditation – Criterion 2 for Higher Education Institutions, Kindle Edition, ASIN: B0FPRBZ2JH</w:t>
      </w:r>
    </w:p>
    <w:p>
      <w:pPr>
        <w:spacing w:after="120" w:before="0" w:line="276" w:lineRule="auto"/>
        <w:jc w:val="both"/>
      </w:pPr>
      <w:r>
        <w:rPr>
          <w:rFonts w:ascii="Cambria" w:hAnsi="Cambria" w:eastAsia="Cambria"/>
          <w:b w:val="0"/>
          <w:i w:val="0"/>
          <w:color w:val="000000"/>
          <w:sz w:val="22"/>
        </w:rPr>
        <w:t>https://amzn.in/d/37LtI4z</w:t>
      </w:r>
    </w:p>
    <w:p>
      <w:pPr>
        <w:spacing w:after="80" w:line="276" w:lineRule="auto"/>
        <w:ind w:left="357" w:hanging="357"/>
        <w:jc w:val="both"/>
      </w:pPr>
      <w:r>
        <w:rPr>
          <w:rFonts w:ascii="Cambria" w:hAnsi="Cambria" w:eastAsia="Cambria"/>
          <w:b w:val="0"/>
          <w:i w:val="0"/>
          <w:color w:val="000000"/>
          <w:sz w:val="22"/>
        </w:rPr>
        <w:t xml:space="preserve">12.  </w:t>
      </w:r>
      <w:r>
        <w:rPr>
          <w:rFonts w:ascii="Cambria" w:hAnsi="Cambria" w:eastAsia="Cambria"/>
          <w:b w:val="0"/>
          <w:i w:val="0"/>
          <w:color w:val="000000"/>
          <w:sz w:val="22"/>
        </w:rPr>
        <w:t>Comprehensive Guide for Research, Innovations, and Extension under NAAC Accreditation – Criterion 3 for Higher Education Institutions: Quality Assurance in Research, Innovation, and Extension, Kindle Edition, ASIN: B0FR9GFTST</w:t>
      </w:r>
    </w:p>
    <w:p>
      <w:pPr>
        <w:spacing w:after="120" w:before="0" w:line="276" w:lineRule="auto"/>
        <w:jc w:val="both"/>
      </w:pPr>
      <w:r>
        <w:rPr>
          <w:rFonts w:ascii="Cambria" w:hAnsi="Cambria" w:eastAsia="Cambria"/>
          <w:b w:val="0"/>
          <w:i w:val="0"/>
          <w:color w:val="000000"/>
          <w:sz w:val="22"/>
        </w:rPr>
        <w:t>https://amzn.in/d/06MFYRq</w:t>
      </w:r>
    </w:p>
    <w:p>
      <w:pPr>
        <w:spacing w:after="80" w:line="276" w:lineRule="auto"/>
        <w:ind w:left="357" w:hanging="357"/>
        <w:jc w:val="both"/>
      </w:pPr>
      <w:r>
        <w:rPr>
          <w:rFonts w:ascii="Cambria" w:hAnsi="Cambria" w:eastAsia="Cambria"/>
          <w:b w:val="0"/>
          <w:i w:val="0"/>
          <w:color w:val="000000"/>
          <w:sz w:val="22"/>
        </w:rPr>
        <w:t xml:space="preserve">13.  </w:t>
      </w:r>
      <w:r>
        <w:rPr>
          <w:rFonts w:ascii="Cambria" w:hAnsi="Cambria" w:eastAsia="Cambria"/>
          <w:b w:val="0"/>
          <w:i w:val="0"/>
          <w:color w:val="000000"/>
          <w:sz w:val="22"/>
        </w:rPr>
        <w:t>Comprehensive Guide for Infrastructure and Learning Resources under NAAC Accreditation – Criterion 4 for Higher Education Institutions: Sustainable, Inclusive, and Future-Ready Learning Ecosystems, Kindle Edition, ASIN: B0FRFFRDPB</w:t>
      </w:r>
    </w:p>
    <w:p>
      <w:pPr>
        <w:spacing w:after="120" w:before="0" w:line="276" w:lineRule="auto"/>
        <w:jc w:val="both"/>
      </w:pPr>
      <w:r>
        <w:rPr>
          <w:rFonts w:ascii="Cambria" w:hAnsi="Cambria" w:eastAsia="Cambria"/>
          <w:b w:val="0"/>
          <w:i w:val="0"/>
          <w:color w:val="000000"/>
          <w:sz w:val="22"/>
        </w:rPr>
        <w:t>https://amzn.in/d/5xlUunj</w:t>
      </w:r>
    </w:p>
    <w:p>
      <w:pPr>
        <w:spacing w:after="80" w:line="276" w:lineRule="auto"/>
        <w:ind w:left="357" w:hanging="357"/>
        <w:jc w:val="both"/>
      </w:pPr>
      <w:r>
        <w:rPr>
          <w:rFonts w:ascii="Cambria" w:hAnsi="Cambria" w:eastAsia="Cambria"/>
          <w:b w:val="0"/>
          <w:i w:val="0"/>
          <w:color w:val="000000"/>
          <w:sz w:val="22"/>
        </w:rPr>
        <w:t xml:space="preserve">14.  </w:t>
      </w:r>
      <w:r>
        <w:rPr>
          <w:rFonts w:ascii="Cambria" w:hAnsi="Cambria" w:eastAsia="Cambria"/>
          <w:b w:val="0"/>
          <w:i w:val="0"/>
          <w:color w:val="000000"/>
          <w:sz w:val="22"/>
        </w:rPr>
        <w:t>Comprehensive Guide for Student Support and Progression under NAAC Accreditation – Criterion 5 for Higher Education Institutions, Kindle Edition, ASIN: B0FRDZKYNG</w:t>
      </w:r>
    </w:p>
    <w:p>
      <w:pPr>
        <w:spacing w:after="120" w:before="0" w:line="276" w:lineRule="auto"/>
        <w:jc w:val="both"/>
      </w:pPr>
      <w:r>
        <w:rPr>
          <w:rFonts w:ascii="Cambria" w:hAnsi="Cambria" w:eastAsia="Cambria"/>
          <w:b w:val="0"/>
          <w:i w:val="0"/>
          <w:color w:val="000000"/>
          <w:sz w:val="22"/>
        </w:rPr>
        <w:t>https://amzn.in/d/3zP8hvF</w:t>
      </w:r>
    </w:p>
    <w:p>
      <w:pPr>
        <w:spacing w:after="80" w:line="276" w:lineRule="auto"/>
        <w:ind w:left="357" w:hanging="357"/>
        <w:jc w:val="both"/>
      </w:pPr>
      <w:r>
        <w:rPr>
          <w:rFonts w:ascii="Cambria" w:hAnsi="Cambria" w:eastAsia="Cambria"/>
          <w:b w:val="0"/>
          <w:i w:val="0"/>
          <w:color w:val="000000"/>
          <w:sz w:val="22"/>
        </w:rPr>
        <w:t xml:space="preserve">15.  </w:t>
      </w:r>
      <w:r>
        <w:rPr>
          <w:rFonts w:ascii="Cambria" w:hAnsi="Cambria" w:eastAsia="Cambria"/>
          <w:b w:val="0"/>
          <w:i w:val="0"/>
          <w:color w:val="000000"/>
          <w:sz w:val="22"/>
        </w:rPr>
        <w:t>Comprehensive Guide for Governance, Leadership and Management under NAAC Accreditation – Criterion 6 for Higher Education Institutions, Kindle Edition, ASIN: B0FR8KKXS4</w:t>
      </w:r>
    </w:p>
    <w:p>
      <w:pPr>
        <w:spacing w:after="120" w:before="0" w:line="276" w:lineRule="auto"/>
        <w:jc w:val="both"/>
      </w:pPr>
      <w:r>
        <w:rPr>
          <w:rFonts w:ascii="Cambria" w:hAnsi="Cambria" w:eastAsia="Cambria"/>
          <w:b w:val="0"/>
          <w:i w:val="0"/>
          <w:color w:val="000000"/>
          <w:sz w:val="22"/>
        </w:rPr>
        <w:t>https://amzn.in/d/5dscvoN</w:t>
      </w:r>
    </w:p>
    <w:p>
      <w:pPr>
        <w:spacing w:after="80" w:line="276" w:lineRule="auto"/>
        <w:ind w:left="357" w:hanging="357"/>
        <w:jc w:val="both"/>
      </w:pPr>
      <w:r>
        <w:rPr>
          <w:rFonts w:ascii="Cambria" w:hAnsi="Cambria" w:eastAsia="Cambria"/>
          <w:b w:val="0"/>
          <w:i w:val="0"/>
          <w:color w:val="000000"/>
          <w:sz w:val="22"/>
        </w:rPr>
        <w:t xml:space="preserve">16.  </w:t>
      </w:r>
      <w:r>
        <w:rPr>
          <w:rFonts w:ascii="Cambria" w:hAnsi="Cambria" w:eastAsia="Cambria"/>
          <w:b w:val="0"/>
          <w:i w:val="0"/>
          <w:color w:val="000000"/>
          <w:sz w:val="22"/>
        </w:rPr>
        <w:t>Comprehensive Guide for Institutional Values and Best Practices under NAAC Accreditation – Criterion 7 for Higher Education Institutions: Frameworks, Case Studies, and Evidence for Quality Assurance, Kindle Edition, ASIN: B0FR7WJQJ2</w:t>
      </w:r>
    </w:p>
    <w:p>
      <w:pPr>
        <w:spacing w:after="120" w:before="0" w:line="276" w:lineRule="auto"/>
        <w:jc w:val="both"/>
      </w:pPr>
      <w:r>
        <w:rPr>
          <w:rFonts w:ascii="Cambria" w:hAnsi="Cambria" w:eastAsia="Cambria"/>
          <w:b w:val="0"/>
          <w:i w:val="0"/>
          <w:color w:val="000000"/>
          <w:sz w:val="22"/>
        </w:rPr>
        <w:t>https://amzn.in/d/6gMGSy4</w:t>
      </w:r>
    </w:p>
    <w:p>
      <w:pPr>
        <w:spacing w:before="200" w:after="80"/>
      </w:pPr>
      <w:r>
        <w:rPr>
          <w:rFonts w:ascii="Cambria" w:hAnsi="Cambria"/>
          <w:b/>
          <w:color w:val="1F3A5F"/>
          <w:sz w:val="24"/>
          <w:u w:val="single"/>
        </w:rPr>
        <w:t>QS I GUAGE</w:t>
      </w:r>
    </w:p>
    <w:p>
      <w:pPr>
        <w:spacing w:after="80" w:line="276" w:lineRule="auto"/>
        <w:ind w:left="357" w:hanging="357"/>
        <w:jc w:val="both"/>
      </w:pPr>
      <w:r>
        <w:rPr>
          <w:rFonts w:ascii="Cambria" w:hAnsi="Cambria" w:eastAsia="Cambria"/>
          <w:b w:val="0"/>
          <w:i w:val="0"/>
          <w:color w:val="000000"/>
          <w:sz w:val="22"/>
        </w:rPr>
        <w:t xml:space="preserve">17.  </w:t>
      </w:r>
      <w:r>
        <w:rPr>
          <w:rFonts w:ascii="Cambria" w:hAnsi="Cambria" w:eastAsia="Cambria"/>
          <w:b w:val="0"/>
          <w:i w:val="0"/>
          <w:color w:val="000000"/>
          <w:sz w:val="22"/>
        </w:rPr>
        <w:t>QS I-GAUGE: An Independent Rating Framework for Indian Higher Education, Kindle Edition, ASIN: B0FN4WBGLT</w:t>
      </w:r>
    </w:p>
    <w:p>
      <w:pPr>
        <w:spacing w:after="120" w:before="0" w:line="276" w:lineRule="auto"/>
        <w:jc w:val="both"/>
      </w:pPr>
      <w:r>
        <w:rPr>
          <w:rFonts w:ascii="Cambria" w:hAnsi="Cambria" w:eastAsia="Cambria"/>
          <w:b w:val="0"/>
          <w:i w:val="0"/>
          <w:color w:val="000000"/>
          <w:sz w:val="22"/>
        </w:rPr>
        <w:t>https://amzn.in/d/2mlYjez</w:t>
      </w:r>
    </w:p>
    <w:p>
      <w:pPr>
        <w:spacing w:before="200" w:after="80"/>
      </w:pPr>
      <w:r>
        <w:rPr>
          <w:rFonts w:ascii="Cambria" w:hAnsi="Cambria"/>
          <w:b/>
          <w:color w:val="1F3A5F"/>
          <w:sz w:val="24"/>
          <w:u w:val="single"/>
        </w:rPr>
        <w:t>NIRF</w:t>
      </w:r>
    </w:p>
    <w:p>
      <w:pPr>
        <w:spacing w:after="80" w:line="276" w:lineRule="auto"/>
        <w:ind w:left="357" w:hanging="357"/>
        <w:jc w:val="both"/>
      </w:pPr>
      <w:r>
        <w:rPr>
          <w:rFonts w:ascii="Cambria" w:hAnsi="Cambria" w:eastAsia="Cambria"/>
          <w:b w:val="0"/>
          <w:i w:val="0"/>
          <w:color w:val="000000"/>
          <w:sz w:val="22"/>
        </w:rPr>
        <w:t xml:space="preserve">18.  </w:t>
      </w:r>
      <w:r>
        <w:rPr>
          <w:rFonts w:ascii="Cambria" w:hAnsi="Cambria" w:eastAsia="Cambria"/>
          <w:b w:val="0"/>
          <w:i w:val="0"/>
          <w:color w:val="000000"/>
          <w:sz w:val="22"/>
        </w:rPr>
        <w:t>National Institutional Ranking Framework (NIRF): Transforming Indian Higher Education: A Comprehensive Analysis of Methodology, Parameters, and Impact, Kindle Edition, ASIN: B0FQ5MNVGR</w:t>
      </w:r>
    </w:p>
    <w:p>
      <w:pPr>
        <w:spacing w:after="120" w:before="0" w:line="276" w:lineRule="auto"/>
        <w:jc w:val="both"/>
      </w:pPr>
      <w:r>
        <w:rPr>
          <w:rFonts w:ascii="Cambria" w:hAnsi="Cambria" w:eastAsia="Cambria"/>
          <w:b w:val="0"/>
          <w:i w:val="0"/>
          <w:color w:val="000000"/>
          <w:sz w:val="22"/>
        </w:rPr>
        <w:t>https://amzn.in/d/hhrZvux</w:t>
      </w:r>
    </w:p>
    <w:p>
      <w:pPr>
        <w:spacing w:before="200" w:after="80"/>
      </w:pPr>
      <w:r>
        <w:rPr>
          <w:rFonts w:ascii="Cambria" w:hAnsi="Cambria"/>
          <w:b/>
          <w:color w:val="1F3A5F"/>
          <w:sz w:val="24"/>
          <w:u w:val="single"/>
        </w:rPr>
        <w:t>NEP2020</w:t>
      </w:r>
    </w:p>
    <w:p>
      <w:pPr>
        <w:spacing w:after="80" w:line="276" w:lineRule="auto"/>
        <w:ind w:left="357" w:hanging="357"/>
        <w:jc w:val="both"/>
      </w:pPr>
      <w:r>
        <w:rPr>
          <w:rFonts w:ascii="Cambria" w:hAnsi="Cambria" w:eastAsia="Cambria"/>
          <w:b w:val="0"/>
          <w:i w:val="0"/>
          <w:color w:val="000000"/>
          <w:sz w:val="22"/>
        </w:rPr>
        <w:t xml:space="preserve">19.  </w:t>
      </w:r>
      <w:r>
        <w:rPr>
          <w:rFonts w:ascii="Cambria" w:hAnsi="Cambria" w:eastAsia="Cambria"/>
          <w:b w:val="0"/>
          <w:i w:val="0"/>
          <w:color w:val="000000"/>
          <w:sz w:val="22"/>
        </w:rPr>
        <w:t>National Education Policy 2020: A Transformative Roadmap for Holistic, Inclusive, and Future-Ready Learning in India, Kindle Edition, ASIN: B0F1L321B6</w:t>
      </w:r>
    </w:p>
    <w:p>
      <w:pPr>
        <w:spacing w:after="120" w:before="0" w:line="276" w:lineRule="auto"/>
        <w:jc w:val="both"/>
      </w:pPr>
      <w:r>
        <w:rPr>
          <w:rFonts w:ascii="Cambria" w:hAnsi="Cambria" w:eastAsia="Cambria"/>
          <w:b w:val="0"/>
          <w:i w:val="0"/>
          <w:color w:val="000000"/>
          <w:sz w:val="22"/>
        </w:rPr>
        <w:t>https://amzn.in/d/eugIo4y</w:t>
      </w:r>
    </w:p>
    <w:p>
      <w:pPr>
        <w:spacing w:before="200" w:after="80"/>
      </w:pPr>
      <w:r>
        <w:rPr>
          <w:rFonts w:ascii="Cambria" w:hAnsi="Cambria"/>
          <w:b/>
          <w:color w:val="1F3A5F"/>
          <w:sz w:val="24"/>
          <w:u w:val="single"/>
        </w:rPr>
        <w:t>IQAC</w:t>
      </w:r>
    </w:p>
    <w:p>
      <w:pPr>
        <w:spacing w:after="80" w:line="276" w:lineRule="auto"/>
        <w:ind w:left="357" w:hanging="357"/>
        <w:jc w:val="both"/>
      </w:pPr>
      <w:r>
        <w:rPr>
          <w:rFonts w:ascii="Cambria" w:hAnsi="Cambria" w:eastAsia="Cambria"/>
          <w:b w:val="0"/>
          <w:i w:val="0"/>
          <w:color w:val="000000"/>
          <w:sz w:val="22"/>
        </w:rPr>
        <w:t xml:space="preserve">20.  </w:t>
      </w:r>
      <w:r>
        <w:rPr>
          <w:rFonts w:ascii="Cambria" w:hAnsi="Cambria" w:eastAsia="Cambria"/>
          <w:b w:val="0"/>
          <w:i w:val="0"/>
          <w:color w:val="000000"/>
          <w:sz w:val="22"/>
        </w:rPr>
        <w:t>Internal Quality Assurance Cell (IQAC): A Framework for Sustaining and Enhancing Quality in Higher Education, Kindle Edition, ASIN: B0FPLRX4YF</w:t>
      </w:r>
    </w:p>
    <w:p>
      <w:pPr>
        <w:spacing w:after="120" w:before="0" w:line="276" w:lineRule="auto"/>
        <w:jc w:val="both"/>
      </w:pPr>
      <w:r>
        <w:rPr>
          <w:rFonts w:ascii="Cambria" w:hAnsi="Cambria" w:eastAsia="Cambria"/>
          <w:b w:val="0"/>
          <w:i w:val="0"/>
          <w:color w:val="000000"/>
          <w:sz w:val="22"/>
        </w:rPr>
        <w:t>https://amzn.in/d/8n5aQRb</w:t>
      </w:r>
    </w:p>
    <w:p>
      <w:pPr>
        <w:spacing w:after="80" w:line="276" w:lineRule="auto"/>
        <w:ind w:left="357" w:hanging="357"/>
        <w:jc w:val="both"/>
      </w:pPr>
      <w:r>
        <w:rPr>
          <w:rFonts w:ascii="Cambria" w:hAnsi="Cambria" w:eastAsia="Cambria"/>
          <w:b w:val="0"/>
          <w:i w:val="0"/>
          <w:color w:val="000000"/>
          <w:sz w:val="22"/>
        </w:rPr>
        <w:t xml:space="preserve">21.  </w:t>
      </w:r>
      <w:r>
        <w:rPr>
          <w:rFonts w:ascii="Cambria" w:hAnsi="Cambria" w:eastAsia="Cambria"/>
          <w:b w:val="0"/>
          <w:i w:val="0"/>
          <w:color w:val="000000"/>
          <w:sz w:val="22"/>
        </w:rPr>
        <w:t>Systematic and Transparent Feedback Mechanism in Higher Education Institutions: Ensuring Continuous Quality Improvement (CQI) and Strengthening NAAC/NBA Accreditation, Kindle Edition, ASIN: B0FPGJ77RC</w:t>
      </w:r>
    </w:p>
    <w:p>
      <w:pPr>
        <w:spacing w:after="120" w:before="0" w:line="276" w:lineRule="auto"/>
        <w:jc w:val="both"/>
      </w:pPr>
      <w:r>
        <w:rPr>
          <w:rFonts w:ascii="Cambria" w:hAnsi="Cambria" w:eastAsia="Cambria"/>
          <w:b w:val="0"/>
          <w:i w:val="0"/>
          <w:color w:val="000000"/>
          <w:sz w:val="22"/>
        </w:rPr>
        <w:t>https://amzn.in/d/emeRiJ3</w:t>
      </w:r>
    </w:p>
    <w:p>
      <w:pPr>
        <w:spacing w:after="80" w:line="276" w:lineRule="auto"/>
        <w:ind w:left="357" w:hanging="357"/>
        <w:jc w:val="both"/>
      </w:pPr>
      <w:r>
        <w:rPr>
          <w:rFonts w:ascii="Cambria" w:hAnsi="Cambria" w:eastAsia="Cambria"/>
          <w:b w:val="0"/>
          <w:i w:val="0"/>
          <w:color w:val="000000"/>
          <w:sz w:val="22"/>
        </w:rPr>
        <w:t xml:space="preserve">22.  </w:t>
      </w:r>
      <w:r>
        <w:rPr>
          <w:rFonts w:ascii="Cambria" w:hAnsi="Cambria" w:eastAsia="Cambria"/>
          <w:b w:val="0"/>
          <w:i w:val="0"/>
          <w:color w:val="000000"/>
          <w:sz w:val="22"/>
        </w:rPr>
        <w:t>Qualitative Metrics (QlM) and Quantitative Metrics (QnM) in Higher Educational Institutions (HEIs): As Applied in NAAC, NBA, and NIRF Frameworks, Kindle Edition, ASIN: B0F6CR212X</w:t>
      </w:r>
    </w:p>
    <w:p>
      <w:pPr>
        <w:spacing w:after="120" w:before="0" w:line="276" w:lineRule="auto"/>
        <w:jc w:val="both"/>
      </w:pPr>
      <w:r>
        <w:rPr>
          <w:rFonts w:ascii="Cambria" w:hAnsi="Cambria" w:eastAsia="Cambria"/>
          <w:b w:val="0"/>
          <w:i w:val="0"/>
          <w:color w:val="000000"/>
          <w:sz w:val="22"/>
        </w:rPr>
        <w:t>https://amzn.in/d/gUWl02e</w:t>
      </w:r>
    </w:p>
    <w:p>
      <w:pPr>
        <w:spacing w:after="80" w:line="276" w:lineRule="auto"/>
        <w:ind w:left="357" w:hanging="357"/>
        <w:jc w:val="both"/>
      </w:pPr>
      <w:r>
        <w:rPr>
          <w:rFonts w:ascii="Cambria" w:hAnsi="Cambria" w:eastAsia="Cambria"/>
          <w:b w:val="0"/>
          <w:i w:val="0"/>
          <w:color w:val="000000"/>
          <w:sz w:val="22"/>
        </w:rPr>
        <w:t xml:space="preserve">23.  </w:t>
      </w:r>
      <w:r>
        <w:rPr>
          <w:rFonts w:ascii="Cambria" w:hAnsi="Cambria" w:eastAsia="Cambria"/>
          <w:b w:val="0"/>
          <w:i w:val="0"/>
          <w:color w:val="000000"/>
          <w:sz w:val="22"/>
        </w:rPr>
        <w:t>Statutory and Non-Statutory Committees in Higher Educational Institutions (HEIs): Mandatory by regulatory bodies like AICTE, UGC, NAAC, NBA, etc., Kindle Edition, ASIN: B0F7GHJ863</w:t>
      </w:r>
    </w:p>
    <w:p>
      <w:pPr>
        <w:spacing w:after="120" w:before="0" w:line="276" w:lineRule="auto"/>
        <w:jc w:val="both"/>
      </w:pPr>
      <w:r>
        <w:rPr>
          <w:rFonts w:ascii="Cambria" w:hAnsi="Cambria" w:eastAsia="Cambria"/>
          <w:b w:val="0"/>
          <w:i w:val="0"/>
          <w:color w:val="000000"/>
          <w:sz w:val="22"/>
        </w:rPr>
        <w:t>https://amzn.in/d/gf0LiBn</w:t>
      </w:r>
    </w:p>
    <w:p>
      <w:pPr>
        <w:spacing w:after="80" w:line="276" w:lineRule="auto"/>
        <w:ind w:left="357" w:hanging="357"/>
        <w:jc w:val="both"/>
      </w:pPr>
      <w:r>
        <w:rPr>
          <w:rFonts w:ascii="Cambria" w:hAnsi="Cambria" w:eastAsia="Cambria"/>
          <w:b w:val="0"/>
          <w:i w:val="0"/>
          <w:color w:val="000000"/>
          <w:sz w:val="22"/>
        </w:rPr>
        <w:t xml:space="preserve">24.  </w:t>
      </w:r>
      <w:r>
        <w:rPr>
          <w:rFonts w:ascii="Cambria" w:hAnsi="Cambria" w:eastAsia="Cambria"/>
          <w:b w:val="0"/>
          <w:i w:val="0"/>
          <w:color w:val="000000"/>
          <w:sz w:val="22"/>
        </w:rPr>
        <w:t>Empowering Academic Skilling and Mathematical Modelling through Technical Computing Languages in Higher Education Institutions, Kindle Edition, ASIN: B0FC7TNZNG</w:t>
      </w:r>
    </w:p>
    <w:p>
      <w:pPr>
        <w:spacing w:after="120" w:before="0" w:line="276" w:lineRule="auto"/>
        <w:jc w:val="both"/>
      </w:pPr>
      <w:r>
        <w:rPr>
          <w:rFonts w:ascii="Cambria" w:hAnsi="Cambria" w:eastAsia="Cambria"/>
          <w:b w:val="0"/>
          <w:i w:val="0"/>
          <w:color w:val="000000"/>
          <w:sz w:val="22"/>
        </w:rPr>
        <w:t>https://amzn.in/d/brIlQwZ</w:t>
      </w:r>
    </w:p>
    <w:p>
      <w:pPr>
        <w:spacing w:after="80" w:line="276" w:lineRule="auto"/>
        <w:ind w:left="357" w:hanging="357"/>
        <w:jc w:val="both"/>
      </w:pPr>
      <w:r>
        <w:rPr>
          <w:rFonts w:ascii="Cambria" w:hAnsi="Cambria" w:eastAsia="Cambria"/>
          <w:b w:val="0"/>
          <w:i w:val="0"/>
          <w:color w:val="000000"/>
          <w:sz w:val="22"/>
        </w:rPr>
        <w:t xml:space="preserve">25.  </w:t>
      </w:r>
      <w:r>
        <w:rPr>
          <w:rFonts w:ascii="Cambria" w:hAnsi="Cambria" w:eastAsia="Cambria"/>
          <w:b w:val="0"/>
          <w:i w:val="0"/>
          <w:color w:val="000000"/>
          <w:sz w:val="22"/>
        </w:rPr>
        <w:t>Research and Development Transformation in Higher Education Institutions, Kindle Edition, ASIN: B0FB9QFS88</w:t>
      </w:r>
    </w:p>
    <w:p>
      <w:pPr>
        <w:spacing w:after="120" w:before="0" w:line="276" w:lineRule="auto"/>
        <w:jc w:val="both"/>
      </w:pPr>
      <w:r>
        <w:rPr>
          <w:rFonts w:ascii="Cambria" w:hAnsi="Cambria" w:eastAsia="Cambria"/>
          <w:b w:val="0"/>
          <w:i w:val="0"/>
          <w:color w:val="000000"/>
          <w:sz w:val="22"/>
        </w:rPr>
        <w:t>https://amzn.in/d/1uOQZ0o</w:t>
      </w:r>
    </w:p>
    <w:p>
      <w:pPr>
        <w:spacing w:after="80" w:line="276" w:lineRule="auto"/>
        <w:ind w:left="357" w:hanging="357"/>
        <w:jc w:val="both"/>
      </w:pPr>
      <w:r>
        <w:rPr>
          <w:rFonts w:ascii="Cambria" w:hAnsi="Cambria" w:eastAsia="Cambria"/>
          <w:b w:val="0"/>
          <w:i w:val="0"/>
          <w:color w:val="000000"/>
          <w:sz w:val="22"/>
        </w:rPr>
        <w:t xml:space="preserve">26.  </w:t>
      </w:r>
      <w:r>
        <w:rPr>
          <w:rFonts w:ascii="Cambria" w:hAnsi="Cambria" w:eastAsia="Cambria"/>
          <w:b w:val="0"/>
          <w:i w:val="0"/>
          <w:color w:val="000000"/>
          <w:sz w:val="22"/>
        </w:rPr>
        <w:t>Institutional Development Plans in Higher Education: Empowering Institutions for the 21st Century, Kindle Edition, ASIN: B0FDBV6D47</w:t>
      </w:r>
    </w:p>
    <w:p>
      <w:pPr>
        <w:spacing w:after="120" w:before="0" w:line="276" w:lineRule="auto"/>
        <w:jc w:val="both"/>
      </w:pPr>
      <w:r>
        <w:rPr>
          <w:rFonts w:ascii="Cambria" w:hAnsi="Cambria" w:eastAsia="Cambria"/>
          <w:b w:val="0"/>
          <w:i w:val="0"/>
          <w:color w:val="000000"/>
          <w:sz w:val="22"/>
        </w:rPr>
        <w:t>https://amzn.in/d/ckm98I2</w:t>
      </w:r>
    </w:p>
    <w:p>
      <w:pPr>
        <w:spacing w:after="80" w:line="276" w:lineRule="auto"/>
        <w:ind w:left="357" w:hanging="357"/>
        <w:jc w:val="both"/>
      </w:pPr>
      <w:r>
        <w:rPr>
          <w:rFonts w:ascii="Cambria" w:hAnsi="Cambria" w:eastAsia="Cambria"/>
          <w:b w:val="0"/>
          <w:i w:val="0"/>
          <w:color w:val="000000"/>
          <w:sz w:val="22"/>
        </w:rPr>
        <w:t xml:space="preserve">27.  </w:t>
      </w:r>
      <w:r>
        <w:rPr>
          <w:rFonts w:ascii="Cambria" w:hAnsi="Cambria" w:eastAsia="Cambria"/>
          <w:b w:val="0"/>
          <w:i w:val="0"/>
          <w:color w:val="000000"/>
          <w:sz w:val="22"/>
        </w:rPr>
        <w:t>Comprehensive Academic System in Higher Education Institutions, Kindle Edition, ASIN: B0FF2HDMSG</w:t>
      </w:r>
    </w:p>
    <w:p>
      <w:pPr>
        <w:spacing w:after="120" w:before="0" w:line="276" w:lineRule="auto"/>
        <w:jc w:val="both"/>
      </w:pPr>
      <w:r>
        <w:rPr>
          <w:rFonts w:ascii="Cambria" w:hAnsi="Cambria" w:eastAsia="Cambria"/>
          <w:b w:val="0"/>
          <w:i w:val="0"/>
          <w:color w:val="000000"/>
          <w:sz w:val="22"/>
        </w:rPr>
        <w:t>https://amzn.in/d/dbPMaVL</w:t>
      </w:r>
    </w:p>
    <w:p>
      <w:pPr>
        <w:spacing w:after="80" w:line="276" w:lineRule="auto"/>
        <w:ind w:left="357" w:hanging="357"/>
        <w:jc w:val="both"/>
      </w:pPr>
      <w:r>
        <w:rPr>
          <w:rFonts w:ascii="Cambria" w:hAnsi="Cambria" w:eastAsia="Cambria"/>
          <w:b w:val="0"/>
          <w:i w:val="0"/>
          <w:color w:val="000000"/>
          <w:sz w:val="22"/>
        </w:rPr>
        <w:t xml:space="preserve">28.  </w:t>
      </w:r>
      <w:r>
        <w:rPr>
          <w:rFonts w:ascii="Cambria" w:hAnsi="Cambria" w:eastAsia="Cambria"/>
          <w:b w:val="0"/>
          <w:i w:val="0"/>
          <w:color w:val="000000"/>
          <w:sz w:val="22"/>
        </w:rPr>
        <w:t>Structured Approaches to Teaching, Learning, and Student Engagement in HEIs, Kindle Edition, ASIN: B0DB8QK1B4</w:t>
      </w:r>
    </w:p>
    <w:p>
      <w:pPr>
        <w:spacing w:after="120" w:before="0" w:line="276" w:lineRule="auto"/>
        <w:jc w:val="both"/>
      </w:pPr>
      <w:r>
        <w:rPr>
          <w:rFonts w:ascii="Cambria" w:hAnsi="Cambria" w:eastAsia="Cambria"/>
          <w:b w:val="0"/>
          <w:i w:val="0"/>
          <w:color w:val="000000"/>
          <w:sz w:val="22"/>
        </w:rPr>
        <w:t>https://amzn.in/d/7jNZrQo</w:t>
      </w:r>
    </w:p>
    <w:p>
      <w:pPr>
        <w:spacing w:after="80" w:line="276" w:lineRule="auto"/>
        <w:ind w:left="357" w:hanging="357"/>
        <w:jc w:val="both"/>
      </w:pPr>
      <w:r>
        <w:rPr>
          <w:rFonts w:ascii="Cambria" w:hAnsi="Cambria" w:eastAsia="Cambria"/>
          <w:b w:val="0"/>
          <w:i w:val="0"/>
          <w:color w:val="000000"/>
          <w:sz w:val="22"/>
        </w:rPr>
        <w:t xml:space="preserve">29.  </w:t>
      </w:r>
      <w:r>
        <w:rPr>
          <w:rFonts w:ascii="Cambria" w:hAnsi="Cambria" w:eastAsia="Cambria"/>
          <w:b w:val="0"/>
          <w:i w:val="0"/>
          <w:color w:val="000000"/>
          <w:sz w:val="22"/>
        </w:rPr>
        <w:t>Admission Process in Indian Higher Education: A Comprehensive Institutional Guide, Kindle Edition, ASIN: B0FFNCPP6P</w:t>
      </w:r>
    </w:p>
    <w:p>
      <w:pPr>
        <w:spacing w:after="120" w:before="0" w:line="276" w:lineRule="auto"/>
        <w:jc w:val="both"/>
      </w:pPr>
      <w:r>
        <w:rPr>
          <w:rFonts w:ascii="Cambria" w:hAnsi="Cambria" w:eastAsia="Cambria"/>
          <w:b w:val="0"/>
          <w:i w:val="0"/>
          <w:color w:val="000000"/>
          <w:sz w:val="22"/>
        </w:rPr>
        <w:t>https://amzn.in/d/0XO6APq</w:t>
      </w:r>
    </w:p>
    <w:p>
      <w:pPr>
        <w:spacing w:after="80" w:line="276" w:lineRule="auto"/>
        <w:ind w:left="357" w:hanging="357"/>
        <w:jc w:val="both"/>
      </w:pPr>
      <w:r>
        <w:rPr>
          <w:rFonts w:ascii="Cambria" w:hAnsi="Cambria" w:eastAsia="Cambria"/>
          <w:b w:val="0"/>
          <w:i w:val="0"/>
          <w:color w:val="000000"/>
          <w:sz w:val="22"/>
        </w:rPr>
        <w:t xml:space="preserve">30.  </w:t>
      </w:r>
      <w:r>
        <w:rPr>
          <w:rFonts w:ascii="Cambria" w:hAnsi="Cambria" w:eastAsia="Cambria"/>
          <w:b w:val="0"/>
          <w:i w:val="0"/>
          <w:color w:val="000000"/>
          <w:sz w:val="22"/>
        </w:rPr>
        <w:t>Strategic Implementation of Best Practices in HEIs: Enhancing Quality, Innovation, and Impact, Kindle Edition, ASIN: B0CZP85QK7</w:t>
      </w:r>
    </w:p>
    <w:p>
      <w:pPr>
        <w:spacing w:after="120" w:before="0" w:line="276" w:lineRule="auto"/>
        <w:jc w:val="both"/>
      </w:pPr>
      <w:r>
        <w:rPr>
          <w:rFonts w:ascii="Cambria" w:hAnsi="Cambria" w:eastAsia="Cambria"/>
          <w:b w:val="0"/>
          <w:i w:val="0"/>
          <w:color w:val="000000"/>
          <w:sz w:val="22"/>
        </w:rPr>
        <w:t>https://amzn.in/d/5uj5Lkb</w:t>
      </w:r>
    </w:p>
    <w:p>
      <w:pPr>
        <w:spacing w:after="80" w:line="276" w:lineRule="auto"/>
        <w:ind w:left="357" w:hanging="357"/>
        <w:jc w:val="both"/>
      </w:pPr>
      <w:r>
        <w:rPr>
          <w:rFonts w:ascii="Cambria" w:hAnsi="Cambria" w:eastAsia="Cambria"/>
          <w:b w:val="0"/>
          <w:i w:val="0"/>
          <w:color w:val="000000"/>
          <w:sz w:val="22"/>
        </w:rPr>
        <w:t xml:space="preserve">31.  </w:t>
      </w:r>
      <w:r>
        <w:rPr>
          <w:rFonts w:ascii="Cambria" w:hAnsi="Cambria" w:eastAsia="Cambria"/>
          <w:b w:val="0"/>
          <w:i w:val="0"/>
          <w:color w:val="000000"/>
          <w:sz w:val="22"/>
        </w:rPr>
        <w:t>Outcome-Based Education in Higher Learning: Philosophy, Design, and Impact, Kindle Edition, ASIN: B0FPCB5GHH</w:t>
      </w:r>
    </w:p>
    <w:p>
      <w:pPr>
        <w:spacing w:after="120" w:before="0" w:line="276" w:lineRule="auto"/>
        <w:jc w:val="both"/>
      </w:pPr>
      <w:r>
        <w:rPr>
          <w:rFonts w:ascii="Cambria" w:hAnsi="Cambria" w:eastAsia="Cambria"/>
          <w:b w:val="0"/>
          <w:i w:val="0"/>
          <w:color w:val="000000"/>
          <w:sz w:val="22"/>
        </w:rPr>
        <w:t>https://amzn.in/d/3oGmnue</w:t>
      </w:r>
    </w:p>
    <w:p>
      <w:pPr>
        <w:spacing w:after="80" w:line="276" w:lineRule="auto"/>
        <w:ind w:left="357" w:hanging="357"/>
        <w:jc w:val="both"/>
      </w:pPr>
      <w:r>
        <w:rPr>
          <w:rFonts w:ascii="Cambria" w:hAnsi="Cambria" w:eastAsia="Cambria"/>
          <w:b w:val="0"/>
          <w:i w:val="0"/>
          <w:color w:val="000000"/>
          <w:sz w:val="22"/>
        </w:rPr>
        <w:t xml:space="preserve">32.  </w:t>
      </w:r>
      <w:r>
        <w:rPr>
          <w:rFonts w:ascii="Cambria" w:hAnsi="Cambria" w:eastAsia="Cambria"/>
          <w:b w:val="0"/>
          <w:i w:val="0"/>
          <w:color w:val="000000"/>
          <w:sz w:val="22"/>
        </w:rPr>
        <w:t>Holistic Performance Appraisal and Development: Driving Continuous Quality in Higher Education Institutions, Kindle Edition, ASIN: B0FQN2S8WH</w:t>
      </w:r>
    </w:p>
    <w:p>
      <w:pPr>
        <w:spacing w:after="120" w:before="0" w:line="276" w:lineRule="auto"/>
        <w:jc w:val="both"/>
      </w:pPr>
      <w:r>
        <w:rPr>
          <w:rFonts w:ascii="Cambria" w:hAnsi="Cambria" w:eastAsia="Cambria"/>
          <w:b w:val="0"/>
          <w:i w:val="0"/>
          <w:color w:val="000000"/>
          <w:sz w:val="22"/>
        </w:rPr>
        <w:t>https://amzn.in/d/bipHsu8</w:t>
      </w:r>
    </w:p>
    <w:p>
      <w:pPr>
        <w:spacing w:after="80" w:line="276" w:lineRule="auto"/>
        <w:ind w:left="357" w:hanging="357"/>
        <w:jc w:val="both"/>
      </w:pPr>
      <w:r>
        <w:rPr>
          <w:rFonts w:ascii="Cambria" w:hAnsi="Cambria" w:eastAsia="Cambria"/>
          <w:b w:val="0"/>
          <w:i w:val="0"/>
          <w:color w:val="000000"/>
          <w:sz w:val="22"/>
        </w:rPr>
        <w:t xml:space="preserve">33.  </w:t>
      </w:r>
      <w:r>
        <w:rPr>
          <w:rFonts w:ascii="Cambria" w:hAnsi="Cambria" w:eastAsia="Cambria"/>
          <w:b w:val="0"/>
          <w:i w:val="0"/>
          <w:color w:val="000000"/>
          <w:sz w:val="22"/>
        </w:rPr>
        <w:t>Comprehensive Code of Ethics and Conduct for Students in Higher Education Institutions, Kindle Edition, ASIN: B0FQS7V248</w:t>
      </w:r>
    </w:p>
    <w:p>
      <w:pPr>
        <w:spacing w:after="120" w:before="0" w:line="276" w:lineRule="auto"/>
        <w:jc w:val="both"/>
      </w:pPr>
      <w:r>
        <w:rPr>
          <w:rFonts w:ascii="Cambria" w:hAnsi="Cambria" w:eastAsia="Cambria"/>
          <w:b w:val="0"/>
          <w:i w:val="0"/>
          <w:color w:val="000000"/>
          <w:sz w:val="22"/>
        </w:rPr>
        <w:t>https://amzn.in/d/6jfKQnI</w:t>
      </w:r>
    </w:p>
    <w:p>
      <w:pPr>
        <w:spacing w:after="80" w:line="276" w:lineRule="auto"/>
        <w:ind w:left="357" w:hanging="357"/>
        <w:jc w:val="both"/>
      </w:pPr>
      <w:r>
        <w:rPr>
          <w:rFonts w:ascii="Cambria" w:hAnsi="Cambria" w:eastAsia="Cambria"/>
          <w:b w:val="0"/>
          <w:i w:val="0"/>
          <w:color w:val="000000"/>
          <w:sz w:val="22"/>
        </w:rPr>
        <w:t xml:space="preserve">34.  </w:t>
      </w:r>
      <w:r>
        <w:rPr>
          <w:rFonts w:ascii="Cambria" w:hAnsi="Cambria" w:eastAsia="Cambria"/>
          <w:b w:val="0"/>
          <w:i w:val="0"/>
          <w:color w:val="000000"/>
          <w:sz w:val="22"/>
        </w:rPr>
        <w:t>Industry Internship Program: Structure, Guidelines, and Evaluation Framework: Enhancing Employability and Industry Linkages in HEIs, Kindle Edition, ASIN: B0FQLF8385</w:t>
      </w:r>
    </w:p>
    <w:p>
      <w:pPr>
        <w:spacing w:after="120" w:before="0" w:line="276" w:lineRule="auto"/>
        <w:jc w:val="both"/>
      </w:pPr>
      <w:r>
        <w:rPr>
          <w:rFonts w:ascii="Cambria" w:hAnsi="Cambria" w:eastAsia="Cambria"/>
          <w:b w:val="0"/>
          <w:i w:val="0"/>
          <w:color w:val="000000"/>
          <w:sz w:val="22"/>
        </w:rPr>
        <w:t>https://amzn.in/d/8scRAIj</w:t>
      </w:r>
    </w:p>
    <w:p>
      <w:pPr>
        <w:spacing w:after="80" w:line="276" w:lineRule="auto"/>
        <w:ind w:left="357" w:hanging="357"/>
        <w:jc w:val="both"/>
      </w:pPr>
      <w:r>
        <w:rPr>
          <w:rFonts w:ascii="Cambria" w:hAnsi="Cambria" w:eastAsia="Cambria"/>
          <w:b w:val="0"/>
          <w:i w:val="0"/>
          <w:color w:val="000000"/>
          <w:sz w:val="22"/>
        </w:rPr>
        <w:t xml:space="preserve">35.  </w:t>
      </w:r>
      <w:r>
        <w:rPr>
          <w:rFonts w:ascii="Cambria" w:hAnsi="Cambria" w:eastAsia="Cambria"/>
          <w:b w:val="0"/>
          <w:i w:val="0"/>
          <w:color w:val="000000"/>
          <w:sz w:val="22"/>
        </w:rPr>
        <w:t>Energy Management and Audit in Indian Educational Institutions: A Blueprint for Sustainable Growth: Mapping Institutional Energy Management to NAAC Criteria, SDG Goals, and QS I-GAUGE Standards, Kindle Edition, ASIN: B0FQZNSBJ5</w:t>
      </w:r>
    </w:p>
    <w:p>
      <w:pPr>
        <w:spacing w:after="120" w:before="0" w:line="276" w:lineRule="auto"/>
        <w:jc w:val="both"/>
      </w:pPr>
      <w:r>
        <w:rPr>
          <w:rFonts w:ascii="Cambria" w:hAnsi="Cambria" w:eastAsia="Cambria"/>
          <w:b w:val="0"/>
          <w:i w:val="0"/>
          <w:color w:val="000000"/>
          <w:sz w:val="22"/>
        </w:rPr>
        <w:t>https://amzn.in/d/eKx5NC9</w:t>
      </w:r>
    </w:p>
    <w:p>
      <w:pPr>
        <w:spacing w:after="80" w:line="276" w:lineRule="auto"/>
        <w:ind w:left="357" w:hanging="357"/>
        <w:jc w:val="both"/>
      </w:pPr>
      <w:r>
        <w:rPr>
          <w:rFonts w:ascii="Cambria" w:hAnsi="Cambria" w:eastAsia="Cambria"/>
          <w:b w:val="0"/>
          <w:i w:val="0"/>
          <w:color w:val="000000"/>
          <w:sz w:val="22"/>
        </w:rPr>
        <w:t xml:space="preserve">36.  </w:t>
      </w:r>
      <w:r>
        <w:rPr>
          <w:rFonts w:ascii="Cambria" w:hAnsi="Cambria" w:eastAsia="Cambria"/>
          <w:b w:val="0"/>
          <w:i w:val="0"/>
          <w:color w:val="000000"/>
          <w:sz w:val="22"/>
        </w:rPr>
        <w:t>Financial Operations and Management Policy in Higher Education Institutions: A Comprehensive Framework Linking Finance Policy to NAAC, NBA, NIRF, QS I-GAUGE, and SDGs, Kindle Edition, ASIN: B0FR1P216J</w:t>
      </w:r>
    </w:p>
    <w:p>
      <w:pPr>
        <w:spacing w:after="120" w:before="0" w:line="276" w:lineRule="auto"/>
        <w:jc w:val="both"/>
      </w:pPr>
      <w:r>
        <w:rPr>
          <w:rFonts w:ascii="Cambria" w:hAnsi="Cambria" w:eastAsia="Cambria"/>
          <w:b w:val="0"/>
          <w:i w:val="0"/>
          <w:color w:val="000000"/>
          <w:sz w:val="22"/>
        </w:rPr>
        <w:t>https://amzn.in/d/8st88zc</w:t>
      </w:r>
    </w:p>
    <w:p>
      <w:pPr>
        <w:spacing w:after="80" w:line="276" w:lineRule="auto"/>
        <w:ind w:left="357" w:hanging="357"/>
        <w:jc w:val="both"/>
      </w:pPr>
      <w:r>
        <w:rPr>
          <w:rFonts w:ascii="Cambria" w:hAnsi="Cambria" w:eastAsia="Cambria"/>
          <w:b w:val="0"/>
          <w:i w:val="0"/>
          <w:color w:val="000000"/>
          <w:sz w:val="22"/>
        </w:rPr>
        <w:t xml:space="preserve">37.  </w:t>
      </w:r>
      <w:r>
        <w:rPr>
          <w:rFonts w:ascii="Cambria" w:hAnsi="Cambria" w:eastAsia="Cambria"/>
          <w:b w:val="0"/>
          <w:i w:val="0"/>
          <w:color w:val="000000"/>
          <w:sz w:val="22"/>
        </w:rPr>
        <w:t>Comprehensive Policy Framework for Sustainable Water Management, Conservation, and Auditing in Higher Education Institutions, Kindle Edition, ASIN: B0FR31X1BC</w:t>
      </w:r>
    </w:p>
    <w:p>
      <w:pPr>
        <w:spacing w:after="120" w:before="0" w:line="276" w:lineRule="auto"/>
        <w:jc w:val="both"/>
      </w:pPr>
      <w:r>
        <w:rPr>
          <w:rFonts w:ascii="Cambria" w:hAnsi="Cambria" w:eastAsia="Cambria"/>
          <w:b w:val="0"/>
          <w:i w:val="0"/>
          <w:color w:val="000000"/>
          <w:sz w:val="22"/>
        </w:rPr>
        <w:t>https://amzn.in/d/3i4oLf1</w:t>
      </w:r>
    </w:p>
    <w:p>
      <w:pPr>
        <w:spacing w:after="80" w:line="276" w:lineRule="auto"/>
        <w:ind w:left="357" w:hanging="357"/>
        <w:jc w:val="both"/>
      </w:pPr>
      <w:r>
        <w:rPr>
          <w:rFonts w:ascii="Cambria" w:hAnsi="Cambria" w:eastAsia="Cambria"/>
          <w:b w:val="0"/>
          <w:i w:val="0"/>
          <w:color w:val="000000"/>
          <w:sz w:val="22"/>
        </w:rPr>
        <w:t xml:space="preserve">38.  </w:t>
      </w:r>
      <w:r>
        <w:rPr>
          <w:rFonts w:ascii="Cambria" w:hAnsi="Cambria" w:eastAsia="Cambria"/>
          <w:b w:val="0"/>
          <w:i w:val="0"/>
          <w:color w:val="000000"/>
          <w:sz w:val="22"/>
        </w:rPr>
        <w:t>Comprehensive Framework for Student Grievance, Counselling, Anti-Ragging, and Internal Complaints in HEIs: Mapping Student Support and Protection Mechanisms to NAAC, NBA, NIRF, QS I-GAUGE, and SDGs, Kindle Edition, ASIN: B0FR58L1G8</w:t>
      </w:r>
    </w:p>
    <w:p>
      <w:pPr>
        <w:spacing w:after="120" w:before="0" w:line="276" w:lineRule="auto"/>
        <w:jc w:val="both"/>
      </w:pPr>
      <w:r>
        <w:rPr>
          <w:rFonts w:ascii="Cambria" w:hAnsi="Cambria" w:eastAsia="Cambria"/>
          <w:b w:val="0"/>
          <w:i w:val="0"/>
          <w:color w:val="000000"/>
          <w:sz w:val="22"/>
        </w:rPr>
        <w:t>https://amzn.in/d/gXvdCpx</w:t>
      </w:r>
    </w:p>
    <w:p>
      <w:pPr>
        <w:spacing w:after="80" w:line="276" w:lineRule="auto"/>
        <w:ind w:left="357" w:hanging="357"/>
        <w:jc w:val="both"/>
      </w:pPr>
      <w:r>
        <w:rPr>
          <w:rFonts w:ascii="Cambria" w:hAnsi="Cambria" w:eastAsia="Cambria"/>
          <w:b w:val="0"/>
          <w:i w:val="0"/>
          <w:color w:val="000000"/>
          <w:sz w:val="22"/>
        </w:rPr>
        <w:t xml:space="preserve">39.  </w:t>
      </w:r>
      <w:r>
        <w:rPr>
          <w:rFonts w:ascii="Cambria" w:hAnsi="Cambria" w:eastAsia="Cambria"/>
          <w:b w:val="0"/>
          <w:i w:val="0"/>
          <w:color w:val="000000"/>
          <w:sz w:val="22"/>
        </w:rPr>
        <w:t>Student Affairs Policy for Higher Education Institutions (HEIs): Aligning Student Development with NAAC, NBA, NIRF, QS I-GAUGE, and SDG Standards, Kindle Edition, ASIN: B0FR4GW6RB</w:t>
      </w:r>
    </w:p>
    <w:p>
      <w:pPr>
        <w:spacing w:after="120" w:before="0" w:line="276" w:lineRule="auto"/>
        <w:jc w:val="both"/>
      </w:pPr>
      <w:r>
        <w:rPr>
          <w:rFonts w:ascii="Cambria" w:hAnsi="Cambria" w:eastAsia="Cambria"/>
          <w:b w:val="0"/>
          <w:i w:val="0"/>
          <w:color w:val="000000"/>
          <w:sz w:val="22"/>
        </w:rPr>
        <w:t>https://amzn.in/d/2zTHV0B</w:t>
      </w:r>
    </w:p>
    <w:p>
      <w:pPr>
        <w:spacing w:after="80" w:line="276" w:lineRule="auto"/>
        <w:ind w:left="357" w:hanging="357"/>
        <w:jc w:val="both"/>
      </w:pPr>
      <w:r>
        <w:rPr>
          <w:rFonts w:ascii="Cambria" w:hAnsi="Cambria" w:eastAsia="Cambria"/>
          <w:b w:val="0"/>
          <w:i w:val="0"/>
          <w:color w:val="000000"/>
          <w:sz w:val="22"/>
        </w:rPr>
        <w:t xml:space="preserve">40.  </w:t>
      </w:r>
      <w:r>
        <w:rPr>
          <w:rFonts w:ascii="Cambria" w:hAnsi="Cambria" w:eastAsia="Cambria"/>
          <w:b w:val="0"/>
          <w:i w:val="0"/>
          <w:color w:val="000000"/>
          <w:sz w:val="22"/>
        </w:rPr>
        <w:t>Extension and Outreach Services in Higher Education: Leadership, Governance, and Community Engagement Strategies, Kindle Edition, ASIN: B0FRLHXR1G</w:t>
      </w:r>
    </w:p>
    <w:p>
      <w:pPr>
        <w:spacing w:after="120" w:before="0" w:line="276" w:lineRule="auto"/>
        <w:jc w:val="both"/>
      </w:pPr>
      <w:r>
        <w:rPr>
          <w:rFonts w:ascii="Cambria" w:hAnsi="Cambria" w:eastAsia="Cambria"/>
          <w:b w:val="0"/>
          <w:i w:val="0"/>
          <w:color w:val="000000"/>
          <w:sz w:val="22"/>
        </w:rPr>
        <w:t>https://amzn.in/d/9NE2wGs</w:t>
      </w:r>
    </w:p>
    <w:p>
      <w:pPr>
        <w:spacing w:after="80" w:line="276" w:lineRule="auto"/>
        <w:ind w:left="357" w:hanging="357"/>
        <w:jc w:val="both"/>
      </w:pPr>
      <w:r>
        <w:rPr>
          <w:rFonts w:ascii="Cambria" w:hAnsi="Cambria" w:eastAsia="Cambria"/>
          <w:b w:val="0"/>
          <w:i w:val="0"/>
          <w:color w:val="000000"/>
          <w:sz w:val="22"/>
        </w:rPr>
        <w:t xml:space="preserve">41.  </w:t>
      </w:r>
      <w:r>
        <w:rPr>
          <w:rFonts w:ascii="Cambria" w:hAnsi="Cambria" w:eastAsia="Cambria"/>
          <w:b w:val="0"/>
          <w:i w:val="0"/>
          <w:color w:val="000000"/>
          <w:sz w:val="22"/>
        </w:rPr>
        <w:t>Central Library: Policies, Procedures, and Best Practices in Higher Education Institutions: Aligning with NAAC, NIRF, NBA, and QS-I Gauge Standards, Kindle Edition, ASIN: B0FRMKX2BX</w:t>
      </w:r>
    </w:p>
    <w:p>
      <w:pPr>
        <w:spacing w:after="120" w:before="0" w:line="276" w:lineRule="auto"/>
        <w:jc w:val="both"/>
      </w:pPr>
      <w:r>
        <w:rPr>
          <w:rFonts w:ascii="Cambria" w:hAnsi="Cambria" w:eastAsia="Cambria"/>
          <w:b w:val="0"/>
          <w:i w:val="0"/>
          <w:color w:val="000000"/>
          <w:sz w:val="22"/>
        </w:rPr>
        <w:t>https://amzn.in/d/9Qfr8S0</w:t>
      </w:r>
    </w:p>
    <w:p>
      <w:pPr>
        <w:spacing w:after="80" w:line="276" w:lineRule="auto"/>
        <w:ind w:left="357" w:hanging="357"/>
        <w:jc w:val="both"/>
      </w:pPr>
      <w:r>
        <w:rPr>
          <w:rFonts w:ascii="Cambria" w:hAnsi="Cambria" w:eastAsia="Cambria"/>
          <w:b w:val="0"/>
          <w:i w:val="0"/>
          <w:color w:val="000000"/>
          <w:sz w:val="22"/>
        </w:rPr>
        <w:t xml:space="preserve">42.  </w:t>
      </w:r>
      <w:r>
        <w:rPr>
          <w:rFonts w:ascii="Cambria" w:hAnsi="Cambria" w:eastAsia="Cambria"/>
          <w:b w:val="0"/>
          <w:i w:val="0"/>
          <w:color w:val="000000"/>
          <w:sz w:val="22"/>
        </w:rPr>
        <w:t>Institutional Policy on Publishing in Higher Education Institutions: Frameworks, Standards, and Best Practices for NAAC, NBA, NIRF, and QS I-GAUGE Compliance, Kindle Edition, ASIN: B0FRRBM6HD</w:t>
      </w:r>
    </w:p>
    <w:p>
      <w:pPr>
        <w:spacing w:after="120" w:before="0" w:line="276" w:lineRule="auto"/>
        <w:jc w:val="both"/>
      </w:pPr>
      <w:r>
        <w:rPr>
          <w:rFonts w:ascii="Cambria" w:hAnsi="Cambria" w:eastAsia="Cambria"/>
          <w:b w:val="0"/>
          <w:i w:val="0"/>
          <w:color w:val="000000"/>
          <w:sz w:val="22"/>
        </w:rPr>
        <w:t>https://amzn.in/d/0bYPpGu</w:t>
      </w:r>
    </w:p>
    <w:p>
      <w:pPr>
        <w:spacing w:after="80" w:line="276" w:lineRule="auto"/>
        <w:ind w:left="357" w:hanging="357"/>
        <w:jc w:val="both"/>
      </w:pPr>
      <w:r>
        <w:rPr>
          <w:rFonts w:ascii="Cambria" w:hAnsi="Cambria" w:eastAsia="Cambria"/>
          <w:b w:val="0"/>
          <w:i w:val="0"/>
          <w:color w:val="000000"/>
          <w:sz w:val="22"/>
        </w:rPr>
        <w:t xml:space="preserve">43.  </w:t>
      </w:r>
      <w:r>
        <w:rPr>
          <w:rFonts w:ascii="Cambria" w:hAnsi="Cambria" w:eastAsia="Cambria"/>
          <w:b w:val="0"/>
          <w:i w:val="0"/>
          <w:color w:val="000000"/>
          <w:sz w:val="22"/>
        </w:rPr>
        <w:t>IT Services in Higher Education Institutions (HEIs): Policies, Registers, and Best Practices: Aligning IT Services in HEIs with NAAC, NBA, NIRF, and QS I-GAUGE Accreditation Frameworks, Kindle Edition, ASIN: B0FRRD3W8C</w:t>
      </w:r>
    </w:p>
    <w:p>
      <w:pPr>
        <w:spacing w:after="120" w:before="0" w:line="276" w:lineRule="auto"/>
        <w:jc w:val="both"/>
      </w:pPr>
      <w:r>
        <w:rPr>
          <w:rFonts w:ascii="Cambria" w:hAnsi="Cambria" w:eastAsia="Cambria"/>
          <w:b w:val="0"/>
          <w:i w:val="0"/>
          <w:color w:val="000000"/>
          <w:sz w:val="22"/>
        </w:rPr>
        <w:t>https://amzn.in/d/5wXPUFs</w:t>
      </w:r>
    </w:p>
    <w:p>
      <w:pPr>
        <w:spacing w:after="80" w:line="276" w:lineRule="auto"/>
        <w:ind w:left="357" w:hanging="357"/>
        <w:jc w:val="both"/>
      </w:pPr>
      <w:r>
        <w:rPr>
          <w:rFonts w:ascii="Cambria" w:hAnsi="Cambria" w:eastAsia="Cambria"/>
          <w:b w:val="0"/>
          <w:i w:val="0"/>
          <w:color w:val="000000"/>
          <w:sz w:val="22"/>
        </w:rPr>
        <w:t xml:space="preserve">44.  </w:t>
      </w:r>
      <w:r>
        <w:rPr>
          <w:rFonts w:ascii="Cambria" w:hAnsi="Cambria" w:eastAsia="Cambria"/>
          <w:b w:val="0"/>
          <w:i w:val="0"/>
          <w:color w:val="000000"/>
          <w:sz w:val="22"/>
        </w:rPr>
        <w:t>Physical Facilities, Maintenance, and Construction in Higher Education Institutions (HEIs): Registers, Audit Frameworks, and Accreditation Evidence for NAAC, NIRF, QS I-GAUGE, and NBA, Kindle Edition, ASIN: B0FRYFGLHC</w:t>
      </w:r>
    </w:p>
    <w:p>
      <w:pPr>
        <w:spacing w:after="120" w:before="0" w:line="276" w:lineRule="auto"/>
        <w:jc w:val="both"/>
      </w:pPr>
      <w:r>
        <w:rPr>
          <w:rFonts w:ascii="Cambria" w:hAnsi="Cambria" w:eastAsia="Cambria"/>
          <w:b w:val="0"/>
          <w:i w:val="0"/>
          <w:color w:val="000000"/>
          <w:sz w:val="22"/>
        </w:rPr>
        <w:t>https://amzn.in/d/fdm0ipL</w:t>
      </w:r>
    </w:p>
    <w:p>
      <w:pPr>
        <w:spacing w:after="80" w:line="276" w:lineRule="auto"/>
        <w:ind w:left="357" w:hanging="357"/>
        <w:jc w:val="both"/>
      </w:pPr>
      <w:r>
        <w:rPr>
          <w:rFonts w:ascii="Cambria" w:hAnsi="Cambria" w:eastAsia="Cambria"/>
          <w:b w:val="0"/>
          <w:i w:val="0"/>
          <w:color w:val="000000"/>
          <w:sz w:val="22"/>
        </w:rPr>
        <w:t xml:space="preserve">45.  </w:t>
      </w:r>
      <w:r>
        <w:rPr>
          <w:rFonts w:ascii="Cambria" w:hAnsi="Cambria" w:eastAsia="Cambria"/>
          <w:b w:val="0"/>
          <w:i w:val="0"/>
          <w:color w:val="000000"/>
          <w:sz w:val="22"/>
        </w:rPr>
        <w:t>Strategic Development Plan for Higher Education Institutions: Aligning with NEP 2020, SDGs, NAAC, NBA, NIRF, and QS I-GAUGE, Kindle Edition, ASIN: B0FSCTT9ZP</w:t>
      </w:r>
    </w:p>
    <w:p>
      <w:pPr>
        <w:spacing w:after="120" w:before="0" w:line="276" w:lineRule="auto"/>
        <w:jc w:val="both"/>
      </w:pPr>
      <w:r>
        <w:rPr>
          <w:rFonts w:ascii="Cambria" w:hAnsi="Cambria" w:eastAsia="Cambria"/>
          <w:b w:val="0"/>
          <w:i w:val="0"/>
          <w:color w:val="000000"/>
          <w:sz w:val="22"/>
        </w:rPr>
        <w:t>https://amzn.in/d/hGqn55I</w:t>
      </w:r>
    </w:p>
    <w:p>
      <w:pPr>
        <w:spacing w:after="80" w:line="276" w:lineRule="auto"/>
        <w:ind w:left="357" w:hanging="357"/>
        <w:jc w:val="both"/>
      </w:pPr>
      <w:r>
        <w:rPr>
          <w:rFonts w:ascii="Cambria" w:hAnsi="Cambria" w:eastAsia="Cambria"/>
          <w:b w:val="0"/>
          <w:i w:val="0"/>
          <w:color w:val="000000"/>
          <w:sz w:val="22"/>
        </w:rPr>
        <w:t xml:space="preserve">46.  </w:t>
      </w:r>
      <w:r>
        <w:rPr>
          <w:rFonts w:ascii="Cambria" w:hAnsi="Cambria" w:eastAsia="Cambria"/>
          <w:b w:val="0"/>
          <w:i w:val="0"/>
          <w:color w:val="000000"/>
          <w:sz w:val="22"/>
        </w:rPr>
        <w:t>Dean of Planning &amp; Development (DoPD): Architect of Institutional Growth in Higher Education: Institutional Planning, Sustainability, and Accreditation Alignment with NAAC, NBA, NIRF, and QS I-GAUGE, Kindle Edition, ASIN: B0FRZZGMF8</w:t>
      </w:r>
    </w:p>
    <w:p>
      <w:pPr>
        <w:spacing w:after="120" w:before="0" w:line="276" w:lineRule="auto"/>
        <w:jc w:val="both"/>
      </w:pPr>
      <w:r>
        <w:rPr>
          <w:rFonts w:ascii="Cambria" w:hAnsi="Cambria" w:eastAsia="Cambria"/>
          <w:b w:val="0"/>
          <w:i w:val="0"/>
          <w:color w:val="000000"/>
          <w:sz w:val="22"/>
        </w:rPr>
        <w:t>https://amzn.in/d/cbSxKTJ</w:t>
      </w:r>
    </w:p>
    <w:p>
      <w:pPr>
        <w:spacing w:after="80" w:line="276" w:lineRule="auto"/>
        <w:ind w:left="357" w:hanging="357"/>
        <w:jc w:val="both"/>
      </w:pPr>
      <w:r>
        <w:rPr>
          <w:rFonts w:ascii="Cambria" w:hAnsi="Cambria" w:eastAsia="Cambria"/>
          <w:b w:val="0"/>
          <w:i w:val="0"/>
          <w:color w:val="000000"/>
          <w:sz w:val="22"/>
        </w:rPr>
        <w:t xml:space="preserve">47.  </w:t>
      </w:r>
      <w:r>
        <w:rPr>
          <w:rFonts w:ascii="Cambria" w:hAnsi="Cambria" w:eastAsia="Cambria"/>
          <w:b w:val="0"/>
          <w:i w:val="0"/>
          <w:color w:val="000000"/>
          <w:sz w:val="22"/>
        </w:rPr>
        <w:t>Dean – IQA and Ranking (DoIQAR): Leadership in Accreditation, Quality Assurance, and Global Benchmarking in Higher Education: Mapping of DoIQAR &amp; Associate Deans to NBA, NAAC, NIRF, and QS I-GAUGE, Kindle Edition, ASIN: B0FS5W7JYP</w:t>
      </w:r>
    </w:p>
    <w:p>
      <w:pPr>
        <w:spacing w:after="120" w:before="0" w:line="276" w:lineRule="auto"/>
        <w:jc w:val="both"/>
      </w:pPr>
      <w:r>
        <w:rPr>
          <w:rFonts w:ascii="Cambria" w:hAnsi="Cambria" w:eastAsia="Cambria"/>
          <w:b w:val="0"/>
          <w:i w:val="0"/>
          <w:color w:val="000000"/>
          <w:sz w:val="22"/>
        </w:rPr>
        <w:t>https://amzn.in/d/aqwjhkT</w:t>
      </w:r>
    </w:p>
    <w:p>
      <w:pPr>
        <w:spacing w:after="80" w:line="276" w:lineRule="auto"/>
        <w:ind w:left="357" w:hanging="357"/>
        <w:jc w:val="both"/>
      </w:pPr>
      <w:r>
        <w:rPr>
          <w:rFonts w:ascii="Cambria" w:hAnsi="Cambria" w:eastAsia="Cambria"/>
          <w:b w:val="0"/>
          <w:i w:val="0"/>
          <w:color w:val="000000"/>
          <w:sz w:val="22"/>
        </w:rPr>
        <w:t xml:space="preserve">48.  </w:t>
      </w:r>
      <w:r>
        <w:rPr>
          <w:rFonts w:ascii="Cambria" w:hAnsi="Cambria" w:eastAsia="Cambria"/>
          <w:b w:val="0"/>
          <w:i w:val="0"/>
          <w:color w:val="000000"/>
          <w:sz w:val="22"/>
        </w:rPr>
        <w:t>Dean – Research &amp; Development (R&amp;D): Leadership in Knowledge Creation and Innovation in Higher Education: Mapping of R&amp;D Leadership to NBA, NAAC, NIRF, and QS I-GAUGE, Kindle Edition, ASIN: B0FS5K7G27</w:t>
      </w:r>
    </w:p>
    <w:p>
      <w:pPr>
        <w:spacing w:after="120" w:before="0" w:line="276" w:lineRule="auto"/>
        <w:jc w:val="both"/>
      </w:pPr>
      <w:r>
        <w:rPr>
          <w:rFonts w:ascii="Cambria" w:hAnsi="Cambria" w:eastAsia="Cambria"/>
          <w:b w:val="0"/>
          <w:i w:val="0"/>
          <w:color w:val="000000"/>
          <w:sz w:val="22"/>
        </w:rPr>
        <w:t>https://amzn.in/d/9Ffj30s</w:t>
      </w:r>
    </w:p>
    <w:p>
      <w:pPr>
        <w:spacing w:after="80" w:line="276" w:lineRule="auto"/>
        <w:ind w:left="357" w:hanging="357"/>
        <w:jc w:val="both"/>
      </w:pPr>
      <w:r>
        <w:rPr>
          <w:rFonts w:ascii="Cambria" w:hAnsi="Cambria" w:eastAsia="Cambria"/>
          <w:b w:val="0"/>
          <w:i w:val="0"/>
          <w:color w:val="000000"/>
          <w:sz w:val="22"/>
        </w:rPr>
        <w:t xml:space="preserve">49.  </w:t>
      </w:r>
      <w:r>
        <w:rPr>
          <w:rFonts w:ascii="Cambria" w:hAnsi="Cambria" w:eastAsia="Cambria"/>
          <w:b w:val="0"/>
          <w:i w:val="0"/>
          <w:color w:val="000000"/>
          <w:sz w:val="22"/>
        </w:rPr>
        <w:t>Dean of Academic Affairs: Custodian of Academic Excellence: The Role of the Dean and Associate Deans in Governance, Quality, and Global Benchmarks, Kindle Edition, ASIN: B0FRY8N2SD</w:t>
      </w:r>
    </w:p>
    <w:p>
      <w:pPr>
        <w:spacing w:after="120" w:before="0" w:line="276" w:lineRule="auto"/>
        <w:jc w:val="both"/>
      </w:pPr>
      <w:r>
        <w:rPr>
          <w:rFonts w:ascii="Cambria" w:hAnsi="Cambria" w:eastAsia="Cambria"/>
          <w:b w:val="0"/>
          <w:i w:val="0"/>
          <w:color w:val="000000"/>
          <w:sz w:val="22"/>
        </w:rPr>
        <w:t>https://amzn.in/d/6Fh0u3I</w:t>
      </w:r>
    </w:p>
    <w:p>
      <w:pPr>
        <w:spacing w:after="80" w:line="276" w:lineRule="auto"/>
        <w:ind w:left="357" w:hanging="357"/>
        <w:jc w:val="both"/>
      </w:pPr>
      <w:r>
        <w:rPr>
          <w:rFonts w:ascii="Cambria" w:hAnsi="Cambria" w:eastAsia="Cambria"/>
          <w:b w:val="0"/>
          <w:i w:val="0"/>
          <w:color w:val="000000"/>
          <w:sz w:val="22"/>
        </w:rPr>
        <w:t xml:space="preserve">50.  </w:t>
      </w:r>
      <w:r>
        <w:rPr>
          <w:rFonts w:ascii="Cambria" w:hAnsi="Cambria" w:eastAsia="Cambria"/>
          <w:b w:val="0"/>
          <w:i w:val="0"/>
          <w:color w:val="000000"/>
          <w:sz w:val="22"/>
        </w:rPr>
        <w:t>Skilling Engineers in Civil and Architecture Disciplines: Advancing Academic Competence in Geometric Modeling for Higher Education Institutions, Kindle Edition, ASIN: B0FSJHSSGL</w:t>
      </w:r>
    </w:p>
    <w:p>
      <w:pPr>
        <w:spacing w:after="120" w:before="0" w:line="276" w:lineRule="auto"/>
        <w:jc w:val="both"/>
      </w:pPr>
      <w:r>
        <w:rPr>
          <w:rFonts w:ascii="Cambria" w:hAnsi="Cambria" w:eastAsia="Cambria"/>
          <w:b w:val="0"/>
          <w:i w:val="0"/>
          <w:color w:val="000000"/>
          <w:sz w:val="22"/>
        </w:rPr>
        <w:t>https://a.co/d/9t8kspY</w:t>
      </w:r>
    </w:p>
    <w:p>
      <w:pPr>
        <w:spacing w:after="80" w:line="276" w:lineRule="auto"/>
        <w:ind w:left="357" w:hanging="357"/>
        <w:jc w:val="both"/>
      </w:pPr>
      <w:r>
        <w:rPr>
          <w:rFonts w:ascii="Cambria" w:hAnsi="Cambria" w:eastAsia="Cambria"/>
          <w:b w:val="0"/>
          <w:i w:val="0"/>
          <w:color w:val="000000"/>
          <w:sz w:val="22"/>
        </w:rPr>
        <w:t xml:space="preserve">51.  </w:t>
      </w:r>
      <w:r>
        <w:rPr>
          <w:rFonts w:ascii="Cambria" w:hAnsi="Cambria" w:eastAsia="Cambria"/>
          <w:b w:val="0"/>
          <w:i w:val="0"/>
          <w:color w:val="000000"/>
          <w:sz w:val="22"/>
        </w:rPr>
        <w:t>Environmental and Green Audits in Higher Education Institutions: Aligning with NEP 2020, SDGs, NAAC, NBA, and QS I-GAUGE, Kindle Edition, ASIN: B0FSX25SNW</w:t>
      </w:r>
    </w:p>
    <w:p>
      <w:pPr>
        <w:spacing w:after="120" w:before="0" w:line="276" w:lineRule="auto"/>
        <w:jc w:val="both"/>
      </w:pPr>
      <w:r>
        <w:rPr>
          <w:rFonts w:ascii="Cambria" w:hAnsi="Cambria" w:eastAsia="Cambria"/>
          <w:b w:val="0"/>
          <w:i w:val="0"/>
          <w:color w:val="000000"/>
          <w:sz w:val="22"/>
        </w:rPr>
        <w:t>https://amzn.in/d/5ZRbuMt</w:t>
      </w:r>
    </w:p>
    <w:p>
      <w:pPr>
        <w:spacing w:after="80" w:line="276" w:lineRule="auto"/>
        <w:ind w:left="357" w:hanging="357"/>
        <w:jc w:val="both"/>
      </w:pPr>
      <w:r>
        <w:rPr>
          <w:rFonts w:ascii="Cambria" w:hAnsi="Cambria" w:eastAsia="Cambria"/>
          <w:b w:val="0"/>
          <w:i w:val="0"/>
          <w:color w:val="000000"/>
          <w:sz w:val="22"/>
        </w:rPr>
        <w:t xml:space="preserve">52.  </w:t>
      </w:r>
      <w:r>
        <w:rPr>
          <w:rFonts w:ascii="Cambria" w:hAnsi="Cambria" w:eastAsia="Cambria"/>
          <w:b w:val="0"/>
          <w:i w:val="0"/>
          <w:color w:val="000000"/>
          <w:sz w:val="22"/>
        </w:rPr>
        <w:t>Head of the Department (HoD) in Higher Education Institutions: Roles and Responsibilities in Academic Activities: Mapping Academic Leadership to NBA, NAAC, NIRF, and QS I-GAUGE Frameworks, Kindle Edition, ASIN: B0FSZL68RT</w:t>
      </w:r>
    </w:p>
    <w:p>
      <w:pPr>
        <w:spacing w:after="120" w:before="0" w:line="276" w:lineRule="auto"/>
        <w:jc w:val="both"/>
      </w:pPr>
      <w:r>
        <w:rPr>
          <w:rFonts w:ascii="Cambria" w:hAnsi="Cambria" w:eastAsia="Cambria"/>
          <w:b w:val="0"/>
          <w:i w:val="0"/>
          <w:color w:val="000000"/>
          <w:sz w:val="22"/>
        </w:rPr>
        <w:t>https://amzn.in/d/hdb0Dsf</w:t>
      </w:r>
    </w:p>
    <w:p>
      <w:pPr>
        <w:spacing w:after="80" w:line="276" w:lineRule="auto"/>
        <w:ind w:left="357" w:hanging="357"/>
        <w:jc w:val="both"/>
      </w:pPr>
      <w:r>
        <w:rPr>
          <w:rFonts w:ascii="Cambria" w:hAnsi="Cambria" w:eastAsia="Cambria"/>
          <w:b w:val="0"/>
          <w:i w:val="0"/>
          <w:color w:val="000000"/>
          <w:sz w:val="22"/>
        </w:rPr>
        <w:t xml:space="preserve">53.  </w:t>
      </w:r>
      <w:r>
        <w:rPr>
          <w:rFonts w:ascii="Cambria" w:hAnsi="Cambria" w:eastAsia="Cambria"/>
          <w:b w:val="0"/>
          <w:i w:val="0"/>
          <w:color w:val="000000"/>
          <w:sz w:val="22"/>
        </w:rPr>
        <w:t>Head of the Department (HoD) in Higher Education Institutions: Roles and Responsibilities in R&amp;D Activities: Mapping R&amp;D Leadership to NBA, NAAC, NIRF, and QS I-GAUGE Frameworks, Kindle Edition, ASIN: B0FT3HSTPR</w:t>
      </w:r>
    </w:p>
    <w:p>
      <w:pPr>
        <w:spacing w:after="120" w:before="0" w:line="276" w:lineRule="auto"/>
        <w:jc w:val="both"/>
      </w:pPr>
      <w:r>
        <w:rPr>
          <w:rFonts w:ascii="Cambria" w:hAnsi="Cambria" w:eastAsia="Cambria"/>
          <w:b w:val="0"/>
          <w:i w:val="0"/>
          <w:color w:val="000000"/>
          <w:sz w:val="22"/>
        </w:rPr>
        <w:t>https://amzn.in/d/7R8kSFY</w:t>
      </w:r>
    </w:p>
    <w:p>
      <w:pPr>
        <w:spacing w:after="80" w:line="276" w:lineRule="auto"/>
        <w:ind w:left="357" w:hanging="357"/>
        <w:jc w:val="both"/>
      </w:pPr>
      <w:r>
        <w:rPr>
          <w:rFonts w:ascii="Cambria" w:hAnsi="Cambria" w:eastAsia="Cambria"/>
          <w:b w:val="0"/>
          <w:i w:val="0"/>
          <w:color w:val="000000"/>
          <w:sz w:val="22"/>
        </w:rPr>
        <w:t xml:space="preserve">54.  </w:t>
      </w:r>
      <w:r>
        <w:rPr>
          <w:rFonts w:ascii="Cambria" w:hAnsi="Cambria" w:eastAsia="Cambria"/>
          <w:b w:val="0"/>
          <w:i w:val="0"/>
          <w:color w:val="000000"/>
          <w:sz w:val="22"/>
        </w:rPr>
        <w:t>Head of the Department (HoD) in Higher Education Institutions: Roles and Responsibilities in Industry Relations, Placements (IRP), and Consultancy Activities, Kindle Edition, ASIN: B0FT5CG3F7</w:t>
      </w:r>
    </w:p>
    <w:p>
      <w:pPr>
        <w:spacing w:after="120" w:before="0" w:line="276" w:lineRule="auto"/>
        <w:jc w:val="both"/>
      </w:pPr>
      <w:r>
        <w:rPr>
          <w:rFonts w:ascii="Cambria" w:hAnsi="Cambria" w:eastAsia="Cambria"/>
          <w:b w:val="0"/>
          <w:i w:val="0"/>
          <w:color w:val="000000"/>
          <w:sz w:val="22"/>
        </w:rPr>
        <w:t>https://amzn.in/d/1NcElZa</w:t>
      </w:r>
    </w:p>
    <w:p>
      <w:pPr>
        <w:spacing w:after="80" w:line="276" w:lineRule="auto"/>
        <w:ind w:left="357" w:hanging="357"/>
        <w:jc w:val="both"/>
      </w:pPr>
      <w:r>
        <w:rPr>
          <w:rFonts w:ascii="Cambria" w:hAnsi="Cambria" w:eastAsia="Cambria"/>
          <w:b w:val="0"/>
          <w:i w:val="0"/>
          <w:color w:val="000000"/>
          <w:sz w:val="22"/>
        </w:rPr>
        <w:t xml:space="preserve">55.  </w:t>
      </w:r>
      <w:r>
        <w:rPr>
          <w:rFonts w:ascii="Cambria" w:hAnsi="Cambria" w:eastAsia="Cambria"/>
          <w:b w:val="0"/>
          <w:i w:val="0"/>
          <w:color w:val="000000"/>
          <w:sz w:val="22"/>
        </w:rPr>
        <w:t>Executive and Leadership Structure of Universities: Strategic Responsibilities in Higher Education Administration in India, Kindle Edition, ASIN: B0FT626567</w:t>
      </w:r>
    </w:p>
    <w:p>
      <w:pPr>
        <w:spacing w:after="120" w:before="0" w:line="276" w:lineRule="auto"/>
        <w:jc w:val="both"/>
      </w:pPr>
      <w:r>
        <w:rPr>
          <w:rFonts w:ascii="Cambria" w:hAnsi="Cambria" w:eastAsia="Cambria"/>
          <w:b w:val="0"/>
          <w:i w:val="0"/>
          <w:color w:val="000000"/>
          <w:sz w:val="22"/>
        </w:rPr>
        <w:t>https://amzn.in/d/6CmlGtm</w:t>
      </w:r>
    </w:p>
    <w:p>
      <w:pPr>
        <w:spacing w:before="200" w:after="80"/>
      </w:pPr>
      <w:r>
        <w:rPr>
          <w:rFonts w:ascii="Cambria" w:hAnsi="Cambria"/>
          <w:b/>
          <w:color w:val="1F3A5F"/>
          <w:sz w:val="24"/>
          <w:u w:val="single"/>
        </w:rPr>
        <w:t>SDGs</w:t>
      </w:r>
    </w:p>
    <w:p>
      <w:pPr>
        <w:spacing w:after="80" w:line="276" w:lineRule="auto"/>
        <w:ind w:left="357" w:hanging="357"/>
        <w:jc w:val="both"/>
      </w:pPr>
      <w:r>
        <w:rPr>
          <w:rFonts w:ascii="Cambria" w:hAnsi="Cambria" w:eastAsia="Cambria"/>
          <w:b w:val="0"/>
          <w:i w:val="0"/>
          <w:color w:val="000000"/>
          <w:sz w:val="22"/>
        </w:rPr>
        <w:t xml:space="preserve">56.  </w:t>
      </w:r>
      <w:r>
        <w:rPr>
          <w:rFonts w:ascii="Cambria" w:hAnsi="Cambria" w:eastAsia="Cambria"/>
          <w:b w:val="0"/>
          <w:i w:val="0"/>
          <w:color w:val="000000"/>
          <w:sz w:val="22"/>
        </w:rPr>
        <w:t>SDG-1: No Poverty in Higher Education Institutions: Aligning with NAAC, NIRF, NBA, and QS I-GAUGE Frameworks, Kindle Edition, ASIN: B0FRYTT6B1</w:t>
      </w:r>
    </w:p>
    <w:p>
      <w:pPr>
        <w:spacing w:after="120" w:before="0" w:line="276" w:lineRule="auto"/>
        <w:jc w:val="both"/>
      </w:pPr>
      <w:r>
        <w:rPr>
          <w:rFonts w:ascii="Cambria" w:hAnsi="Cambria" w:eastAsia="Cambria"/>
          <w:b w:val="0"/>
          <w:i w:val="0"/>
          <w:color w:val="000000"/>
          <w:sz w:val="22"/>
        </w:rPr>
        <w:t>https://amzn.in/d/1oTu188</w:t>
      </w:r>
    </w:p>
    <w:p>
      <w:pPr>
        <w:spacing w:after="80" w:line="276" w:lineRule="auto"/>
        <w:ind w:left="357" w:hanging="357"/>
        <w:jc w:val="both"/>
      </w:pPr>
      <w:r>
        <w:rPr>
          <w:rFonts w:ascii="Cambria" w:hAnsi="Cambria" w:eastAsia="Cambria"/>
          <w:b w:val="0"/>
          <w:i w:val="0"/>
          <w:color w:val="000000"/>
          <w:sz w:val="22"/>
        </w:rPr>
        <w:t xml:space="preserve">57.  </w:t>
      </w:r>
      <w:r>
        <w:rPr>
          <w:rFonts w:ascii="Cambria" w:hAnsi="Cambria" w:eastAsia="Cambria"/>
          <w:b w:val="0"/>
          <w:i w:val="0"/>
          <w:color w:val="000000"/>
          <w:sz w:val="22"/>
        </w:rPr>
        <w:t>SDG-2: Zero Hunger in Higher Education Institutions: Aligning with NAAC, NIRF, NBA, and QS I-GAUGE Frameworks, Kindle Edition, ASIN: B0FRYWPQ1N</w:t>
      </w:r>
    </w:p>
    <w:p>
      <w:pPr>
        <w:spacing w:after="120" w:before="0" w:line="276" w:lineRule="auto"/>
        <w:jc w:val="both"/>
      </w:pPr>
      <w:r>
        <w:rPr>
          <w:rFonts w:ascii="Cambria" w:hAnsi="Cambria" w:eastAsia="Cambria"/>
          <w:b w:val="0"/>
          <w:i w:val="0"/>
          <w:color w:val="000000"/>
          <w:sz w:val="22"/>
        </w:rPr>
        <w:t>https://amzn.in/d/2RlKCrz</w:t>
      </w:r>
    </w:p>
    <w:p>
      <w:pPr>
        <w:spacing w:after="80" w:line="276" w:lineRule="auto"/>
        <w:ind w:left="357" w:hanging="357"/>
        <w:jc w:val="both"/>
      </w:pPr>
      <w:r>
        <w:rPr>
          <w:rFonts w:ascii="Cambria" w:hAnsi="Cambria" w:eastAsia="Cambria"/>
          <w:b w:val="0"/>
          <w:i w:val="0"/>
          <w:color w:val="000000"/>
          <w:sz w:val="22"/>
        </w:rPr>
        <w:t xml:space="preserve">58.  </w:t>
      </w:r>
      <w:r>
        <w:rPr>
          <w:rFonts w:ascii="Cambria" w:hAnsi="Cambria" w:eastAsia="Cambria"/>
          <w:b w:val="0"/>
          <w:i w:val="0"/>
          <w:color w:val="000000"/>
          <w:sz w:val="22"/>
        </w:rPr>
        <w:t>SDG-4: Quality Education in Higher Education Institutions: Aligning with NAAC, NIRF, NBA, and QS I-GAUGE Frameworks, Kindle Edition, ASIN: B0FVDRFW1R</w:t>
      </w:r>
    </w:p>
    <w:p>
      <w:pPr>
        <w:spacing w:after="120" w:before="0" w:line="276" w:lineRule="auto"/>
        <w:jc w:val="both"/>
      </w:pPr>
      <w:r>
        <w:rPr>
          <w:rFonts w:ascii="Cambria" w:hAnsi="Cambria" w:eastAsia="Cambria"/>
          <w:b w:val="0"/>
          <w:i w:val="0"/>
          <w:color w:val="000000"/>
          <w:sz w:val="22"/>
        </w:rPr>
        <w:t>https://amzn.in/d/aRKVWFv</w:t>
      </w:r>
    </w:p>
    <w:p>
      <w:pPr>
        <w:spacing w:after="80" w:line="276" w:lineRule="auto"/>
        <w:ind w:left="357" w:hanging="357"/>
        <w:jc w:val="both"/>
      </w:pPr>
      <w:r>
        <w:rPr>
          <w:rFonts w:ascii="Cambria" w:hAnsi="Cambria" w:eastAsia="Cambria"/>
          <w:b w:val="0"/>
          <w:i w:val="0"/>
          <w:color w:val="000000"/>
          <w:sz w:val="22"/>
        </w:rPr>
        <w:t xml:space="preserve">59.  </w:t>
      </w:r>
      <w:r>
        <w:rPr>
          <w:rFonts w:ascii="Cambria" w:hAnsi="Cambria" w:eastAsia="Cambria"/>
          <w:b w:val="0"/>
          <w:i w:val="0"/>
          <w:color w:val="000000"/>
          <w:sz w:val="22"/>
        </w:rPr>
        <w:t>SDG-6: Clean Water and Sanitation in Higher Education Institutions: Aligning with NAAC, NIRF, NBA, and QS I-GAUGE Frameworks, Kindle Edition, ASIN: B0FSCB6SDL</w:t>
      </w:r>
    </w:p>
    <w:p>
      <w:pPr>
        <w:spacing w:after="120" w:before="0" w:line="276" w:lineRule="auto"/>
        <w:jc w:val="both"/>
      </w:pPr>
      <w:r>
        <w:rPr>
          <w:rFonts w:ascii="Cambria" w:hAnsi="Cambria" w:eastAsia="Cambria"/>
          <w:b w:val="0"/>
          <w:i w:val="0"/>
          <w:color w:val="000000"/>
          <w:sz w:val="22"/>
        </w:rPr>
        <w:t>https://amzn.in/d/gX6SiHT</w:t>
      </w:r>
    </w:p>
    <w:p>
      <w:pPr>
        <w:spacing w:after="80" w:line="276" w:lineRule="auto"/>
        <w:ind w:left="357" w:hanging="357"/>
        <w:jc w:val="both"/>
      </w:pPr>
      <w:r>
        <w:rPr>
          <w:rFonts w:ascii="Cambria" w:hAnsi="Cambria" w:eastAsia="Cambria"/>
          <w:b w:val="0"/>
          <w:i w:val="0"/>
          <w:color w:val="000000"/>
          <w:sz w:val="22"/>
        </w:rPr>
        <w:t xml:space="preserve">60.  </w:t>
      </w:r>
      <w:r>
        <w:rPr>
          <w:rFonts w:ascii="Cambria" w:hAnsi="Cambria" w:eastAsia="Cambria"/>
          <w:b w:val="0"/>
          <w:i w:val="0"/>
          <w:color w:val="000000"/>
          <w:sz w:val="22"/>
        </w:rPr>
        <w:t>SDG-7: Affordable and Clean Energy in Higher Education Institutions: Aligning with NAAC, NIRF, NBA, and QS I-GAUGE Frameworks, Kindle Edition, ASIN: B0FS9SYXC7</w:t>
      </w:r>
    </w:p>
    <w:p>
      <w:pPr>
        <w:spacing w:after="120" w:before="0" w:line="276" w:lineRule="auto"/>
        <w:jc w:val="both"/>
      </w:pPr>
      <w:r>
        <w:rPr>
          <w:rFonts w:ascii="Cambria" w:hAnsi="Cambria" w:eastAsia="Cambria"/>
          <w:b w:val="0"/>
          <w:i w:val="0"/>
          <w:color w:val="000000"/>
          <w:sz w:val="22"/>
        </w:rPr>
        <w:t>https://amzn.in/d/bErE7x8</w:t>
      </w:r>
    </w:p>
    <w:p>
      <w:pPr>
        <w:spacing w:after="80" w:line="276" w:lineRule="auto"/>
        <w:ind w:left="357" w:hanging="357"/>
        <w:jc w:val="both"/>
      </w:pPr>
      <w:r>
        <w:rPr>
          <w:rFonts w:ascii="Cambria" w:hAnsi="Cambria" w:eastAsia="Cambria"/>
          <w:b w:val="0"/>
          <w:i w:val="0"/>
          <w:color w:val="000000"/>
          <w:sz w:val="22"/>
        </w:rPr>
        <w:t xml:space="preserve">61.  </w:t>
      </w:r>
      <w:r>
        <w:rPr>
          <w:rFonts w:ascii="Cambria" w:hAnsi="Cambria" w:eastAsia="Cambria"/>
          <w:b w:val="0"/>
          <w:i w:val="0"/>
          <w:color w:val="000000"/>
          <w:sz w:val="22"/>
        </w:rPr>
        <w:t>SDG-11: Sustainable Cities and Communities in Higher Education Institutions: Aligning with NAAC, NIRF, NBA, and QS I-GAUGE Frameworks, Kindle Edition, ASIN: B0FS181BL2</w:t>
      </w:r>
    </w:p>
    <w:p>
      <w:pPr>
        <w:spacing w:after="120" w:before="0" w:line="276" w:lineRule="auto"/>
        <w:jc w:val="both"/>
      </w:pPr>
      <w:r>
        <w:rPr>
          <w:rFonts w:ascii="Cambria" w:hAnsi="Cambria" w:eastAsia="Cambria"/>
          <w:b w:val="0"/>
          <w:i w:val="0"/>
          <w:color w:val="000000"/>
          <w:sz w:val="22"/>
        </w:rPr>
        <w:t>https://amzn.in/d/3sv8FFT</w:t>
      </w:r>
    </w:p>
    <w:sectPr w:rsidR="00FC693F" w:rsidRPr="0006063C" w:rsidSect="00034616">
      <w:footerReference w:type="default" r:id="rId9"/>
      <w:pgSz w:w="11906" w:h="16838"/>
      <w:pgMar w:top="1134" w:right="1247" w:bottom="1134"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mbria" w:hAnsi="Cambria"/>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