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209CEE" w:color="auto"/>
            <w:tcBorders>
              <w:left w:val="single" w:sz="6" w:color="209CEE"/>
              <w:right w:val="single" w:sz="6" w:color="209CEE"/>
              <w:top w:val="single" w:sz="6" w:color="209CEE"/>
              <w:bottom w:val="single" w:sz="6" w:color="209CEE"/>
            </w:tcBorders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EAF7FF"/>
                <w:sz w:val="16"/>
              </w:rPr>
              <w:t>AIDE ADMINISTRATEUR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36"/>
              </w:rPr>
              <w:t>Centre de pilotage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F5FBFF"/>
                <w:sz w:val="18"/>
              </w:rPr>
              <w:t>Accéder aux fonctions d’administration et choisir la saison à consulter.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7" w:space="0" w:color="DBDBDB"/>
          <w:left w:val="single" w:sz="7" w:space="0" w:color="DBDBDB"/>
          <w:bottom w:val="single" w:sz="7" w:space="0" w:color="DBDBDB"/>
          <w:right w:val="single" w:sz="7" w:space="0" w:color="DBDBDB"/>
          <w:insideH w:val="single" w:sz="7" w:space="0" w:color="DBDBDB"/>
          <w:insideV w:val="single" w:sz="7" w:space="0" w:color="DBDBDB"/>
        </w:tblBorders>
      </w:tblPr>
      <w:tblGrid>
        <w:gridCol w:w="5355"/>
        <w:gridCol w:w="5355"/>
      </w:tblGrid>
      <w:tr>
        <w:tc>
          <w:tcPr>
            <w:tcW w:type="dxa" w:w="5355"/>
            <w:vAlign w:val="top"/>
            <w:shd w:fill="EEF7FD" w:color="auto"/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1B5E8F"/>
                <w:sz w:val="20"/>
              </w:rPr>
              <w:t>À quoi ça sert ?</w:t>
            </w:r>
          </w:p>
          <w:p>
            <w:pPr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Le centre de pilotage regroupe les fonctions de gestion sportive, financière, de communication et de paramétrage dans un seul écran.</w:t>
            </w:r>
          </w:p>
        </w:tc>
        <w:tc>
          <w:tcPr>
            <w:tcW w:type="dxa" w:w="5355"/>
            <w:vAlign w:val="top"/>
            <w:shd w:fill="EEF7FD" w:color="auto"/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1B5E8F"/>
                <w:sz w:val="20"/>
              </w:rPr>
              <w:t>Pourquoi l’utiliser ?</w:t>
            </w:r>
          </w:p>
          <w:p>
            <w:pPr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Il donne une vue claire des outils disponibles et permet de distinguer la saison active de la saison simplement consultée.</w:t>
            </w:r>
          </w:p>
        </w:tc>
      </w:tr>
    </w:tbl>
    <w:p/>
    <w:p>
      <w:pPr>
        <w:spacing w:before="20" w:after="60" w:line="240" w:lineRule="auto"/>
      </w:pPr>
      <w:r>
        <w:rPr>
          <w:rFonts w:ascii="Aptos" w:hAnsi="Aptos" w:eastAsia="Aptos"/>
          <w:b/>
          <w:color w:val="1B5E8F"/>
          <w:sz w:val="19"/>
        </w:rPr>
        <w:t>LES ÉTAPES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space="0" w:color="DBDBDB"/>
          <w:left w:val="single" w:sz="7" w:space="0" w:color="DBDBDB"/>
          <w:bottom w:val="single" w:sz="7" w:space="0" w:color="DBDBDB"/>
          <w:right w:val="single" w:sz="7" w:space="0" w:color="DBDBDB"/>
          <w:insideH w:val="single" w:sz="7" w:space="0" w:color="DBDBDB"/>
          <w:insideV w:val="single" w:sz="7" w:space="0" w:color="DBDBDB"/>
        </w:tblBorders>
      </w:tblPr>
      <w:tblGrid>
        <w:gridCol w:w="425"/>
        <w:gridCol w:w="8759"/>
      </w:tblGrid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1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Ouvrir « Administration »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accédez au centre de pilotage avec un profil autorisé.</w:t>
            </w:r>
          </w:p>
        </w:tc>
      </w:tr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2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Choisir la saison consultée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sélectionnez la saison dont vous souhaitez afficher les données.</w:t>
            </w:r>
          </w:p>
        </w:tc>
      </w:tr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3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Repérer la saison active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elle reste la destination des nouvelles inscriptions et réinscriptions.</w:t>
            </w:r>
          </w:p>
        </w:tc>
      </w:tr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4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Choisir un domaine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ouvrez ensuite la tuile correspondant à l’action à réaliser.</w:t>
            </w:r>
          </w:p>
        </w:tc>
      </w:tr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5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Revenir au centre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utilisez le menu d’administration pour passer facilement d’un domaine à l’autre.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AFAFA" w:color="auto"/>
            <w:tcBorders>
              <w:left w:val="dashed" w:sz="10" w:color="DBDBDB"/>
              <w:right w:val="dashed" w:sz="10" w:color="DBDBDB"/>
              <w:top w:val="dashed" w:sz="10" w:color="DBDBDB"/>
              <w:bottom w:val="dashed" w:sz="10" w:color="DBDBDB"/>
            </w:tcBorders>
          </w:tcPr>
          <w:p>
            <w:pPr>
              <w:spacing w:before="80" w:after="20" w:line="240" w:lineRule="auto"/>
              <w:jc w:val="center"/>
            </w:pPr>
            <w:r>
              <w:rPr>
                <w:rFonts w:ascii="Aptos" w:hAnsi="Aptos" w:eastAsia="Aptos"/>
                <w:b/>
                <w:color w:val="7A7A7A"/>
                <w:sz w:val="18"/>
              </w:rPr>
              <w:t>CAPTURE D’ÉCRAN À INSÉRER</w:t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Aptos" w:hAnsi="Aptos" w:eastAsia="Aptos"/>
                <w:b w:val="0"/>
                <w:color w:val="7A7A7A"/>
                <w:sz w:val="17"/>
              </w:rPr>
              <w:t>Centre de pilotage et sélecteur de saison</w:t>
            </w:r>
          </w:p>
        </w:tc>
      </w:tr>
    </w:tbl>
    <w:p/>
    <w:p>
      <w:pPr>
        <w:spacing w:before="20" w:after="60" w:line="240" w:lineRule="auto"/>
      </w:pPr>
      <w:r>
        <w:rPr>
          <w:rFonts w:ascii="Aptos" w:hAnsi="Aptos" w:eastAsia="Aptos"/>
          <w:b/>
          <w:color w:val="1B5E8F"/>
          <w:sz w:val="19"/>
        </w:rPr>
        <w:t>LES PRINCIPAUX CAS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tcBorders>
              <w:left w:val="single" w:sz="18" w:color="00D1B2"/>
              <w:top w:val="single" w:sz="2" w:color="FFFFFF"/>
              <w:right w:val="single" w:sz="2" w:color="FFFFFF"/>
              <w:bottom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Saison active</w:t>
            </w:r>
          </w:p>
          <w:p>
            <w:pPr>
              <w:spacing w:before="0" w:after="20" w:line="245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C’est la saison utilisée par défaut pour les nouvelles inscriptions et les actions courantes.</w:t>
            </w:r>
          </w:p>
        </w:tc>
      </w:tr>
      <w:tr>
        <w:tc>
          <w:tcPr>
            <w:tcW w:type="dxa" w:w="10710"/>
            <w:tcBorders>
              <w:left w:val="single" w:sz="18" w:color="00D1B2"/>
              <w:top w:val="single" w:sz="2" w:color="FFFFFF"/>
              <w:right w:val="single" w:sz="2" w:color="FFFFFF"/>
              <w:bottom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Saison historique</w:t>
            </w:r>
          </w:p>
          <w:p>
            <w:pPr>
              <w:spacing w:before="0" w:after="20" w:line="245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Vous pouvez consulter une ancienne saison sans modifier la saison active.</w:t>
            </w:r>
          </w:p>
        </w:tc>
      </w:tr>
      <w:tr>
        <w:tc>
          <w:tcPr>
            <w:tcW w:type="dxa" w:w="10710"/>
            <w:tcBorders>
              <w:left w:val="single" w:sz="18" w:color="00D1B2"/>
              <w:top w:val="single" w:sz="2" w:color="FFFFFF"/>
              <w:right w:val="single" w:sz="2" w:color="FFFFFF"/>
              <w:bottom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Accès restreint</w:t>
            </w:r>
          </w:p>
          <w:p>
            <w:pPr>
              <w:spacing w:before="0" w:after="20" w:line="245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Le centre de pilotage n’est visible qu’avec les droits nécessaires sur le projet.</w:t>
            </w:r>
          </w:p>
        </w:tc>
      </w:tr>
      <w:tr>
        <w:tc>
          <w:tcPr>
            <w:tcW w:type="dxa" w:w="10710"/>
            <w:tcBorders>
              <w:left w:val="single" w:sz="18" w:color="00D1B2"/>
              <w:top w:val="single" w:sz="2" w:color="FFFFFF"/>
              <w:right w:val="single" w:sz="2" w:color="FFFFFF"/>
              <w:bottom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Navigation par domaine</w:t>
            </w:r>
          </w:p>
          <w:p>
            <w:pPr>
              <w:spacing w:before="0" w:after="20" w:line="245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Les fonctions sont regroupées en Gestion sportive, Finances, Communication et Paramétrage.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7FD" w:color="auto"/>
            <w:tcBorders>
              <w:left w:val="single" w:sz="24" w:color="209CEE"/>
              <w:right w:val="single" w:sz="5" w:color="EEF7FD"/>
              <w:top w:val="single" w:sz="5" w:color="EEF7FD"/>
              <w:bottom w:val="single" w:sz="5" w:color="EEF7FD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 xml:space="preserve">À retenir  </w:t>
            </w:r>
            <w:r>
              <w:rPr>
                <w:rFonts w:ascii="Aptos" w:hAnsi="Aptos" w:eastAsia="Aptos"/>
                <w:b w:val="0"/>
                <w:color w:val="363636"/>
                <w:sz w:val="17"/>
              </w:rPr>
              <w:t>Changer la saison consultée ne change pas la saison active : cela modifie seulement le contexte d’affichage.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AFAFA" w:color="auto"/>
            <w:tcBorders>
              <w:left w:val="dashed" w:sz="10" w:color="DBDBDB"/>
              <w:right w:val="dashed" w:sz="10" w:color="DBDBDB"/>
              <w:top w:val="dashed" w:sz="10" w:color="DBDBDB"/>
              <w:bottom w:val="dashed" w:sz="10" w:color="DBDBDB"/>
            </w:tcBorders>
          </w:tcPr>
          <w:p>
            <w:pPr>
              <w:spacing w:before="80" w:after="20" w:line="240" w:lineRule="auto"/>
              <w:jc w:val="center"/>
            </w:pPr>
            <w:r>
              <w:rPr>
                <w:rFonts w:ascii="Aptos" w:hAnsi="Aptos" w:eastAsia="Aptos"/>
                <w:b/>
                <w:color w:val="7A7A7A"/>
                <w:sz w:val="18"/>
              </w:rPr>
              <w:t>CAPTURE D’ÉCRAN À INSÉRER</w:t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Aptos" w:hAnsi="Aptos" w:eastAsia="Aptos"/>
                <w:b w:val="0"/>
                <w:color w:val="7A7A7A"/>
                <w:sz w:val="17"/>
              </w:rPr>
              <w:t>Exemple d’une tuile d’administration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567" w:right="765" w:bottom="425" w:left="765" w:header="720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ptos" w:hAnsi="Aptos" w:eastAsia="Aptos"/>
        <w:b w:val="0"/>
        <w:color w:val="7A7A7A"/>
        <w:sz w:val="16"/>
      </w:rPr>
      <w:t>Assolutions — Aide administrateur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