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209CEE" w:color="auto"/>
            <w:tcBorders>
              <w:left w:val="single" w:sz="6" w:color="209CEE"/>
              <w:top w:val="single" w:sz="6" w:color="209CEE"/>
              <w:right w:val="single" w:sz="6" w:color="209CEE"/>
              <w:bottom w:val="single" w:sz="6" w:color="209CEE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EAF7FF"/>
                <w:sz w:val="16"/>
              </w:rPr>
              <w:t>AIDE PROFESSEUR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37"/>
              </w:rPr>
              <w:t>Gérer les groupes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color w:val="F5FBFF"/>
                <w:sz w:val="19"/>
              </w:rPr>
              <w:t>Organiser les adhérents et définir les règles d’accès aux activités.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4592"/>
        <w:gridCol w:w="4592"/>
      </w:tblGrid>
      <w:tr>
        <w:tc>
          <w:tcPr>
            <w:tcW w:type="dxa" w:w="5355"/>
            <w:shd w:fill="EEF7FD" w:color="auto"/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À quoi ça sert ?</w:t>
            </w:r>
          </w:p>
          <w:p>
            <w:pPr>
              <w:spacing w:before="0" w:after="0" w:line="254" w:lineRule="auto"/>
            </w:pPr>
            <w:r>
              <w:rPr>
                <w:rFonts w:ascii="Aptos" w:hAnsi="Aptos" w:eastAsia="Aptos"/>
                <w:b w:val="0"/>
                <w:color w:val="363636"/>
                <w:sz w:val="18"/>
              </w:rPr>
              <w:t>Un groupe sert à regrouper des adhérents autour d’une pratique, d’un niveau ou d’une section du club.</w:t>
            </w:r>
          </w:p>
        </w:tc>
        <w:tc>
          <w:tcPr>
            <w:tcW w:type="dxa" w:w="5355"/>
            <w:shd w:fill="EEF7FD" w:color="auto"/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Pourquoi l’utiliser ?</w:t>
            </w:r>
          </w:p>
          <w:p>
            <w:pPr>
              <w:spacing w:before="0" w:after="0" w:line="254" w:lineRule="auto"/>
            </w:pPr>
            <w:r>
              <w:rPr>
                <w:rFonts w:ascii="Aptos" w:hAnsi="Aptos" w:eastAsia="Aptos"/>
                <w:b w:val="0"/>
                <w:color w:val="363636"/>
                <w:sz w:val="18"/>
              </w:rPr>
              <w:t>Les groupes structurent les séances, influencent les inscriptions et permettent de filtrer les personnes selon des règles simples.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20"/>
        </w:rPr>
        <w:t>LES ÉTAPES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5355"/>
        <w:gridCol w:w="5355"/>
      </w:tblGrid>
      <w:tr>
        <w:tc>
          <w:tcPr>
            <w:tcW w:type="dxa" w:w="454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1</w:t>
            </w:r>
          </w:p>
        </w:tc>
        <w:tc>
          <w:tcPr>
            <w:tcW w:type="dxa" w:w="8617"/>
            <w:shd w:fill="FFFFFF" w:color="auto"/>
          </w:tcPr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Ouvrir « Groupes »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accédez à l’écran depuis l’administration.</w:t>
            </w:r>
          </w:p>
        </w:tc>
      </w:tr>
      <w:tr>
        <w:tc>
          <w:tcPr>
            <w:tcW w:type="dxa" w:w="454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2</w:t>
            </w:r>
          </w:p>
        </w:tc>
        <w:tc>
          <w:tcPr>
            <w:tcW w:type="dxa" w:w="8617"/>
            <w:shd w:fill="FFFFFF" w:color="auto"/>
          </w:tcPr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Créer ou ouvrir un groupe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ajoutez un nouveau groupe ou modifiez un groupe existant.</w:t>
            </w:r>
          </w:p>
        </w:tc>
      </w:tr>
      <w:tr>
        <w:tc>
          <w:tcPr>
            <w:tcW w:type="dxa" w:w="454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3</w:t>
            </w:r>
          </w:p>
        </w:tc>
        <w:tc>
          <w:tcPr>
            <w:tcW w:type="dxa" w:w="8617"/>
            <w:shd w:fill="FFFFFF" w:color="auto"/>
          </w:tcPr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Définir les paramètres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renseignez le nom et, si besoin, les critères d’âge, d’année de naissance ou de capacité.</w:t>
            </w:r>
          </w:p>
        </w:tc>
      </w:tr>
      <w:tr>
        <w:tc>
          <w:tcPr>
            <w:tcW w:type="dxa" w:w="454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4</w:t>
            </w:r>
          </w:p>
        </w:tc>
        <w:tc>
          <w:tcPr>
            <w:tcW w:type="dxa" w:w="8617"/>
            <w:shd w:fill="FFFFFF" w:color="auto"/>
          </w:tcPr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Gérer les rattachements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ajoutez ou retirez les personnes concernées par le groupe.</w:t>
            </w:r>
          </w:p>
        </w:tc>
      </w:tr>
      <w:tr>
        <w:tc>
          <w:tcPr>
            <w:tcW w:type="dxa" w:w="454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5</w:t>
            </w:r>
          </w:p>
        </w:tc>
        <w:tc>
          <w:tcPr>
            <w:tcW w:type="dxa" w:w="8617"/>
            <w:shd w:fill="FFFFFF" w:color="auto"/>
          </w:tcPr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Enregistrer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sauvegardez pour rendre le groupe disponible dans le reste de l’application.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top w:val="dashed" w:sz="10" w:color="DBDBDB"/>
              <w:right w:val="dashed" w:sz="10" w:color="DBDBDB"/>
              <w:bottom w:val="dashed" w:sz="10" w:color="DBDBDB"/>
            </w:tcBorders>
          </w:tcPr>
          <w:p>
            <w:pPr>
              <w:spacing w:before="10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10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Écran « Groupes » — liste et fiche groupe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20"/>
        </w:rPr>
        <w:t>LES PRINCIPAUX CAS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710"/>
      </w:tblGrid>
      <w:tr>
        <w:tc>
          <w:tcPr>
            <w:tcW w:type="dxa" w:w="10710"/>
            <w:shd w:fill="FFFFFF" w:color="auto"/>
            <w:tcBorders>
              <w:left w:val="single" w:sz="18" w:color="00D1B2"/>
              <w:top w:val="single" w:sz="3" w:color="FFFFFF"/>
              <w:right w:val="single" w:sz="3" w:color="FFFFFF"/>
              <w:bottom w:val="single" w:sz="3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Groupe sans critère</w:t>
            </w:r>
          </w:p>
          <w:p>
            <w:pPr>
              <w:spacing w:before="0" w:after="20" w:line="247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Un groupe peut rester très simple : nom seul, sans limite d’âge ni de capacité.</w:t>
            </w:r>
          </w:p>
        </w:tc>
      </w:tr>
      <w:tr>
        <w:tc>
          <w:tcPr>
            <w:tcW w:type="dxa" w:w="10710"/>
            <w:shd w:fill="FFFFFF" w:color="auto"/>
            <w:tcBorders>
              <w:left w:val="single" w:sz="18" w:color="00D1B2"/>
              <w:top w:val="single" w:sz="3" w:color="FFFFFF"/>
              <w:right w:val="single" w:sz="3" w:color="FFFFFF"/>
              <w:bottom w:val="single" w:sz="3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Groupe avec critères</w:t>
            </w:r>
          </w:p>
          <w:p>
            <w:pPr>
              <w:spacing w:before="0" w:after="20" w:line="247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Les critères permettent de limiter l’éligibilité dans le tunnel d’inscription.</w:t>
            </w:r>
          </w:p>
        </w:tc>
      </w:tr>
      <w:tr>
        <w:tc>
          <w:tcPr>
            <w:tcW w:type="dxa" w:w="10710"/>
            <w:shd w:fill="FFFFFF" w:color="auto"/>
            <w:tcBorders>
              <w:left w:val="single" w:sz="18" w:color="00D1B2"/>
              <w:top w:val="single" w:sz="3" w:color="FFFFFF"/>
              <w:right w:val="single" w:sz="3" w:color="FFFFFF"/>
              <w:bottom w:val="single" w:sz="3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Groupe complet</w:t>
            </w:r>
          </w:p>
          <w:p>
            <w:pPr>
              <w:spacing w:before="0" w:after="20" w:line="247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Si une capacité maximale est définie, le groupe peut devenir non disponible à l’inscription lorsqu’il est plein.</w:t>
            </w:r>
          </w:p>
        </w:tc>
      </w:tr>
      <w:tr>
        <w:tc>
          <w:tcPr>
            <w:tcW w:type="dxa" w:w="10710"/>
            <w:shd w:fill="FFFFFF" w:color="auto"/>
            <w:tcBorders>
              <w:left w:val="single" w:sz="18" w:color="00D1B2"/>
              <w:top w:val="single" w:sz="3" w:color="FFFFFF"/>
              <w:right w:val="single" w:sz="3" w:color="FFFFFF"/>
              <w:bottom w:val="single" w:sz="3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Affecter une personne</w:t>
            </w:r>
          </w:p>
          <w:p>
            <w:pPr>
              <w:spacing w:before="0" w:after="20" w:line="247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rattachement peut être géré depuis l’écran Groupe ou depuis la fiche d’un adhérent sur la saison active.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0FFFB" w:color="auto"/>
            <w:tcBorders>
              <w:left w:val="single" w:sz="24" w:color="00D1B2"/>
              <w:top w:val="single" w:sz="6" w:color="F0FFFB"/>
              <w:right w:val="single" w:sz="6" w:color="F0FFFB"/>
              <w:bottom w:val="single" w:sz="6" w:color="F0FFFB"/>
            </w:tcBorders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1B5E8F"/>
                <w:sz w:val="19"/>
              </w:rPr>
              <w:t xml:space="preserve">À retenir  </w:t>
            </w:r>
            <w:r>
              <w:rPr>
                <w:rFonts w:ascii="Aptos" w:hAnsi="Aptos" w:eastAsia="Aptos"/>
                <w:b w:val="0"/>
                <w:color w:val="363636"/>
                <w:sz w:val="17"/>
              </w:rPr>
              <w:t>Le groupe est un élément central : il sert à organiser les adhérents, à proposer les bonnes inscriptions et à préparer les séances.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top w:val="dashed" w:sz="10" w:color="DBDBDB"/>
              <w:right w:val="dashed" w:sz="10" w:color="DBDBDB"/>
              <w:bottom w:val="dashed" w:sz="10" w:color="DBDBDB"/>
            </w:tcBorders>
          </w:tcPr>
          <w:p>
            <w:pPr>
              <w:spacing w:before="10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10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Zone des critères et rattachement des personnes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567" w:right="765" w:bottom="454" w:left="76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/>
        <w:b w:val="0"/>
        <w:color w:val="7A7A7A"/>
        <w:sz w:val="16"/>
      </w:rPr>
      <w:t>Assolutions — Aide prof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