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EFF5FB"/>
          <w:left w:val="single" w:sz="0" w:space="0" w:color="EFF5FB"/>
          <w:bottom w:val="single" w:sz="0" w:space="0" w:color="EFF5FB"/>
          <w:right w:val="single" w:sz="0" w:space="0" w:color="EFF5FB"/>
          <w:insideH w:val="single" w:sz="0" w:space="0" w:color="EFF5FB"/>
          <w:insideV w:val="single" w:sz="0" w:space="0" w:color="EFF5FB"/>
        </w:tblBorders>
      </w:tblPr>
      <w:tblGrid>
        <w:gridCol w:w="10596"/>
      </w:tblGrid>
      <w:tr>
        <w:tc>
          <w:tcPr>
            <w:tcW w:type="dxa" w:w="10596"/>
            <w:shd w:fill="EFF5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left w:val="single" w:sz="24" w:color="3E8ED0"/>
              <w:right w:val="single" w:sz="2" w:color="EFF5FB"/>
              <w:top w:val="single" w:sz="2" w:color="EFF5FB"/>
              <w:bottom w:val="single" w:sz="2" w:color="EFF5FB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UTILISATEUR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Inscription et paiement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b w:val="0"/>
                <w:color w:val="7A7A7A"/>
                <w:sz w:val="20"/>
              </w:rPr>
              <w:t>Inscrire ou réinscrire une ou plusieurs personnes au club en suivant le tunnel de souscription.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L’inscription permet de choisir les personnes, leurs groupes, leur tarif, de compléter le dossier puis de passer au paiement.</w:t>
            </w:r>
          </w:p>
        </w:tc>
        <w:tc>
          <w:tcPr>
            <w:tcW w:type="dxa" w:w="4649"/>
            <w:shd w:fill="EFFAF5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Le tunnel sécurise l’enchaînement : seules les options compatibles sont proposées et les éléments manquants sont signalés avant paiement.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6"/>
        <w:gridCol w:w="8872"/>
      </w:tblGrid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Personnes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sélectionnez une ou plusieurs personnes à inscrire. Une fiche incomplète peut être modifiée avant de continuer.</w:t>
            </w:r>
          </w:p>
        </w:tc>
      </w:tr>
      <w:tr>
        <w:tc>
          <w:tcPr>
            <w:tcW w:type="dxa" w:w="386"/>
            <w:shd w:fill="EFFAF5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Groupes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choisissez les groupes proposés. L’âge, l’année de naissance, la visibilité ou la capacité peuvent limiter les choix.</w:t>
            </w:r>
          </w:p>
        </w:tc>
      </w:tr>
      <w:tr>
        <w:tc>
          <w:tcPr>
            <w:tcW w:type="dxa" w:w="386"/>
            <w:shd w:fill="FFFAE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Tarifs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sélectionnez le tarif compatible avec les groupes choisis. Le nombre maximum de paiements possibles est indiqué.</w:t>
            </w:r>
          </w:p>
        </w:tc>
      </w:tr>
      <w:tr>
        <w:tc>
          <w:tcPr>
            <w:tcW w:type="dxa" w:w="386"/>
            <w:shd w:fill="EFFAF3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Dossier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choisissez le type de licence puis complétez les informations, consentements, documents et éléments médicaux demandés.</w:t>
            </w:r>
          </w:p>
        </w:tc>
      </w:tr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5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Paiement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identifiez le payeur, appliquez éventuellement un code promotionnel, choisissez le nombre de fois et validez le paiement.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Tunnel d’inscription — les 5 étapes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3E8ED0"/>
              <w:right w:val="single" w:sz="2" w:color="EFF5F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Nouvelle inscription / réinscription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Assolutions reconnaît la situation de chaque personne et propose les options disponibles pour la saison en cours.</w:t>
            </w:r>
          </w:p>
        </w:tc>
      </w:tr>
      <w:tr>
        <w:tc>
          <w:tcPr>
            <w:tcW w:type="dxa" w:w="10596"/>
            <w:shd w:fill="EFFAF5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00D1B2"/>
              <w:right w:val="single" w:sz="2" w:color="EFFAF5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Plusieurs personnes à inscrire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Vous pouvez sélectionner plusieurs personnes dans le même tunnel. Les groupes, tarifs et dossiers restent gérés individuellement.</w:t>
            </w:r>
          </w:p>
        </w:tc>
      </w:tr>
      <w:tr>
        <w:tc>
          <w:tcPr>
            <w:tcW w:type="dxa" w:w="10596"/>
            <w:shd w:fill="FFFAE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7A5B00"/>
              <w:right w:val="single" w:sz="2" w:color="FFFAE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Dossier incomplet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Le passage au paiement est bloqué tant qu’un élément obligatoire manque. Utilisez « Modifier la fiche » ou complétez directement les demandes du dossier.</w:t>
            </w:r>
          </w:p>
        </w:tc>
      </w:tr>
      <w:tr>
        <w:tc>
          <w:tcPr>
            <w:tcW w:type="dxa" w:w="10596"/>
            <w:shd w:fill="EFFAF3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48C78E"/>
              <w:right w:val="single" w:sz="2" w:color="EFFAF3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Licence loisir / compétition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Le choix de la licence peut modifier les exigences du dossier, notamment sur la partie médicale.</w:t>
            </w:r>
          </w:p>
        </w:tc>
      </w:tr>
      <w:tr>
        <w:tc>
          <w:tcPr>
            <w:tcW w:type="dxa" w:w="10596"/>
            <w:shd w:fill="FEECF0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F14668"/>
              <w:right w:val="single" w:sz="2" w:color="FEECF0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Paiement refusé ou interrompu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Au retour du paiement, Assolutions affiche l’état du dossier. Si la confirmation est encore en cours, utilisez la vérification proposée.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/>
            <w:tcMar>
              <w:top w:w="80" w:type="dxa"/>
              <w:start w:w="105" w:type="dxa"/>
              <w:bottom w:w="80" w:type="dxa"/>
              <w:end w:w="105" w:type="dxa"/>
            </w:tcMar>
            <w:tcBorders>
              <w:left w:val="single" w:sz="18" w:color="FFE08A"/>
              <w:right w:val="single" w:sz="2" w:color="FFFAEB"/>
              <w:top w:val="single" w:sz="2" w:color="FFFAEB"/>
              <w:bottom w:val="single" w:sz="2" w:color="FFFAEB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Bon réflexe 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Avant de commencer, vérifiez que la fiche de chaque personne est complète : cela accélère fortement l’inscription.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Étape « Dossier » ou « Paiement »</w:t>
            </w:r>
          </w:p>
        </w:tc>
      </w:tr>
    </w:tbl>
    <w:p>
      <w:pPr>
        <w:spacing w:before="0" w:after="20" w:line="240" w:lineRule="auto"/>
      </w:pPr>
    </w:p>
    <w:sectPr w:rsidR="00FC693F" w:rsidRPr="0006063C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Liberation Sans" w:hAnsi="Liberation Sans" w:eastAsia="Liberation Sans"/>
        <w:b w:val="0"/>
        <w:color w:val="7A7A7A"/>
        <w:sz w:val="16"/>
      </w:rPr>
      <w:t>Assolutions · Aide en ligne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color w:val="3636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 w:eastAsia="Liberation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