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209CEE" w:color="auto"/>
            <w:tcBorders>
              <w:left w:val="single" w:sz="6" w:color="209CEE"/>
              <w:right w:val="single" w:sz="6" w:color="209CEE"/>
              <w:top w:val="single" w:sz="6" w:color="209CEE"/>
              <w:bottom w:val="single" w:sz="6" w:color="209CEE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EAF7FF"/>
                <w:sz w:val="16"/>
              </w:rPr>
              <w:t>AIDE ADMINISTRATEUR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36"/>
              </w:rPr>
              <w:t>Codes promotionnels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color w:val="F5FBFF"/>
                <w:sz w:val="18"/>
              </w:rPr>
              <w:t>Créer des remises utilisables pendant le paiement d’une inscription.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7" w:space="0" w:color="DBDBDB"/>
          <w:left w:val="single" w:sz="7" w:space="0" w:color="DBDBDB"/>
          <w:bottom w:val="single" w:sz="7" w:space="0" w:color="DBDBDB"/>
          <w:right w:val="single" w:sz="7" w:space="0" w:color="DBDBDB"/>
          <w:insideH w:val="single" w:sz="7" w:space="0" w:color="DBDBDB"/>
          <w:insideV w:val="single" w:sz="7" w:space="0" w:color="DBDBDB"/>
        </w:tblBorders>
      </w:tblPr>
      <w:tblGrid>
        <w:gridCol w:w="5355"/>
        <w:gridCol w:w="5355"/>
      </w:tblGrid>
      <w:tr>
        <w:tc>
          <w:tcPr>
            <w:tcW w:type="dxa" w:w="5355"/>
            <w:vAlign w:val="top"/>
            <w:shd w:fill="EEF7FD" w:color="auto"/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1B5E8F"/>
                <w:sz w:val="20"/>
              </w:rPr>
              <w:t>À quoi ça sert ?</w:t>
            </w:r>
          </w:p>
          <w:p>
            <w:pPr>
              <w:spacing w:before="0" w:after="0" w:line="250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Les codes promotionnels permettent d’appliquer une réduction lorsque les conditions prévues par le club sont respectées.</w:t>
            </w:r>
          </w:p>
        </w:tc>
        <w:tc>
          <w:tcPr>
            <w:tcW w:type="dxa" w:w="5355"/>
            <w:vAlign w:val="top"/>
            <w:shd w:fill="EEF7FD" w:color="auto"/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color w:val="1B5E8F"/>
                <w:sz w:val="20"/>
              </w:rPr>
              <w:t>Pourquoi l’utiliser ?</w:t>
            </w:r>
          </w:p>
          <w:p>
            <w:pPr>
              <w:spacing w:before="0" w:after="0" w:line="250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Ils évitent les corrections manuelles de prix et permettent de gérer proprement une remise ponctuelle ou ciblée dans le tunnel.</w:t>
            </w:r>
          </w:p>
        </w:tc>
      </w:tr>
    </w:tbl>
    <w:p/>
    <w:p>
      <w:pPr>
        <w:spacing w:before="20" w:after="60" w:line="240" w:lineRule="auto"/>
      </w:pPr>
      <w:r>
        <w:rPr>
          <w:rFonts w:ascii="Aptos" w:hAnsi="Aptos" w:eastAsia="Aptos"/>
          <w:b/>
          <w:color w:val="1B5E8F"/>
          <w:sz w:val="19"/>
        </w:rPr>
        <w:t>LES ÉTAPES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space="0" w:color="DBDBDB"/>
          <w:left w:val="single" w:sz="7" w:space="0" w:color="DBDBDB"/>
          <w:bottom w:val="single" w:sz="7" w:space="0" w:color="DBDBDB"/>
          <w:right w:val="single" w:sz="7" w:space="0" w:color="DBDBDB"/>
          <w:insideH w:val="single" w:sz="7" w:space="0" w:color="DBDBDB"/>
          <w:insideV w:val="single" w:sz="7" w:space="0" w:color="DBDBDB"/>
        </w:tblBorders>
      </w:tblPr>
      <w:tblGrid>
        <w:gridCol w:w="425"/>
        <w:gridCol w:w="8759"/>
      </w:tblGrid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1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Ouvrir « Codes promotionnels »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accédez à la fonction depuis la gestion sportive.</w:t>
            </w:r>
          </w:p>
        </w:tc>
      </w:tr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2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Créer un code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choisissez un code simple à communiquer et définissez la remise.</w:t>
            </w:r>
          </w:p>
        </w:tc>
      </w:tr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3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Définir les conditions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limitez si nécessaire l’usage à certains tarifs, périodes ou situations.</w:t>
            </w:r>
          </w:p>
        </w:tc>
      </w:tr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4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Enregistrer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activez le code lorsqu’il est prêt à être utilisé.</w:t>
            </w:r>
          </w:p>
        </w:tc>
      </w:tr>
      <w:tr>
        <w:tc>
          <w:tcPr>
            <w:tcW w:type="dxa" w:w="425"/>
            <w:shd w:fill="209CEE" w:color="auto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20"/>
              </w:rPr>
              <w:t>5</w:t>
            </w:r>
          </w:p>
        </w:tc>
        <w:tc>
          <w:tcPr>
            <w:tcW w:type="dxa" w:w="8759"/>
            <w:shd w:fill="FFFFFF" w:color="auto"/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363636"/>
                <w:sz w:val="18"/>
              </w:rPr>
              <w:t xml:space="preserve">Tester dans le tunnel — </w:t>
            </w:r>
            <w:r>
              <w:rPr>
                <w:rFonts w:ascii="Aptos" w:hAnsi="Aptos" w:eastAsia="Aptos"/>
                <w:b w:val="0"/>
                <w:color w:val="363636"/>
                <w:sz w:val="18"/>
              </w:rPr>
              <w:t>saisissez le code à l’étape Paiement et vérifiez le montant final.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FAFAFA" w:color="auto"/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80" w:after="20" w:line="240" w:lineRule="auto"/>
              <w:jc w:val="center"/>
            </w:pPr>
            <w:r>
              <w:rPr>
                <w:rFonts w:ascii="Aptos" w:hAnsi="Aptos" w:eastAsia="Aptos"/>
                <w:b/>
                <w:color w:val="7A7A7A"/>
                <w:sz w:val="18"/>
              </w:rPr>
              <w:t>CAPTURE D’ÉCRAN À INSÉRER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Aptos" w:hAnsi="Aptos" w:eastAsia="Aptos"/>
                <w:b w:val="0"/>
                <w:color w:val="7A7A7A"/>
                <w:sz w:val="17"/>
              </w:rPr>
              <w:t>Liste des codes promotionnels et création d’un code</w:t>
            </w:r>
          </w:p>
        </w:tc>
      </w:tr>
    </w:tbl>
    <w:p/>
    <w:p>
      <w:pPr>
        <w:spacing w:before="20" w:after="60" w:line="240" w:lineRule="auto"/>
      </w:pPr>
      <w:r>
        <w:rPr>
          <w:rFonts w:ascii="Aptos" w:hAnsi="Aptos" w:eastAsia="Aptos"/>
          <w:b/>
          <w:color w:val="1B5E8F"/>
          <w:sz w:val="19"/>
        </w:rPr>
        <w:t>LES PRINCIPAUX CAS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tcBorders>
              <w:left w:val="single" w:sz="18" w:color="00D1B2"/>
              <w:top w:val="single" w:sz="2" w:color="FFFFFF"/>
              <w:right w:val="single" w:sz="2" w:color="FFFFFF"/>
              <w:bottom w:val="single" w:sz="2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Remise valide</w:t>
            </w:r>
          </w:p>
          <w:p>
            <w:pPr>
              <w:spacing w:before="0" w:after="20" w:line="245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Le tunnel affiche la remise et recalcule le montant à payer.</w:t>
            </w:r>
          </w:p>
        </w:tc>
      </w:tr>
      <w:tr>
        <w:tc>
          <w:tcPr>
            <w:tcW w:type="dxa" w:w="10710"/>
            <w:tcBorders>
              <w:left w:val="single" w:sz="18" w:color="00D1B2"/>
              <w:top w:val="single" w:sz="2" w:color="FFFFFF"/>
              <w:right w:val="single" w:sz="2" w:color="FFFFFF"/>
              <w:bottom w:val="single" w:sz="2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Code non applicable</w:t>
            </w:r>
          </w:p>
          <w:p>
            <w:pPr>
              <w:spacing w:before="0" w:after="20" w:line="245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Le code est refusé lorsque ses conditions ne correspondent pas au dossier ou aux tarifs sélectionnés.</w:t>
            </w:r>
          </w:p>
        </w:tc>
      </w:tr>
      <w:tr>
        <w:tc>
          <w:tcPr>
            <w:tcW w:type="dxa" w:w="10710"/>
            <w:tcBorders>
              <w:left w:val="single" w:sz="18" w:color="00D1B2"/>
              <w:top w:val="single" w:sz="2" w:color="FFFFFF"/>
              <w:right w:val="single" w:sz="2" w:color="FFFFFF"/>
              <w:bottom w:val="single" w:sz="2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Fin d’une opération</w:t>
            </w:r>
          </w:p>
          <w:p>
            <w:pPr>
              <w:spacing w:before="0" w:after="20" w:line="245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Désactivez ou limitez le code plutôt que de modifier manuellement les inscriptions déjà payées.</w:t>
            </w:r>
          </w:p>
        </w:tc>
      </w:tr>
      <w:tr>
        <w:tc>
          <w:tcPr>
            <w:tcW w:type="dxa" w:w="10710"/>
            <w:tcBorders>
              <w:left w:val="single" w:sz="18" w:color="00D1B2"/>
              <w:top w:val="single" w:sz="2" w:color="FFFFFF"/>
              <w:right w:val="single" w:sz="2" w:color="FFFFFF"/>
              <w:bottom w:val="single" w:sz="2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>Plusieurs inscrits</w:t>
            </w:r>
          </w:p>
          <w:p>
            <w:pPr>
              <w:spacing w:before="0" w:after="20" w:line="245" w:lineRule="auto"/>
            </w:pPr>
            <w:r>
              <w:rPr>
                <w:rFonts w:ascii="Aptos" w:hAnsi="Aptos" w:eastAsia="Aptos"/>
                <w:b w:val="0"/>
                <w:color w:val="363636"/>
                <w:sz w:val="17"/>
              </w:rPr>
              <w:t>Vérifiez le comportement du code lorsque plusieurs personnes sont payées dans le même tunnel.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F0FFFB" w:color="auto"/>
            <w:tcBorders>
              <w:left w:val="single" w:sz="24" w:color="00D1B2"/>
              <w:right w:val="single" w:sz="5" w:color="F0FFFB"/>
              <w:top w:val="single" w:sz="5" w:color="F0FFFB"/>
              <w:bottom w:val="single" w:sz="5" w:color="F0FFFB"/>
            </w:tcBorders>
          </w:tcPr>
          <w:p>
            <w:pPr>
              <w:spacing w:before="0" w:after="0" w:line="245" w:lineRule="auto"/>
            </w:pPr>
            <w:r>
              <w:rPr>
                <w:rFonts w:ascii="Aptos" w:hAnsi="Aptos" w:eastAsia="Aptos"/>
                <w:b/>
                <w:color w:val="1B5E8F"/>
                <w:sz w:val="18"/>
              </w:rPr>
              <w:t xml:space="preserve">Bon réflexe  </w:t>
            </w:r>
            <w:r>
              <w:rPr>
                <w:rFonts w:ascii="Aptos" w:hAnsi="Aptos" w:eastAsia="Aptos"/>
                <w:b w:val="0"/>
                <w:color w:val="363636"/>
                <w:sz w:val="17"/>
              </w:rPr>
              <w:t>Donnez aux codes des règles simples et une période clairement définie : ils seront plus faciles à contrôler et à expliquer aux adhérents.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FAFAFA" w:color="auto"/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80" w:after="20" w:line="240" w:lineRule="auto"/>
              <w:jc w:val="center"/>
            </w:pPr>
            <w:r>
              <w:rPr>
                <w:rFonts w:ascii="Aptos" w:hAnsi="Aptos" w:eastAsia="Aptos"/>
                <w:b/>
                <w:color w:val="7A7A7A"/>
                <w:sz w:val="18"/>
              </w:rPr>
              <w:t>CAPTURE D’ÉCRAN À INSÉRER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Aptos" w:hAnsi="Aptos" w:eastAsia="Aptos"/>
                <w:b w:val="0"/>
                <w:color w:val="7A7A7A"/>
                <w:sz w:val="17"/>
              </w:rPr>
              <w:t>Résultat d’un code appliqué à l’étape Paiement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567" w:right="765" w:bottom="425" w:left="765" w:header="720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 w:eastAsia="Aptos"/>
        <w:b w:val="0"/>
        <w:color w:val="7A7A7A"/>
        <w:sz w:val="16"/>
      </w:rPr>
      <w:t>Assolutions — Aide administrateur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