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710"/>
      </w:tblGrid>
      <w:tr>
        <w:tc>
          <w:tcPr>
            <w:tcW w:type="dxa" w:w="10710"/>
            <w:shd w:fill="209CEE" w:color="auto"/>
            <w:tcBorders>
              <w:left w:val="single" w:sz="6" w:color="209CEE"/>
              <w:top w:val="single" w:sz="6" w:color="209CEE"/>
              <w:right w:val="single" w:sz="6" w:color="209CEE"/>
              <w:bottom w:val="single" w:sz="6" w:color="209CEE"/>
            </w:tcBorders>
          </w:tcPr>
          <w:p>
            <w:pPr>
              <w:spacing w:before="0" w:after="20" w:line="240" w:lineRule="auto"/>
            </w:pPr>
            <w:r>
              <w:rPr>
                <w:rFonts w:ascii="Aptos" w:hAnsi="Aptos" w:eastAsia="Aptos"/>
                <w:b/>
                <w:color w:val="EAF7FF"/>
                <w:sz w:val="16"/>
              </w:rPr>
              <w:t>AIDE PROFESSEUR</w:t>
            </w:r>
          </w:p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37"/>
              </w:rPr>
              <w:t>Piloter une séance</w:t>
            </w:r>
          </w:p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F5FBFF"/>
                <w:sz w:val="19"/>
              </w:rPr>
              <w:t>Suivre les présences, communiquer et gérer la séance le jour J.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7" w:space="0" w:color="DBDBDB"/>
          <w:left w:val="single" w:sz="7" w:space="0" w:color="DBDBDB"/>
          <w:bottom w:val="single" w:sz="7" w:space="0" w:color="DBDBDB"/>
          <w:right w:val="single" w:sz="7" w:space="0" w:color="DBDBDB"/>
          <w:insideH w:val="single" w:sz="7" w:space="0" w:color="DBDBDB"/>
          <w:insideV w:val="single" w:sz="7" w:space="0" w:color="DBDBDB"/>
        </w:tblBorders>
      </w:tblPr>
      <w:tblGrid>
        <w:gridCol w:w="4592"/>
        <w:gridCol w:w="4592"/>
      </w:tblGrid>
      <w:tr>
        <w:tc>
          <w:tcPr>
            <w:tcW w:type="dxa" w:w="5355"/>
            <w:shd w:fill="EEF7FD" w:color="auto"/>
            <w:vAlign w:val="top"/>
          </w:tcPr>
          <w:p>
            <w:pPr>
              <w:spacing w:before="0" w:after="20" w:line="240" w:lineRule="auto"/>
            </w:pPr>
            <w:r>
              <w:rPr>
                <w:rFonts w:ascii="Aptos" w:hAnsi="Aptos" w:eastAsia="Aptos"/>
                <w:b/>
                <w:color w:val="1B5E8F"/>
                <w:sz w:val="20"/>
              </w:rPr>
              <w:t>À quoi ça sert ?</w:t>
            </w:r>
          </w:p>
          <w:p>
            <w:pPr>
              <w:spacing w:before="0" w:after="0" w:line="254" w:lineRule="auto"/>
            </w:pPr>
            <w:r>
              <w:rPr>
                <w:rFonts w:ascii="Aptos" w:hAnsi="Aptos" w:eastAsia="Aptos"/>
                <w:b w:val="0"/>
                <w:color w:val="363636"/>
                <w:sz w:val="18"/>
              </w:rPr>
              <w:t>L’écran d’une séance permet de visualiser les potentiels, les présents, les absents et les essais, puis d’agir directement sur la séance.</w:t>
            </w:r>
          </w:p>
        </w:tc>
        <w:tc>
          <w:tcPr>
            <w:tcW w:type="dxa" w:w="5355"/>
            <w:shd w:fill="EEF7FD" w:color="auto"/>
            <w:vAlign w:val="top"/>
          </w:tcPr>
          <w:p>
            <w:pPr>
              <w:spacing w:before="0" w:after="20" w:line="240" w:lineRule="auto"/>
            </w:pPr>
            <w:r>
              <w:rPr>
                <w:rFonts w:ascii="Aptos" w:hAnsi="Aptos" w:eastAsia="Aptos"/>
                <w:b/>
                <w:color w:val="1B5E8F"/>
                <w:sz w:val="20"/>
              </w:rPr>
              <w:t>Pourquoi l’utiliser ?</w:t>
            </w:r>
          </w:p>
          <w:p>
            <w:pPr>
              <w:spacing w:before="0" w:after="0" w:line="254" w:lineRule="auto"/>
            </w:pPr>
            <w:r>
              <w:rPr>
                <w:rFonts w:ascii="Aptos" w:hAnsi="Aptos" w:eastAsia="Aptos"/>
                <w:b w:val="0"/>
                <w:color w:val="363636"/>
                <w:sz w:val="18"/>
              </w:rPr>
              <w:t>C’est l’outil opérationnel pour préparer la séance, envoyer des messages, ajouter une personne et consigner une note utile.</w:t>
            </w:r>
          </w:p>
        </w:tc>
      </w:tr>
    </w:tbl>
    <w:p/>
    <w:p>
      <w:pPr>
        <w:spacing w:before="20" w:after="60" w:line="240" w:lineRule="auto"/>
      </w:pPr>
      <w:r>
        <w:rPr>
          <w:rFonts w:ascii="Aptos" w:hAnsi="Aptos" w:eastAsia="Aptos"/>
          <w:b/>
          <w:color w:val="1B5E8F"/>
          <w:sz w:val="20"/>
        </w:rPr>
        <w:t>LES ÉTAPES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7" w:space="0" w:color="DBDBDB"/>
          <w:left w:val="single" w:sz="7" w:space="0" w:color="DBDBDB"/>
          <w:bottom w:val="single" w:sz="7" w:space="0" w:color="DBDBDB"/>
          <w:right w:val="single" w:sz="7" w:space="0" w:color="DBDBDB"/>
          <w:insideH w:val="single" w:sz="7" w:space="0" w:color="DBDBDB"/>
          <w:insideV w:val="single" w:sz="7" w:space="0" w:color="DBDBDB"/>
        </w:tblBorders>
      </w:tblPr>
      <w:tblGrid>
        <w:gridCol w:w="5355"/>
        <w:gridCol w:w="5355"/>
      </w:tblGrid>
      <w:tr>
        <w:tc>
          <w:tcPr>
            <w:tcW w:type="dxa" w:w="454"/>
            <w:shd w:fill="209CEE" w:color="auto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 w:eastAsia="Aptos"/>
                <w:b/>
                <w:color w:val="FFFFFF"/>
                <w:sz w:val="20"/>
              </w:rPr>
              <w:t>1</w:t>
            </w:r>
          </w:p>
        </w:tc>
        <w:tc>
          <w:tcPr>
            <w:tcW w:type="dxa" w:w="8617"/>
            <w:shd w:fill="FFFFFF" w:color="auto"/>
          </w:tcPr>
          <w:p>
            <w:pPr>
              <w:spacing w:before="0" w:after="0" w:line="250" w:lineRule="auto"/>
            </w:pPr>
            <w:r>
              <w:rPr>
                <w:rFonts w:ascii="Aptos" w:hAnsi="Aptos" w:eastAsia="Aptos"/>
                <w:b/>
                <w:color w:val="363636"/>
                <w:sz w:val="18"/>
              </w:rPr>
              <w:t xml:space="preserve">Ouvrir la séance — </w:t>
            </w:r>
            <w:r>
              <w:rPr>
                <w:rFonts w:ascii="Aptos" w:hAnsi="Aptos" w:eastAsia="Aptos"/>
                <w:b w:val="0"/>
                <w:color w:val="363636"/>
                <w:sz w:val="18"/>
              </w:rPr>
              <w:t>accédez-y depuis « Séances » ou depuis votre menu prof.</w:t>
            </w:r>
          </w:p>
        </w:tc>
      </w:tr>
      <w:tr>
        <w:tc>
          <w:tcPr>
            <w:tcW w:type="dxa" w:w="454"/>
            <w:shd w:fill="209CEE" w:color="auto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 w:eastAsia="Aptos"/>
                <w:b/>
                <w:color w:val="FFFFFF"/>
                <w:sz w:val="20"/>
              </w:rPr>
              <w:t>2</w:t>
            </w:r>
          </w:p>
        </w:tc>
        <w:tc>
          <w:tcPr>
            <w:tcW w:type="dxa" w:w="8617"/>
            <w:shd w:fill="FFFFFF" w:color="auto"/>
          </w:tcPr>
          <w:p>
            <w:pPr>
              <w:spacing w:before="0" w:after="0" w:line="250" w:lineRule="auto"/>
            </w:pPr>
            <w:r>
              <w:rPr>
                <w:rFonts w:ascii="Aptos" w:hAnsi="Aptos" w:eastAsia="Aptos"/>
                <w:b/>
                <w:color w:val="363636"/>
                <w:sz w:val="18"/>
              </w:rPr>
              <w:t xml:space="preserve">Consulter les statuts — </w:t>
            </w:r>
            <w:r>
              <w:rPr>
                <w:rFonts w:ascii="Aptos" w:hAnsi="Aptos" w:eastAsia="Aptos"/>
                <w:b w:val="0"/>
                <w:color w:val="363636"/>
                <w:sz w:val="18"/>
              </w:rPr>
              <w:t>visualisez les personnes potentielles, présentes, absentes ou convoquées.</w:t>
            </w:r>
          </w:p>
        </w:tc>
      </w:tr>
      <w:tr>
        <w:tc>
          <w:tcPr>
            <w:tcW w:type="dxa" w:w="454"/>
            <w:shd w:fill="209CEE" w:color="auto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 w:eastAsia="Aptos"/>
                <w:b/>
                <w:color w:val="FFFFFF"/>
                <w:sz w:val="20"/>
              </w:rPr>
              <w:t>3</w:t>
            </w:r>
          </w:p>
        </w:tc>
        <w:tc>
          <w:tcPr>
            <w:tcW w:type="dxa" w:w="8617"/>
            <w:shd w:fill="FFFFFF" w:color="auto"/>
          </w:tcPr>
          <w:p>
            <w:pPr>
              <w:spacing w:before="0" w:after="0" w:line="250" w:lineRule="auto"/>
            </w:pPr>
            <w:r>
              <w:rPr>
                <w:rFonts w:ascii="Aptos" w:hAnsi="Aptos" w:eastAsia="Aptos"/>
                <w:b/>
                <w:color w:val="363636"/>
                <w:sz w:val="18"/>
              </w:rPr>
              <w:t xml:space="preserve">Mettre à jour les réponses — </w:t>
            </w:r>
            <w:r>
              <w:rPr>
                <w:rFonts w:ascii="Aptos" w:hAnsi="Aptos" w:eastAsia="Aptos"/>
                <w:b w:val="0"/>
                <w:color w:val="363636"/>
                <w:sz w:val="18"/>
              </w:rPr>
              <w:t>corrigez les présences, gérez les absences et vérifiez les demandes d’essai.</w:t>
            </w:r>
          </w:p>
        </w:tc>
      </w:tr>
      <w:tr>
        <w:tc>
          <w:tcPr>
            <w:tcW w:type="dxa" w:w="454"/>
            <w:shd w:fill="209CEE" w:color="auto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 w:eastAsia="Aptos"/>
                <w:b/>
                <w:color w:val="FFFFFF"/>
                <w:sz w:val="20"/>
              </w:rPr>
              <w:t>4</w:t>
            </w:r>
          </w:p>
        </w:tc>
        <w:tc>
          <w:tcPr>
            <w:tcW w:type="dxa" w:w="8617"/>
            <w:shd w:fill="FFFFFF" w:color="auto"/>
          </w:tcPr>
          <w:p>
            <w:pPr>
              <w:spacing w:before="0" w:after="0" w:line="250" w:lineRule="auto"/>
            </w:pPr>
            <w:r>
              <w:rPr>
                <w:rFonts w:ascii="Aptos" w:hAnsi="Aptos" w:eastAsia="Aptos"/>
                <w:b/>
                <w:color w:val="363636"/>
                <w:sz w:val="18"/>
              </w:rPr>
              <w:t xml:space="preserve">Utiliser « Options » — </w:t>
            </w:r>
            <w:r>
              <w:rPr>
                <w:rFonts w:ascii="Aptos" w:hAnsi="Aptos" w:eastAsia="Aptos"/>
                <w:b w:val="0"/>
                <w:color w:val="363636"/>
                <w:sz w:val="18"/>
              </w:rPr>
              <w:t>envoyez une convocation ou une annulation, ajoutez une personne ou saisissez une note de séance.</w:t>
            </w:r>
          </w:p>
        </w:tc>
      </w:tr>
      <w:tr>
        <w:tc>
          <w:tcPr>
            <w:tcW w:type="dxa" w:w="454"/>
            <w:shd w:fill="209CEE" w:color="auto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 w:eastAsia="Aptos"/>
                <w:b/>
                <w:color w:val="FFFFFF"/>
                <w:sz w:val="20"/>
              </w:rPr>
              <w:t>5</w:t>
            </w:r>
          </w:p>
        </w:tc>
        <w:tc>
          <w:tcPr>
            <w:tcW w:type="dxa" w:w="8617"/>
            <w:shd w:fill="FFFFFF" w:color="auto"/>
          </w:tcPr>
          <w:p>
            <w:pPr>
              <w:spacing w:before="0" w:after="0" w:line="250" w:lineRule="auto"/>
            </w:pPr>
            <w:r>
              <w:rPr>
                <w:rFonts w:ascii="Aptos" w:hAnsi="Aptos" w:eastAsia="Aptos"/>
                <w:b/>
                <w:color w:val="363636"/>
                <w:sz w:val="18"/>
              </w:rPr>
              <w:t xml:space="preserve">Contrôler le résultat — </w:t>
            </w:r>
            <w:r>
              <w:rPr>
                <w:rFonts w:ascii="Aptos" w:hAnsi="Aptos" w:eastAsia="Aptos"/>
                <w:b w:val="0"/>
                <w:color w:val="363636"/>
                <w:sz w:val="18"/>
              </w:rPr>
              <w:t>vérifiez les destinataires, les messages et la composition finale de la séance.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7" w:space="0" w:color="DBDBDB"/>
          <w:left w:val="single" w:sz="7" w:space="0" w:color="DBDBDB"/>
          <w:bottom w:val="single" w:sz="7" w:space="0" w:color="DBDBDB"/>
          <w:right w:val="single" w:sz="7" w:space="0" w:color="DBDBDB"/>
          <w:insideH w:val="single" w:sz="7" w:space="0" w:color="DBDBDB"/>
          <w:insideV w:val="single" w:sz="7" w:space="0" w:color="DBDBDB"/>
        </w:tblBorders>
      </w:tblPr>
      <w:tblGrid>
        <w:gridCol w:w="10710"/>
      </w:tblGrid>
      <w:tr>
        <w:tc>
          <w:tcPr>
            <w:tcW w:type="dxa" w:w="10710"/>
            <w:shd w:fill="FAFAFA" w:color="auto"/>
            <w:tcBorders>
              <w:left w:val="dashed" w:sz="10" w:color="DBDBDB"/>
              <w:top w:val="dashed" w:sz="10" w:color="DBDBDB"/>
              <w:right w:val="dashed" w:sz="10" w:color="DBDBDB"/>
              <w:bottom w:val="dashed" w:sz="10" w:color="DBDBDB"/>
            </w:tcBorders>
          </w:tcPr>
          <w:p>
            <w:pPr>
              <w:spacing w:before="100" w:after="20" w:line="240" w:lineRule="auto"/>
              <w:jc w:val="center"/>
            </w:pPr>
            <w:r>
              <w:rPr>
                <w:rFonts w:ascii="Aptos" w:hAnsi="Aptos" w:eastAsia="Aptos"/>
                <w:b/>
                <w:color w:val="7A7A7A"/>
                <w:sz w:val="18"/>
              </w:rPr>
              <w:t>CAPTURE D’ÉCRAN À INSÉRER</w:t>
            </w:r>
          </w:p>
          <w:p>
            <w:pPr>
              <w:spacing w:before="0" w:after="100" w:line="240" w:lineRule="auto"/>
              <w:jc w:val="center"/>
            </w:pPr>
            <w:r>
              <w:rPr>
                <w:rFonts w:ascii="Aptos" w:hAnsi="Aptos" w:eastAsia="Aptos"/>
                <w:b w:val="0"/>
                <w:color w:val="7A7A7A"/>
                <w:sz w:val="17"/>
              </w:rPr>
              <w:t>Écran d’une séance — vue des personnes et menu Options</w:t>
            </w:r>
          </w:p>
        </w:tc>
      </w:tr>
    </w:tbl>
    <w:p/>
    <w:p>
      <w:pPr>
        <w:spacing w:before="20" w:after="60" w:line="240" w:lineRule="auto"/>
      </w:pPr>
      <w:r>
        <w:rPr>
          <w:rFonts w:ascii="Aptos" w:hAnsi="Aptos" w:eastAsia="Aptos"/>
          <w:b/>
          <w:color w:val="1B5E8F"/>
          <w:sz w:val="20"/>
        </w:rPr>
        <w:t>LES PRINCIPAUX CAS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</w:tblPr>
      <w:tblGrid>
        <w:gridCol w:w="10710"/>
      </w:tblGrid>
      <w:tr>
        <w:tc>
          <w:tcPr>
            <w:tcW w:type="dxa" w:w="10710"/>
            <w:shd w:fill="FFFFFF" w:color="auto"/>
            <w:tcBorders>
              <w:left w:val="single" w:sz="18" w:color="00D1B2"/>
              <w:top w:val="single" w:sz="3" w:color="FFFFFF"/>
              <w:right w:val="single" w:sz="3" w:color="FFFFFF"/>
              <w:bottom w:val="single" w:sz="3" w:color="FFFFFF"/>
            </w:tcBorders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1B5E8F"/>
                <w:sz w:val="18"/>
              </w:rPr>
              <w:t>Ajouter une personne</w:t>
            </w:r>
          </w:p>
          <w:p>
            <w:pPr>
              <w:spacing w:before="0" w:after="20" w:line="247" w:lineRule="auto"/>
            </w:pPr>
            <w:r>
              <w:rPr>
                <w:rFonts w:ascii="Aptos" w:hAnsi="Aptos" w:eastAsia="Aptos"/>
                <w:b w:val="0"/>
                <w:color w:val="363636"/>
                <w:sz w:val="17"/>
              </w:rPr>
              <w:t>Une personne peut être ajoutée exceptionnellement à une séance, même hors de son groupe habituel.</w:t>
            </w:r>
          </w:p>
        </w:tc>
      </w:tr>
      <w:tr>
        <w:tc>
          <w:tcPr>
            <w:tcW w:type="dxa" w:w="10710"/>
            <w:shd w:fill="FFFFFF" w:color="auto"/>
            <w:tcBorders>
              <w:left w:val="single" w:sz="18" w:color="00D1B2"/>
              <w:top w:val="single" w:sz="3" w:color="FFFFFF"/>
              <w:right w:val="single" w:sz="3" w:color="FFFFFF"/>
              <w:bottom w:val="single" w:sz="3" w:color="FFFFFF"/>
            </w:tcBorders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1B5E8F"/>
                <w:sz w:val="18"/>
              </w:rPr>
              <w:t>Convocation nominative</w:t>
            </w:r>
          </w:p>
          <w:p>
            <w:pPr>
              <w:spacing w:before="0" w:after="20" w:line="247" w:lineRule="auto"/>
            </w:pPr>
            <w:r>
              <w:rPr>
                <w:rFonts w:ascii="Aptos" w:hAnsi="Aptos" w:eastAsia="Aptos"/>
                <w:b w:val="0"/>
                <w:color w:val="363636"/>
                <w:sz w:val="17"/>
              </w:rPr>
              <w:t>Une convocation fait apparaître la personne sur la séance et facilite son suivi.</w:t>
            </w:r>
          </w:p>
        </w:tc>
      </w:tr>
      <w:tr>
        <w:tc>
          <w:tcPr>
            <w:tcW w:type="dxa" w:w="10710"/>
            <w:shd w:fill="FFFFFF" w:color="auto"/>
            <w:tcBorders>
              <w:left w:val="single" w:sz="18" w:color="00D1B2"/>
              <w:top w:val="single" w:sz="3" w:color="FFFFFF"/>
              <w:right w:val="single" w:sz="3" w:color="FFFFFF"/>
              <w:bottom w:val="single" w:sz="3" w:color="FFFFFF"/>
            </w:tcBorders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1B5E8F"/>
                <w:sz w:val="18"/>
              </w:rPr>
              <w:t>Séance d’essai</w:t>
            </w:r>
          </w:p>
          <w:p>
            <w:pPr>
              <w:spacing w:before="0" w:after="20" w:line="247" w:lineRule="auto"/>
            </w:pPr>
            <w:r>
              <w:rPr>
                <w:rFonts w:ascii="Aptos" w:hAnsi="Aptos" w:eastAsia="Aptos"/>
                <w:b w:val="0"/>
                <w:color w:val="363636"/>
                <w:sz w:val="17"/>
              </w:rPr>
              <w:t>Les essais peuvent être visibles comme statut particulier. Ils doivent être pris en compte dans la préparation du jour J.</w:t>
            </w:r>
          </w:p>
        </w:tc>
      </w:tr>
      <w:tr>
        <w:tc>
          <w:tcPr>
            <w:tcW w:type="dxa" w:w="10710"/>
            <w:shd w:fill="FFFFFF" w:color="auto"/>
            <w:tcBorders>
              <w:left w:val="single" w:sz="18" w:color="00D1B2"/>
              <w:top w:val="single" w:sz="3" w:color="FFFFFF"/>
              <w:right w:val="single" w:sz="3" w:color="FFFFFF"/>
              <w:bottom w:val="single" w:sz="3" w:color="FFFFFF"/>
            </w:tcBorders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1B5E8F"/>
                <w:sz w:val="18"/>
              </w:rPr>
              <w:t>Annulation ou note</w:t>
            </w:r>
          </w:p>
          <w:p>
            <w:pPr>
              <w:spacing w:before="0" w:after="20" w:line="247" w:lineRule="auto"/>
            </w:pPr>
            <w:r>
              <w:rPr>
                <w:rFonts w:ascii="Aptos" w:hAnsi="Aptos" w:eastAsia="Aptos"/>
                <w:b w:val="0"/>
                <w:color w:val="363636"/>
                <w:sz w:val="17"/>
              </w:rPr>
              <w:t>Le même écran permet d’envoyer une annulation ou de garder une note interne sur la séance.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710"/>
      </w:tblGrid>
      <w:tr>
        <w:tc>
          <w:tcPr>
            <w:tcW w:type="dxa" w:w="10710"/>
            <w:shd w:fill="F0FFFB" w:color="auto"/>
            <w:tcBorders>
              <w:left w:val="single" w:sz="24" w:color="00D1B2"/>
              <w:top w:val="single" w:sz="6" w:color="F0FFFB"/>
              <w:right w:val="single" w:sz="6" w:color="F0FFFB"/>
              <w:bottom w:val="single" w:sz="6" w:color="F0FFFB"/>
            </w:tcBorders>
          </w:tcPr>
          <w:p>
            <w:pPr>
              <w:spacing w:before="0" w:after="0" w:line="245" w:lineRule="auto"/>
            </w:pPr>
            <w:r>
              <w:rPr>
                <w:rFonts w:ascii="Aptos" w:hAnsi="Aptos" w:eastAsia="Aptos"/>
                <w:b/>
                <w:color w:val="1B5E8F"/>
                <w:sz w:val="19"/>
              </w:rPr>
              <w:t xml:space="preserve">Lecture rapide  </w:t>
            </w:r>
            <w:r>
              <w:rPr>
                <w:rFonts w:ascii="Aptos" w:hAnsi="Aptos" w:eastAsia="Aptos"/>
                <w:b w:val="0"/>
                <w:color w:val="363636"/>
                <w:sz w:val="17"/>
              </w:rPr>
              <w:t>Présence potentielle = personnes concernées • Présent = confirmé • Absent = déclaré • Essai = participation en test.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7" w:space="0" w:color="DBDBDB"/>
          <w:left w:val="single" w:sz="7" w:space="0" w:color="DBDBDB"/>
          <w:bottom w:val="single" w:sz="7" w:space="0" w:color="DBDBDB"/>
          <w:right w:val="single" w:sz="7" w:space="0" w:color="DBDBDB"/>
          <w:insideH w:val="single" w:sz="7" w:space="0" w:color="DBDBDB"/>
          <w:insideV w:val="single" w:sz="7" w:space="0" w:color="DBDBDB"/>
        </w:tblBorders>
      </w:tblPr>
      <w:tblGrid>
        <w:gridCol w:w="10710"/>
      </w:tblGrid>
      <w:tr>
        <w:tc>
          <w:tcPr>
            <w:tcW w:type="dxa" w:w="10710"/>
            <w:shd w:fill="FAFAFA" w:color="auto"/>
            <w:tcBorders>
              <w:left w:val="dashed" w:sz="10" w:color="DBDBDB"/>
              <w:top w:val="dashed" w:sz="10" w:color="DBDBDB"/>
              <w:right w:val="dashed" w:sz="10" w:color="DBDBDB"/>
              <w:bottom w:val="dashed" w:sz="10" w:color="DBDBDB"/>
            </w:tcBorders>
          </w:tcPr>
          <w:p>
            <w:pPr>
              <w:spacing w:before="100" w:after="20" w:line="240" w:lineRule="auto"/>
              <w:jc w:val="center"/>
            </w:pPr>
            <w:r>
              <w:rPr>
                <w:rFonts w:ascii="Aptos" w:hAnsi="Aptos" w:eastAsia="Aptos"/>
                <w:b/>
                <w:color w:val="7A7A7A"/>
                <w:sz w:val="18"/>
              </w:rPr>
              <w:t>CAPTURE D’ÉCRAN À INSÉRER</w:t>
            </w:r>
          </w:p>
          <w:p>
            <w:pPr>
              <w:spacing w:before="0" w:after="100" w:line="240" w:lineRule="auto"/>
              <w:jc w:val="center"/>
            </w:pPr>
            <w:r>
              <w:rPr>
                <w:rFonts w:ascii="Aptos" w:hAnsi="Aptos" w:eastAsia="Aptos"/>
                <w:b w:val="0"/>
                <w:color w:val="7A7A7A"/>
                <w:sz w:val="17"/>
              </w:rPr>
              <w:t>Panneau de convocation, d’ajout ou de note séance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567" w:right="765" w:bottom="454" w:left="765" w:header="283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right"/>
    </w:pPr>
    <w:r>
      <w:rPr>
        <w:rFonts w:ascii="Aptos" w:hAnsi="Aptos" w:eastAsia="Aptos"/>
        <w:b w:val="0"/>
        <w:color w:val="7A7A7A"/>
        <w:sz w:val="16"/>
      </w:rPr>
      <w:t>Assolutions — Aide prof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