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209CEE" w:color="auto"/>
            <w:tcBorders>
              <w:left w:val="single" w:sz="6" w:color="209CEE"/>
              <w:right w:val="single" w:sz="6" w:color="209CEE"/>
              <w:top w:val="single" w:sz="6" w:color="209CEE"/>
              <w:bottom w:val="single" w:sz="6" w:color="209CEE"/>
            </w:tcBorders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/>
                <w:color w:val="EAF7FF"/>
                <w:sz w:val="16"/>
              </w:rPr>
              <w:t>AIDE ADMINISTRATEUR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36"/>
              </w:rPr>
              <w:t>Professeurs et contrats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F5FBFF"/>
                <w:sz w:val="18"/>
              </w:rPr>
              <w:t>Référencer les encadrants et suivre leurs conditions d’intervention.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7" w:space="0" w:color="DBDBDB"/>
          <w:left w:val="single" w:sz="7" w:space="0" w:color="DBDBDB"/>
          <w:bottom w:val="single" w:sz="7" w:space="0" w:color="DBDBDB"/>
          <w:right w:val="single" w:sz="7" w:space="0" w:color="DBDBDB"/>
          <w:insideH w:val="single" w:sz="7" w:space="0" w:color="DBDBDB"/>
          <w:insideV w:val="single" w:sz="7" w:space="0" w:color="DBDBDB"/>
        </w:tblBorders>
      </w:tblPr>
      <w:tblGrid>
        <w:gridCol w:w="5355"/>
        <w:gridCol w:w="5355"/>
      </w:tblGrid>
      <w:tr>
        <w:tc>
          <w:tcPr>
            <w:tcW w:type="dxa" w:w="5355"/>
            <w:vAlign w:val="top"/>
            <w:shd w:fill="EEF7FD" w:color="auto"/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/>
                <w:color w:val="1B5E8F"/>
                <w:sz w:val="20"/>
              </w:rPr>
              <w:t>À quoi ça sert ?</w:t>
            </w:r>
          </w:p>
          <w:p>
            <w:pPr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La gestion des professeurs identifie les encadrants utilisables dans les cours et séances. Les contrats permettent de conserver leurs conditions d’intervention.</w:t>
            </w:r>
          </w:p>
        </w:tc>
        <w:tc>
          <w:tcPr>
            <w:tcW w:type="dxa" w:w="5355"/>
            <w:vAlign w:val="top"/>
            <w:shd w:fill="EEF7FD" w:color="auto"/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/>
                <w:color w:val="1B5E8F"/>
                <w:sz w:val="20"/>
              </w:rPr>
              <w:t>Pourquoi l’utiliser ?</w:t>
            </w:r>
          </w:p>
          <w:p>
            <w:pPr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Distinguer la personne, son rôle de professeur et son contrat évite de mélanger les coordonnées de l’encadrant avec les informations administratives de sa mission.</w:t>
            </w:r>
          </w:p>
        </w:tc>
      </w:tr>
    </w:tbl>
    <w:p/>
    <w:p>
      <w:pPr>
        <w:spacing w:before="20" w:after="60" w:line="240" w:lineRule="auto"/>
      </w:pPr>
      <w:r>
        <w:rPr>
          <w:rFonts w:ascii="Aptos" w:hAnsi="Aptos" w:eastAsia="Aptos"/>
          <w:b/>
          <w:color w:val="1B5E8F"/>
          <w:sz w:val="19"/>
        </w:rPr>
        <w:t>LES ÉTAPES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7" w:space="0" w:color="DBDBDB"/>
          <w:left w:val="single" w:sz="7" w:space="0" w:color="DBDBDB"/>
          <w:bottom w:val="single" w:sz="7" w:space="0" w:color="DBDBDB"/>
          <w:right w:val="single" w:sz="7" w:space="0" w:color="DBDBDB"/>
          <w:insideH w:val="single" w:sz="7" w:space="0" w:color="DBDBDB"/>
          <w:insideV w:val="single" w:sz="7" w:space="0" w:color="DBDBDB"/>
        </w:tblBorders>
      </w:tblPr>
      <w:tblGrid>
        <w:gridCol w:w="425"/>
        <w:gridCol w:w="8759"/>
      </w:tblGrid>
      <w:tr>
        <w:tc>
          <w:tcPr>
            <w:tcW w:type="dxa" w:w="425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1</w:t>
            </w:r>
          </w:p>
        </w:tc>
        <w:tc>
          <w:tcPr>
            <w:tcW w:type="dxa" w:w="8759"/>
            <w:shd w:fill="FFFFFF" w:color="auto"/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Ouvrir « Professeurs »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créez ou modifiez l’encadrant à utiliser dans le planning.</w:t>
            </w:r>
          </w:p>
        </w:tc>
      </w:tr>
      <w:tr>
        <w:tc>
          <w:tcPr>
            <w:tcW w:type="dxa" w:w="425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2</w:t>
            </w:r>
          </w:p>
        </w:tc>
        <w:tc>
          <w:tcPr>
            <w:tcW w:type="dxa" w:w="8759"/>
            <w:shd w:fill="FFFFFF" w:color="auto"/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Rattacher la bonne personne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vérifiez l’identité et les coordonnées de l’encadrant.</w:t>
            </w:r>
          </w:p>
        </w:tc>
      </w:tr>
      <w:tr>
        <w:tc>
          <w:tcPr>
            <w:tcW w:type="dxa" w:w="425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3</w:t>
            </w:r>
          </w:p>
        </w:tc>
        <w:tc>
          <w:tcPr>
            <w:tcW w:type="dxa" w:w="8759"/>
            <w:shd w:fill="FFFFFF" w:color="auto"/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Ouvrir « Contrats professeurs »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créez le contrat correspondant à sa période d’intervention.</w:t>
            </w:r>
          </w:p>
        </w:tc>
      </w:tr>
      <w:tr>
        <w:tc>
          <w:tcPr>
            <w:tcW w:type="dxa" w:w="425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4</w:t>
            </w:r>
          </w:p>
        </w:tc>
        <w:tc>
          <w:tcPr>
            <w:tcW w:type="dxa" w:w="8759"/>
            <w:shd w:fill="FFFFFF" w:color="auto"/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Renseigner les conditions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complétez les dates et les éléments utiles au suivi du contrat.</w:t>
            </w:r>
          </w:p>
        </w:tc>
      </w:tr>
      <w:tr>
        <w:tc>
          <w:tcPr>
            <w:tcW w:type="dxa" w:w="425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5</w:t>
            </w:r>
          </w:p>
        </w:tc>
        <w:tc>
          <w:tcPr>
            <w:tcW w:type="dxa" w:w="8759"/>
            <w:shd w:fill="FFFFFF" w:color="auto"/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Utiliser l’encadrant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sélectionnez ensuite le professeur dans les cours et les séances concernés.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AFAFA" w:color="auto"/>
            <w:tcBorders>
              <w:left w:val="dashed" w:sz="10" w:color="DBDBDB"/>
              <w:right w:val="dashed" w:sz="10" w:color="DBDBDB"/>
              <w:top w:val="dashed" w:sz="10" w:color="DBDBDB"/>
              <w:bottom w:val="dashed" w:sz="10" w:color="DBDBDB"/>
            </w:tcBorders>
          </w:tcPr>
          <w:p>
            <w:pPr>
              <w:spacing w:before="80" w:after="20" w:line="240" w:lineRule="auto"/>
              <w:jc w:val="center"/>
            </w:pPr>
            <w:r>
              <w:rPr>
                <w:rFonts w:ascii="Aptos" w:hAnsi="Aptos" w:eastAsia="Aptos"/>
                <w:b/>
                <w:color w:val="7A7A7A"/>
                <w:sz w:val="18"/>
              </w:rPr>
              <w:t>CAPTURE D’ÉCRAN À INSÉRER</w:t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Aptos" w:hAnsi="Aptos" w:eastAsia="Aptos"/>
                <w:b w:val="0"/>
                <w:color w:val="7A7A7A"/>
                <w:sz w:val="17"/>
              </w:rPr>
              <w:t>Fiche Professeur et liste des contrats</w:t>
            </w:r>
          </w:p>
        </w:tc>
      </w:tr>
    </w:tbl>
    <w:p/>
    <w:p>
      <w:pPr>
        <w:spacing w:before="20" w:after="60" w:line="240" w:lineRule="auto"/>
      </w:pPr>
      <w:r>
        <w:rPr>
          <w:rFonts w:ascii="Aptos" w:hAnsi="Aptos" w:eastAsia="Aptos"/>
          <w:b/>
          <w:color w:val="1B5E8F"/>
          <w:sz w:val="19"/>
        </w:rPr>
        <w:t>LES PRINCIPAUX CAS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tcBorders>
              <w:left w:val="single" w:sz="18" w:color="00D1B2"/>
              <w:top w:val="single" w:sz="2" w:color="FFFFFF"/>
              <w:right w:val="single" w:sz="2" w:color="FFFFFF"/>
              <w:bottom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Nouveau professeur</w:t>
            </w:r>
          </w:p>
          <w:p>
            <w:pPr>
              <w:spacing w:before="0" w:after="20" w:line="245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Créez le profil avant de l’affecter aux cours.</w:t>
            </w:r>
          </w:p>
        </w:tc>
      </w:tr>
      <w:tr>
        <w:tc>
          <w:tcPr>
            <w:tcW w:type="dxa" w:w="10710"/>
            <w:tcBorders>
              <w:left w:val="single" w:sz="18" w:color="00D1B2"/>
              <w:top w:val="single" w:sz="2" w:color="FFFFFF"/>
              <w:right w:val="single" w:sz="2" w:color="FFFFFF"/>
              <w:bottom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Plusieurs contrats</w:t>
            </w:r>
          </w:p>
          <w:p>
            <w:pPr>
              <w:spacing w:before="0" w:after="20" w:line="245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Un même professeur peut avoir plusieurs périodes ou modalités d’intervention successives.</w:t>
            </w:r>
          </w:p>
        </w:tc>
      </w:tr>
      <w:tr>
        <w:tc>
          <w:tcPr>
            <w:tcW w:type="dxa" w:w="10710"/>
            <w:tcBorders>
              <w:left w:val="single" w:sz="18" w:color="00D1B2"/>
              <w:top w:val="single" w:sz="2" w:color="FFFFFF"/>
              <w:right w:val="single" w:sz="2" w:color="FFFFFF"/>
              <w:bottom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Fin de contrat</w:t>
            </w:r>
          </w:p>
          <w:p>
            <w:pPr>
              <w:spacing w:before="0" w:after="20" w:line="245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Conservez l’historique plutôt que de supprimer l’encadrant si celui-ci a déjà participé à des séances.</w:t>
            </w:r>
          </w:p>
        </w:tc>
      </w:tr>
      <w:tr>
        <w:tc>
          <w:tcPr>
            <w:tcW w:type="dxa" w:w="10710"/>
            <w:tcBorders>
              <w:left w:val="single" w:sz="18" w:color="00D1B2"/>
              <w:top w:val="single" w:sz="2" w:color="FFFFFF"/>
              <w:right w:val="single" w:sz="2" w:color="FFFFFF"/>
              <w:bottom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Professeur adhérent</w:t>
            </w:r>
          </w:p>
          <w:p>
            <w:pPr>
              <w:spacing w:before="0" w:after="20" w:line="245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Une même personne peut être connue dans le club tout en ayant un rôle d’encadrant distinct.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EF7FD" w:color="auto"/>
            <w:tcBorders>
              <w:left w:val="single" w:sz="24" w:color="209CEE"/>
              <w:right w:val="single" w:sz="5" w:color="EEF7FD"/>
              <w:top w:val="single" w:sz="5" w:color="EEF7FD"/>
              <w:bottom w:val="single" w:sz="5" w:color="EEF7FD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 xml:space="preserve">À retenir  </w:t>
            </w:r>
            <w:r>
              <w:rPr>
                <w:rFonts w:ascii="Aptos" w:hAnsi="Aptos" w:eastAsia="Aptos"/>
                <w:b w:val="0"/>
                <w:color w:val="363636"/>
                <w:sz w:val="17"/>
              </w:rPr>
              <w:t>Le professeur sert au fonctionnement sportif ; le contrat sert au suivi administratif et financier de son intervention.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AFAFA" w:color="auto"/>
            <w:tcBorders>
              <w:left w:val="dashed" w:sz="10" w:color="DBDBDB"/>
              <w:right w:val="dashed" w:sz="10" w:color="DBDBDB"/>
              <w:top w:val="dashed" w:sz="10" w:color="DBDBDB"/>
              <w:bottom w:val="dashed" w:sz="10" w:color="DBDBDB"/>
            </w:tcBorders>
          </w:tcPr>
          <w:p>
            <w:pPr>
              <w:spacing w:before="80" w:after="20" w:line="240" w:lineRule="auto"/>
              <w:jc w:val="center"/>
            </w:pPr>
            <w:r>
              <w:rPr>
                <w:rFonts w:ascii="Aptos" w:hAnsi="Aptos" w:eastAsia="Aptos"/>
                <w:b/>
                <w:color w:val="7A7A7A"/>
                <w:sz w:val="18"/>
              </w:rPr>
              <w:t>CAPTURE D’ÉCRAN À INSÉRER</w:t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Aptos" w:hAnsi="Aptos" w:eastAsia="Aptos"/>
                <w:b w:val="0"/>
                <w:color w:val="7A7A7A"/>
                <w:sz w:val="17"/>
              </w:rPr>
              <w:t>Affectation d’un professeur à un cours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567" w:right="765" w:bottom="425" w:left="765" w:header="720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ptos" w:hAnsi="Aptos" w:eastAsia="Aptos"/>
        <w:b w:val="0"/>
        <w:color w:val="7A7A7A"/>
        <w:sz w:val="16"/>
      </w:rPr>
      <w:t>Assolutions — Aide administrateur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