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209CEE" w:color="auto"/>
            <w:tcBorders>
              <w:left w:val="single" w:sz="6" w:color="209CEE"/>
              <w:right w:val="single" w:sz="6" w:color="209CEE"/>
              <w:top w:val="single" w:sz="6" w:color="209CEE"/>
              <w:bottom w:val="single" w:sz="6" w:color="209CEE"/>
            </w:tcBorders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EAF7FF"/>
                <w:sz w:val="16"/>
              </w:rPr>
              <w:t>AIDE ADMINISTRATEUR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FFFFFF"/>
                <w:sz w:val="36"/>
              </w:rPr>
              <w:t>Gérer les lieux</w:t>
            </w:r>
          </w:p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 w:val="0"/>
                <w:color w:val="F5FBFF"/>
                <w:sz w:val="18"/>
              </w:rPr>
              <w:t>Référencer les gymnases et autres sites utilisés par le club.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5355"/>
        <w:gridCol w:w="5355"/>
      </w:tblGrid>
      <w:tr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À quoi ça sert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Un lieu centralise le nom et l’adresse d’un site afin de pouvoir le réutiliser dans les cours et les séances.</w:t>
            </w:r>
          </w:p>
        </w:tc>
        <w:tc>
          <w:tcPr>
            <w:tcW w:type="dxa" w:w="5355"/>
            <w:vAlign w:val="top"/>
            <w:shd w:fill="EEF7FD" w:color="auto"/>
          </w:tcPr>
          <w:p>
            <w:pPr>
              <w:spacing w:before="0" w:after="20" w:line="240" w:lineRule="auto"/>
            </w:pPr>
            <w:r>
              <w:rPr>
                <w:rFonts w:ascii="Aptos" w:hAnsi="Aptos" w:eastAsia="Aptos"/>
                <w:b/>
                <w:color w:val="1B5E8F"/>
                <w:sz w:val="20"/>
              </w:rPr>
              <w:t>Pourquoi l’utiliser ?</w:t>
            </w:r>
          </w:p>
          <w:p>
            <w:pPr>
              <w:spacing w:before="0" w:after="0" w:line="250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Un référentiel propre évite les variantes de saisie, facilite la lecture du planning et permet aux utilisateurs de retrouver une adresse fiable.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ÉTAPES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7" w:space="0" w:color="DBDBDB"/>
          <w:left w:val="single" w:sz="7" w:space="0" w:color="DBDBDB"/>
          <w:bottom w:val="single" w:sz="7" w:space="0" w:color="DBDBDB"/>
          <w:right w:val="single" w:sz="7" w:space="0" w:color="DBDBDB"/>
          <w:insideH w:val="single" w:sz="7" w:space="0" w:color="DBDBDB"/>
          <w:insideV w:val="single" w:sz="7" w:space="0" w:color="DBDBDB"/>
        </w:tblBorders>
      </w:tblPr>
      <w:tblGrid>
        <w:gridCol w:w="425"/>
        <w:gridCol w:w="8759"/>
      </w:tblGrid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1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Ouvrir « Lieux »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accédez au référentiel depuis le paramétrage.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2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Créer ou ouvrir un lieu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utilisez un nom compréhensible par les adhérents.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3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Renseigner l’adresse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saisissez les informations nécessaires pour identifier précisément le site.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4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Enregistrer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le lieu devient disponible dans les cours et séances.</w:t>
            </w:r>
          </w:p>
        </w:tc>
      </w:tr>
      <w:tr>
        <w:tc>
          <w:tcPr>
            <w:tcW w:type="dxa" w:w="425"/>
            <w:shd w:fill="209CEE" w:color="auto"/>
          </w:tcPr>
          <w:p>
            <w:pPr>
              <w:spacing w:before="0" w:after="0" w:line="240" w:lineRule="auto"/>
              <w:jc w:val="center"/>
            </w:pPr>
            <w:r>
              <w:rPr>
                <w:rFonts w:ascii="Aptos" w:hAnsi="Aptos" w:eastAsia="Aptos"/>
                <w:b/>
                <w:color w:val="FFFFFF"/>
                <w:sz w:val="20"/>
              </w:rPr>
              <w:t>5</w:t>
            </w:r>
          </w:p>
        </w:tc>
        <w:tc>
          <w:tcPr>
            <w:tcW w:type="dxa" w:w="8759"/>
            <w:shd w:fill="FFFFFF" w:color="auto"/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363636"/>
                <w:sz w:val="18"/>
              </w:rPr>
              <w:t xml:space="preserve">Mettre à jour si nécessaire — </w:t>
            </w:r>
            <w:r>
              <w:rPr>
                <w:rFonts w:ascii="Aptos" w:hAnsi="Aptos" w:eastAsia="Aptos"/>
                <w:b w:val="0"/>
                <w:color w:val="363636"/>
                <w:sz w:val="18"/>
              </w:rPr>
              <w:t>corrigez l’adresse du référentiel plutôt que chaque séance individuellement.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Liste des lieux et fiche d’un lieu</w:t>
            </w:r>
          </w:p>
        </w:tc>
      </w:tr>
    </w:tbl>
    <w:p/>
    <w:p>
      <w:pPr>
        <w:spacing w:before="20" w:after="60" w:line="240" w:lineRule="auto"/>
      </w:pPr>
      <w:r>
        <w:rPr>
          <w:rFonts w:ascii="Aptos" w:hAnsi="Aptos" w:eastAsia="Aptos"/>
          <w:b/>
          <w:color w:val="1B5E8F"/>
          <w:sz w:val="19"/>
        </w:rPr>
        <w:t>LES PRINCIPAUX CAS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Nouveau gymnase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Créez un lieu avant de construire les cours qui s’y déroulent.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Même site, plusieurs espaces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Utilisez des libellés distincts si les utilisateurs doivent réellement distinguer les espaces.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Changement temporaire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Pour une seule séance, modifiez la séance plutôt que le lieu de référence si l’adresse habituelle reste valable.</w:t>
            </w:r>
          </w:p>
        </w:tc>
      </w:tr>
      <w:tr>
        <w:tc>
          <w:tcPr>
            <w:tcW w:type="dxa" w:w="10710"/>
            <w:tcBorders>
              <w:left w:val="single" w:sz="18" w:color="00D1B2"/>
              <w:top w:val="single" w:sz="2" w:color="FFFFFF"/>
              <w:right w:val="single" w:sz="2" w:color="FFFFFF"/>
              <w:bottom w:val="single" w:sz="2" w:color="FFFFFF"/>
            </w:tcBorders>
          </w:tcPr>
          <w:p>
            <w:pPr>
              <w:spacing w:before="0" w:after="0" w:line="240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>Adresse incorrecte</w:t>
            </w:r>
          </w:p>
          <w:p>
            <w:pPr>
              <w:spacing w:before="0" w:after="20" w:line="245" w:lineRule="auto"/>
            </w:pPr>
            <w:r>
              <w:rPr>
                <w:rFonts w:ascii="Aptos" w:hAnsi="Aptos" w:eastAsia="Aptos"/>
                <w:b w:val="0"/>
                <w:color w:val="363636"/>
                <w:sz w:val="17"/>
              </w:rPr>
              <w:t>Corrigez le lieu dès que possible : cette information est réutilisée dans l’affichage des séances.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0FFFB" w:color="auto"/>
            <w:tcBorders>
              <w:left w:val="single" w:sz="24" w:color="00D1B2"/>
              <w:right w:val="single" w:sz="5" w:color="F0FFFB"/>
              <w:top w:val="single" w:sz="5" w:color="F0FFFB"/>
              <w:bottom w:val="single" w:sz="5" w:color="F0FFFB"/>
            </w:tcBorders>
          </w:tcPr>
          <w:p>
            <w:pPr>
              <w:spacing w:before="0" w:after="0" w:line="245" w:lineRule="auto"/>
            </w:pPr>
            <w:r>
              <w:rPr>
                <w:rFonts w:ascii="Aptos" w:hAnsi="Aptos" w:eastAsia="Aptos"/>
                <w:b/>
                <w:color w:val="1B5E8F"/>
                <w:sz w:val="18"/>
              </w:rPr>
              <w:t xml:space="preserve">Bon réflexe  </w:t>
            </w:r>
            <w:r>
              <w:rPr>
                <w:rFonts w:ascii="Aptos" w:hAnsi="Aptos" w:eastAsia="Aptos"/>
                <w:b w:val="0"/>
                <w:color w:val="363636"/>
                <w:sz w:val="17"/>
              </w:rPr>
              <w:t>Choisissez des noms courts et stables, connus des adhérents : le lieu sera affiché très souvent dans Assolutions.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FAFAFA" w:color="auto"/>
            <w:tcBorders>
              <w:left w:val="dashed" w:sz="10" w:color="DBDBDB"/>
              <w:right w:val="dashed" w:sz="10" w:color="DBDBDB"/>
              <w:top w:val="dashed" w:sz="10" w:color="DBDBDB"/>
              <w:bottom w:val="dashed" w:sz="10" w:color="DBDBDB"/>
            </w:tcBorders>
          </w:tcPr>
          <w:p>
            <w:pPr>
              <w:spacing w:before="80" w:after="20" w:line="240" w:lineRule="auto"/>
              <w:jc w:val="center"/>
            </w:pPr>
            <w:r>
              <w:rPr>
                <w:rFonts w:ascii="Aptos" w:hAnsi="Aptos" w:eastAsia="Aptos"/>
                <w:b/>
                <w:color w:val="7A7A7A"/>
                <w:sz w:val="18"/>
              </w:rPr>
              <w:t>CAPTURE D’ÉCRAN À INSÉRER</w:t>
            </w:r>
          </w:p>
          <w:p>
            <w:pPr>
              <w:spacing w:before="0" w:after="80" w:line="240" w:lineRule="auto"/>
              <w:jc w:val="center"/>
            </w:pPr>
            <w:r>
              <w:rPr>
                <w:rFonts w:ascii="Aptos" w:hAnsi="Aptos" w:eastAsia="Aptos"/>
                <w:b w:val="0"/>
                <w:color w:val="7A7A7A"/>
                <w:sz w:val="17"/>
              </w:rPr>
              <w:t>Lieu visible dans une séance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567" w:right="765" w:bottom="425" w:left="765" w:header="720" w:footer="25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ptos" w:hAnsi="Aptos" w:eastAsia="Aptos"/>
        <w:b w:val="0"/>
        <w:color w:val="7A7A7A"/>
        <w:sz w:val="16"/>
      </w:rPr>
      <w:t>Assolutions — Aide administrateur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