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209CEE" w:color="auto"/>
            <w:tcBorders>
              <w:left w:val="single" w:sz="6" w:color="209CEE"/>
              <w:right w:val="single" w:sz="6" w:color="209CEE"/>
              <w:top w:val="single" w:sz="6" w:color="209CEE"/>
              <w:bottom w:val="single" w:sz="6" w:color="209CEE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EAF7FF"/>
                <w:sz w:val="16"/>
              </w:rPr>
              <w:t>AIDE ADMINISTRATEUR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36"/>
              </w:rPr>
              <w:t>Communication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F5FBFF"/>
                <w:sz w:val="18"/>
              </w:rPr>
              <w:t>Envoyer des mails et configurer les messages utilisés par le club.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5355"/>
        <w:gridCol w:w="5355"/>
      </w:tblGrid>
      <w:tr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À quoi ça sert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Le module Communication permet d’envoyer des messages aux adhérents et de paramétrer les modèles utilisés dans certaines actions automatiques.</w:t>
            </w:r>
          </w:p>
        </w:tc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Pourquoi l’utiliser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Centraliser les envois dans Assolutions permet de cibler les bonnes personnes et de garder des messages cohérents avec les événements du club.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ÉTAPES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425"/>
        <w:gridCol w:w="8759"/>
      </w:tblGrid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Envoyer des mails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préparez un message ponctuel depuis le centre de pilotage.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Choisir les destinataires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utilisez les critères disponibles pour cibler le bon public.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Rédiger et vérifier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complétez le sujet et le message puis contrôlez l’aperçu avant l’envoi.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Envoyer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déclenchez l’envoi uniquement après vérification des destinataires.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Configurer les mails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utilisez « Configuration mails » pour adapter les modèles employés par les fonctions automatiques du club.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Écran d’envoi de mails et sélection des destinataires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PRINCIPAUX 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Mail ponctuel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Utilisez l’envoi manuel pour une information exceptionnelle ou une communication ciblée.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Convocation / annulation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Ces messages peuvent être envoyés depuis une séance à partir des modèles configurés.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Modèle automatique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Modifiez la configuration lorsqu’un texte doit être réutilisé de manière homogène dans l’application.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Destinataires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Vérifiez toujours le périmètre avant envoi, notamment lorsqu’un compte regroupe plusieurs personnes.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7FD" w:color="auto"/>
            <w:tcBorders>
              <w:left w:val="single" w:sz="24" w:color="209CEE"/>
              <w:right w:val="single" w:sz="5" w:color="EEF7FD"/>
              <w:top w:val="single" w:sz="5" w:color="EEF7FD"/>
              <w:bottom w:val="single" w:sz="5" w:color="EEF7FD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 xml:space="preserve">Bon réflexe  </w:t>
            </w:r>
            <w:r>
              <w:rPr>
                <w:rFonts w:ascii="Aptos" w:hAnsi="Aptos" w:eastAsia="Aptos"/>
                <w:b w:val="0"/>
                <w:color w:val="363636"/>
                <w:sz w:val="17"/>
              </w:rPr>
              <w:t>Avant un envoi important, relisez l’aperçu comme le recevra l’adhérent et vérifiez un petit échantillon de destinataires.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Configuration d’un modèle de mail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567" w:right="765" w:bottom="425" w:left="76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/>
        <w:b w:val="0"/>
        <w:color w:val="7A7A7A"/>
        <w:sz w:val="16"/>
      </w:rPr>
      <w:t>Assolutions — Aide administrateur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