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EFF5FB" w:color="auto"/>
            <w:tcMar>
              <w:top w:w="80" w:type="dxa"/>
              <w:start w:w="120" w:type="dxa"/>
              <w:bottom w:w="80" w:type="dxa"/>
              <w:end w:w="120" w:type="dxa"/>
            </w:tcMar>
            <w:tcBorders>
              <w:left w:val="single" w:sz="22" w:color="296FA8"/>
              <w:top w:val="nil"/>
              <w:right w:val="nil"/>
              <w:bottom w:val="nil"/>
            </w:tcBorders>
          </w:tcPr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16"/>
              </w:rPr>
              <w:t>ASSOLUTIONS  ·  AIDE ADMINISTRATEUR</w:t>
            </w:r>
          </w:p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38"/>
              </w:rPr>
              <w:t>Communication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color w:val="7A7A7A"/>
                <w:sz w:val="20"/>
              </w:rPr>
              <w:t>Envoyer des mails et configurer les messages utilisés par le club.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5298"/>
        <w:gridCol w:w="5298"/>
      </w:tblGrid>
      <w:tr>
        <w:tc>
          <w:tcPr>
            <w:tcW w:type="dxa" w:w="4649"/>
            <w:shd w:fill="EFF5FB" w:color="auto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20"/>
              </w:rPr>
              <w:t>À quoi ça sert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color w:val="363636"/>
                <w:sz w:val="18"/>
              </w:rPr>
              <w:t>Le module Communication permet d’envoyer des messages aux adhérents et de paramétrer les modèles utilisés dans certaines actions automatiques.</w:t>
            </w:r>
          </w:p>
        </w:tc>
        <w:tc>
          <w:tcPr>
            <w:tcW w:type="dxa" w:w="4649"/>
            <w:shd w:fill="EFFAF5" w:color="auto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008C7A"/>
                <w:sz w:val="20"/>
              </w:rPr>
              <w:t>Pourquoi l’utiliser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color w:val="363636"/>
                <w:sz w:val="18"/>
              </w:rPr>
              <w:t>Centraliser les envois dans Assolutions permet de cibler les bonnes personnes et de garder des messages cohérents avec les événements du club.</w:t>
            </w:r>
          </w:p>
        </w:tc>
      </w:tr>
    </w:tbl>
    <w:p>
      <w:pPr>
        <w:spacing w:after="0"/>
      </w:pPr>
    </w:p>
    <w:p>
      <w:pPr>
        <w:spacing w:before="20" w:after="60" w:line="240" w:lineRule="auto"/>
      </w:pPr>
      <w:r>
        <w:rPr>
          <w:rFonts w:ascii="Liberation Sans" w:hAnsi="Liberation Sans" w:eastAsia="Liberation Sans"/>
          <w:b/>
          <w:color w:val="363636"/>
          <w:sz w:val="19"/>
        </w:rPr>
        <w:t>LES ÉTAPES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385"/>
        <w:gridCol w:w="8872"/>
      </w:tblGrid>
      <w:tr>
        <w:tc>
          <w:tcPr>
            <w:tcW w:type="dxa" w:w="386"/>
            <w:shd w:fill="EFF5FB" w:color="auto"/>
            <w:tcMar>
              <w:top w:w="50" w:type="dxa"/>
              <w:start w:w="20" w:type="dxa"/>
              <w:bottom w:w="50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96FA8"/>
                <w:sz w:val="18"/>
              </w:rPr>
              <w:t>1</w:t>
            </w:r>
          </w:p>
        </w:tc>
        <w:tc>
          <w:tcPr>
            <w:tcW w:type="dxa" w:w="8872"/>
            <w:shd w:fill="FFFFFF" w:color="auto"/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Ouvrir « Envoyer des mails » —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préparez un message ponctuel depuis le centre de pilotage.</w:t>
            </w:r>
          </w:p>
        </w:tc>
      </w:tr>
      <w:tr>
        <w:tc>
          <w:tcPr>
            <w:tcW w:type="dxa" w:w="386"/>
            <w:shd w:fill="EFFAF5" w:color="auto"/>
            <w:tcMar>
              <w:top w:w="50" w:type="dxa"/>
              <w:start w:w="20" w:type="dxa"/>
              <w:bottom w:w="50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008C7A"/>
                <w:sz w:val="18"/>
              </w:rPr>
              <w:t>2</w:t>
            </w:r>
          </w:p>
        </w:tc>
        <w:tc>
          <w:tcPr>
            <w:tcW w:type="dxa" w:w="8872"/>
            <w:shd w:fill="FFFFFF" w:color="auto"/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Choisir les destinataires —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utilisez les critères disponibles pour cibler le bon public.</w:t>
            </w:r>
          </w:p>
        </w:tc>
      </w:tr>
      <w:tr>
        <w:tc>
          <w:tcPr>
            <w:tcW w:type="dxa" w:w="386"/>
            <w:shd w:fill="FFFAEB" w:color="auto"/>
            <w:tcMar>
              <w:top w:w="50" w:type="dxa"/>
              <w:start w:w="20" w:type="dxa"/>
              <w:bottom w:w="50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>3</w:t>
            </w:r>
          </w:p>
        </w:tc>
        <w:tc>
          <w:tcPr>
            <w:tcW w:type="dxa" w:w="8872"/>
            <w:shd w:fill="FFFFFF" w:color="auto"/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Rédiger et vérifier —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complétez le sujet et le message puis contrôlez l’aperçu avant l’envoi.</w:t>
            </w:r>
          </w:p>
        </w:tc>
      </w:tr>
      <w:tr>
        <w:tc>
          <w:tcPr>
            <w:tcW w:type="dxa" w:w="386"/>
            <w:shd w:fill="EFFAF3" w:color="auto"/>
            <w:tcMar>
              <w:top w:w="50" w:type="dxa"/>
              <w:start w:w="20" w:type="dxa"/>
              <w:bottom w:w="50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57953"/>
                <w:sz w:val="18"/>
              </w:rPr>
              <w:t>4</w:t>
            </w:r>
          </w:p>
        </w:tc>
        <w:tc>
          <w:tcPr>
            <w:tcW w:type="dxa" w:w="8872"/>
            <w:shd w:fill="FFFFFF" w:color="auto"/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Envoyer —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déclenchez l’envoi uniquement après vérification des destinataires.</w:t>
            </w:r>
          </w:p>
        </w:tc>
      </w:tr>
      <w:tr>
        <w:tc>
          <w:tcPr>
            <w:tcW w:type="dxa" w:w="386"/>
            <w:shd w:fill="EFF5FB" w:color="auto"/>
            <w:tcMar>
              <w:top w:w="50" w:type="dxa"/>
              <w:start w:w="20" w:type="dxa"/>
              <w:bottom w:w="50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96FA8"/>
                <w:sz w:val="18"/>
              </w:rPr>
              <w:t>5</w:t>
            </w:r>
          </w:p>
        </w:tc>
        <w:tc>
          <w:tcPr>
            <w:tcW w:type="dxa" w:w="8872"/>
            <w:shd w:fill="FFFFFF" w:color="auto"/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Configurer les mails —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utilisez « Configuration mails » pour adapter les modèles employés par les fonctions automatiques du club.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rPr>
          <w:trHeight w:val="1360" w:hRule="atLeast"/>
        </w:trPr>
        <w:tc>
          <w:tcPr>
            <w:tcW w:type="dxa" w:w="10596"/>
            <w:shd w:fill="FAFAFA" w:color="auto"/>
            <w:tcMar>
              <w:top w:w="140" w:type="dxa"/>
              <w:start w:w="90" w:type="dxa"/>
              <w:bottom w:w="140" w:type="dxa"/>
              <w:end w:w="90" w:type="dxa"/>
            </w:tcMar>
            <w:tcBorders>
              <w:left w:val="dashed" w:sz="9" w:color="DBDBDB"/>
              <w:top w:val="dashed" w:sz="9" w:color="DBDBDB"/>
              <w:right w:val="dashed" w:sz="9" w:color="DBDBDB"/>
              <w:bottom w:val="dashed" w:sz="9" w:color="DBDBDB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7A7A"/>
                <w:sz w:val="18"/>
              </w:rPr>
              <w:t>CAPTURE D’ÉCRAN À INSÉRER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color w:val="7A7A7A"/>
                <w:sz w:val="17"/>
              </w:rPr>
              <w:t>Écran d’envoi de mails et sélection des destinataires</w:t>
            </w:r>
          </w:p>
        </w:tc>
      </w:tr>
    </w:tbl>
    <w:p>
      <w:pPr>
        <w:spacing w:after="0"/>
      </w:pPr>
    </w:p>
    <w:p>
      <w:pPr>
        <w:spacing w:before="20" w:after="60" w:line="240" w:lineRule="auto"/>
      </w:pPr>
      <w:r>
        <w:rPr>
          <w:rFonts w:ascii="Liberation Sans" w:hAnsi="Liberation Sans" w:eastAsia="Liberation Sans"/>
          <w:b/>
          <w:color w:val="363636"/>
          <w:sz w:val="19"/>
        </w:rPr>
        <w:t>LES PRINCIPAUX 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EFF5FB" w:color="auto"/>
            <w:tcMar>
              <w:top w:w="45" w:type="dxa"/>
              <w:start w:w="80" w:type="dxa"/>
              <w:bottom w:w="45" w:type="dxa"/>
              <w:end w:w="80" w:type="dxa"/>
            </w:tcMar>
            <w:tcBorders>
              <w:left w:val="single" w:sz="15" w:color="296FA8"/>
              <w:top w:val="nil"/>
              <w:right w:val="nil"/>
              <w:bottom w:val="nil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Mail ponctuel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color w:val="363636"/>
                <w:sz w:val="17"/>
              </w:rPr>
              <w:t>Utilisez l’envoi manuel pour une information exceptionnelle ou une communication ciblée.</w:t>
            </w:r>
          </w:p>
        </w:tc>
      </w:tr>
      <w:tr>
        <w:tc>
          <w:tcPr>
            <w:tcW w:type="dxa" w:w="10596"/>
            <w:shd w:fill="EFFAF5" w:color="auto"/>
            <w:tcMar>
              <w:top w:w="45" w:type="dxa"/>
              <w:start w:w="80" w:type="dxa"/>
              <w:bottom w:w="45" w:type="dxa"/>
              <w:end w:w="80" w:type="dxa"/>
            </w:tcMar>
            <w:tcBorders>
              <w:left w:val="single" w:sz="15" w:color="008C7A"/>
              <w:top w:val="nil"/>
              <w:right w:val="nil"/>
              <w:bottom w:val="nil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Convocation / annulation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color w:val="363636"/>
                <w:sz w:val="17"/>
              </w:rPr>
              <w:t>Ces messages peuvent être envoyés depuis une séance à partir des modèles configurés.</w:t>
            </w:r>
          </w:p>
        </w:tc>
      </w:tr>
      <w:tr>
        <w:tc>
          <w:tcPr>
            <w:tcW w:type="dxa" w:w="10596"/>
            <w:shd w:fill="FFFAEB" w:color="auto"/>
            <w:tcMar>
              <w:top w:w="45" w:type="dxa"/>
              <w:start w:w="80" w:type="dxa"/>
              <w:bottom w:w="45" w:type="dxa"/>
              <w:end w:w="80" w:type="dxa"/>
            </w:tcMar>
            <w:tcBorders>
              <w:left w:val="single" w:sz="15" w:color="7A5B00"/>
              <w:top w:val="nil"/>
              <w:right w:val="nil"/>
              <w:bottom w:val="nil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Modèle automatique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color w:val="363636"/>
                <w:sz w:val="17"/>
              </w:rPr>
              <w:t>Modifiez la configuration lorsqu’un texte doit être réutilisé de manière homogène dans l’application.</w:t>
            </w:r>
          </w:p>
        </w:tc>
      </w:tr>
      <w:tr>
        <w:tc>
          <w:tcPr>
            <w:tcW w:type="dxa" w:w="10596"/>
            <w:shd w:fill="EFFAF3" w:color="auto"/>
            <w:tcMar>
              <w:top w:w="45" w:type="dxa"/>
              <w:start w:w="80" w:type="dxa"/>
              <w:bottom w:w="45" w:type="dxa"/>
              <w:end w:w="80" w:type="dxa"/>
            </w:tcMar>
            <w:tcBorders>
              <w:left w:val="single" w:sz="15" w:color="257953"/>
              <w:top w:val="nil"/>
              <w:right w:val="nil"/>
              <w:bottom w:val="nil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Destinataires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color w:val="363636"/>
                <w:sz w:val="17"/>
              </w:rPr>
              <w:t>Vérifiez toujours le périmètre avant envoi, notamment lorsqu’un compte regroupe plusieurs personnes.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FFAEB" w:color="auto"/>
            <w:tcMar>
              <w:top w:w="65" w:type="dxa"/>
              <w:start w:w="90" w:type="dxa"/>
              <w:bottom w:w="65" w:type="dxa"/>
              <w:end w:w="90" w:type="dxa"/>
            </w:tcMar>
            <w:tcBorders>
              <w:left w:val="single" w:sz="18" w:color="F4D35E"/>
              <w:top w:val="nil"/>
              <w:right w:val="nil"/>
              <w:bottom w:val="nil"/>
            </w:tcBorders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 xml:space="preserve">Bon réflexe  </w:t>
            </w:r>
            <w:r>
              <w:rPr>
                <w:rFonts w:ascii="Liberation Sans" w:hAnsi="Liberation Sans" w:eastAsia="Liberation Sans"/>
                <w:color w:val="363636"/>
                <w:sz w:val="18"/>
              </w:rPr>
              <w:t>Avant un envoi important, relisez l’aperçu comme le recevra l’adhérent et vérifiez un petit échantillon de destinataires.</w:t>
            </w:r>
          </w:p>
        </w:tc>
      </w:tr>
    </w:tbl>
    <w:sectPr w:rsidR="005570DC" w:rsidRPr="00B15EDE" w:rsidSect="00034616">
      <w:footerReference w:type="default" r:id="rId9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16EB8" w14:textId="77777777" w:rsidR="00950F77" w:rsidRDefault="00950F77">
      <w:pPr>
        <w:spacing w:after="0" w:line="240" w:lineRule="auto"/>
      </w:pPr>
      <w:r>
        <w:separator/>
      </w:r>
    </w:p>
  </w:endnote>
  <w:endnote w:type="continuationSeparator" w:id="0">
    <w:p w14:paraId="5181EDE5" w14:textId="77777777" w:rsidR="00950F77" w:rsidRDefault="00950F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72456" w14:textId="77777777" w:rsidR="005570DC" w:rsidRDefault="00000000">
    <w:pPr>
      <w:pStyle w:val="Pieddepage"/>
      <w:spacing w:before="0" w:after="0" w:line="240" w:lineRule="auto"/>
      <w:jc w:val="right"/>
    </w:pPr>
    <w:r>
      <w:rPr>
        <w:rFonts w:ascii="Liberation Sans" w:hAnsi="Liberation Sans" w:eastAsia="Liberation Sans"/>
        <w:color w:val="7A7A7A"/>
        <w:sz w:val="16"/>
      </w:rPr>
      <w:t>Assolutions · Aide en ligne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92B5A" w14:textId="77777777" w:rsidR="00950F77" w:rsidRDefault="00950F77">
      <w:pPr>
        <w:spacing w:after="0" w:line="240" w:lineRule="auto"/>
      </w:pPr>
      <w:r>
        <w:separator/>
      </w:r>
    </w:p>
  </w:footnote>
  <w:footnote w:type="continuationSeparator" w:id="0">
    <w:p w14:paraId="2BC9EC6F" w14:textId="77777777" w:rsidR="00950F77" w:rsidRDefault="00950F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09249">
    <w:abstractNumId w:val="8"/>
  </w:num>
  <w:num w:numId="2" w16cid:durableId="211962285">
    <w:abstractNumId w:val="6"/>
  </w:num>
  <w:num w:numId="3" w16cid:durableId="846334842">
    <w:abstractNumId w:val="5"/>
  </w:num>
  <w:num w:numId="4" w16cid:durableId="626159821">
    <w:abstractNumId w:val="4"/>
  </w:num>
  <w:num w:numId="5" w16cid:durableId="206843582">
    <w:abstractNumId w:val="7"/>
  </w:num>
  <w:num w:numId="6" w16cid:durableId="1608268323">
    <w:abstractNumId w:val="3"/>
  </w:num>
  <w:num w:numId="7" w16cid:durableId="1233737328">
    <w:abstractNumId w:val="2"/>
  </w:num>
  <w:num w:numId="8" w16cid:durableId="908227362">
    <w:abstractNumId w:val="1"/>
  </w:num>
  <w:num w:numId="9" w16cid:durableId="1762027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70DC"/>
    <w:rsid w:val="00950F77"/>
    <w:rsid w:val="00AA1D8D"/>
    <w:rsid w:val="00B15EDE"/>
    <w:rsid w:val="00B47730"/>
    <w:rsid w:val="00CB0664"/>
    <w:rsid w:val="00F152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A47DE4"/>
  <w14:defaultImageDpi w14:val="300"/>
  <w15:docId w15:val="{210A13A5-37F7-4699-9A76-4C53621F1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color w:val="363636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Jean-Emmanuel Chapartegui</cp:lastModifiedBy>
  <cp:revision>2</cp:revision>
  <dcterms:created xsi:type="dcterms:W3CDTF">2013-12-23T23:15:00Z</dcterms:created>
  <dcterms:modified xsi:type="dcterms:W3CDTF">2026-08-26T05:59:00Z</dcterms:modified>
  <cp:category/>
</cp:coreProperties>
</file>