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340AF5" w:rsidRPr="00316BE5" w14:paraId="4720C777" w14:textId="77777777">
        <w:trPr>
          <w:jc w:val="center"/>
        </w:trPr>
        <w:tc>
          <w:tcPr>
            <w:tcW w:w="10596" w:type="dxa"/>
            <w:tcBorders>
              <w:top w:val="nil"/>
              <w:left w:val="single" w:sz="22" w:space="0" w:color="296FA8"/>
              <w:bottom w:val="nil"/>
              <w:right w:val="nil"/>
            </w:tcBorders>
            <w:shd w:val="clear" w:color="auto" w:fill="EF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B205" w14:textId="77777777" w:rsidR="00340AF5" w:rsidRPr="00316BE5" w:rsidRDefault="00000000">
            <w:pPr>
              <w:spacing w:after="40" w:line="240" w:lineRule="auto"/>
              <w:rPr>
                <w:lang w:val="fr-FR"/>
              </w:rPr>
            </w:pPr>
            <w:r w:rsidRPr="00316BE5">
              <w:rPr>
                <w:b/>
                <w:color w:val="296FA8"/>
                <w:sz w:val="16"/>
                <w:lang w:val="fr-FR"/>
              </w:rPr>
              <w:t>ASSOLUTIONS  ·  AIDE ADMINISTRATEUR</w:t>
            </w:r>
          </w:p>
          <w:p w14:paraId="2A8A60A8" w14:textId="77777777" w:rsidR="00340AF5" w:rsidRPr="00316BE5" w:rsidRDefault="00000000">
            <w:pPr>
              <w:spacing w:after="40" w:line="240" w:lineRule="auto"/>
              <w:rPr>
                <w:lang w:val="fr-FR"/>
              </w:rPr>
            </w:pPr>
            <w:r w:rsidRPr="00316BE5">
              <w:rPr>
                <w:b/>
                <w:sz w:val="38"/>
                <w:lang w:val="fr-FR"/>
              </w:rPr>
              <w:t>Gérer les finances</w:t>
            </w:r>
          </w:p>
          <w:p w14:paraId="19AAC3A8" w14:textId="77777777" w:rsidR="00340AF5" w:rsidRPr="00316BE5" w:rsidRDefault="00000000">
            <w:pPr>
              <w:spacing w:after="0" w:line="252" w:lineRule="auto"/>
              <w:rPr>
                <w:lang w:val="fr-FR"/>
              </w:rPr>
            </w:pPr>
            <w:r w:rsidRPr="00316BE5">
              <w:rPr>
                <w:color w:val="7A7A7A"/>
                <w:sz w:val="20"/>
                <w:lang w:val="fr-FR"/>
              </w:rPr>
              <w:t>Suivre le budget, les flux financiers, les opérations et les comptes bancaires.</w:t>
            </w:r>
          </w:p>
        </w:tc>
      </w:tr>
    </w:tbl>
    <w:p w14:paraId="4F910C5A" w14:textId="77777777" w:rsidR="00340AF5" w:rsidRPr="00316BE5" w:rsidRDefault="00340AF5">
      <w:pPr>
        <w:spacing w:after="0"/>
        <w:rPr>
          <w:lang w:val="fr-FR"/>
        </w:rPr>
      </w:pP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340AF5" w:rsidRPr="00316BE5" w14:paraId="09EC74D8" w14:textId="77777777">
        <w:trPr>
          <w:jc w:val="center"/>
        </w:trPr>
        <w:tc>
          <w:tcPr>
            <w:tcW w:w="4649" w:type="dxa"/>
            <w:shd w:val="clear" w:color="auto" w:fill="EF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3B6A9" w14:textId="77777777" w:rsidR="00340AF5" w:rsidRPr="00316BE5" w:rsidRDefault="00000000">
            <w:pPr>
              <w:spacing w:after="40" w:line="264" w:lineRule="auto"/>
              <w:rPr>
                <w:lang w:val="fr-FR"/>
              </w:rPr>
            </w:pPr>
            <w:r w:rsidRPr="00316BE5">
              <w:rPr>
                <w:b/>
                <w:color w:val="296FA8"/>
                <w:sz w:val="20"/>
                <w:lang w:val="fr-FR"/>
              </w:rPr>
              <w:t>À quoi ça sert ?</w:t>
            </w:r>
          </w:p>
          <w:p w14:paraId="5FD31C54" w14:textId="77777777" w:rsidR="00340AF5" w:rsidRPr="00316BE5" w:rsidRDefault="00000000">
            <w:pPr>
              <w:spacing w:after="0" w:line="264" w:lineRule="auto"/>
              <w:rPr>
                <w:lang w:val="fr-FR"/>
              </w:rPr>
            </w:pPr>
            <w:r w:rsidRPr="00316BE5">
              <w:rPr>
                <w:lang w:val="fr-FR"/>
              </w:rPr>
              <w:t>Le module Finances regroupe le tableau de bord, le budget, les flux financiers et les opérations qui décrivent l’activité économique du club.</w:t>
            </w:r>
          </w:p>
        </w:tc>
        <w:tc>
          <w:tcPr>
            <w:tcW w:w="4649" w:type="dxa"/>
            <w:shd w:val="clear" w:color="auto" w:fill="EF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29F6D" w14:textId="77777777" w:rsidR="00340AF5" w:rsidRPr="00316BE5" w:rsidRDefault="00000000">
            <w:pPr>
              <w:spacing w:after="40" w:line="264" w:lineRule="auto"/>
              <w:rPr>
                <w:lang w:val="fr-FR"/>
              </w:rPr>
            </w:pPr>
            <w:r w:rsidRPr="00316BE5">
              <w:rPr>
                <w:b/>
                <w:color w:val="008C7A"/>
                <w:sz w:val="20"/>
                <w:lang w:val="fr-FR"/>
              </w:rPr>
              <w:t>Pourquoi l’utiliser ?</w:t>
            </w:r>
          </w:p>
          <w:p w14:paraId="36DAFB6E" w14:textId="77777777" w:rsidR="00340AF5" w:rsidRPr="00316BE5" w:rsidRDefault="00000000">
            <w:pPr>
              <w:spacing w:after="0" w:line="264" w:lineRule="auto"/>
              <w:rPr>
                <w:lang w:val="fr-FR"/>
              </w:rPr>
            </w:pPr>
            <w:r w:rsidRPr="00316BE5">
              <w:rPr>
                <w:lang w:val="fr-FR"/>
              </w:rPr>
              <w:t>Il permet de passer d’une vision prévisionnelle à une vision réelle, de rattacher les mouvements aux bons objets et de suivre la trésorerie.</w:t>
            </w:r>
          </w:p>
        </w:tc>
      </w:tr>
    </w:tbl>
    <w:p w14:paraId="4F4B39B1" w14:textId="77777777" w:rsidR="00340AF5" w:rsidRPr="00316BE5" w:rsidRDefault="00340AF5">
      <w:pPr>
        <w:spacing w:after="0"/>
        <w:rPr>
          <w:lang w:val="fr-FR"/>
        </w:rPr>
      </w:pPr>
    </w:p>
    <w:p w14:paraId="13F1101F" w14:textId="77777777" w:rsidR="00340AF5" w:rsidRDefault="00000000">
      <w:pPr>
        <w:spacing w:before="20" w:after="60" w:line="240" w:lineRule="auto"/>
      </w:pPr>
      <w:r>
        <w:rPr>
          <w:b/>
          <w:sz w:val="19"/>
        </w:rPr>
        <w:t>LES ÉTAPES</w:t>
      </w: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8872"/>
      </w:tblGrid>
      <w:tr w:rsidR="00340AF5" w:rsidRPr="00316BE5" w14:paraId="5219C7B8" w14:textId="77777777">
        <w:trPr>
          <w:jc w:val="center"/>
        </w:trPr>
        <w:tc>
          <w:tcPr>
            <w:tcW w:w="386" w:type="dxa"/>
            <w:shd w:val="clear" w:color="auto" w:fill="EFF5FB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2204406B" w14:textId="77777777" w:rsidR="00340AF5" w:rsidRDefault="00000000">
            <w:pPr>
              <w:spacing w:after="0" w:line="240" w:lineRule="auto"/>
              <w:jc w:val="center"/>
            </w:pPr>
            <w:r>
              <w:rPr>
                <w:b/>
                <w:color w:val="296FA8"/>
              </w:rPr>
              <w:t>1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280378" w14:textId="77777777" w:rsidR="00340AF5" w:rsidRPr="00316BE5" w:rsidRDefault="00000000">
            <w:pPr>
              <w:spacing w:after="0" w:line="259" w:lineRule="auto"/>
              <w:rPr>
                <w:lang w:val="fr-FR"/>
              </w:rPr>
            </w:pPr>
            <w:r w:rsidRPr="00316BE5">
              <w:rPr>
                <w:b/>
                <w:lang w:val="fr-FR"/>
              </w:rPr>
              <w:t xml:space="preserve">Ouvrir « Tableau finance » — </w:t>
            </w:r>
            <w:r w:rsidRPr="00316BE5">
              <w:rPr>
                <w:lang w:val="fr-FR"/>
              </w:rPr>
              <w:t>commencez par la vue synthétique de la saison consultée.</w:t>
            </w:r>
          </w:p>
        </w:tc>
      </w:tr>
      <w:tr w:rsidR="00340AF5" w:rsidRPr="00316BE5" w14:paraId="74D10E69" w14:textId="77777777">
        <w:trPr>
          <w:jc w:val="center"/>
        </w:trPr>
        <w:tc>
          <w:tcPr>
            <w:tcW w:w="386" w:type="dxa"/>
            <w:shd w:val="clear" w:color="auto" w:fill="EFFAF5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420FAF5E" w14:textId="77777777" w:rsidR="00340AF5" w:rsidRDefault="00000000">
            <w:pPr>
              <w:spacing w:after="0" w:line="240" w:lineRule="auto"/>
              <w:jc w:val="center"/>
            </w:pPr>
            <w:r>
              <w:rPr>
                <w:b/>
                <w:color w:val="008C7A"/>
              </w:rPr>
              <w:t>2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C77499" w14:textId="77777777" w:rsidR="00340AF5" w:rsidRPr="00316BE5" w:rsidRDefault="00000000">
            <w:pPr>
              <w:spacing w:after="0" w:line="259" w:lineRule="auto"/>
              <w:rPr>
                <w:lang w:val="fr-FR"/>
              </w:rPr>
            </w:pPr>
            <w:r w:rsidRPr="00316BE5">
              <w:rPr>
                <w:b/>
                <w:lang w:val="fr-FR"/>
              </w:rPr>
              <w:t xml:space="preserve">Préparer le budget — </w:t>
            </w:r>
            <w:r w:rsidRPr="00316BE5">
              <w:rPr>
                <w:lang w:val="fr-FR"/>
              </w:rPr>
              <w:t>saisissez les recettes et dépenses prévues dans les bonnes catégories.</w:t>
            </w:r>
          </w:p>
        </w:tc>
      </w:tr>
      <w:tr w:rsidR="00340AF5" w:rsidRPr="00316BE5" w14:paraId="50F8370D" w14:textId="77777777">
        <w:trPr>
          <w:jc w:val="center"/>
        </w:trPr>
        <w:tc>
          <w:tcPr>
            <w:tcW w:w="386" w:type="dxa"/>
            <w:shd w:val="clear" w:color="auto" w:fill="FFFAEB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1322C3AA" w14:textId="77777777" w:rsidR="00340AF5" w:rsidRDefault="00000000">
            <w:pPr>
              <w:spacing w:after="0" w:line="240" w:lineRule="auto"/>
              <w:jc w:val="center"/>
            </w:pPr>
            <w:r>
              <w:rPr>
                <w:b/>
                <w:color w:val="7A5B00"/>
              </w:rPr>
              <w:t>3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B90B6D" w14:textId="77777777" w:rsidR="00340AF5" w:rsidRPr="00316BE5" w:rsidRDefault="00000000">
            <w:pPr>
              <w:spacing w:after="0" w:line="259" w:lineRule="auto"/>
              <w:rPr>
                <w:lang w:val="fr-FR"/>
              </w:rPr>
            </w:pPr>
            <w:r w:rsidRPr="00316BE5">
              <w:rPr>
                <w:b/>
                <w:lang w:val="fr-FR"/>
              </w:rPr>
              <w:t xml:space="preserve">Suivre les flux — </w:t>
            </w:r>
            <w:r w:rsidRPr="00316BE5">
              <w:rPr>
                <w:lang w:val="fr-FR"/>
              </w:rPr>
              <w:t>qualifiez les entrées et sorties attendues ou constatées.</w:t>
            </w:r>
          </w:p>
        </w:tc>
      </w:tr>
      <w:tr w:rsidR="00340AF5" w:rsidRPr="00316BE5" w14:paraId="50E5AB1B" w14:textId="77777777">
        <w:trPr>
          <w:jc w:val="center"/>
        </w:trPr>
        <w:tc>
          <w:tcPr>
            <w:tcW w:w="386" w:type="dxa"/>
            <w:shd w:val="clear" w:color="auto" w:fill="EFFAF3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5D64E17C" w14:textId="77777777" w:rsidR="00340AF5" w:rsidRDefault="00000000">
            <w:pPr>
              <w:spacing w:after="0" w:line="240" w:lineRule="auto"/>
              <w:jc w:val="center"/>
            </w:pPr>
            <w:r>
              <w:rPr>
                <w:b/>
                <w:color w:val="257953"/>
              </w:rPr>
              <w:t>4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2B443E" w14:textId="77777777" w:rsidR="00340AF5" w:rsidRPr="00316BE5" w:rsidRDefault="00000000">
            <w:pPr>
              <w:spacing w:after="0" w:line="259" w:lineRule="auto"/>
              <w:rPr>
                <w:lang w:val="fr-FR"/>
              </w:rPr>
            </w:pPr>
            <w:r w:rsidRPr="00316BE5">
              <w:rPr>
                <w:b/>
                <w:lang w:val="fr-FR"/>
              </w:rPr>
              <w:t xml:space="preserve">Gérer les opérations — </w:t>
            </w:r>
            <w:r w:rsidRPr="00316BE5">
              <w:rPr>
                <w:lang w:val="fr-FR"/>
              </w:rPr>
              <w:t>enregistrez ou contrôlez les mouvements détaillés et leurs dates.</w:t>
            </w:r>
          </w:p>
        </w:tc>
      </w:tr>
      <w:tr w:rsidR="00340AF5" w:rsidRPr="00316BE5" w14:paraId="67BF5B3E" w14:textId="77777777">
        <w:trPr>
          <w:jc w:val="center"/>
        </w:trPr>
        <w:tc>
          <w:tcPr>
            <w:tcW w:w="386" w:type="dxa"/>
            <w:shd w:val="clear" w:color="auto" w:fill="EFF5FB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15E20793" w14:textId="77777777" w:rsidR="00340AF5" w:rsidRDefault="00000000">
            <w:pPr>
              <w:spacing w:after="0" w:line="240" w:lineRule="auto"/>
              <w:jc w:val="center"/>
            </w:pPr>
            <w:r>
              <w:rPr>
                <w:b/>
                <w:color w:val="296FA8"/>
              </w:rPr>
              <w:t>5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4957F0" w14:textId="77777777" w:rsidR="00340AF5" w:rsidRPr="00316BE5" w:rsidRDefault="00000000">
            <w:pPr>
              <w:spacing w:after="0" w:line="259" w:lineRule="auto"/>
              <w:rPr>
                <w:lang w:val="fr-FR"/>
              </w:rPr>
            </w:pPr>
            <w:r w:rsidRPr="00316BE5">
              <w:rPr>
                <w:b/>
                <w:lang w:val="fr-FR"/>
              </w:rPr>
              <w:t xml:space="preserve">Vérifier les comptes bancaires — </w:t>
            </w:r>
            <w:r w:rsidRPr="00316BE5">
              <w:rPr>
                <w:lang w:val="fr-FR"/>
              </w:rPr>
              <w:t>utilisez le bon compte pour assurer un suivi cohérent de la trésorerie.</w:t>
            </w:r>
          </w:p>
        </w:tc>
      </w:tr>
    </w:tbl>
    <w:p w14:paraId="331C372F" w14:textId="77777777" w:rsidR="00340AF5" w:rsidRPr="00316BE5" w:rsidRDefault="00340AF5">
      <w:pPr>
        <w:spacing w:after="0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340AF5" w:rsidRPr="00316BE5" w14:paraId="37B5DEC2" w14:textId="77777777">
        <w:trPr>
          <w:trHeight w:val="1360"/>
          <w:jc w:val="center"/>
        </w:trPr>
        <w:tc>
          <w:tcPr>
            <w:tcW w:w="10596" w:type="dxa"/>
            <w:tcBorders>
              <w:top w:val="dashed" w:sz="9" w:space="0" w:color="DBDBDB"/>
              <w:left w:val="dashed" w:sz="9" w:space="0" w:color="DBDBDB"/>
              <w:bottom w:val="dashed" w:sz="9" w:space="0" w:color="DBDBDB"/>
              <w:right w:val="dashed" w:sz="9" w:space="0" w:color="DBDBDB"/>
            </w:tcBorders>
            <w:shd w:val="clear" w:color="auto" w:fill="FAFAFA"/>
            <w:tcMar>
              <w:top w:w="140" w:type="dxa"/>
              <w:left w:w="90" w:type="dxa"/>
              <w:bottom w:w="140" w:type="dxa"/>
              <w:right w:w="90" w:type="dxa"/>
            </w:tcMar>
          </w:tcPr>
          <w:p w14:paraId="5C7DE1DC" w14:textId="67186731" w:rsidR="00340AF5" w:rsidRDefault="00316BE5">
            <w:pPr>
              <w:spacing w:after="40" w:line="240" w:lineRule="auto"/>
              <w:jc w:val="center"/>
              <w:rPr>
                <w:b/>
                <w:color w:val="7A7A7A"/>
                <w:lang w:val="fr-FR"/>
              </w:rPr>
            </w:pPr>
            <w:r w:rsidRPr="00316BE5">
              <w:rPr>
                <w:b/>
                <w:color w:val="7A7A7A"/>
                <w:lang w:val="fr-FR"/>
              </w:rPr>
              <w:t xml:space="preserve">Vue </w:t>
            </w:r>
            <w:r w:rsidR="004366E9">
              <w:rPr>
                <w:b/>
                <w:color w:val="7A7A7A"/>
                <w:lang w:val="fr-FR"/>
              </w:rPr>
              <w:t>Tableau de bord : budget / flux financiers</w:t>
            </w:r>
            <w:r>
              <w:rPr>
                <w:b/>
                <w:color w:val="7A7A7A"/>
                <w:lang w:val="fr-FR"/>
              </w:rPr>
              <w:t xml:space="preserve"> </w:t>
            </w:r>
          </w:p>
          <w:p w14:paraId="0CBF5ABD" w14:textId="5CDA5B99" w:rsidR="00316BE5" w:rsidRDefault="004366E9">
            <w:pPr>
              <w:spacing w:after="40" w:line="240" w:lineRule="auto"/>
              <w:jc w:val="center"/>
              <w:rPr>
                <w:b/>
                <w:color w:val="7A7A7A"/>
                <w:lang w:val="fr-FR"/>
              </w:rPr>
            </w:pPr>
            <w:r w:rsidRPr="004366E9">
              <w:rPr>
                <w:b/>
                <w:color w:val="7A7A7A"/>
                <w:lang w:val="fr-FR"/>
              </w:rPr>
              <w:drawing>
                <wp:inline distT="0" distB="0" distL="0" distR="0" wp14:anchorId="3FF8F1D8" wp14:editId="4C62CF93">
                  <wp:extent cx="6614160" cy="3128010"/>
                  <wp:effectExtent l="0" t="0" r="0" b="0"/>
                  <wp:docPr id="86522002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2200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0" cy="312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BD5F8" w14:textId="77777777" w:rsidR="00316BE5" w:rsidRDefault="00316BE5" w:rsidP="00316BE5">
            <w:pPr>
              <w:spacing w:after="40" w:line="240" w:lineRule="auto"/>
              <w:jc w:val="center"/>
              <w:rPr>
                <w:lang w:val="fr-FR"/>
              </w:rPr>
            </w:pPr>
            <w:r w:rsidRPr="00316BE5">
              <w:rPr>
                <w:b/>
                <w:color w:val="7A7A7A"/>
                <w:lang w:val="fr-FR"/>
              </w:rPr>
              <w:t xml:space="preserve">Vue </w:t>
            </w:r>
            <w:r>
              <w:rPr>
                <w:b/>
                <w:color w:val="7A7A7A"/>
                <w:lang w:val="fr-FR"/>
              </w:rPr>
              <w:t>Budget</w:t>
            </w:r>
            <w:r>
              <w:rPr>
                <w:b/>
                <w:color w:val="7A7A7A"/>
                <w:lang w:val="fr-FR"/>
              </w:rPr>
              <w:t xml:space="preserve"> </w:t>
            </w:r>
          </w:p>
          <w:p w14:paraId="47497319" w14:textId="577A53D3" w:rsidR="00316BE5" w:rsidRDefault="004366E9" w:rsidP="00316BE5">
            <w:pPr>
              <w:spacing w:after="40" w:line="240" w:lineRule="auto"/>
              <w:jc w:val="center"/>
              <w:rPr>
                <w:b/>
                <w:color w:val="7A7A7A"/>
                <w:lang w:val="fr-FR"/>
              </w:rPr>
            </w:pPr>
            <w:r w:rsidRPr="004366E9">
              <w:rPr>
                <w:b/>
                <w:color w:val="7A7A7A"/>
                <w:lang w:val="fr-FR"/>
              </w:rPr>
              <w:drawing>
                <wp:inline distT="0" distB="0" distL="0" distR="0" wp14:anchorId="0AEE9BAC" wp14:editId="7ED6DD0A">
                  <wp:extent cx="6614160" cy="2436495"/>
                  <wp:effectExtent l="0" t="0" r="0" b="1905"/>
                  <wp:docPr id="162796329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9632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0" cy="243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1597A" w14:textId="50AA6855" w:rsidR="00316BE5" w:rsidRDefault="00316BE5" w:rsidP="00316BE5">
            <w:pPr>
              <w:spacing w:after="40" w:line="240" w:lineRule="auto"/>
              <w:jc w:val="center"/>
              <w:rPr>
                <w:lang w:val="fr-FR"/>
              </w:rPr>
            </w:pPr>
            <w:r w:rsidRPr="00316BE5">
              <w:rPr>
                <w:b/>
                <w:color w:val="7A7A7A"/>
                <w:lang w:val="fr-FR"/>
              </w:rPr>
              <w:lastRenderedPageBreak/>
              <w:t xml:space="preserve">Vue </w:t>
            </w:r>
            <w:r w:rsidR="004366E9">
              <w:rPr>
                <w:b/>
                <w:color w:val="7A7A7A"/>
                <w:lang w:val="fr-FR"/>
              </w:rPr>
              <w:t>Flux Financiers</w:t>
            </w:r>
            <w:r>
              <w:rPr>
                <w:b/>
                <w:color w:val="7A7A7A"/>
                <w:lang w:val="fr-FR"/>
              </w:rPr>
              <w:t xml:space="preserve"> </w:t>
            </w:r>
          </w:p>
          <w:p w14:paraId="644EA251" w14:textId="6EDD8D71" w:rsidR="00316BE5" w:rsidRPr="00316BE5" w:rsidRDefault="004366E9" w:rsidP="00316BE5">
            <w:pPr>
              <w:spacing w:after="40" w:line="240" w:lineRule="auto"/>
              <w:jc w:val="center"/>
              <w:rPr>
                <w:lang w:val="fr-FR"/>
              </w:rPr>
            </w:pPr>
            <w:r w:rsidRPr="004366E9">
              <w:rPr>
                <w:lang w:val="fr-FR"/>
              </w:rPr>
              <w:drawing>
                <wp:inline distT="0" distB="0" distL="0" distR="0" wp14:anchorId="448811C6" wp14:editId="331EBE29">
                  <wp:extent cx="6614160" cy="2519680"/>
                  <wp:effectExtent l="0" t="0" r="0" b="0"/>
                  <wp:docPr id="59527541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2754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0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F9071" w14:textId="77777777" w:rsidR="00340AF5" w:rsidRPr="00316BE5" w:rsidRDefault="00340AF5">
      <w:pPr>
        <w:spacing w:after="0"/>
        <w:rPr>
          <w:lang w:val="fr-FR"/>
        </w:rPr>
      </w:pPr>
    </w:p>
    <w:p w14:paraId="56C52254" w14:textId="77777777" w:rsidR="00340AF5" w:rsidRDefault="00000000">
      <w:pPr>
        <w:spacing w:before="20" w:after="60" w:line="240" w:lineRule="auto"/>
      </w:pPr>
      <w:r>
        <w:rPr>
          <w:b/>
          <w:sz w:val="19"/>
        </w:rPr>
        <w:t>LES PRINCIPAUX 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340AF5" w:rsidRPr="00316BE5" w14:paraId="56F4519A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296FA8"/>
              <w:bottom w:val="nil"/>
              <w:right w:val="nil"/>
            </w:tcBorders>
            <w:shd w:val="clear" w:color="auto" w:fill="EFF5F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3C2E434" w14:textId="77777777" w:rsidR="00340AF5" w:rsidRPr="00316BE5" w:rsidRDefault="00000000">
            <w:pPr>
              <w:spacing w:after="20" w:line="250" w:lineRule="auto"/>
              <w:rPr>
                <w:lang w:val="fr-FR"/>
              </w:rPr>
            </w:pPr>
            <w:r w:rsidRPr="00316BE5">
              <w:rPr>
                <w:b/>
                <w:lang w:val="fr-FR"/>
              </w:rPr>
              <w:t>Prévisionnel</w:t>
            </w:r>
          </w:p>
          <w:p w14:paraId="46B98A1D" w14:textId="4423B46B" w:rsidR="00340AF5" w:rsidRPr="00316BE5" w:rsidRDefault="00000000">
            <w:pPr>
              <w:spacing w:after="0" w:line="252" w:lineRule="auto"/>
              <w:rPr>
                <w:lang w:val="fr-FR"/>
              </w:rPr>
            </w:pPr>
            <w:r w:rsidRPr="00316BE5">
              <w:rPr>
                <w:sz w:val="17"/>
                <w:lang w:val="fr-FR"/>
              </w:rPr>
              <w:t>Le budget décrit ce qui est prévu sur la saison et sert de référence au pilotage.</w:t>
            </w:r>
            <w:r w:rsidR="00316BE5">
              <w:rPr>
                <w:sz w:val="17"/>
                <w:lang w:val="fr-FR"/>
              </w:rPr>
              <w:t xml:space="preserve"> Il est possible d’établir plusieurs scénarios.</w:t>
            </w:r>
          </w:p>
        </w:tc>
      </w:tr>
      <w:tr w:rsidR="00340AF5" w:rsidRPr="00316BE5" w14:paraId="7BF649F8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008C7A"/>
              <w:bottom w:val="nil"/>
              <w:right w:val="nil"/>
            </w:tcBorders>
            <w:shd w:val="clear" w:color="auto" w:fill="EFFAF5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EB5D54" w14:textId="77777777" w:rsidR="00340AF5" w:rsidRPr="00316BE5" w:rsidRDefault="00000000">
            <w:pPr>
              <w:spacing w:after="20" w:line="250" w:lineRule="auto"/>
              <w:rPr>
                <w:lang w:val="fr-FR"/>
              </w:rPr>
            </w:pPr>
            <w:r w:rsidRPr="00316BE5">
              <w:rPr>
                <w:b/>
                <w:lang w:val="fr-FR"/>
              </w:rPr>
              <w:t>Réalisé</w:t>
            </w:r>
          </w:p>
          <w:p w14:paraId="61685E4B" w14:textId="60CF58C4" w:rsidR="00340AF5" w:rsidRPr="00316BE5" w:rsidRDefault="00000000">
            <w:pPr>
              <w:spacing w:after="0" w:line="252" w:lineRule="auto"/>
              <w:rPr>
                <w:lang w:val="fr-FR"/>
              </w:rPr>
            </w:pPr>
            <w:r w:rsidRPr="00316BE5">
              <w:rPr>
                <w:sz w:val="17"/>
                <w:lang w:val="fr-FR"/>
              </w:rPr>
              <w:t>Les opérations et flux permettent de suivre ce qui s’est réellement produit.</w:t>
            </w:r>
            <w:r w:rsidR="00316BE5">
              <w:rPr>
                <w:sz w:val="17"/>
                <w:lang w:val="fr-FR"/>
              </w:rPr>
              <w:t xml:space="preserve"> Un comparatif est possible avec le budget pour mesurer l’écart entre le réel et le prévisionnel.</w:t>
            </w:r>
          </w:p>
        </w:tc>
      </w:tr>
      <w:tr w:rsidR="00340AF5" w:rsidRPr="00316BE5" w14:paraId="3A233FA6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7A5B00"/>
              <w:bottom w:val="nil"/>
              <w:right w:val="nil"/>
            </w:tcBorders>
            <w:shd w:val="clear" w:color="auto" w:fill="FFFAE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80B06C" w14:textId="77777777" w:rsidR="00340AF5" w:rsidRPr="00316BE5" w:rsidRDefault="00000000">
            <w:pPr>
              <w:spacing w:after="20" w:line="250" w:lineRule="auto"/>
              <w:rPr>
                <w:lang w:val="fr-FR"/>
              </w:rPr>
            </w:pPr>
            <w:r w:rsidRPr="00316BE5">
              <w:rPr>
                <w:b/>
                <w:lang w:val="fr-FR"/>
              </w:rPr>
              <w:t>Recette / dépense</w:t>
            </w:r>
          </w:p>
          <w:p w14:paraId="0DFCE67F" w14:textId="77777777" w:rsidR="00340AF5" w:rsidRPr="00316BE5" w:rsidRDefault="00000000">
            <w:pPr>
              <w:spacing w:after="0" w:line="252" w:lineRule="auto"/>
              <w:rPr>
                <w:lang w:val="fr-FR"/>
              </w:rPr>
            </w:pPr>
            <w:r w:rsidRPr="00316BE5">
              <w:rPr>
                <w:sz w:val="17"/>
                <w:lang w:val="fr-FR"/>
              </w:rPr>
              <w:t>Classez les mouvements dans la bonne catégorie pour conserver des indicateurs fiables.</w:t>
            </w:r>
          </w:p>
        </w:tc>
      </w:tr>
      <w:tr w:rsidR="00340AF5" w:rsidRPr="00316BE5" w14:paraId="5C21A8B2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257953"/>
              <w:bottom w:val="nil"/>
              <w:right w:val="nil"/>
            </w:tcBorders>
            <w:shd w:val="clear" w:color="auto" w:fill="EFFAF3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4D8EE8" w14:textId="77777777" w:rsidR="00340AF5" w:rsidRPr="00316BE5" w:rsidRDefault="00000000">
            <w:pPr>
              <w:spacing w:after="20" w:line="250" w:lineRule="auto"/>
              <w:rPr>
                <w:lang w:val="fr-FR"/>
              </w:rPr>
            </w:pPr>
            <w:r w:rsidRPr="00316BE5">
              <w:rPr>
                <w:b/>
                <w:lang w:val="fr-FR"/>
              </w:rPr>
              <w:t>Plusieurs comptes bancaires</w:t>
            </w:r>
          </w:p>
          <w:p w14:paraId="3B703EB0" w14:textId="77777777" w:rsidR="00340AF5" w:rsidRPr="00316BE5" w:rsidRDefault="00000000">
            <w:pPr>
              <w:spacing w:after="0" w:line="252" w:lineRule="auto"/>
              <w:rPr>
                <w:lang w:val="fr-FR"/>
              </w:rPr>
            </w:pPr>
            <w:r w:rsidRPr="00316BE5">
              <w:rPr>
                <w:sz w:val="17"/>
                <w:lang w:val="fr-FR"/>
              </w:rPr>
              <w:t>Référencez les comptes utilisés par le projet afin d’identifier correctement les mouvements.</w:t>
            </w:r>
          </w:p>
        </w:tc>
      </w:tr>
    </w:tbl>
    <w:p w14:paraId="1251AECD" w14:textId="77777777" w:rsidR="00340AF5" w:rsidRPr="00316BE5" w:rsidRDefault="00340AF5">
      <w:pPr>
        <w:spacing w:after="0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340AF5" w:rsidRPr="00316BE5" w14:paraId="6DDDF408" w14:textId="77777777">
        <w:trPr>
          <w:jc w:val="center"/>
        </w:trPr>
        <w:tc>
          <w:tcPr>
            <w:tcW w:w="10596" w:type="dxa"/>
            <w:tcBorders>
              <w:top w:val="nil"/>
              <w:left w:val="single" w:sz="18" w:space="0" w:color="F4D35E"/>
              <w:bottom w:val="nil"/>
              <w:right w:val="nil"/>
            </w:tcBorders>
            <w:shd w:val="clear" w:color="auto" w:fill="FFFAEB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ABA4CB" w14:textId="77777777" w:rsidR="00340AF5" w:rsidRPr="00316BE5" w:rsidRDefault="00000000">
            <w:pPr>
              <w:spacing w:after="0" w:line="259" w:lineRule="auto"/>
              <w:rPr>
                <w:lang w:val="fr-FR"/>
              </w:rPr>
            </w:pPr>
            <w:r w:rsidRPr="00316BE5">
              <w:rPr>
                <w:b/>
                <w:color w:val="7A5B00"/>
                <w:lang w:val="fr-FR"/>
              </w:rPr>
              <w:t xml:space="preserve">Important  </w:t>
            </w:r>
            <w:r w:rsidRPr="00316BE5">
              <w:rPr>
                <w:lang w:val="fr-FR"/>
              </w:rPr>
              <w:t>La qualité des tableaux dépend surtout de la régularité de saisie : mieux vaut des mouvements simples mais correctement classés qu’un suivi très détaillé incomplet.</w:t>
            </w:r>
          </w:p>
        </w:tc>
      </w:tr>
    </w:tbl>
    <w:p w14:paraId="76E7D382" w14:textId="77777777" w:rsidR="00DB3914" w:rsidRPr="00316BE5" w:rsidRDefault="00DB3914">
      <w:pPr>
        <w:rPr>
          <w:lang w:val="fr-FR"/>
        </w:rPr>
      </w:pPr>
    </w:p>
    <w:sectPr w:rsidR="00DB3914" w:rsidRPr="00316BE5" w:rsidSect="00034616">
      <w:footerReference w:type="default" r:id="rId11"/>
      <w:pgSz w:w="12240" w:h="15840"/>
      <w:pgMar w:top="595" w:right="822" w:bottom="510" w:left="822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7F0EF" w14:textId="77777777" w:rsidR="00DB3914" w:rsidRDefault="00DB3914">
      <w:pPr>
        <w:spacing w:after="0" w:line="240" w:lineRule="auto"/>
      </w:pPr>
      <w:r>
        <w:separator/>
      </w:r>
    </w:p>
  </w:endnote>
  <w:endnote w:type="continuationSeparator" w:id="0">
    <w:p w14:paraId="129CCD36" w14:textId="77777777" w:rsidR="00DB3914" w:rsidRDefault="00DB3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D565" w14:textId="77777777" w:rsidR="005570DC" w:rsidRDefault="00000000">
    <w:pPr>
      <w:pStyle w:val="Pieddepage"/>
      <w:jc w:val="right"/>
    </w:pPr>
    <w:r>
      <w:rPr>
        <w:color w:val="7A7A7A"/>
        <w:sz w:val="16"/>
      </w:rPr>
      <w:t>Assolutions · Aide en ligne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382A4" w14:textId="77777777" w:rsidR="00DB3914" w:rsidRDefault="00DB3914">
      <w:pPr>
        <w:spacing w:after="0" w:line="240" w:lineRule="auto"/>
      </w:pPr>
      <w:r>
        <w:separator/>
      </w:r>
    </w:p>
  </w:footnote>
  <w:footnote w:type="continuationSeparator" w:id="0">
    <w:p w14:paraId="0E635B55" w14:textId="77777777" w:rsidR="00DB3914" w:rsidRDefault="00DB3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09249">
    <w:abstractNumId w:val="8"/>
  </w:num>
  <w:num w:numId="2" w16cid:durableId="211962285">
    <w:abstractNumId w:val="6"/>
  </w:num>
  <w:num w:numId="3" w16cid:durableId="846334842">
    <w:abstractNumId w:val="5"/>
  </w:num>
  <w:num w:numId="4" w16cid:durableId="626159821">
    <w:abstractNumId w:val="4"/>
  </w:num>
  <w:num w:numId="5" w16cid:durableId="206843582">
    <w:abstractNumId w:val="7"/>
  </w:num>
  <w:num w:numId="6" w16cid:durableId="1608268323">
    <w:abstractNumId w:val="3"/>
  </w:num>
  <w:num w:numId="7" w16cid:durableId="1233737328">
    <w:abstractNumId w:val="2"/>
  </w:num>
  <w:num w:numId="8" w16cid:durableId="908227362">
    <w:abstractNumId w:val="1"/>
  </w:num>
  <w:num w:numId="9" w16cid:durableId="1762027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BE5"/>
    <w:rsid w:val="00326F90"/>
    <w:rsid w:val="00340AF5"/>
    <w:rsid w:val="004366E9"/>
    <w:rsid w:val="005570DC"/>
    <w:rsid w:val="00656F65"/>
    <w:rsid w:val="00950F77"/>
    <w:rsid w:val="00AA1D8D"/>
    <w:rsid w:val="00B15EDE"/>
    <w:rsid w:val="00B47730"/>
    <w:rsid w:val="00CB0664"/>
    <w:rsid w:val="00DB3914"/>
    <w:rsid w:val="00F152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9B1AEA"/>
  <w14:defaultImageDpi w14:val="300"/>
  <w15:docId w15:val="{210A13A5-37F7-4699-9A76-4C53621F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color w:val="363636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1504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Jean-Emmanuel Chapartegui</cp:lastModifiedBy>
  <cp:revision>3</cp:revision>
  <cp:lastPrinted>2026-08-26T14:51:00Z</cp:lastPrinted>
  <dcterms:created xsi:type="dcterms:W3CDTF">2013-12-23T23:15:00Z</dcterms:created>
  <dcterms:modified xsi:type="dcterms:W3CDTF">2026-08-26T17:12:00Z</dcterms:modified>
  <cp:category/>
</cp:coreProperties>
</file>