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  <w:r w:rsidRPr="0071639A">
        <w:rPr>
          <w:rFonts w:ascii="Arial Narrow" w:hAnsi="Arial Narrow"/>
          <w:b/>
          <w:sz w:val="40"/>
          <w:szCs w:val="40"/>
        </w:rPr>
        <w:t xml:space="preserve">MEDICAL AND DENTAL PRACTITIONERS COUNCIL OF </w:t>
      </w: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  <w:r w:rsidRPr="0071639A">
        <w:rPr>
          <w:rFonts w:ascii="Arial Narrow" w:hAnsi="Arial Narrow"/>
          <w:b/>
          <w:sz w:val="40"/>
          <w:szCs w:val="40"/>
        </w:rPr>
        <w:t>ZIMBABWE</w:t>
      </w: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410423" w:rsidP="008B7B32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  <w:lang w:val="en-ZW" w:eastAsia="en-ZW"/>
        </w:rPr>
        <w:drawing>
          <wp:inline distT="0" distB="0" distL="0" distR="0" wp14:anchorId="41C7784A" wp14:editId="71AD1301">
            <wp:extent cx="2105025" cy="2057400"/>
            <wp:effectExtent l="0" t="0" r="9525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  <w:r w:rsidRPr="0071639A">
        <w:rPr>
          <w:rFonts w:ascii="Arial Narrow" w:hAnsi="Arial Narrow"/>
          <w:b/>
          <w:sz w:val="48"/>
          <w:szCs w:val="48"/>
        </w:rPr>
        <w:t>SENIOR REGISTRAR LOGBOOK</w:t>
      </w: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  <w:r w:rsidRPr="0071639A">
        <w:rPr>
          <w:rFonts w:ascii="Arial Narrow" w:hAnsi="Arial Narrow"/>
          <w:b/>
          <w:sz w:val="48"/>
          <w:szCs w:val="48"/>
        </w:rPr>
        <w:t>FOR</w:t>
      </w: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ORTHOPAEDICS</w:t>
      </w: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jc w:val="center"/>
        <w:rPr>
          <w:rFonts w:ascii="Arial Narrow" w:hAnsi="Arial Narrow"/>
          <w:b/>
          <w:sz w:val="40"/>
          <w:szCs w:val="40"/>
        </w:rPr>
      </w:pPr>
    </w:p>
    <w:p w:rsidR="008B7B32" w:rsidRPr="0071639A" w:rsidRDefault="008B7B32" w:rsidP="008B7B32">
      <w:pPr>
        <w:pStyle w:val="Footer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  <w:lang w:val="en-ZW"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-93345</wp:posOffset>
                </wp:positionV>
                <wp:extent cx="7629525" cy="9525"/>
                <wp:effectExtent l="13970" t="19050" r="146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952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59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4.25pt;margin-top:-7.35pt;width:600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" strokeweight="2pt"/>
            </w:pict>
          </mc:Fallback>
        </mc:AlternateContent>
      </w:r>
      <w:r w:rsidRPr="0071639A">
        <w:rPr>
          <w:rFonts w:ascii="Arial Narrow" w:hAnsi="Arial Narrow"/>
          <w:sz w:val="18"/>
          <w:szCs w:val="18"/>
        </w:rPr>
        <w:t>Promoting the health of the population of Zimbabwe through guiding the medical and dental professions</w:t>
      </w:r>
    </w:p>
    <w:p w:rsidR="003371BC" w:rsidRDefault="003371BC"/>
    <w:p w:rsidR="008B7B32" w:rsidRPr="0071639A" w:rsidRDefault="008B7B32" w:rsidP="008B7B32">
      <w:pPr>
        <w:rPr>
          <w:rFonts w:ascii="Arial Narrow" w:hAnsi="Arial Narrow" w:cs="Tahoma"/>
          <w:b/>
          <w:sz w:val="22"/>
          <w:szCs w:val="22"/>
        </w:rPr>
      </w:pPr>
      <w:r w:rsidRPr="0071639A">
        <w:rPr>
          <w:rFonts w:ascii="Arial Narrow" w:hAnsi="Arial Narrow" w:cs="Tahoma"/>
          <w:b/>
          <w:sz w:val="22"/>
          <w:szCs w:val="22"/>
        </w:rPr>
        <w:t>GENERIC FORMAT FOR PRE-REGISTRATION SENIOR REGISTRAR</w:t>
      </w:r>
      <w:r w:rsidRPr="0071639A">
        <w:rPr>
          <w:rFonts w:ascii="Arial Narrow" w:hAnsi="Arial Narrow" w:cs="Tahoma"/>
          <w:sz w:val="20"/>
          <w:szCs w:val="20"/>
        </w:rPr>
        <w:t xml:space="preserve"> </w:t>
      </w:r>
      <w:r w:rsidRPr="0071639A">
        <w:rPr>
          <w:rFonts w:ascii="Arial Narrow" w:hAnsi="Arial Narrow" w:cs="Tahoma"/>
          <w:b/>
          <w:sz w:val="22"/>
          <w:szCs w:val="22"/>
        </w:rPr>
        <w:t xml:space="preserve">IN </w:t>
      </w:r>
      <w:r>
        <w:rPr>
          <w:rFonts w:ascii="Arial Narrow" w:hAnsi="Arial Narrow" w:cs="Tahoma"/>
          <w:b/>
          <w:sz w:val="22"/>
          <w:szCs w:val="22"/>
        </w:rPr>
        <w:t>ORTHOPAEDICS</w:t>
      </w:r>
    </w:p>
    <w:p w:rsidR="008B7B32" w:rsidRPr="0071639A" w:rsidRDefault="008B7B32" w:rsidP="008B7B32">
      <w:pPr>
        <w:rPr>
          <w:rFonts w:ascii="Arial Narrow" w:hAnsi="Arial Narrow" w:cs="Tahom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71"/>
        <w:gridCol w:w="1074"/>
        <w:gridCol w:w="1700"/>
        <w:gridCol w:w="1571"/>
      </w:tblGrid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lastRenderedPageBreak/>
              <w:t xml:space="preserve">Personal Attributes 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t>Strengths</w:t>
            </w: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t>Areas Of Improvement</w:t>
            </w: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t xml:space="preserve">Score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Presentation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t xml:space="preserve">       </w:t>
            </w:r>
            <w:r w:rsidRPr="0071639A">
              <w:rPr>
                <w:rFonts w:ascii="Arial Narrow" w:hAnsi="Arial Narrow" w:cs="Tahoma"/>
                <w:sz w:val="20"/>
                <w:szCs w:val="20"/>
              </w:rPr>
              <w:t xml:space="preserve">Personal/physical appearance 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Communication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Patient, relatives and any other interested parties.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 xml:space="preserve">Effective verbal skills.  Present ideas and information concisely.  Inspires confidence in colleagues.  Keeps others well informed etc.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b/>
                <w:sz w:val="20"/>
                <w:szCs w:val="20"/>
              </w:rPr>
              <w:sym w:font="Symbol" w:char="F0B7"/>
            </w:r>
            <w:r w:rsidRPr="0071639A">
              <w:rPr>
                <w:rFonts w:ascii="Arial Narrow" w:hAnsi="Arial Narrow" w:cs="Tahoma"/>
                <w:b/>
                <w:sz w:val="20"/>
                <w:szCs w:val="20"/>
              </w:rPr>
              <w:t xml:space="preserve">       Interpersonal relations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 xml:space="preserve">        Work colleagues and superiors 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Management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0"/>
                <w:szCs w:val="20"/>
              </w:rPr>
              <w:t>Planning and Organization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Sets goals and priorities.  Plans ahead and utilizes resources effectively.  Ability to meet deadlines and monitor tasks</w:t>
            </w:r>
            <w:r w:rsidRPr="0071639A">
              <w:rPr>
                <w:rFonts w:ascii="Arial Narrow" w:hAnsi="Arial Narrow" w:cs="Tahoma"/>
                <w:sz w:val="21"/>
                <w:szCs w:val="21"/>
              </w:rPr>
              <w:t xml:space="preserve">.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Judgement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Considers pros and cons before making decisions.  Considers risks.  Considers impact of decisions and seeks advice.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Leadership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Effectively manages situations and implements changes when required.  Motivates, coordinates, guides and develops subordinates through actions and attitudes.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Ethics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Observance of both the patient’s and the doctor’s rights. Considers the ethical impact of decisions.  Demonstrates actions and attitudes of integrity.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Reliability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Can achieve goals without supervision.  Dependable and trustworthy.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Quality of Work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Achieves high quality of work that meets requirements of the job.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Quantity of Work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16"/>
                <w:szCs w:val="16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Achieves or exceeds the standard amount of work expected on the job.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Initiative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 xml:space="preserve">A </w:t>
            </w:r>
            <w:proofErr w:type="spellStart"/>
            <w:r w:rsidRPr="0071639A">
              <w:rPr>
                <w:rFonts w:ascii="Arial Narrow" w:hAnsi="Arial Narrow" w:cs="Tahoma"/>
                <w:sz w:val="20"/>
                <w:szCs w:val="20"/>
              </w:rPr>
              <w:t>self starter</w:t>
            </w:r>
            <w:proofErr w:type="spellEnd"/>
            <w:r w:rsidRPr="0071639A">
              <w:rPr>
                <w:rFonts w:ascii="Arial Narrow" w:hAnsi="Arial Narrow" w:cs="Tahoma"/>
                <w:sz w:val="20"/>
                <w:szCs w:val="20"/>
              </w:rPr>
              <w:t>.  Provides solutions to problems</w:t>
            </w:r>
            <w:r w:rsidRPr="0071639A">
              <w:rPr>
                <w:rFonts w:ascii="Arial Narrow" w:hAnsi="Arial Narrow" w:cs="Tahoma"/>
                <w:sz w:val="21"/>
                <w:szCs w:val="21"/>
              </w:rPr>
              <w:t>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Cooperation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Willingness to work with others as a team member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Assessment by other disciplines 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Professional conduct, reliability and quality of work.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 xml:space="preserve">Participation in clinical audit, clinical governance and Continuous Professional Development  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Teaching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Junior medical and dental staff.  Nurses and other health professionals.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  <w:u w:val="single"/>
              </w:rPr>
              <w:t>Research</w:t>
            </w:r>
          </w:p>
          <w:p w:rsidR="008B7B32" w:rsidRPr="0071639A" w:rsidRDefault="008B7B32" w:rsidP="00E965D9">
            <w:pPr>
              <w:rPr>
                <w:rFonts w:ascii="Arial Narrow" w:hAnsi="Arial Narrow" w:cs="Tahoma"/>
                <w:sz w:val="20"/>
                <w:szCs w:val="20"/>
              </w:rPr>
            </w:pPr>
            <w:r w:rsidRPr="0071639A">
              <w:rPr>
                <w:rFonts w:ascii="Arial Narrow" w:hAnsi="Arial Narrow" w:cs="Tahoma"/>
                <w:sz w:val="20"/>
                <w:szCs w:val="20"/>
              </w:rPr>
              <w:t>Participation in ongoing research.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  <w:tr w:rsidR="008B7B32" w:rsidRPr="0071639A" w:rsidTr="00E965D9">
        <w:trPr>
          <w:jc w:val="center"/>
        </w:trPr>
        <w:tc>
          <w:tcPr>
            <w:tcW w:w="5427" w:type="dxa"/>
            <w:shd w:val="clear" w:color="auto" w:fill="auto"/>
          </w:tcPr>
          <w:p w:rsidR="008B7B32" w:rsidRPr="0071639A" w:rsidRDefault="008B7B32" w:rsidP="008B7B32">
            <w:pPr>
              <w:numPr>
                <w:ilvl w:val="0"/>
                <w:numId w:val="1"/>
              </w:numPr>
              <w:rPr>
                <w:rFonts w:ascii="Arial Narrow" w:hAnsi="Arial Narrow" w:cs="Tahoma"/>
                <w:b/>
                <w:sz w:val="21"/>
                <w:szCs w:val="21"/>
              </w:rPr>
            </w:pPr>
            <w:r w:rsidRPr="0071639A">
              <w:rPr>
                <w:rFonts w:ascii="Arial Narrow" w:hAnsi="Arial Narrow" w:cs="Tahoma"/>
                <w:b/>
                <w:sz w:val="21"/>
                <w:szCs w:val="21"/>
              </w:rPr>
              <w:t>Others</w:t>
            </w:r>
          </w:p>
        </w:tc>
        <w:tc>
          <w:tcPr>
            <w:tcW w:w="108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8B7B32" w:rsidRPr="0071639A" w:rsidRDefault="008B7B32" w:rsidP="00E965D9">
            <w:pPr>
              <w:rPr>
                <w:rFonts w:ascii="Arial Narrow" w:hAnsi="Arial Narrow" w:cs="Tahoma"/>
                <w:sz w:val="21"/>
                <w:szCs w:val="21"/>
              </w:rPr>
            </w:pPr>
          </w:p>
        </w:tc>
      </w:tr>
    </w:tbl>
    <w:p w:rsidR="008B7B32" w:rsidRPr="0071639A" w:rsidRDefault="008B7B32" w:rsidP="008B7B32">
      <w:pPr>
        <w:rPr>
          <w:rFonts w:ascii="Arial Narrow" w:hAnsi="Arial Narrow" w:cs="Tahoma"/>
          <w:sz w:val="21"/>
          <w:szCs w:val="21"/>
        </w:rPr>
      </w:pPr>
    </w:p>
    <w:p w:rsidR="008B7B32" w:rsidRPr="0071639A" w:rsidRDefault="008B7B32" w:rsidP="008B7B32">
      <w:pPr>
        <w:rPr>
          <w:rFonts w:ascii="Arial Narrow" w:hAnsi="Arial Narrow" w:cs="Tahoma"/>
          <w:b/>
          <w:sz w:val="21"/>
          <w:szCs w:val="21"/>
        </w:rPr>
      </w:pPr>
      <w:r w:rsidRPr="0071639A">
        <w:rPr>
          <w:rFonts w:ascii="Arial Narrow" w:hAnsi="Arial Narrow" w:cs="Tahoma"/>
          <w:b/>
          <w:sz w:val="21"/>
          <w:szCs w:val="21"/>
        </w:rPr>
        <w:t>Score 1 – 5</w:t>
      </w:r>
    </w:p>
    <w:p w:rsidR="008B7B32" w:rsidRPr="0071639A" w:rsidRDefault="008B7B32" w:rsidP="008B7B32">
      <w:pPr>
        <w:rPr>
          <w:rFonts w:ascii="Arial Narrow" w:hAnsi="Arial Narrow" w:cs="Tahoma"/>
          <w:b/>
          <w:sz w:val="21"/>
          <w:szCs w:val="21"/>
        </w:rPr>
      </w:pPr>
      <w:r w:rsidRPr="0071639A">
        <w:rPr>
          <w:rFonts w:ascii="Arial Narrow" w:hAnsi="Arial Narrow" w:cs="Tahoma"/>
          <w:b/>
          <w:sz w:val="21"/>
          <w:szCs w:val="21"/>
        </w:rPr>
        <w:t xml:space="preserve">1 is the worst score and 5 is the best score.  Meet candidate quarterly and discuss strengths and areas of improvement.  Consolidate with rating from other departments for overall score </w:t>
      </w:r>
    </w:p>
    <w:p w:rsidR="008B7B32" w:rsidRDefault="008B7B32" w:rsidP="008B7B32">
      <w:pPr>
        <w:rPr>
          <w:rFonts w:ascii="Tahoma" w:hAnsi="Tahoma" w:cs="Tahoma"/>
          <w:b/>
          <w:bCs/>
          <w:color w:val="000000" w:themeColor="text1"/>
          <w:u w:val="single"/>
        </w:rPr>
      </w:pPr>
      <w:r w:rsidRPr="0071639A">
        <w:rPr>
          <w:rFonts w:ascii="Arial Narrow" w:hAnsi="Arial Narrow"/>
          <w:lang w:val="en-US"/>
        </w:rPr>
        <w:br w:type="page"/>
      </w:r>
      <w:r w:rsidRPr="008B7B32">
        <w:rPr>
          <w:rFonts w:ascii="Tahoma" w:hAnsi="Tahoma" w:cs="Tahoma"/>
          <w:b/>
          <w:bCs/>
          <w:color w:val="000000" w:themeColor="text1"/>
          <w:u w:val="single"/>
        </w:rPr>
        <w:lastRenderedPageBreak/>
        <w:t>PREAMBLE:</w:t>
      </w:r>
    </w:p>
    <w:p w:rsidR="008B7B32" w:rsidRPr="008B7B32" w:rsidRDefault="008B7B32" w:rsidP="008B7B32">
      <w:pPr>
        <w:rPr>
          <w:rFonts w:ascii="Tahoma" w:hAnsi="Tahoma" w:cs="Tahoma"/>
          <w:b/>
          <w:bCs/>
          <w:color w:val="000000" w:themeColor="text1"/>
          <w:u w:val="single"/>
        </w:rPr>
      </w:pP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This log-book recognises that CPD is a life-long process and this document only serves as a basic quality evaluation process only to measure completion of a satisfactory Senior Registrar Internship in Orthopaedics.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 xml:space="preserve">To provide an </w:t>
      </w:r>
      <w:proofErr w:type="spellStart"/>
      <w:r w:rsidRPr="008B7B32">
        <w:rPr>
          <w:rFonts w:ascii="Tahoma" w:hAnsi="Tahoma" w:cs="Tahoma"/>
          <w:color w:val="000000" w:themeColor="text1"/>
          <w:sz w:val="24"/>
          <w:szCs w:val="24"/>
        </w:rPr>
        <w:t>all round</w:t>
      </w:r>
      <w:proofErr w:type="spellEnd"/>
      <w:r w:rsidRPr="008B7B32">
        <w:rPr>
          <w:rFonts w:ascii="Tahoma" w:hAnsi="Tahoma" w:cs="Tahoma"/>
          <w:color w:val="000000" w:themeColor="text1"/>
          <w:sz w:val="24"/>
          <w:szCs w:val="24"/>
        </w:rPr>
        <w:t xml:space="preserve"> picture of a candidate’s capabilities it allows for importation of procedures from the Registrar’s log-book which would have contributed to the candidate’s overall surgical acumen while in training so long this is signed for by a recognisable Supervisor.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It is expected that in keeping with current international norms all procedures will in future be coded and the log-book managed electronically.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Some procedures listed may not be routinely practiced in Zimbabwe largely due to economic constraints while they are now standard procedures internationally. A candidate must be aware of them and make every effort to familiarise themselves with such procedures.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A candidate is expected to be familiar with all simpler procedures such as manipulations and basic ORIFs while other complex procedures such as Endo-prosthetic replacements after tumour surgery or Computer Assisted Navigation Surgery is deemed beyond the remit of a Senior Registrar. These are not reflected in this logbook.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 xml:space="preserve">To accommodate instances of a dearth of some procedures a candidate must achieve a Minimum Overall Rate (MOR) of Performance (P) + Assist (A) + O (observe) Rate of 90% of procedures in this book. This detail should </w:t>
      </w:r>
      <w:proofErr w:type="gramStart"/>
      <w:r w:rsidRPr="008B7B32">
        <w:rPr>
          <w:rFonts w:ascii="Tahoma" w:hAnsi="Tahoma" w:cs="Tahoma"/>
          <w:color w:val="000000" w:themeColor="text1"/>
          <w:sz w:val="24"/>
          <w:szCs w:val="24"/>
        </w:rPr>
        <w:t>be  labelled</w:t>
      </w:r>
      <w:proofErr w:type="gramEnd"/>
      <w:r w:rsidRPr="008B7B32">
        <w:rPr>
          <w:rFonts w:ascii="Tahoma" w:hAnsi="Tahoma" w:cs="Tahoma"/>
          <w:color w:val="000000" w:themeColor="text1"/>
          <w:sz w:val="24"/>
          <w:szCs w:val="24"/>
        </w:rPr>
        <w:t xml:space="preserve"> clearly at the end of the logbook.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The numbers under P (performed), A (assisted) &amp; O (observed) indicate the minimum required for the section and not a restriction of the number of procedures to be done. However, to enable a meaningful MOR to be calculated only the required numbers need be entered.</w:t>
      </w:r>
    </w:p>
    <w:p w:rsidR="008B7B32" w:rsidRPr="008B7B32" w:rsidRDefault="008B7B32" w:rsidP="008B7B3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008B7B32">
        <w:rPr>
          <w:rFonts w:ascii="Tahoma" w:hAnsi="Tahoma" w:cs="Tahoma"/>
          <w:color w:val="000000" w:themeColor="text1"/>
          <w:sz w:val="24"/>
          <w:szCs w:val="24"/>
        </w:rPr>
        <w:t>It is strongly suggested a candidate keeps a second logbook for his own information and research purposes where unlimited entries of all procedures may be done in a lifetime.</w:t>
      </w:r>
    </w:p>
    <w:p w:rsidR="008B7B32" w:rsidRPr="008B7B32" w:rsidRDefault="008B7B32" w:rsidP="008B7B32">
      <w:pPr>
        <w:jc w:val="both"/>
        <w:rPr>
          <w:rFonts w:ascii="Tahoma" w:hAnsi="Tahoma" w:cs="Tahoma"/>
          <w:b/>
          <w:bCs/>
          <w:color w:val="000000" w:themeColor="text1"/>
          <w:u w:val="single"/>
        </w:rPr>
      </w:pPr>
    </w:p>
    <w:p w:rsidR="008B7B32" w:rsidRPr="008B7B32" w:rsidRDefault="008B7B32" w:rsidP="008B7B32">
      <w:pPr>
        <w:pStyle w:val="ListParagraph"/>
        <w:ind w:left="144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u w:val="single"/>
        </w:rPr>
      </w:pPr>
    </w:p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Default="008B7B32" w:rsidP="008B7B32"/>
    <w:p w:rsidR="008B7B32" w:rsidRPr="0071639A" w:rsidRDefault="008B7B32" w:rsidP="008B7B32">
      <w:pPr>
        <w:rPr>
          <w:rFonts w:ascii="Arial Narrow" w:hAnsi="Arial Narrow"/>
          <w:b/>
          <w:lang w:val="en-US"/>
        </w:rPr>
      </w:pPr>
      <w:r w:rsidRPr="0071639A">
        <w:rPr>
          <w:rFonts w:ascii="Arial Narrow" w:hAnsi="Arial Narrow"/>
          <w:b/>
          <w:lang w:val="en-US"/>
        </w:rPr>
        <w:lastRenderedPageBreak/>
        <w:t xml:space="preserve">Overall assessment by Chairperson Department of </w:t>
      </w:r>
      <w:r>
        <w:rPr>
          <w:rFonts w:ascii="Arial Narrow" w:hAnsi="Arial Narrow"/>
          <w:b/>
          <w:lang w:val="en-US"/>
        </w:rPr>
        <w:t>Surgery</w:t>
      </w:r>
      <w:r w:rsidRPr="0071639A">
        <w:rPr>
          <w:rFonts w:ascii="Arial Narrow" w:hAnsi="Arial Narrow"/>
          <w:b/>
          <w:lang w:val="en-US"/>
        </w:rPr>
        <w:t xml:space="preserve"> Or Designate </w:t>
      </w: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  <w:r w:rsidRPr="0071639A">
        <w:rPr>
          <w:rFonts w:ascii="Arial Narrow" w:hAnsi="Arial Narrow"/>
          <w:lang w:val="en-US"/>
        </w:rPr>
        <w:t>Registrable ………………………………………………………………………..</w:t>
      </w: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  <w:r w:rsidRPr="0071639A">
        <w:rPr>
          <w:rFonts w:ascii="Arial Narrow" w:hAnsi="Arial Narrow"/>
          <w:lang w:val="en-US"/>
        </w:rPr>
        <w:t>Non Registrable……………………………………………………………………..</w:t>
      </w: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b/>
          <w:lang w:val="en-US"/>
        </w:rPr>
      </w:pPr>
      <w:r w:rsidRPr="0071639A">
        <w:rPr>
          <w:rFonts w:ascii="Arial Narrow" w:hAnsi="Arial Narrow"/>
          <w:b/>
          <w:lang w:val="en-US"/>
        </w:rPr>
        <w:t xml:space="preserve">Recommendation by </w:t>
      </w:r>
      <w:r>
        <w:rPr>
          <w:rFonts w:ascii="Arial Narrow" w:hAnsi="Arial Narrow"/>
          <w:b/>
          <w:lang w:val="en-US"/>
        </w:rPr>
        <w:t>Surgical Society</w:t>
      </w:r>
      <w:r w:rsidRPr="0071639A">
        <w:rPr>
          <w:rFonts w:ascii="Arial Narrow" w:hAnsi="Arial Narrow"/>
          <w:b/>
          <w:lang w:val="en-US"/>
        </w:rPr>
        <w:t xml:space="preserve"> </w:t>
      </w:r>
      <w:proofErr w:type="gramStart"/>
      <w:r w:rsidRPr="0071639A">
        <w:rPr>
          <w:rFonts w:ascii="Arial Narrow" w:hAnsi="Arial Narrow"/>
          <w:b/>
          <w:lang w:val="en-US"/>
        </w:rPr>
        <w:t>of  Zimbabwe</w:t>
      </w:r>
      <w:proofErr w:type="gramEnd"/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  <w:r w:rsidRPr="0071639A">
        <w:rPr>
          <w:rFonts w:ascii="Arial Narrow" w:hAnsi="Arial Narrow"/>
          <w:lang w:val="en-US"/>
        </w:rPr>
        <w:t>Registrable……………………………………………………………………………</w:t>
      </w: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</w:p>
    <w:p w:rsidR="008B7B32" w:rsidRPr="0071639A" w:rsidRDefault="008B7B32" w:rsidP="008B7B32">
      <w:pPr>
        <w:rPr>
          <w:rFonts w:ascii="Arial Narrow" w:hAnsi="Arial Narrow"/>
          <w:lang w:val="en-US"/>
        </w:rPr>
      </w:pPr>
      <w:r w:rsidRPr="0071639A">
        <w:rPr>
          <w:rFonts w:ascii="Arial Narrow" w:hAnsi="Arial Narrow"/>
          <w:lang w:val="en-US"/>
        </w:rPr>
        <w:t>Non registrable………………………………………………………………………..</w:t>
      </w:r>
    </w:p>
    <w:p w:rsidR="008B7B32" w:rsidRDefault="008B7B32" w:rsidP="008B7B32"/>
    <w:p w:rsidR="008B7B32" w:rsidRDefault="008B7B32" w:rsidP="008B7B32"/>
    <w:sectPr w:rsidR="008B7B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6B38"/>
    <w:multiLevelType w:val="hybridMultilevel"/>
    <w:tmpl w:val="3CA2834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1247"/>
    <w:multiLevelType w:val="hybridMultilevel"/>
    <w:tmpl w:val="671E42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2"/>
    <w:rsid w:val="003371BC"/>
    <w:rsid w:val="00410423"/>
    <w:rsid w:val="008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50EFD-32D4-4F20-B198-4682359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7B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B3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B7B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Felistas</dc:creator>
  <cp:keywords/>
  <dc:description/>
  <cp:lastModifiedBy>Hillarious Muzviwana</cp:lastModifiedBy>
  <cp:revision>2</cp:revision>
  <dcterms:created xsi:type="dcterms:W3CDTF">2016-06-01T10:33:00Z</dcterms:created>
  <dcterms:modified xsi:type="dcterms:W3CDTF">2021-09-02T07:40:00Z</dcterms:modified>
</cp:coreProperties>
</file>