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Driven Development Harness Research and Design</w:t>
      </w:r>
    </w:p>
    <w:p>
      <w:pPr>
        <w:pStyle w:val="Subtitle"/>
      </w:pPr>
      <w:r>
        <w:t>Feasibility recommendations and a repository implementation blueprint</w:t>
      </w:r>
    </w:p>
    <w:p>
      <w:pPr>
        <w:spacing w:after="240"/>
      </w:pPr>
      <w:r>
        <w:rPr>
          <w:sz w:val="20"/>
        </w:rPr>
        <w:t>Research date 7 October 2026</w:t>
      </w:r>
    </w:p>
    <w:p>
      <w:pPr>
        <w:pStyle w:val="Heading1"/>
      </w:pPr>
      <w:r>
        <w:t>Executive assessment</w:t>
      </w:r>
    </w:p>
    <w:p>
      <w:r>
        <w:t>The proposed Requirements Driven Development harness is feasible. Its strongest form combines the three requested agent workflows with a small deterministic controller that owns artifact validation, task state, contract integrity, phase transitions, Git operations, and completion evidence. Codex supplies architectural reasoning, implementation, and review; executable checks determine whether the agreed work is complete.</w:t>
      </w:r>
    </w:p>
    <w:p>
      <w:r>
        <w:t>The attached diagram provides a useful separation: functional requirements drive domain modeling and golden scenarios; nonfunctional requirements drive measurable constraints and benchmarks; specification consolidates those outputs; preparation derives task verticals, phases, a backlog, and an implementation matrix; implementation executes a test driven phase loop and a final project acceptance check. This report preserves that sequence. It adds explicit freeze points, provenance, blocker handling, and mechanically checkable acceptance rules.</w:t>
      </w:r>
    </w:p>
    <w:p>
      <w:r>
        <w:t>The most important recommendations are to make phases dependency closed, distinguish protobuf shape from behavior, keep a canonical task manifest behind inline comments, protect independent test oracles, and use a finite completion predicate. A goal prompt can coordinate the process but cannot provide these guarantees by itself.</w:t>
      </w:r>
    </w:p>
    <w:p>
      <w:r>
        <w:t xml:space="preserve">Current official documentation confirms the requested model IDs, configurable subagents, and native Codex goals with a maximum objective length of 4,000 characters. The provided objective contains 3,157 ASCII characters. Actual access to Astra Ultra and other model settings must be checked in the selected client and account. Programmatic App Server integration is documented but currently described as experimental; an initial harness should use native interactive goal mode with a deterministic local command suite. </w:t>
      </w:r>
      <w:hyperlink w:anchor="source_6">
        <w:r>
          <w:rPr>
            <w:color w:val="174E76"/>
          </w:rPr>
          <w:t>[S6–S12]</w:t>
        </w:r>
      </w:hyperlink>
    </w:p>
    <w:p>
      <w:r>
        <w:t xml:space="preserve">The exact workflow has not been established as universally optimal by the sources reviewed. OpenAI and Anthropic describe useful harness engineering practices, including durable repository knowledge, incremental work, and verification, but those reports do not prove the superiority of this exact RDD design or agent allocation. The final section proposes a controlled pilot to measure that. </w:t>
      </w:r>
      <w:hyperlink w:anchor="source_3">
        <w:r>
          <w:rPr>
            <w:color w:val="174E76"/>
          </w:rPr>
          <w:t>[S3–S5]</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Proposed property</w:t>
            </w:r>
          </w:p>
        </w:tc>
        <w:tc>
          <w:tcPr>
            <w:tcW w:type="dxa" w:w="2880"/>
            <w:vAlign w:val="center"/>
            <w:shd w:fill="163A50"/>
          </w:tcPr>
          <w:p>
            <w:pPr>
              <w:spacing w:after="0" w:line="252" w:lineRule="auto"/>
            </w:pPr>
            <w:r>
              <w:rPr>
                <w:b/>
                <w:color w:val="FFFFFF"/>
                <w:sz w:val="18"/>
              </w:rPr>
              <w:t>Assessment</w:t>
            </w:r>
          </w:p>
        </w:tc>
        <w:tc>
          <w:tcPr>
            <w:tcW w:type="dxa" w:w="4536"/>
            <w:vAlign w:val="center"/>
            <w:shd w:fill="163A50"/>
          </w:tcPr>
          <w:p>
            <w:pPr>
              <w:spacing w:after="0" w:line="252" w:lineRule="auto"/>
            </w:pPr>
            <w:r>
              <w:rPr>
                <w:b/>
                <w:color w:val="FFFFFF"/>
                <w:sz w:val="18"/>
              </w:rPr>
              <w:t>Necessary implementation condition</w:t>
            </w:r>
          </w:p>
        </w:tc>
      </w:tr>
      <w:tr>
        <w:trPr>
          <w:cantSplit/>
        </w:trPr>
        <w:tc>
          <w:tcPr>
            <w:tcW w:type="dxa" w:w="2664"/>
            <w:vAlign w:val="center"/>
            <w:shd w:fill="FFFFFF"/>
          </w:tcPr>
          <w:p>
            <w:pPr>
              <w:spacing w:after="0" w:line="252" w:lineRule="auto"/>
            </w:pPr>
            <w:r>
              <w:rPr>
                <w:sz w:val="18"/>
              </w:rPr>
              <w:t>Requirements remain the source of truth</w:t>
            </w:r>
          </w:p>
        </w:tc>
        <w:tc>
          <w:tcPr>
            <w:tcW w:type="dxa" w:w="2880"/>
            <w:vAlign w:val="center"/>
            <w:shd w:fill="FFFFFF"/>
          </w:tcPr>
          <w:p>
            <w:pPr>
              <w:spacing w:after="0" w:line="252" w:lineRule="auto"/>
            </w:pPr>
            <w:r>
              <w:rPr>
                <w:sz w:val="18"/>
              </w:rPr>
              <w:t>Strongly feasible</w:t>
            </w:r>
          </w:p>
        </w:tc>
        <w:tc>
          <w:tcPr>
            <w:tcW w:type="dxa" w:w="4536"/>
            <w:vAlign w:val="center"/>
            <w:shd w:fill="FFFFFF"/>
          </w:tcPr>
          <w:p>
            <w:pPr>
              <w:spacing w:after="0" w:line="252" w:lineRule="auto"/>
            </w:pPr>
            <w:r>
              <w:rPr>
                <w:sz w:val="18"/>
              </w:rPr>
              <w:t>Stable IDs, versioned baselines, traceability, and protected upstream artifacts</w:t>
            </w:r>
          </w:p>
        </w:tc>
      </w:tr>
      <w:tr>
        <w:trPr>
          <w:cantSplit/>
        </w:trPr>
        <w:tc>
          <w:tcPr>
            <w:tcW w:type="dxa" w:w="2664"/>
            <w:vAlign w:val="center"/>
            <w:shd w:fill="F3F6F8"/>
          </w:tcPr>
          <w:p>
            <w:pPr>
              <w:spacing w:after="0" w:line="252" w:lineRule="auto"/>
            </w:pPr>
            <w:r>
              <w:rPr>
                <w:sz w:val="18"/>
              </w:rPr>
              <w:t>Three sequential agent workflows</w:t>
            </w:r>
          </w:p>
        </w:tc>
        <w:tc>
          <w:tcPr>
            <w:tcW w:type="dxa" w:w="2880"/>
            <w:vAlign w:val="center"/>
            <w:shd w:fill="F3F6F8"/>
          </w:tcPr>
          <w:p>
            <w:pPr>
              <w:spacing w:after="0" w:line="252" w:lineRule="auto"/>
            </w:pPr>
            <w:r>
              <w:rPr>
                <w:sz w:val="18"/>
              </w:rPr>
              <w:t>Strongly feasible</w:t>
            </w:r>
          </w:p>
        </w:tc>
        <w:tc>
          <w:tcPr>
            <w:tcW w:type="dxa" w:w="4536"/>
            <w:vAlign w:val="center"/>
            <w:shd w:fill="F3F6F8"/>
          </w:tcPr>
          <w:p>
            <w:pPr>
              <w:spacing w:after="0" w:line="252" w:lineRule="auto"/>
            </w:pPr>
            <w:r>
              <w:rPr>
                <w:sz w:val="18"/>
              </w:rPr>
              <w:t>Explicit input and output schemas and stage exit checks</w:t>
            </w:r>
          </w:p>
        </w:tc>
      </w:tr>
      <w:tr>
        <w:trPr>
          <w:cantSplit/>
        </w:trPr>
        <w:tc>
          <w:tcPr>
            <w:tcW w:type="dxa" w:w="2664"/>
            <w:vAlign w:val="center"/>
            <w:shd w:fill="FFFFFF"/>
          </w:tcPr>
          <w:p>
            <w:pPr>
              <w:spacing w:after="0" w:line="252" w:lineRule="auto"/>
            </w:pPr>
            <w:r>
              <w:rPr>
                <w:sz w:val="18"/>
              </w:rPr>
              <w:t>Protobuf enforced module and public API shapes</w:t>
            </w:r>
          </w:p>
        </w:tc>
        <w:tc>
          <w:tcPr>
            <w:tcW w:type="dxa" w:w="2880"/>
            <w:vAlign w:val="center"/>
            <w:shd w:fill="FFFFFF"/>
          </w:tcPr>
          <w:p>
            <w:pPr>
              <w:spacing w:after="0" w:line="252" w:lineRule="auto"/>
            </w:pPr>
            <w:r>
              <w:rPr>
                <w:sz w:val="18"/>
              </w:rPr>
              <w:t>Feasible with limits</w:t>
            </w:r>
          </w:p>
        </w:tc>
        <w:tc>
          <w:tcPr>
            <w:tcW w:type="dxa" w:w="4536"/>
            <w:vAlign w:val="center"/>
            <w:shd w:fill="FFFFFF"/>
          </w:tcPr>
          <w:p>
            <w:pPr>
              <w:spacing w:after="0" w:line="252" w:lineRule="auto"/>
            </w:pPr>
            <w:r>
              <w:rPr>
                <w:sz w:val="18"/>
              </w:rPr>
              <w:t>Pinned generation, compile checks, import restrictions, semantic tests</w:t>
            </w:r>
          </w:p>
        </w:tc>
      </w:tr>
      <w:tr>
        <w:trPr>
          <w:cantSplit/>
        </w:trPr>
        <w:tc>
          <w:tcPr>
            <w:tcW w:type="dxa" w:w="2664"/>
            <w:vAlign w:val="center"/>
            <w:shd w:fill="F3F6F8"/>
          </w:tcPr>
          <w:p>
            <w:pPr>
              <w:spacing w:after="0" w:line="252" w:lineRule="auto"/>
            </w:pPr>
            <w:r>
              <w:rPr>
                <w:sz w:val="18"/>
              </w:rPr>
              <w:t>Independent sequential phases</w:t>
            </w:r>
          </w:p>
        </w:tc>
        <w:tc>
          <w:tcPr>
            <w:tcW w:type="dxa" w:w="2880"/>
            <w:vAlign w:val="center"/>
            <w:shd w:fill="F3F6F8"/>
          </w:tcPr>
          <w:p>
            <w:pPr>
              <w:spacing w:after="0" w:line="252" w:lineRule="auto"/>
            </w:pPr>
            <w:r>
              <w:rPr>
                <w:sz w:val="18"/>
              </w:rPr>
              <w:t>Feasible as dependency closure</w:t>
            </w:r>
          </w:p>
        </w:tc>
        <w:tc>
          <w:tcPr>
            <w:tcW w:type="dxa" w:w="4536"/>
            <w:vAlign w:val="center"/>
            <w:shd w:fill="F3F6F8"/>
          </w:tcPr>
          <w:p>
            <w:pPr>
              <w:spacing w:after="0" w:line="252" w:lineRule="auto"/>
            </w:pPr>
            <w:r>
              <w:rPr>
                <w:sz w:val="18"/>
              </w:rPr>
              <w:t>Each phase satisfies its scope using only the baseline, predecessors, and its own work</w:t>
            </w:r>
          </w:p>
        </w:tc>
      </w:tr>
      <w:tr>
        <w:trPr>
          <w:cantSplit/>
        </w:trPr>
        <w:tc>
          <w:tcPr>
            <w:tcW w:type="dxa" w:w="2664"/>
            <w:vAlign w:val="center"/>
            <w:shd w:fill="FFFFFF"/>
          </w:tcPr>
          <w:p>
            <w:pPr>
              <w:spacing w:after="0" w:line="252" w:lineRule="auto"/>
            </w:pPr>
            <w:r>
              <w:rPr>
                <w:sz w:val="18"/>
              </w:rPr>
              <w:t>A closed phase never reopens</w:t>
            </w:r>
          </w:p>
        </w:tc>
        <w:tc>
          <w:tcPr>
            <w:tcW w:type="dxa" w:w="2880"/>
            <w:vAlign w:val="center"/>
            <w:shd w:fill="FFFFFF"/>
          </w:tcPr>
          <w:p>
            <w:pPr>
              <w:spacing w:after="0" w:line="252" w:lineRule="auto"/>
            </w:pPr>
            <w:r>
              <w:rPr>
                <w:sz w:val="18"/>
              </w:rPr>
              <w:t>Enforceable run policy</w:t>
            </w:r>
          </w:p>
        </w:tc>
        <w:tc>
          <w:tcPr>
            <w:tcW w:type="dxa" w:w="4536"/>
            <w:vAlign w:val="center"/>
            <w:shd w:fill="FFFFFF"/>
          </w:tcPr>
          <w:p>
            <w:pPr>
              <w:spacing w:after="0" w:line="252" w:lineRule="auto"/>
            </w:pPr>
            <w:r>
              <w:rPr>
                <w:sz w:val="18"/>
              </w:rPr>
              <w:t>A discovered closure violation fails the run and starts a new specification baseline</w:t>
            </w:r>
          </w:p>
        </w:tc>
      </w:tr>
      <w:tr>
        <w:trPr>
          <w:cantSplit/>
        </w:trPr>
        <w:tc>
          <w:tcPr>
            <w:tcW w:type="dxa" w:w="2664"/>
            <w:vAlign w:val="center"/>
            <w:shd w:fill="F3F6F8"/>
          </w:tcPr>
          <w:p>
            <w:pPr>
              <w:spacing w:after="0" w:line="252" w:lineRule="auto"/>
            </w:pPr>
            <w:r>
              <w:rPr>
                <w:sz w:val="18"/>
              </w:rPr>
              <w:t>Guaranteed absence of future phase failures</w:t>
            </w:r>
          </w:p>
        </w:tc>
        <w:tc>
          <w:tcPr>
            <w:tcW w:type="dxa" w:w="2880"/>
            <w:vAlign w:val="center"/>
            <w:shd w:fill="F3F6F8"/>
          </w:tcPr>
          <w:p>
            <w:pPr>
              <w:spacing w:after="0" w:line="252" w:lineRule="auto"/>
            </w:pPr>
            <w:r>
              <w:rPr>
                <w:sz w:val="18"/>
              </w:rPr>
              <w:t>Not attainable from planning alone</w:t>
            </w:r>
          </w:p>
        </w:tc>
        <w:tc>
          <w:tcPr>
            <w:tcW w:type="dxa" w:w="4536"/>
            <w:vAlign w:val="center"/>
            <w:shd w:fill="F3F6F8"/>
          </w:tcPr>
          <w:p>
            <w:pPr>
              <w:spacing w:after="0" w:line="252" w:lineRule="auto"/>
            </w:pPr>
            <w:r>
              <w:rPr>
                <w:sz w:val="18"/>
              </w:rPr>
              <w:t>Missing knowledge and defects must have a truthful failure path</w:t>
            </w:r>
          </w:p>
        </w:tc>
      </w:tr>
      <w:tr>
        <w:trPr>
          <w:cantSplit/>
        </w:trPr>
        <w:tc>
          <w:tcPr>
            <w:tcW w:type="dxa" w:w="2664"/>
            <w:vAlign w:val="center"/>
            <w:shd w:fill="FFFFFF"/>
          </w:tcPr>
          <w:p>
            <w:pPr>
              <w:spacing w:after="0" w:line="252" w:lineRule="auto"/>
            </w:pPr>
            <w:r>
              <w:rPr>
                <w:sz w:val="18"/>
              </w:rPr>
              <w:t>Strict tests then deletion then modification then addition then documentation</w:t>
            </w:r>
          </w:p>
        </w:tc>
        <w:tc>
          <w:tcPr>
            <w:tcW w:type="dxa" w:w="2880"/>
            <w:vAlign w:val="center"/>
            <w:shd w:fill="FFFFFF"/>
          </w:tcPr>
          <w:p>
            <w:pPr>
              <w:spacing w:after="0" w:line="252" w:lineRule="auto"/>
            </w:pPr>
            <w:r>
              <w:rPr>
                <w:sz w:val="18"/>
              </w:rPr>
              <w:t>Conditionally feasible</w:t>
            </w:r>
          </w:p>
        </w:tc>
        <w:tc>
          <w:tcPr>
            <w:tcW w:type="dxa" w:w="4536"/>
            <w:vAlign w:val="center"/>
            <w:shd w:fill="FFFFFF"/>
          </w:tcPr>
          <w:p>
            <w:pPr>
              <w:spacing w:after="0" w:line="252" w:lineRule="auto"/>
            </w:pPr>
            <w:r>
              <w:rPr>
                <w:sz w:val="18"/>
              </w:rPr>
              <w:t>Preparation proves category and dependency constraints are compatible</w:t>
            </w:r>
          </w:p>
        </w:tc>
      </w:tr>
      <w:tr>
        <w:trPr>
          <w:cantSplit/>
        </w:trPr>
        <w:tc>
          <w:tcPr>
            <w:tcW w:type="dxa" w:w="2664"/>
            <w:vAlign w:val="center"/>
            <w:shd w:fill="F3F6F8"/>
          </w:tcPr>
          <w:p>
            <w:pPr>
              <w:spacing w:after="0" w:line="252" w:lineRule="auto"/>
            </w:pPr>
            <w:r>
              <w:rPr>
                <w:sz w:val="18"/>
              </w:rPr>
              <w:t>All golden paths prove every requirement</w:t>
            </w:r>
          </w:p>
        </w:tc>
        <w:tc>
          <w:tcPr>
            <w:tcW w:type="dxa" w:w="2880"/>
            <w:vAlign w:val="center"/>
            <w:shd w:fill="F3F6F8"/>
          </w:tcPr>
          <w:p>
            <w:pPr>
              <w:spacing w:after="0" w:line="252" w:lineRule="auto"/>
            </w:pPr>
            <w:r>
              <w:rPr>
                <w:sz w:val="18"/>
              </w:rPr>
              <w:t>Insufficient as stated</w:t>
            </w:r>
          </w:p>
        </w:tc>
        <w:tc>
          <w:tcPr>
            <w:tcW w:type="dxa" w:w="4536"/>
            <w:vAlign w:val="center"/>
            <w:shd w:fill="F3F6F8"/>
          </w:tcPr>
          <w:p>
            <w:pPr>
              <w:spacing w:after="0" w:line="252" w:lineRule="auto"/>
            </w:pPr>
            <w:r>
              <w:rPr>
                <w:sz w:val="18"/>
              </w:rPr>
              <w:t>Add negative, boundary, integration, security, concurrency, and NFR verification</w:t>
            </w:r>
          </w:p>
        </w:tc>
      </w:tr>
      <w:tr>
        <w:trPr>
          <w:cantSplit/>
        </w:trPr>
        <w:tc>
          <w:tcPr>
            <w:tcW w:type="dxa" w:w="2664"/>
            <w:vAlign w:val="center"/>
            <w:shd w:fill="FFFFFF"/>
          </w:tcPr>
          <w:p>
            <w:pPr>
              <w:spacing w:after="0" w:line="252" w:lineRule="auto"/>
            </w:pPr>
            <w:r>
              <w:rPr>
                <w:sz w:val="18"/>
              </w:rPr>
              <w:t>One stacked PR per phase</w:t>
            </w:r>
          </w:p>
        </w:tc>
        <w:tc>
          <w:tcPr>
            <w:tcW w:type="dxa" w:w="2880"/>
            <w:vAlign w:val="center"/>
            <w:shd w:fill="FFFFFF"/>
          </w:tcPr>
          <w:p>
            <w:pPr>
              <w:spacing w:after="0" w:line="252" w:lineRule="auto"/>
            </w:pPr>
            <w:r>
              <w:rPr>
                <w:sz w:val="18"/>
              </w:rPr>
              <w:t>Feasible</w:t>
            </w:r>
          </w:p>
        </w:tc>
        <w:tc>
          <w:tcPr>
            <w:tcW w:type="dxa" w:w="4536"/>
            <w:vAlign w:val="center"/>
            <w:shd w:fill="FFFFFF"/>
          </w:tcPr>
          <w:p>
            <w:pPr>
              <w:spacing w:after="0" w:line="252" w:lineRule="auto"/>
            </w:pPr>
            <w:r>
              <w:rPr>
                <w:sz w:val="18"/>
              </w:rPr>
              <w:t>Explicit branch ancestry, completion semantics, and bottom up landing</w:t>
            </w:r>
          </w:p>
        </w:tc>
      </w:tr>
      <w:tr>
        <w:trPr>
          <w:cantSplit/>
        </w:trPr>
        <w:tc>
          <w:tcPr>
            <w:tcW w:type="dxa" w:w="2664"/>
            <w:vAlign w:val="center"/>
            <w:shd w:fill="F3F6F8"/>
          </w:tcPr>
          <w:p>
            <w:pPr>
              <w:spacing w:after="0" w:line="252" w:lineRule="auto"/>
            </w:pPr>
            <w:r>
              <w:rPr>
                <w:sz w:val="18"/>
              </w:rPr>
              <w:t>Production ready output</w:t>
            </w:r>
          </w:p>
        </w:tc>
        <w:tc>
          <w:tcPr>
            <w:tcW w:type="dxa" w:w="2880"/>
            <w:vAlign w:val="center"/>
            <w:shd w:fill="F3F6F8"/>
          </w:tcPr>
          <w:p>
            <w:pPr>
              <w:spacing w:after="0" w:line="252" w:lineRule="auto"/>
            </w:pPr>
            <w:r>
              <w:rPr>
                <w:sz w:val="18"/>
              </w:rPr>
              <w:t>Conditional on defined evidence</w:t>
            </w:r>
          </w:p>
        </w:tc>
        <w:tc>
          <w:tcPr>
            <w:tcW w:type="dxa" w:w="4536"/>
            <w:vAlign w:val="center"/>
            <w:shd w:fill="F3F6F8"/>
          </w:tcPr>
          <w:p>
            <w:pPr>
              <w:spacing w:after="0" w:line="252" w:lineRule="auto"/>
            </w:pPr>
            <w:r>
              <w:rPr>
                <w:sz w:val="18"/>
              </w:rPr>
              <w:t>Operational requirements, deployment target, migrations, recovery, and measurements must be specified</w:t>
            </w:r>
          </w:p>
        </w:tc>
      </w:tr>
    </w:tbl>
    <w:p>
      <w:pPr>
        <w:spacing w:after="40" w:before="0" w:line="120" w:lineRule="auto"/>
      </w:pPr>
    </w:p>
    <w:p>
      <w:pPr>
        <w:pStyle w:val="Heading1"/>
      </w:pPr>
      <w:r>
        <w:t>1 Reading the diagram as an executable workflow</w:t>
      </w:r>
    </w:p>
    <w:p>
      <w:r>
        <w:t>The supplied diagram is reproduced below as the starting workflow. The implementation recommendations refine its handoffs rather than replace its structure.</w:t>
      </w:r>
    </w:p>
    <w:p>
      <w:pPr>
        <w:jc w:val="center"/>
      </w:pPr>
      <w:r>
        <w:drawing>
          <wp:inline xmlns:a="http://schemas.openxmlformats.org/drawingml/2006/main" xmlns:pic="http://schemas.openxmlformats.org/drawingml/2006/picture">
            <wp:extent cx="6172200" cy="4324759"/>
            <wp:docPr id="1" name="Picture 1" descr="User supplied diagram showing specification, preparation and implementation workflows from requirements to implementation."/>
            <wp:cNvGraphicFramePr>
              <a:graphicFrameLocks noChangeAspect="1"/>
            </wp:cNvGraphicFramePr>
            <a:graphic>
              <a:graphicData uri="http://schemas.openxmlformats.org/drawingml/2006/picture">
                <pic:pic>
                  <pic:nvPicPr>
                    <pic:cNvPr id="0" name="RDD-Diagram(2).png"/>
                    <pic:cNvPicPr/>
                  </pic:nvPicPr>
                  <pic:blipFill>
                    <a:blip r:embed="rId10"/>
                    <a:stretch>
                      <a:fillRect/>
                    </a:stretch>
                  </pic:blipFill>
                  <pic:spPr>
                    <a:xfrm>
                      <a:off x="0" y="0"/>
                      <a:ext cx="6172200" cy="4324759"/>
                    </a:xfrm>
                    <a:prstGeom prst="rect"/>
                  </pic:spPr>
                </pic:pic>
              </a:graphicData>
            </a:graphic>
          </wp:inline>
        </w:drawing>
      </w:r>
    </w:p>
    <w:p>
      <w:pPr>
        <w:pStyle w:val="Caption"/>
        <w:jc w:val="center"/>
      </w:pPr>
      <w:r>
        <w:t>Figure 1  The supplied RDD workflow</w:t>
      </w:r>
    </w:p>
    <w:p>
      <w:r>
        <w:t>The specification workflow should produce scenario definitions and benchmark protocols. The implementation workflow should turn them into executable tests and benchmarks. This resolves the apparent duplication between golden tests in the diagram's specification stage and golden test creation in implementation: one defines the expected behavior and measurement; the other creates executable evidence.</w:t>
      </w:r>
    </w:p>
    <w:p>
      <w:r>
        <w:t xml:space="preserve">Functional and nonfunctional modeling should communicate throughout specification. Domain boundaries cannot be derived from functional requirements alone when security isolation, consistency, performance, data residency, or deployment constraints affect them. Domain modeling supplies candidate boundaries; the complete requirement set determines which candidates are valid. Microsoft's domain analysis and boundary guidance support this joint consideration. </w:t>
      </w:r>
      <w:hyperlink w:anchor="source_17">
        <w:r>
          <w:rPr>
            <w:color w:val="174E76"/>
          </w:rPr>
          <w:t>[S17–S18]</w:t>
        </w:r>
      </w:hyperlink>
    </w:p>
    <w:p>
      <w:r>
        <w:t>Preparation may research implementation facts and inspect the repository, but it must not choose a new product meaning or repair an inadequate interface design. Implementation may resolve ordinary coding details within the approved solution. Neither stage may answer a missing architectural question by inventing a requirement. A semantic blocker returns the work to specification.</w:t>
      </w:r>
    </w:p>
    <w:p>
      <w:r>
        <w:t>Add three explicit exit checks to the diagram: specification readiness, preparation readiness, and phase acceptance. Specification readiness freezes the solution baseline. Preparation readiness freezes the executable plan. Phase acceptance seals completed obligations. The final project check aggregates the complete system, including the exact PR state, rather than accepting the orchestrator's narrative alone.</w:t>
      </w:r>
    </w:p>
    <w:p>
      <w:pPr>
        <w:pStyle w:val="Heading1"/>
      </w:pPr>
      <w:r>
        <w:t>2 Requirements and artifact authority</w:t>
      </w:r>
    </w:p>
    <w:p>
      <w:pPr>
        <w:pStyle w:val="Heading2"/>
      </w:pPr>
      <w:r>
        <w:t>2 1 Define formal requirements operationally</w:t>
      </w:r>
    </w:p>
    <w:p>
      <w:r>
        <w:t xml:space="preserve">Use individually identifiable, atomic, testable statements with clear subjects, preconditions, outcomes, and measurable bounds. NASA's guidance emphasizes clarity, consistency, traceability, verifiability, and separation of the needed outcome from implementation. Its verification matrix guidance gives each requirement a unique identifier and definitive source. </w:t>
      </w:r>
      <w:hyperlink w:anchor="source_1">
        <w:r>
          <w:rPr>
            <w:color w:val="174E76"/>
          </w:rPr>
          <w:t>[S1–S2]</w:t>
        </w:r>
      </w:hyperlink>
    </w:p>
    <w:p>
      <w:r>
        <w:t>A structured natural language requirement is not automatically a mathematical formal specification. Reserve model checking, state machine proofs, or other formal methods for invariants whose risk warrants them. The harness should record the verification method for every obligation: test, analysis, inspection, demonstration, or a combination. Tests provide evidence for specified cases; a passing finite suite does not prove all possible executions.</w:t>
      </w:r>
    </w:p>
    <w:p>
      <w:r>
        <w:t>Requirements should define the problem and its constraints. A mandated programming language, cloud, protocol, or provider is a legitimate design constraint when the owner deliberately requires it. Keep such constraints visible as requirements rather than pretending the solution is unconstrained. Unresolved language and framework choices belong in specification clarification before language skills or code generation are finalized.</w:t>
      </w:r>
    </w:p>
    <w:p>
      <w:r>
        <w:t>The requirements document can remain Markdown in GitHub. Give every normative block an ID and machine readable metadata, then parse it into a validated index. Do not create a second independently editable YAML copy of the same requirement. The index, matrix, and reports are derived views.</w:t>
      </w:r>
    </w:p>
    <w:p>
      <w:r>
        <w:t>Illustrative requirement metadata follows. The values are examples, not inferred requirements for a real application.</w:t>
      </w:r>
    </w:p>
    <w:p>
      <w:pPr>
        <w:keepNext/>
        <w:widowControl/>
        <w:spacing w:after="0" w:before="0" w:line="250" w:lineRule="auto"/>
        <w:ind w:left="187" w:right="144"/>
        <w:shd w:fill="F1F3F5"/>
      </w:pPr>
      <w:r>
        <w:rPr>
          <w:rFonts w:ascii="Liberation Mono" w:hAnsi="Liberation Mono"/>
          <w:sz w:val="16"/>
        </w:rPr>
        <w:t>id: FR-INV-001</w:t>
      </w:r>
    </w:p>
    <w:p>
      <w:pPr>
        <w:keepNext/>
        <w:widowControl/>
        <w:spacing w:after="0" w:before="0" w:line="250" w:lineRule="auto"/>
        <w:ind w:left="187" w:right="144"/>
        <w:shd w:fill="F1F3F5"/>
      </w:pPr>
      <w:r>
        <w:rPr>
          <w:rFonts w:ascii="Liberation Mono" w:hAnsi="Liberation Mono"/>
          <w:sz w:val="16"/>
        </w:rPr>
        <w:t>revision: 1</w:t>
      </w:r>
    </w:p>
    <w:p>
      <w:pPr>
        <w:keepNext/>
        <w:widowControl/>
        <w:spacing w:after="0" w:before="0" w:line="250" w:lineRule="auto"/>
        <w:ind w:left="187" w:right="144"/>
        <w:shd w:fill="F1F3F5"/>
      </w:pPr>
      <w:r>
        <w:rPr>
          <w:rFonts w:ascii="Liberation Mono" w:hAnsi="Liberation Mono"/>
          <w:sz w:val="16"/>
        </w:rPr>
        <w:t>kind: functional</w:t>
      </w:r>
    </w:p>
    <w:p>
      <w:pPr>
        <w:keepNext/>
        <w:widowControl/>
        <w:spacing w:after="0" w:before="0" w:line="250" w:lineRule="auto"/>
        <w:ind w:left="187" w:right="144"/>
        <w:shd w:fill="F1F3F5"/>
      </w:pPr>
      <w:r>
        <w:rPr>
          <w:rFonts w:ascii="Liberation Mono" w:hAnsi="Liberation Mono"/>
          <w:sz w:val="16"/>
        </w:rPr>
        <w:t>statement: &gt;-</w:t>
      </w:r>
    </w:p>
    <w:p>
      <w:pPr>
        <w:keepNext/>
        <w:widowControl/>
        <w:spacing w:after="0" w:before="0" w:line="250" w:lineRule="auto"/>
        <w:ind w:left="187" w:right="144"/>
        <w:shd w:fill="F1F3F5"/>
      </w:pPr>
      <w:r>
        <w:rPr>
          <w:rFonts w:ascii="Liberation Mono" w:hAnsi="Liberation Mono"/>
          <w:sz w:val="16"/>
        </w:rPr>
        <w:t xml:space="preserve">  An authorized organization administrator shall be able to</w:t>
      </w:r>
    </w:p>
    <w:p>
      <w:pPr>
        <w:keepNext/>
        <w:widowControl/>
        <w:spacing w:after="0" w:before="0" w:line="250" w:lineRule="auto"/>
        <w:ind w:left="187" w:right="144"/>
        <w:shd w:fill="F1F3F5"/>
      </w:pPr>
      <w:r>
        <w:rPr>
          <w:rFonts w:ascii="Liberation Mono" w:hAnsi="Liberation Mono"/>
          <w:sz w:val="16"/>
        </w:rPr>
        <w:t xml:space="preserve">  create a durable invitation for that organization.</w:t>
      </w:r>
    </w:p>
    <w:p>
      <w:pPr>
        <w:keepNext/>
        <w:widowControl/>
        <w:spacing w:after="0" w:before="0" w:line="250" w:lineRule="auto"/>
        <w:ind w:left="187" w:right="144"/>
        <w:shd w:fill="F1F3F5"/>
      </w:pPr>
      <w:r>
        <w:rPr>
          <w:rFonts w:ascii="Liberation Mono" w:hAnsi="Liberation Mono"/>
          <w:sz w:val="16"/>
        </w:rPr>
        <w:t>preconditions:</w:t>
      </w:r>
    </w:p>
    <w:p>
      <w:pPr>
        <w:keepNext/>
        <w:widowControl/>
        <w:spacing w:after="0" w:before="0" w:line="250" w:lineRule="auto"/>
        <w:ind w:left="187" w:right="144"/>
        <w:shd w:fill="F1F3F5"/>
      </w:pPr>
      <w:r>
        <w:rPr>
          <w:rFonts w:ascii="Liberation Mono" w:hAnsi="Liberation Mono"/>
          <w:sz w:val="16"/>
        </w:rPr>
        <w:t xml:space="preserve">  - The administrator has a valid organization session.</w:t>
      </w:r>
    </w:p>
    <w:p>
      <w:pPr>
        <w:keepNext/>
        <w:widowControl/>
        <w:spacing w:after="0" w:before="0" w:line="250" w:lineRule="auto"/>
        <w:ind w:left="187" w:right="144"/>
        <w:shd w:fill="F1F3F5"/>
      </w:pPr>
      <w:r>
        <w:rPr>
          <w:rFonts w:ascii="Liberation Mono" w:hAnsi="Liberation Mono"/>
          <w:sz w:val="16"/>
        </w:rPr>
        <w:t>postconditions:</w:t>
      </w:r>
    </w:p>
    <w:p>
      <w:pPr>
        <w:keepNext/>
        <w:widowControl/>
        <w:spacing w:after="0" w:before="0" w:line="250" w:lineRule="auto"/>
        <w:ind w:left="187" w:right="144"/>
        <w:shd w:fill="F1F3F5"/>
      </w:pPr>
      <w:r>
        <w:rPr>
          <w:rFonts w:ascii="Liberation Mono" w:hAnsi="Liberation Mono"/>
          <w:sz w:val="16"/>
        </w:rPr>
        <w:t xml:space="preserve">  - The invitation is persisted and auditable.</w:t>
      </w:r>
    </w:p>
    <w:p>
      <w:pPr>
        <w:keepNext/>
        <w:widowControl/>
        <w:spacing w:after="0" w:before="0" w:line="250" w:lineRule="auto"/>
        <w:ind w:left="187" w:right="144"/>
        <w:shd w:fill="F1F3F5"/>
      </w:pPr>
      <w:r>
        <w:rPr>
          <w:rFonts w:ascii="Liberation Mono" w:hAnsi="Liberation Mono"/>
          <w:sz w:val="16"/>
        </w:rPr>
        <w:t>verification: [integration, authorization]</w:t>
      </w:r>
    </w:p>
    <w:p>
      <w:pPr>
        <w:keepNext w:val="0"/>
        <w:widowControl/>
        <w:spacing w:after="0" w:before="0" w:line="250" w:lineRule="auto"/>
        <w:ind w:left="187" w:right="144"/>
        <w:shd w:fill="F1F3F5"/>
      </w:pPr>
      <w:r>
        <w:rPr>
          <w:rFonts w:ascii="Liberation Mono" w:hAnsi="Liberation Mono"/>
          <w:sz w:val="16"/>
        </w:rPr>
        <w:t>acceptance_ids: [GP-INV-001, NEG-INV-001]</w:t>
      </w:r>
    </w:p>
    <w:p>
      <w:pPr>
        <w:spacing w:after="60" w:line="96" w:lineRule="auto"/>
      </w:pPr>
    </w:p>
    <w:p>
      <w:r>
        <w:t xml:space="preserve">An NFR needs its measurement definition. A latency requirement must identify the operation, percentile, workload, concurrency, dataset, environment, warmup, observation interval, and threshold. A reliability requirement needs the service level indicator and observation window. Treat an unmeasurable adjective such as fast, robust, or scalable as a clarification item. </w:t>
      </w:r>
      <w:hyperlink w:anchor="source_55">
        <w:r>
          <w:rPr>
            <w:color w:val="174E76"/>
          </w:rPr>
          <w:t>[S55–S56]</w:t>
        </w:r>
      </w:hyperlink>
    </w:p>
    <w:p>
      <w:pPr>
        <w:pStyle w:val="Heading2"/>
      </w:pPr>
      <w:r>
        <w:t>2 2 Maintain one authority chain</w:t>
      </w:r>
    </w:p>
    <w:p>
      <w:r>
        <w:t>The authority chain is requirements, approved specifications and contracts, prepared plan, implementation, and evidence. Lower artifacts may explain how an obligation is met; they may not weaken it. Skill advice and external documentation provide implementation guidance within that chain. Neither can authorize changes to the requirements or the frozen solution.</w:t>
      </w:r>
    </w:p>
    <w:p>
      <w:r>
        <w:t>Use immutable run baselines containing the requirements commit and digest, specification digest, contract source manifest, generation and toolchain locks, plan digest, gate policy digest, and acceptance inventory digest. Hash explicit file inventories and canonical manifest records. Record a schema version for every machine readable artifact. Reject unknown versions rather than silently interpreting them.</w:t>
      </w:r>
    </w:p>
    <w:p>
      <w:r>
        <w:t>Every specification obligation should trace to a requirement or a justified derived design decision. Every task should trace to a specification obligation. Every acceptance claim should trace to executed evidence. Allow many to many relationships: one test can verify several related obligations, and one requirement can need several test types. Do not force one requirement into one module or one test.</w:t>
      </w:r>
    </w:p>
    <w:p>
      <w:pPr>
        <w:pStyle w:val="Heading2"/>
      </w:pPr>
      <w:r>
        <w:t>2 3 Make amendments explicit</w:t>
      </w:r>
    </w:p>
    <w:p>
      <w:r>
        <w:t>The invocation must specify amendment or regeneration and identify the baseline. A run is never silently converted from amendment to regeneration because an agent finds a rewrite convenient. Changes to requirement meaning retain the stable ID and increment its revision; removed requirements leave a tombstone in the change record.</w:t>
      </w:r>
    </w:p>
    <w:p>
      <w:r>
        <w:t>Amendment computes the transitive impact of changed requirements through specifications, contracts, consumers, persistence, scenarios, tests, code, and evidence. It preserves unaffected artifacts and reruns sufficient regression checks to demonstrate that the impact boundary was correct. A small text edit can still have a global effect, particularly for language, consistency, authorization, retention, or deployment requirements.</w:t>
      </w:r>
    </w:p>
    <w:p>
      <w:r>
        <w:t>A closure failure or specification defect can also seed an amendment when the requirements themselves remain unchanged. Record the affected requirement, specification, and task IDs as the impact seed; do not invent a requirement edit merely to trigger repairs. Start from the last valid baseline or an explicitly revalidated candidate. Mark the failed run and its invalid PR heads blocked or superseded so they cannot still count toward success.</w:t>
      </w:r>
    </w:p>
    <w:p>
      <w:r>
        <w:t>Regeneration removes the current derived specification set and regenerates the pipeline on an isolated branch. It preserves the requirements, Git history, explicit ownership boundaries, and the facts of any existing deployed system. Regeneration does not make production data, external consumers, or migration obligations disappear. Keep obsolete specifications out of normal agent context while retaining their historical versions in Git.</w:t>
      </w:r>
    </w:p>
    <w:p>
      <w:pPr>
        <w:pStyle w:val="Heading1"/>
      </w:pPr>
      <w:r>
        <w:t>3 Runtime architecture</w:t>
      </w:r>
    </w:p>
    <w:p>
      <w:pPr>
        <w:pStyle w:val="Heading2"/>
      </w:pPr>
      <w:r>
        <w:t>3 1 Build a thin controller around Codex</w:t>
      </w:r>
    </w:p>
    <w:p>
      <w:r>
        <w:t>Implement a repository local RDD controller with a CLI and a small set of deterministic components. Avoid introducing a second general agent platform until the pilot demonstrates a need. A typed controller in the language chosen for harness maintenance is sufficient; the target application's language can differ.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24"/>
        <w:gridCol w:w="7056"/>
      </w:tblGrid>
      <w:tr>
        <w:trPr>
          <w:cantSplit/>
          <w:tblHeader/>
        </w:trPr>
        <w:tc>
          <w:tcPr>
            <w:tcW w:type="dxa" w:w="3024"/>
            <w:vAlign w:val="center"/>
            <w:shd w:fill="163A50"/>
          </w:tcPr>
          <w:p>
            <w:pPr>
              <w:spacing w:after="0" w:line="252" w:lineRule="auto"/>
            </w:pPr>
            <w:r>
              <w:rPr>
                <w:b/>
                <w:color w:val="FFFFFF"/>
                <w:sz w:val="18"/>
              </w:rPr>
              <w:t>Component</w:t>
            </w:r>
          </w:p>
        </w:tc>
        <w:tc>
          <w:tcPr>
            <w:tcW w:type="dxa" w:w="7056"/>
            <w:vAlign w:val="center"/>
            <w:shd w:fill="163A50"/>
          </w:tcPr>
          <w:p>
            <w:pPr>
              <w:spacing w:after="0" w:line="252" w:lineRule="auto"/>
            </w:pPr>
            <w:r>
              <w:rPr>
                <w:b/>
                <w:color w:val="FFFFFF"/>
                <w:sz w:val="18"/>
              </w:rPr>
              <w:t>Responsibility</w:t>
            </w:r>
          </w:p>
        </w:tc>
      </w:tr>
      <w:tr>
        <w:trPr>
          <w:cantSplit/>
        </w:trPr>
        <w:tc>
          <w:tcPr>
            <w:tcW w:type="dxa" w:w="3024"/>
            <w:vAlign w:val="center"/>
            <w:shd w:fill="FFFFFF"/>
          </w:tcPr>
          <w:p>
            <w:pPr>
              <w:spacing w:after="0" w:line="252" w:lineRule="auto"/>
            </w:pPr>
            <w:r>
              <w:rPr>
                <w:sz w:val="18"/>
              </w:rPr>
              <w:t>Artifact validator</w:t>
            </w:r>
          </w:p>
        </w:tc>
        <w:tc>
          <w:tcPr>
            <w:tcW w:type="dxa" w:w="7056"/>
            <w:vAlign w:val="center"/>
            <w:shd w:fill="FFFFFF"/>
          </w:tcPr>
          <w:p>
            <w:pPr>
              <w:spacing w:after="0" w:line="252" w:lineRule="auto"/>
            </w:pPr>
            <w:r>
              <w:rPr>
                <w:sz w:val="18"/>
              </w:rPr>
              <w:t>Validate schemas, IDs, inventories, hashes, and cross references</w:t>
            </w:r>
          </w:p>
        </w:tc>
      </w:tr>
      <w:tr>
        <w:trPr>
          <w:cantSplit/>
        </w:trPr>
        <w:tc>
          <w:tcPr>
            <w:tcW w:type="dxa" w:w="3024"/>
            <w:vAlign w:val="center"/>
            <w:shd w:fill="F3F6F8"/>
          </w:tcPr>
          <w:p>
            <w:pPr>
              <w:spacing w:after="0" w:line="252" w:lineRule="auto"/>
            </w:pPr>
            <w:r>
              <w:rPr>
                <w:sz w:val="18"/>
              </w:rPr>
              <w:t>Plan compiler</w:t>
            </w:r>
          </w:p>
        </w:tc>
        <w:tc>
          <w:tcPr>
            <w:tcW w:type="dxa" w:w="7056"/>
            <w:vAlign w:val="center"/>
            <w:shd w:fill="F3F6F8"/>
          </w:tcPr>
          <w:p>
            <w:pPr>
              <w:spacing w:after="0" w:line="252" w:lineRule="auto"/>
            </w:pPr>
            <w:r>
              <w:rPr>
                <w:sz w:val="18"/>
              </w:rPr>
              <w:t>Build the task DAG, assign phases, and check closure and category constraints</w:t>
            </w:r>
          </w:p>
        </w:tc>
      </w:tr>
      <w:tr>
        <w:trPr>
          <w:cantSplit/>
        </w:trPr>
        <w:tc>
          <w:tcPr>
            <w:tcW w:type="dxa" w:w="3024"/>
            <w:vAlign w:val="center"/>
            <w:shd w:fill="FFFFFF"/>
          </w:tcPr>
          <w:p>
            <w:pPr>
              <w:spacing w:after="0" w:line="252" w:lineRule="auto"/>
            </w:pPr>
            <w:r>
              <w:rPr>
                <w:sz w:val="18"/>
              </w:rPr>
              <w:t>Anchor reconciler</w:t>
            </w:r>
          </w:p>
        </w:tc>
        <w:tc>
          <w:tcPr>
            <w:tcW w:type="dxa" w:w="7056"/>
            <w:vAlign w:val="center"/>
            <w:shd w:fill="FFFFFF"/>
          </w:tcPr>
          <w:p>
            <w:pPr>
              <w:spacing w:after="0" w:line="252" w:lineRule="auto"/>
            </w:pPr>
            <w:r>
              <w:rPr>
                <w:sz w:val="18"/>
              </w:rPr>
              <w:t>Project tasks into comments, follow renames, and validate completion evidence</w:t>
            </w:r>
          </w:p>
        </w:tc>
      </w:tr>
      <w:tr>
        <w:trPr>
          <w:cantSplit/>
        </w:trPr>
        <w:tc>
          <w:tcPr>
            <w:tcW w:type="dxa" w:w="3024"/>
            <w:vAlign w:val="center"/>
            <w:shd w:fill="F3F6F8"/>
          </w:tcPr>
          <w:p>
            <w:pPr>
              <w:spacing w:after="0" w:line="252" w:lineRule="auto"/>
            </w:pPr>
            <w:r>
              <w:rPr>
                <w:sz w:val="18"/>
              </w:rPr>
              <w:t>Scheduler</w:t>
            </w:r>
          </w:p>
        </w:tc>
        <w:tc>
          <w:tcPr>
            <w:tcW w:type="dxa" w:w="7056"/>
            <w:vAlign w:val="center"/>
            <w:shd w:fill="F3F6F8"/>
          </w:tcPr>
          <w:p>
            <w:pPr>
              <w:spacing w:after="0" w:line="252" w:lineRule="auto"/>
            </w:pPr>
            <w:r>
              <w:rPr>
                <w:sz w:val="18"/>
              </w:rPr>
              <w:t>Select only dependency ready work in the active phase and category</w:t>
            </w:r>
          </w:p>
        </w:tc>
      </w:tr>
      <w:tr>
        <w:trPr>
          <w:cantSplit/>
        </w:trPr>
        <w:tc>
          <w:tcPr>
            <w:tcW w:type="dxa" w:w="3024"/>
            <w:vAlign w:val="center"/>
            <w:shd w:fill="FFFFFF"/>
          </w:tcPr>
          <w:p>
            <w:pPr>
              <w:spacing w:after="0" w:line="252" w:lineRule="auto"/>
            </w:pPr>
            <w:r>
              <w:rPr>
                <w:sz w:val="18"/>
              </w:rPr>
              <w:t>Agent adapter</w:t>
            </w:r>
          </w:p>
        </w:tc>
        <w:tc>
          <w:tcPr>
            <w:tcW w:type="dxa" w:w="7056"/>
            <w:vAlign w:val="center"/>
            <w:shd w:fill="FFFFFF"/>
          </w:tcPr>
          <w:p>
            <w:pPr>
              <w:spacing w:after="0" w:line="252" w:lineRule="auto"/>
            </w:pPr>
            <w:r>
              <w:rPr>
                <w:sz w:val="18"/>
              </w:rPr>
              <w:t>Start or resume bounded Codex work and collect structured events</w:t>
            </w:r>
          </w:p>
        </w:tc>
      </w:tr>
      <w:tr>
        <w:trPr>
          <w:cantSplit/>
        </w:trPr>
        <w:tc>
          <w:tcPr>
            <w:tcW w:type="dxa" w:w="3024"/>
            <w:vAlign w:val="center"/>
            <w:shd w:fill="F3F6F8"/>
          </w:tcPr>
          <w:p>
            <w:pPr>
              <w:spacing w:after="0" w:line="252" w:lineRule="auto"/>
            </w:pPr>
            <w:r>
              <w:rPr>
                <w:sz w:val="18"/>
              </w:rPr>
              <w:t>Integration controller</w:t>
            </w:r>
          </w:p>
        </w:tc>
        <w:tc>
          <w:tcPr>
            <w:tcW w:type="dxa" w:w="7056"/>
            <w:vAlign w:val="center"/>
            <w:shd w:fill="F3F6F8"/>
          </w:tcPr>
          <w:p>
            <w:pPr>
              <w:spacing w:after="0" w:line="252" w:lineRule="auto"/>
            </w:pPr>
            <w:r>
              <w:rPr>
                <w:sz w:val="18"/>
              </w:rPr>
              <w:t>Own the phase branch and integrate worker changes serially</w:t>
            </w:r>
          </w:p>
        </w:tc>
      </w:tr>
      <w:tr>
        <w:trPr>
          <w:cantSplit/>
        </w:trPr>
        <w:tc>
          <w:tcPr>
            <w:tcW w:type="dxa" w:w="3024"/>
            <w:vAlign w:val="center"/>
            <w:shd w:fill="FFFFFF"/>
          </w:tcPr>
          <w:p>
            <w:pPr>
              <w:spacing w:after="0" w:line="252" w:lineRule="auto"/>
            </w:pPr>
            <w:r>
              <w:rPr>
                <w:sz w:val="18"/>
              </w:rPr>
              <w:t>Gate executor</w:t>
            </w:r>
          </w:p>
        </w:tc>
        <w:tc>
          <w:tcPr>
            <w:tcW w:type="dxa" w:w="7056"/>
            <w:vAlign w:val="center"/>
            <w:shd w:fill="FFFFFF"/>
          </w:tcPr>
          <w:p>
            <w:pPr>
              <w:spacing w:after="0" w:line="252" w:lineRule="auto"/>
            </w:pPr>
            <w:r>
              <w:rPr>
                <w:sz w:val="18"/>
              </w:rPr>
              <w:t>Run the fixed test, benchmark, contract, architecture, and review inventory</w:t>
            </w:r>
          </w:p>
        </w:tc>
      </w:tr>
      <w:tr>
        <w:trPr>
          <w:cantSplit/>
        </w:trPr>
        <w:tc>
          <w:tcPr>
            <w:tcW w:type="dxa" w:w="3024"/>
            <w:vAlign w:val="center"/>
            <w:shd w:fill="F3F6F8"/>
          </w:tcPr>
          <w:p>
            <w:pPr>
              <w:spacing w:after="0" w:line="252" w:lineRule="auto"/>
            </w:pPr>
            <w:r>
              <w:rPr>
                <w:sz w:val="18"/>
              </w:rPr>
              <w:t>PR manager</w:t>
            </w:r>
          </w:p>
        </w:tc>
        <w:tc>
          <w:tcPr>
            <w:tcW w:type="dxa" w:w="7056"/>
            <w:vAlign w:val="center"/>
            <w:shd w:fill="F3F6F8"/>
          </w:tcPr>
          <w:p>
            <w:pPr>
              <w:spacing w:after="0" w:line="252" w:lineRule="auto"/>
            </w:pPr>
            <w:r>
              <w:rPr>
                <w:sz w:val="18"/>
              </w:rPr>
              <w:t>Maintain one PR per phase, validate the stack, and execute the selected landing policy</w:t>
            </w:r>
          </w:p>
        </w:tc>
      </w:tr>
      <w:tr>
        <w:trPr>
          <w:cantSplit/>
        </w:trPr>
        <w:tc>
          <w:tcPr>
            <w:tcW w:type="dxa" w:w="3024"/>
            <w:vAlign w:val="center"/>
            <w:shd w:fill="FFFFFF"/>
          </w:tcPr>
          <w:p>
            <w:pPr>
              <w:spacing w:after="0" w:line="252" w:lineRule="auto"/>
            </w:pPr>
            <w:r>
              <w:rPr>
                <w:sz w:val="18"/>
              </w:rPr>
              <w:t>Evidence recorder</w:t>
            </w:r>
          </w:p>
        </w:tc>
        <w:tc>
          <w:tcPr>
            <w:tcW w:type="dxa" w:w="7056"/>
            <w:vAlign w:val="center"/>
            <w:shd w:fill="FFFFFF"/>
          </w:tcPr>
          <w:p>
            <w:pPr>
              <w:spacing w:after="0" w:line="252" w:lineRule="auto"/>
            </w:pPr>
            <w:r>
              <w:rPr>
                <w:sz w:val="18"/>
              </w:rPr>
              <w:t>Bind outputs to source revisions, environment identities, and command results</w:t>
            </w:r>
          </w:p>
        </w:tc>
      </w:tr>
    </w:tbl>
    <w:p>
      <w:pPr>
        <w:spacing w:after="40" w:before="0" w:line="120" w:lineRule="auto"/>
      </w:pPr>
    </w:p>
    <w:p>
      <w:r>
        <w:t>Store the approved plan as versioned files. Keep mutable runtime state in a controller owned SQLite database or similarly transactional local store, with an append only event export for audit and resumability. This avoids having multiple agents race while rewriting a shared JSON file. A simpler locked file store is acceptable for the first single machine pilot if writes are atomic and tested.</w:t>
      </w:r>
    </w:p>
    <w:p>
      <w:r>
        <w:t xml:space="preserve">A worker receives a bounded packet: run and phase IDs, task IDs, requirements and specification slices, allowed paths, relevant contracts, current tests, applicable skills, and expected outputs. Give the worker task relevant files and links, not every historical conversation. OpenAI describes using a short AGENTS.md as an index into repository knowledge; Anthropic discusses managing context as a scarce resource. </w:t>
      </w:r>
      <w:hyperlink w:anchor="source_3">
        <w:r>
          <w:rPr>
            <w:color w:val="174E76"/>
          </w:rPr>
          <w:t>[S3, S5]</w:t>
        </w:r>
      </w:hyperlink>
    </w:p>
    <w:p>
      <w:pPr>
        <w:pStyle w:val="Heading2"/>
      </w:pPr>
      <w:r>
        <w:t>3 2 Use persistent state rather than conversation memory</w:t>
      </w:r>
    </w:p>
    <w:p>
      <w:r>
        <w:t>Record task lease, worker identity, attempt number, input hashes, worktree, starting revision, current checkpoint, produced artifact IDs, test evidence, and unresolved blockers. On restart, recover from this state and actual Git history. Never infer completion from the last assistant message or a stale summary.</w:t>
      </w:r>
    </w:p>
    <w:p>
      <w:r>
        <w:t>Make operations idempotent. Retrying PR creation should update the same run and phase PR. Retrying anchor projection should not duplicate comments. A task lease must expire or be explicitly released after a worker failure. External side effects need an operation key or a reconciler that reads their actual state before retrying.</w:t>
      </w:r>
    </w:p>
    <w:p>
      <w:r>
        <w:t xml:space="preserve">Use bounded attempts, elapsed time, token expenditure, and no progress limits. A no progress condition can mean repeated identical failures, repeated diffs without accepted evidence, or an empty ready queue while tasks remain. A budget limit produces a resumable stop or blocker, never a false success. A finite frozen backlog is a suitable goal mode objective. </w:t>
      </w:r>
      <w:hyperlink w:anchor="source_16">
        <w:r>
          <w:rPr>
            <w:color w:val="174E76"/>
          </w:rPr>
          <w:t>[S16]</w:t>
        </w:r>
      </w:hyperlink>
    </w:p>
    <w:p>
      <w:pPr>
        <w:pStyle w:val="Heading2"/>
      </w:pPr>
      <w:r>
        <w:t>3 3 Separate policy from permission enforcement</w:t>
      </w:r>
    </w:p>
    <w:p>
      <w:r>
        <w:t>AGENTS.md, skills, and prompts are behavioral instructions. A trusted hook provides useful early feedback. For frozen artifacts, use effective filesystem restrictions or immutable mounted snapshots and independent CI comparisons against a protected baseline. Prevent implementation workers from changing the verifier, test selection policy, benchmark limits, contract lock, or accepted scenario definitions.</w:t>
      </w:r>
    </w:p>
    <w:p>
      <w:r>
        <w:t xml:space="preserve">Codex hooks do not cover every possible tool path; hosted tools and some specialized routes have different behavior, and later writes into an existing terminal do not repeat the initial tool hook. Hooks should therefore complement actual permissions and revision checks. Their current definitions also need to be trusted in the local client. </w:t>
      </w:r>
      <w:hyperlink w:anchor="source_15">
        <w:r>
          <w:rPr>
            <w:color w:val="174E76"/>
          </w:rPr>
          <w:t>[S15]</w:t>
        </w:r>
      </w:hyperlink>
    </w:p>
    <w:p>
      <w:r>
        <w:t xml:space="preserve">Keep GitHub write credentials in the controller's permitted environment rather than every worker. Let workers produce patches and evidence. The controller validates allowed paths, integrates changes, and performs the authorized PR operations. Worktrees isolate working files, but they share repository metadata and are not security sandboxes. </w:t>
      </w:r>
      <w:hyperlink w:anchor="source_31">
        <w:r>
          <w:rPr>
            <w:color w:val="174E76"/>
          </w:rPr>
          <w:t>[S31]</w:t>
        </w:r>
      </w:hyperlink>
    </w:p>
    <w:p>
      <w:pPr>
        <w:pStyle w:val="Heading1"/>
      </w:pPr>
      <w:r>
        <w:t>4 Specification workflow</w:t>
      </w:r>
    </w:p>
    <w:p>
      <w:pPr>
        <w:pStyle w:val="Heading2"/>
      </w:pPr>
      <w:r>
        <w:t>4 1 Agents and execution</w:t>
      </w:r>
    </w:p>
    <w:p>
      <w:r>
        <w:t>Use the orchestrator to coordinate requirement analysis, domain design, dependency research, and verification design. Parallelize independent research or candidate analysis; serialize the final architectural decisions and the freeze. Include a separate critic that looks for contradictions, unnecessary scope, missing failure behavior, and unfounded acceptance claims.</w:t>
      </w:r>
    </w:p>
    <w:p>
      <w:r>
        <w:t>The workflow first parses requirements and compares the requested baseline. It then identifies missing information, produces a bounded set of architectural questions, and resolves them with the owner. Keep a decision log explaining the selected choice, rejected alternatives, and affected requirement IDs. An agent must not quietly turn an assumption into a normative requirement.</w:t>
      </w:r>
    </w:p>
    <w:p>
      <w:r>
        <w:t>Next, derive domains and candidate module boundaries, allocate cross cutting constraints, and research the integrations that can change the architecture. Produce scenario definitions and measurement protocols in parallel with solution design so an untestable design is discovered early. Compile a disposable contract proof in every target language before freezing the actual definitions.</w:t>
      </w:r>
    </w:p>
    <w:p>
      <w:r>
        <w:t>Finally, perform bidirectional traceability and consistency checks. Freeze only when every requirement is addressed, no unresolved architectural decision remains, and the chosen contracts and tools can represent the required behavior. The specification workflow may continue to ask questions until this is true.</w:t>
      </w:r>
    </w:p>
    <w:p>
      <w:pPr>
        <w:pStyle w:val="Heading2"/>
      </w:pPr>
      <w:r>
        <w:t>4 2 Required specification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24"/>
        <w:gridCol w:w="7056"/>
      </w:tblGrid>
      <w:tr>
        <w:trPr>
          <w:cantSplit/>
          <w:tblHeader/>
        </w:trPr>
        <w:tc>
          <w:tcPr>
            <w:tcW w:type="dxa" w:w="3024"/>
            <w:vAlign w:val="center"/>
            <w:shd w:fill="163A50"/>
          </w:tcPr>
          <w:p>
            <w:pPr>
              <w:spacing w:after="0" w:line="252" w:lineRule="auto"/>
            </w:pPr>
            <w:r>
              <w:rPr>
                <w:b/>
                <w:color w:val="FFFFFF"/>
                <w:sz w:val="18"/>
              </w:rPr>
              <w:t>Artifact</w:t>
            </w:r>
          </w:p>
        </w:tc>
        <w:tc>
          <w:tcPr>
            <w:tcW w:type="dxa" w:w="7056"/>
            <w:vAlign w:val="center"/>
            <w:shd w:fill="163A50"/>
          </w:tcPr>
          <w:p>
            <w:pPr>
              <w:spacing w:after="0" w:line="252" w:lineRule="auto"/>
            </w:pPr>
            <w:r>
              <w:rPr>
                <w:b/>
                <w:color w:val="FFFFFF"/>
                <w:sz w:val="18"/>
              </w:rPr>
              <w:t>Required content</w:t>
            </w:r>
          </w:p>
        </w:tc>
      </w:tr>
      <w:tr>
        <w:trPr>
          <w:cantSplit/>
        </w:trPr>
        <w:tc>
          <w:tcPr>
            <w:tcW w:type="dxa" w:w="3024"/>
            <w:vAlign w:val="center"/>
            <w:shd w:fill="FFFFFF"/>
          </w:tcPr>
          <w:p>
            <w:pPr>
              <w:spacing w:after="0" w:line="252" w:lineRule="auto"/>
            </w:pPr>
            <w:r>
              <w:rPr>
                <w:sz w:val="18"/>
              </w:rPr>
              <w:t>Requirement index</w:t>
            </w:r>
          </w:p>
        </w:tc>
        <w:tc>
          <w:tcPr>
            <w:tcW w:type="dxa" w:w="7056"/>
            <w:vAlign w:val="center"/>
            <w:shd w:fill="FFFFFF"/>
          </w:tcPr>
          <w:p>
            <w:pPr>
              <w:spacing w:after="0" w:line="252" w:lineRule="auto"/>
            </w:pPr>
            <w:r>
              <w:rPr>
                <w:sz w:val="18"/>
              </w:rPr>
              <w:t>IDs, revisions, source locations, kinds, acceptance and verification methods</w:t>
            </w:r>
          </w:p>
        </w:tc>
      </w:tr>
      <w:tr>
        <w:trPr>
          <w:cantSplit/>
        </w:trPr>
        <w:tc>
          <w:tcPr>
            <w:tcW w:type="dxa" w:w="3024"/>
            <w:vAlign w:val="center"/>
            <w:shd w:fill="F3F6F8"/>
          </w:tcPr>
          <w:p>
            <w:pPr>
              <w:spacing w:after="0" w:line="252" w:lineRule="auto"/>
            </w:pPr>
            <w:r>
              <w:rPr>
                <w:sz w:val="18"/>
              </w:rPr>
              <w:t>Domain catalog</w:t>
            </w:r>
          </w:p>
        </w:tc>
        <w:tc>
          <w:tcPr>
            <w:tcW w:type="dxa" w:w="7056"/>
            <w:vAlign w:val="center"/>
            <w:shd w:fill="F3F6F8"/>
          </w:tcPr>
          <w:p>
            <w:pPr>
              <w:spacing w:after="0" w:line="252" w:lineRule="auto"/>
            </w:pPr>
            <w:r>
              <w:rPr>
                <w:sz w:val="18"/>
              </w:rPr>
              <w:t>Vocabulary, ownership, invariants, aggregates, data, and allowed dependencies</w:t>
            </w:r>
          </w:p>
        </w:tc>
      </w:tr>
      <w:tr>
        <w:trPr>
          <w:cantSplit/>
        </w:trPr>
        <w:tc>
          <w:tcPr>
            <w:tcW w:type="dxa" w:w="3024"/>
            <w:vAlign w:val="center"/>
            <w:shd w:fill="FFFFFF"/>
          </w:tcPr>
          <w:p>
            <w:pPr>
              <w:spacing w:after="0" w:line="252" w:lineRule="auto"/>
            </w:pPr>
            <w:r>
              <w:rPr>
                <w:sz w:val="18"/>
              </w:rPr>
              <w:t>Solution specifications</w:t>
            </w:r>
          </w:p>
        </w:tc>
        <w:tc>
          <w:tcPr>
            <w:tcW w:type="dxa" w:w="7056"/>
            <w:vAlign w:val="center"/>
            <w:shd w:fill="FFFFFF"/>
          </w:tcPr>
          <w:p>
            <w:pPr>
              <w:spacing w:after="0" w:line="252" w:lineRule="auto"/>
            </w:pPr>
            <w:r>
              <w:rPr>
                <w:sz w:val="18"/>
              </w:rPr>
              <w:t>Behavior, state transitions, errors, concurrency, security, and NFR allocations</w:t>
            </w:r>
          </w:p>
        </w:tc>
      </w:tr>
      <w:tr>
        <w:trPr>
          <w:cantSplit/>
        </w:trPr>
        <w:tc>
          <w:tcPr>
            <w:tcW w:type="dxa" w:w="3024"/>
            <w:vAlign w:val="center"/>
            <w:shd w:fill="F3F6F8"/>
          </w:tcPr>
          <w:p>
            <w:pPr>
              <w:spacing w:after="0" w:line="252" w:lineRule="auto"/>
            </w:pPr>
            <w:r>
              <w:rPr>
                <w:sz w:val="18"/>
              </w:rPr>
              <w:t>Exact contract sources</w:t>
            </w:r>
          </w:p>
        </w:tc>
        <w:tc>
          <w:tcPr>
            <w:tcW w:type="dxa" w:w="7056"/>
            <w:vAlign w:val="center"/>
            <w:shd w:fill="F3F6F8"/>
          </w:tcPr>
          <w:p>
            <w:pPr>
              <w:spacing w:after="0" w:line="252" w:lineRule="auto"/>
            </w:pPr>
            <w:r>
              <w:rPr>
                <w:sz w:val="18"/>
              </w:rPr>
              <w:t>Protobuf services, messages, fields, annotations, public transport mappings</w:t>
            </w:r>
          </w:p>
        </w:tc>
      </w:tr>
      <w:tr>
        <w:trPr>
          <w:cantSplit/>
        </w:trPr>
        <w:tc>
          <w:tcPr>
            <w:tcW w:type="dxa" w:w="3024"/>
            <w:vAlign w:val="center"/>
            <w:shd w:fill="FFFFFF"/>
          </w:tcPr>
          <w:p>
            <w:pPr>
              <w:spacing w:after="0" w:line="252" w:lineRule="auto"/>
            </w:pPr>
            <w:r>
              <w:rPr>
                <w:sz w:val="18"/>
              </w:rPr>
              <w:t>Golden scenarios</w:t>
            </w:r>
          </w:p>
        </w:tc>
        <w:tc>
          <w:tcPr>
            <w:tcW w:type="dxa" w:w="7056"/>
            <w:vAlign w:val="center"/>
            <w:shd w:fill="FFFFFF"/>
          </w:tcPr>
          <w:p>
            <w:pPr>
              <w:spacing w:after="0" w:line="252" w:lineRule="auto"/>
            </w:pPr>
            <w:r>
              <w:rPr>
                <w:sz w:val="18"/>
              </w:rPr>
              <w:t>Preconditions, actions, expected outcomes, and linked requirement IDs</w:t>
            </w:r>
          </w:p>
        </w:tc>
      </w:tr>
      <w:tr>
        <w:trPr>
          <w:cantSplit/>
        </w:trPr>
        <w:tc>
          <w:tcPr>
            <w:tcW w:type="dxa" w:w="3024"/>
            <w:vAlign w:val="center"/>
            <w:shd w:fill="F3F6F8"/>
          </w:tcPr>
          <w:p>
            <w:pPr>
              <w:spacing w:after="0" w:line="252" w:lineRule="auto"/>
            </w:pPr>
            <w:r>
              <w:rPr>
                <w:sz w:val="18"/>
              </w:rPr>
              <w:t>Additional verification cases</w:t>
            </w:r>
          </w:p>
        </w:tc>
        <w:tc>
          <w:tcPr>
            <w:tcW w:type="dxa" w:w="7056"/>
            <w:vAlign w:val="center"/>
            <w:shd w:fill="F3F6F8"/>
          </w:tcPr>
          <w:p>
            <w:pPr>
              <w:spacing w:after="0" w:line="252" w:lineRule="auto"/>
            </w:pPr>
            <w:r>
              <w:rPr>
                <w:sz w:val="18"/>
              </w:rPr>
              <w:t>Negative, boundary, authorization, concurrency, recovery, and integration cases</w:t>
            </w:r>
          </w:p>
        </w:tc>
      </w:tr>
      <w:tr>
        <w:trPr>
          <w:cantSplit/>
        </w:trPr>
        <w:tc>
          <w:tcPr>
            <w:tcW w:type="dxa" w:w="3024"/>
            <w:vAlign w:val="center"/>
            <w:shd w:fill="FFFFFF"/>
          </w:tcPr>
          <w:p>
            <w:pPr>
              <w:spacing w:after="0" w:line="252" w:lineRule="auto"/>
            </w:pPr>
            <w:r>
              <w:rPr>
                <w:sz w:val="18"/>
              </w:rPr>
              <w:t>Benchmark registry</w:t>
            </w:r>
          </w:p>
        </w:tc>
        <w:tc>
          <w:tcPr>
            <w:tcW w:type="dxa" w:w="7056"/>
            <w:vAlign w:val="center"/>
            <w:shd w:fill="FFFFFF"/>
          </w:tcPr>
          <w:p>
            <w:pPr>
              <w:spacing w:after="0" w:line="252" w:lineRule="auto"/>
            </w:pPr>
            <w:r>
              <w:rPr>
                <w:sz w:val="18"/>
              </w:rPr>
              <w:t>Workloads, environments, units, thresholds, repetitions, and uncertainty rules</w:t>
            </w:r>
          </w:p>
        </w:tc>
      </w:tr>
      <w:tr>
        <w:trPr>
          <w:cantSplit/>
        </w:trPr>
        <w:tc>
          <w:tcPr>
            <w:tcW w:type="dxa" w:w="3024"/>
            <w:vAlign w:val="center"/>
            <w:shd w:fill="F3F6F8"/>
          </w:tcPr>
          <w:p>
            <w:pPr>
              <w:spacing w:after="0" w:line="252" w:lineRule="auto"/>
            </w:pPr>
            <w:r>
              <w:rPr>
                <w:sz w:val="18"/>
              </w:rPr>
              <w:t>Dependency decisions</w:t>
            </w:r>
          </w:p>
        </w:tc>
        <w:tc>
          <w:tcPr>
            <w:tcW w:type="dxa" w:w="7056"/>
            <w:vAlign w:val="center"/>
            <w:shd w:fill="F3F6F8"/>
          </w:tcPr>
          <w:p>
            <w:pPr>
              <w:spacing w:after="0" w:line="252" w:lineRule="auto"/>
            </w:pPr>
            <w:r>
              <w:rPr>
                <w:sz w:val="18"/>
              </w:rPr>
              <w:t>Official sources, versions, tradeoffs, assumptions, and proof results</w:t>
            </w:r>
          </w:p>
        </w:tc>
      </w:tr>
      <w:tr>
        <w:trPr>
          <w:cantSplit/>
        </w:trPr>
        <w:tc>
          <w:tcPr>
            <w:tcW w:type="dxa" w:w="3024"/>
            <w:vAlign w:val="center"/>
            <w:shd w:fill="FFFFFF"/>
          </w:tcPr>
          <w:p>
            <w:pPr>
              <w:spacing w:after="0" w:line="252" w:lineRule="auto"/>
            </w:pPr>
            <w:r>
              <w:rPr>
                <w:sz w:val="18"/>
              </w:rPr>
              <w:t>Architecture policy</w:t>
            </w:r>
          </w:p>
        </w:tc>
        <w:tc>
          <w:tcPr>
            <w:tcW w:type="dxa" w:w="7056"/>
            <w:vAlign w:val="center"/>
            <w:shd w:fill="FFFFFF"/>
          </w:tcPr>
          <w:p>
            <w:pPr>
              <w:spacing w:after="0" w:line="252" w:lineRule="auto"/>
            </w:pPr>
            <w:r>
              <w:rPr>
                <w:sz w:val="18"/>
              </w:rPr>
              <w:t>Allowed imports, module entry points, data ownership, and shared capability rules</w:t>
            </w:r>
          </w:p>
        </w:tc>
      </w:tr>
      <w:tr>
        <w:trPr>
          <w:cantSplit/>
        </w:trPr>
        <w:tc>
          <w:tcPr>
            <w:tcW w:type="dxa" w:w="3024"/>
            <w:vAlign w:val="center"/>
            <w:shd w:fill="F3F6F8"/>
          </w:tcPr>
          <w:p>
            <w:pPr>
              <w:spacing w:after="0" w:line="252" w:lineRule="auto"/>
            </w:pPr>
            <w:r>
              <w:rPr>
                <w:sz w:val="18"/>
              </w:rPr>
              <w:t>Specification lock</w:t>
            </w:r>
          </w:p>
        </w:tc>
        <w:tc>
          <w:tcPr>
            <w:tcW w:type="dxa" w:w="7056"/>
            <w:vAlign w:val="center"/>
            <w:shd w:fill="F3F6F8"/>
          </w:tcPr>
          <w:p>
            <w:pPr>
              <w:spacing w:after="0" w:line="252" w:lineRule="auto"/>
            </w:pPr>
            <w:r>
              <w:rPr>
                <w:sz w:val="18"/>
              </w:rPr>
              <w:t>Approved inventories, content hashes, schema versions, and baseline identity</w:t>
            </w:r>
          </w:p>
        </w:tc>
      </w:tr>
    </w:tbl>
    <w:p>
      <w:pPr>
        <w:spacing w:after="40" w:before="0" w:line="120" w:lineRule="auto"/>
      </w:pPr>
    </w:p>
    <w:p>
      <w:r>
        <w:t>Keep the prose concise by referencing canonical records instead of restating the same contract or acceptance criterion across several files. A useful specification describes a solution obligation, why it exists, and how it will be verified. It should not contain speculative future features or an exhaustive tutorial for the selected language.</w:t>
      </w:r>
    </w:p>
    <w:p>
      <w:pPr>
        <w:pStyle w:val="Heading2"/>
      </w:pPr>
      <w:r>
        <w:t>4 3 Golden paths are a starting point</w:t>
      </w:r>
    </w:p>
    <w:p>
      <w:r>
        <w:t xml:space="preserve">For each functional requirement, define its normal successful journey. Then add the cases necessary to verify the complete meaning: invalid input, denied authorization, wrong tenant, boundary values, absent or duplicate data, retries, races, interruption, and provider failures where relevant. Use properties or state transition tests for invariants that cover many input combinations. Google describes complementary testing methods and the limits of coverage alone. </w:t>
      </w:r>
      <w:hyperlink w:anchor="source_54">
        <w:r>
          <w:rPr>
            <w:color w:val="174E76"/>
          </w:rPr>
          <w:t>[S54]</w:t>
        </w:r>
      </w:hyperlink>
    </w:p>
    <w:p>
      <w:r>
        <w:t>For a durable invitation, a golden case might create one invitation for an authorized administrator. Additional obligations include rejecting a different tenant, not duplicating the invitation under a repeated idempotency key, and not reporting success when the transaction failed. These cases are examples; their exact expected behavior must come from the project's requirements and specification.</w:t>
      </w:r>
    </w:p>
    <w:p>
      <w:r>
        <w:t>Expected results should be independently derived from the approved scenario, not computed by calling the same production method being tested. Assigning another model the test task does not by itself create a reliable oracle. Keep scenario assertions, fixed fixtures, and threshold policy protected from later convenience edits. Implementors can propose corrections, but semantic changes return to specification.</w:t>
      </w:r>
    </w:p>
    <w:p>
      <w:pPr>
        <w:pStyle w:val="Heading2"/>
      </w:pPr>
      <w:r>
        <w:t>4 4 External dependency research</w:t>
      </w:r>
    </w:p>
    <w:p>
      <w:r>
        <w:t>Give the dependency research skill a structured decision card: purpose and requirement IDs, official documentation, exact version, authentication and authorization model, quotas, retry and timeout behavior, consistency, idempotency, webhook verification, test environment, operational dependencies, exit strategy, and unresolved assumptions. Use a disposable proof where documentation does not establish a critical integration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24"/>
        <w:gridCol w:w="7056"/>
      </w:tblGrid>
      <w:tr>
        <w:trPr>
          <w:cantSplit/>
          <w:tblHeader/>
        </w:trPr>
        <w:tc>
          <w:tcPr>
            <w:tcW w:type="dxa" w:w="3024"/>
            <w:vAlign w:val="center"/>
            <w:shd w:fill="163A50"/>
          </w:tcPr>
          <w:p>
            <w:pPr>
              <w:spacing w:after="0" w:line="252" w:lineRule="auto"/>
            </w:pPr>
            <w:r>
              <w:rPr>
                <w:b/>
                <w:color w:val="FFFFFF"/>
                <w:sz w:val="18"/>
              </w:rPr>
              <w:t>Example dependency</w:t>
            </w:r>
          </w:p>
        </w:tc>
        <w:tc>
          <w:tcPr>
            <w:tcW w:type="dxa" w:w="7056"/>
            <w:vAlign w:val="center"/>
            <w:shd w:fill="163A50"/>
          </w:tcPr>
          <w:p>
            <w:pPr>
              <w:spacing w:after="0" w:line="252" w:lineRule="auto"/>
            </w:pPr>
            <w:r>
              <w:rPr>
                <w:b/>
                <w:color w:val="FFFFFF"/>
                <w:sz w:val="18"/>
              </w:rPr>
              <w:t>Architectural question to resolve before freeze</w:t>
            </w:r>
          </w:p>
        </w:tc>
      </w:tr>
      <w:tr>
        <w:trPr>
          <w:cantSplit/>
        </w:trPr>
        <w:tc>
          <w:tcPr>
            <w:tcW w:type="dxa" w:w="3024"/>
            <w:vAlign w:val="center"/>
            <w:shd w:fill="FFFFFF"/>
          </w:tcPr>
          <w:p>
            <w:pPr>
              <w:spacing w:after="0" w:line="252" w:lineRule="auto"/>
            </w:pPr>
            <w:r>
              <w:rPr>
                <w:sz w:val="18"/>
              </w:rPr>
              <w:t>Stytch</w:t>
            </w:r>
          </w:p>
        </w:tc>
        <w:tc>
          <w:tcPr>
            <w:tcW w:type="dxa" w:w="7056"/>
            <w:vAlign w:val="center"/>
            <w:shd w:fill="FFFFFF"/>
          </w:tcPr>
          <w:p>
            <w:pPr>
              <w:spacing w:after="0" w:line="252" w:lineRule="auto"/>
            </w:pPr>
            <w:r>
              <w:rPr>
                <w:sz w:val="18"/>
              </w:rPr>
              <w:t>How are organization membership and session authorization checked, including the organization ID?</w:t>
            </w:r>
          </w:p>
        </w:tc>
      </w:tr>
      <w:tr>
        <w:trPr>
          <w:cantSplit/>
        </w:trPr>
        <w:tc>
          <w:tcPr>
            <w:tcW w:type="dxa" w:w="3024"/>
            <w:vAlign w:val="center"/>
            <w:shd w:fill="F3F6F8"/>
          </w:tcPr>
          <w:p>
            <w:pPr>
              <w:spacing w:after="0" w:line="252" w:lineRule="auto"/>
            </w:pPr>
            <w:r>
              <w:rPr>
                <w:sz w:val="18"/>
              </w:rPr>
              <w:t>Kafka</w:t>
            </w:r>
          </w:p>
        </w:tc>
        <w:tc>
          <w:tcPr>
            <w:tcW w:type="dxa" w:w="7056"/>
            <w:vAlign w:val="center"/>
            <w:shd w:fill="F3F6F8"/>
          </w:tcPr>
          <w:p>
            <w:pPr>
              <w:spacing w:after="0" w:line="252" w:lineRule="auto"/>
            </w:pPr>
            <w:r>
              <w:rPr>
                <w:sz w:val="18"/>
              </w:rPr>
              <w:t>What does the selected delivery guarantee cover, and how are external side effects coordinated with consumer progress?</w:t>
            </w:r>
          </w:p>
        </w:tc>
      </w:tr>
      <w:tr>
        <w:trPr>
          <w:cantSplit/>
        </w:trPr>
        <w:tc>
          <w:tcPr>
            <w:tcW w:type="dxa" w:w="3024"/>
            <w:vAlign w:val="center"/>
            <w:shd w:fill="FFFFFF"/>
          </w:tcPr>
          <w:p>
            <w:pPr>
              <w:spacing w:after="0" w:line="252" w:lineRule="auto"/>
            </w:pPr>
            <w:r>
              <w:rPr>
                <w:sz w:val="18"/>
              </w:rPr>
              <w:t>Postmark</w:t>
            </w:r>
          </w:p>
        </w:tc>
        <w:tc>
          <w:tcPr>
            <w:tcW w:type="dxa" w:w="7056"/>
            <w:vAlign w:val="center"/>
            <w:shd w:fill="FFFFFF"/>
          </w:tcPr>
          <w:p>
            <w:pPr>
              <w:spacing w:after="0" w:line="252" w:lineRule="auto"/>
            </w:pPr>
            <w:r>
              <w:rPr>
                <w:sz w:val="18"/>
              </w:rPr>
              <w:t>Which webhook events can repeat, how are acknowledgements handled, and where does deduplication live?</w:t>
            </w:r>
          </w:p>
        </w:tc>
      </w:tr>
    </w:tbl>
    <w:p>
      <w:pPr>
        <w:spacing w:after="40" w:before="0" w:line="120" w:lineRule="auto"/>
      </w:pPr>
    </w:p>
    <w:p>
      <w:r>
        <w:t xml:space="preserve">Stytch's B2B session documentation describes organization aware authorization. Kafka's design distinguishes transactions within Kafka from coordinating writes to external systems. Postmark's webhook documentation supplies the event and retry behaviors an integration must handle. These facts should inform a project specific contract rather than become assumptions discovered during implementation. </w:t>
      </w:r>
      <w:hyperlink w:anchor="source_45">
        <w:r>
          <w:rPr>
            <w:color w:val="174E76"/>
          </w:rPr>
          <w:t>[S45–S47]</w:t>
        </w:r>
      </w:hyperlink>
    </w:p>
    <w:p>
      <w:pPr>
        <w:pStyle w:val="Heading1"/>
      </w:pPr>
      <w:r>
        <w:t>5 Domain modules and protobuf contracts</w:t>
      </w:r>
    </w:p>
    <w:p>
      <w:pPr>
        <w:pStyle w:val="Heading2"/>
      </w:pPr>
      <w:r>
        <w:t>5 1 Define boundaries before generating code</w:t>
      </w:r>
    </w:p>
    <w:p>
      <w:r>
        <w:t xml:space="preserve">A module owns a coherent business capability, vocabulary, invariants, and data. Avoid automatically generating a module for every requirement, table, entity, or endpoint. Start with coarser boundaries when there is insufficient evidence for a split. Distinguish the domain module from its deployment topology: a module with a protobuf interface can be implemented in process without becoming a separately deployed service. </w:t>
      </w:r>
      <w:hyperlink w:anchor="source_17">
        <w:r>
          <w:rPr>
            <w:color w:val="174E76"/>
          </w:rPr>
          <w:t>[S17–S18]</w:t>
        </w:r>
      </w:hyperlink>
    </w:p>
    <w:p>
      <w:r>
        <w:t>A modular monolith is a reasonable initial recommendation when no requirement demands independent scaling, deployment, security isolation, or ownership. Keep this a specification decision. Introducing network calls between every module adds failure modes and operational work that must have a requirement based justification.</w:t>
      </w:r>
    </w:p>
    <w:p>
      <w:r>
        <w:t>Record each module's public interface, owned data, allowed dependencies, security checks, consistency guarantees, failure semantics, and NFR budget. Prevent cross domain access to private repositories and storage. Do not let a generic shared utilities package gradually become the owner of unrelated business rules.</w:t>
      </w:r>
    </w:p>
    <w:p>
      <w:pPr>
        <w:pStyle w:val="Heading2"/>
      </w:pPr>
      <w:r>
        <w:t>5 2 Use four layers of contract enforcement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Layer</w:t>
            </w:r>
          </w:p>
        </w:tc>
        <w:tc>
          <w:tcPr>
            <w:tcW w:type="dxa" w:w="2880"/>
            <w:vAlign w:val="center"/>
            <w:shd w:fill="163A50"/>
          </w:tcPr>
          <w:p>
            <w:pPr>
              <w:spacing w:after="0" w:line="252" w:lineRule="auto"/>
            </w:pPr>
            <w:r>
              <w:rPr>
                <w:b/>
                <w:color w:val="FFFFFF"/>
                <w:sz w:val="18"/>
              </w:rPr>
              <w:t>Mechanism</w:t>
            </w:r>
          </w:p>
        </w:tc>
        <w:tc>
          <w:tcPr>
            <w:tcW w:type="dxa" w:w="4536"/>
            <w:vAlign w:val="center"/>
            <w:shd w:fill="163A50"/>
          </w:tcPr>
          <w:p>
            <w:pPr>
              <w:spacing w:after="0" w:line="252" w:lineRule="auto"/>
            </w:pPr>
            <w:r>
              <w:rPr>
                <w:b/>
                <w:color w:val="FFFFFF"/>
                <w:sz w:val="18"/>
              </w:rPr>
              <w:t>Limit</w:t>
            </w:r>
          </w:p>
        </w:tc>
      </w:tr>
      <w:tr>
        <w:trPr>
          <w:cantSplit/>
        </w:trPr>
        <w:tc>
          <w:tcPr>
            <w:tcW w:type="dxa" w:w="2664"/>
            <w:vAlign w:val="center"/>
            <w:shd w:fill="FFFFFF"/>
          </w:tcPr>
          <w:p>
            <w:pPr>
              <w:spacing w:after="0" w:line="252" w:lineRule="auto"/>
            </w:pPr>
            <w:r>
              <w:rPr>
                <w:sz w:val="18"/>
              </w:rPr>
              <w:t>Shape</w:t>
            </w:r>
          </w:p>
        </w:tc>
        <w:tc>
          <w:tcPr>
            <w:tcW w:type="dxa" w:w="2880"/>
            <w:vAlign w:val="center"/>
            <w:shd w:fill="FFFFFF"/>
          </w:tcPr>
          <w:p>
            <w:pPr>
              <w:spacing w:after="0" w:line="252" w:lineRule="auto"/>
            </w:pPr>
            <w:r>
              <w:rPr>
                <w:sz w:val="18"/>
              </w:rPr>
              <w:t>Protobuf compilation, generated bindings, adapter signature checks</w:t>
            </w:r>
          </w:p>
        </w:tc>
        <w:tc>
          <w:tcPr>
            <w:tcW w:type="dxa" w:w="4536"/>
            <w:vAlign w:val="center"/>
            <w:shd w:fill="FFFFFF"/>
          </w:tcPr>
          <w:p>
            <w:pPr>
              <w:spacing w:after="0" w:line="252" w:lineRule="auto"/>
            </w:pPr>
            <w:r>
              <w:rPr>
                <w:sz w:val="18"/>
              </w:rPr>
              <w:t>Does not demonstrate the method implements the promised behavior</w:t>
            </w:r>
          </w:p>
        </w:tc>
      </w:tr>
      <w:tr>
        <w:trPr>
          <w:cantSplit/>
        </w:trPr>
        <w:tc>
          <w:tcPr>
            <w:tcW w:type="dxa" w:w="2664"/>
            <w:vAlign w:val="center"/>
            <w:shd w:fill="F3F6F8"/>
          </w:tcPr>
          <w:p>
            <w:pPr>
              <w:spacing w:after="0" w:line="252" w:lineRule="auto"/>
            </w:pPr>
            <w:r>
              <w:rPr>
                <w:sz w:val="18"/>
              </w:rPr>
              <w:t>Boundary</w:t>
            </w:r>
          </w:p>
        </w:tc>
        <w:tc>
          <w:tcPr>
            <w:tcW w:type="dxa" w:w="2880"/>
            <w:vAlign w:val="center"/>
            <w:shd w:fill="F3F6F8"/>
          </w:tcPr>
          <w:p>
            <w:pPr>
              <w:spacing w:after="0" w:line="252" w:lineRule="auto"/>
            </w:pPr>
            <w:r>
              <w:rPr>
                <w:sz w:val="18"/>
              </w:rPr>
              <w:t>Language visibility, import rules, architecture tests, storage ownership</w:t>
            </w:r>
          </w:p>
        </w:tc>
        <w:tc>
          <w:tcPr>
            <w:tcW w:type="dxa" w:w="4536"/>
            <w:vAlign w:val="center"/>
            <w:shd w:fill="F3F6F8"/>
          </w:tcPr>
          <w:p>
            <w:pPr>
              <w:spacing w:after="0" w:line="252" w:lineRule="auto"/>
            </w:pPr>
            <w:r>
              <w:rPr>
                <w:sz w:val="18"/>
              </w:rPr>
              <w:t>Requires explicit policy and checks beyond protobuf</w:t>
            </w:r>
          </w:p>
        </w:tc>
      </w:tr>
      <w:tr>
        <w:trPr>
          <w:cantSplit/>
        </w:trPr>
        <w:tc>
          <w:tcPr>
            <w:tcW w:type="dxa" w:w="2664"/>
            <w:vAlign w:val="center"/>
            <w:shd w:fill="FFFFFF"/>
          </w:tcPr>
          <w:p>
            <w:pPr>
              <w:spacing w:after="0" w:line="252" w:lineRule="auto"/>
            </w:pPr>
            <w:r>
              <w:rPr>
                <w:sz w:val="18"/>
              </w:rPr>
              <w:t>Semantics</w:t>
            </w:r>
          </w:p>
        </w:tc>
        <w:tc>
          <w:tcPr>
            <w:tcW w:type="dxa" w:w="2880"/>
            <w:vAlign w:val="center"/>
            <w:shd w:fill="FFFFFF"/>
          </w:tcPr>
          <w:p>
            <w:pPr>
              <w:spacing w:after="0" w:line="252" w:lineRule="auto"/>
            </w:pPr>
            <w:r>
              <w:rPr>
                <w:sz w:val="18"/>
              </w:rPr>
              <w:t>Validation execution, golden and failure cases, invariant tests</w:t>
            </w:r>
          </w:p>
        </w:tc>
        <w:tc>
          <w:tcPr>
            <w:tcW w:type="dxa" w:w="4536"/>
            <w:vAlign w:val="center"/>
            <w:shd w:fill="FFFFFF"/>
          </w:tcPr>
          <w:p>
            <w:pPr>
              <w:spacing w:after="0" w:line="252" w:lineRule="auto"/>
            </w:pPr>
            <w:r>
              <w:rPr>
                <w:sz w:val="18"/>
              </w:rPr>
              <w:t>Only covers the specified and tested obligations</w:t>
            </w:r>
          </w:p>
        </w:tc>
      </w:tr>
      <w:tr>
        <w:trPr>
          <w:cantSplit/>
        </w:trPr>
        <w:tc>
          <w:tcPr>
            <w:tcW w:type="dxa" w:w="2664"/>
            <w:vAlign w:val="center"/>
            <w:shd w:fill="F3F6F8"/>
          </w:tcPr>
          <w:p>
            <w:pPr>
              <w:spacing w:after="0" w:line="252" w:lineRule="auto"/>
            </w:pPr>
            <w:r>
              <w:rPr>
                <w:sz w:val="18"/>
              </w:rPr>
              <w:t>Operations</w:t>
            </w:r>
          </w:p>
        </w:tc>
        <w:tc>
          <w:tcPr>
            <w:tcW w:type="dxa" w:w="2880"/>
            <w:vAlign w:val="center"/>
            <w:shd w:fill="F3F6F8"/>
          </w:tcPr>
          <w:p>
            <w:pPr>
              <w:spacing w:after="0" w:line="252" w:lineRule="auto"/>
            </w:pPr>
            <w:r>
              <w:rPr>
                <w:sz w:val="18"/>
              </w:rPr>
              <w:t>Load, cancellation, retry, telemetry, migration, and recovery checks</w:t>
            </w:r>
          </w:p>
        </w:tc>
        <w:tc>
          <w:tcPr>
            <w:tcW w:type="dxa" w:w="4536"/>
            <w:vAlign w:val="center"/>
            <w:shd w:fill="F3F6F8"/>
          </w:tcPr>
          <w:p>
            <w:pPr>
              <w:spacing w:after="0" w:line="252" w:lineRule="auto"/>
            </w:pPr>
            <w:r>
              <w:rPr>
                <w:sz w:val="18"/>
              </w:rPr>
              <w:t>Some properties require a real environment or longer observation</w:t>
            </w:r>
          </w:p>
        </w:tc>
      </w:tr>
    </w:tbl>
    <w:p>
      <w:pPr>
        <w:spacing w:after="40" w:before="0" w:line="120" w:lineRule="auto"/>
      </w:pPr>
    </w:p>
    <w:p>
      <w:r>
        <w:t xml:space="preserve">gRPC service definitions and generators supply method and message shapes. They do not automatically implement business semantics or module isolation. In Go, generated unimplemented server methods can allow a scaffold to compile while returning an unimplemented result. Require endpoint registration and behavioral coverage for every operation considered complete. </w:t>
      </w:r>
      <w:hyperlink w:anchor="source_20">
        <w:r>
          <w:rPr>
            <w:color w:val="174E76"/>
          </w:rPr>
          <w:t>[S20–S21, S58]</w:t>
        </w:r>
      </w:hyperlink>
    </w:p>
    <w:p>
      <w:r>
        <w:t>Maintain an operation inventory with each method's owner, closure phase, behavior cases, and exposure before completion. Every operation due by the current phase must execute its promised behavior; future operations may remain unavailable only as explicitly specified. Registration checks alone cannot distinguish a working endpoint from an inherited unimplemented handler.</w:t>
      </w:r>
    </w:p>
    <w:p>
      <w:r>
        <w:t xml:space="preserve">Use real language boundaries. In Go, a module's own internal directory can restrict imports to that module's subtree; one repository wide internal directory does not isolate its sibling domains. In Rust, pub(crate) remains visible across the crate, so use narrower visibility or crate boundaries where isolation requires them. </w:t>
      </w:r>
      <w:hyperlink w:anchor="source_51">
        <w:r>
          <w:rPr>
            <w:color w:val="174E76"/>
          </w:rPr>
          <w:t>[S51–S52]</w:t>
        </w:r>
      </w:hyperlink>
    </w:p>
    <w:p>
      <w:r>
        <w:t xml:space="preserve">Generated transport messages should be separate from private domain types and persistence models when their responsibilities differ. Put invariant preserving behavior on the appropriate domain type or service. Explicit translation between transport, domain, and storage is often justified. Protobuf's own guide recommends separate RPC and long term storage messages because their evolution differs. </w:t>
      </w:r>
      <w:hyperlink w:anchor="source_19">
        <w:r>
          <w:rPr>
            <w:color w:val="174E76"/>
          </w:rPr>
          <w:t>[S19]</w:t>
        </w:r>
      </w:hyperlink>
    </w:p>
    <w:p>
      <w:r>
        <w:t>For example, a domain invitation can own status transitions and expiry behavior, while its protobuf response owns the wire representation. A database row should not become a public API merely because reusing it saves a mapping function. This is an intentional boundary, not logical duplication.</w:t>
      </w:r>
    </w:p>
    <w:p>
      <w:pPr>
        <w:pStyle w:val="Heading2"/>
      </w:pPr>
      <w:r>
        <w:t>5 3 Freeze complete contracts</w:t>
      </w:r>
    </w:p>
    <w:p>
      <w:r>
        <w:t>The specification must contain the exact approved proto sources, imported schemas, service methods, field presence, validation annotations, and public transport mappings. It must also define semantics that do not fit in protobuf: identity and authorization, errors, deadlines, idempotency, pagination, transaction boundaries, concurrency, and retry budgets.</w:t>
      </w:r>
    </w:p>
    <w:p>
      <w:r>
        <w:t xml:space="preserve">Choose the public transport in specification. Native gRPC, Connect, and an explicitly mapped HTTP JSON gateway are distinct choices. Connect supports browser clients; gRPC Gateway can generate HTTP mappings from annotations. Install only the route the requirements justify. Public JSON compatibility needs its own verification: ProtoJSON has different compatibility behavior from binary protobuf and represents 64 bit integers as strings by default. </w:t>
      </w:r>
      <w:hyperlink w:anchor="source_30">
        <w:r>
          <w:rPr>
            <w:color w:val="174E76"/>
          </w:rPr>
          <w:t>[S30, S48–S49]</w:t>
        </w:r>
      </w:hyperlink>
    </w:p>
    <w:p>
      <w:r>
        <w:t xml:space="preserve">Use a validation library where it is supported by the selected language, but prove that the adapter actually invokes validation. Protovalidate can express standard and custom schema rules; it does not automatically enforce stateful authorization, transactional uniqueness, or resource availability. These remain application behavior. </w:t>
      </w:r>
      <w:hyperlink w:anchor="source_27">
        <w:r>
          <w:rPr>
            <w:color w:val="174E76"/>
          </w:rPr>
          <w:t>[S27]</w:t>
        </w:r>
      </w:hyperlink>
    </w:p>
    <w:p>
      <w:r>
        <w:t xml:space="preserve">Set explicit deadlines and cancellation semantics. gRPC does not set a deadline by default, and application work needs to respond to cancellation. Completed side effects are not automatically undone when a caller cancels. These are design decisions to specify and verify, not details to leave to a generator. </w:t>
      </w:r>
      <w:hyperlink w:anchor="source_28">
        <w:r>
          <w:rPr>
            <w:color w:val="174E76"/>
          </w:rPr>
          <w:t>[S28–S29]</w:t>
        </w:r>
      </w:hyperlink>
    </w:p>
    <w:p>
      <w:pPr>
        <w:pStyle w:val="Heading2"/>
      </w:pPr>
      <w:r>
        <w:t>5 4 Generate reproducibly and check compatibility</w:t>
      </w:r>
    </w:p>
    <w:p>
      <w:r>
        <w:t>Specification performs a disposable compile and consumer proof before freeze. Preparation materializes those exact sources into the canonical build location and compiles them again. It must not translate vague interface prose into a new schema after clarification has become forbidden.</w:t>
      </w:r>
    </w:p>
    <w:p>
      <w:r>
        <w:t xml:space="preserve">Pin Buf, protoc where used, local or remote generator versions and revisions, language runtimes, generation options, and schema dependencies. Buf locks dependency snapshots and supports pinned generation configuration. Protobuf runtime compatibility also constrains which generated code and runtime combinations are valid. </w:t>
      </w:r>
      <w:hyperlink w:anchor="source_23">
        <w:r>
          <w:rPr>
            <w:color w:val="174E76"/>
          </w:rPr>
          <w:t>[S23–S25]</w:t>
        </w:r>
      </w:hyperlink>
    </w:p>
    <w:p>
      <w:r>
        <w:t xml:space="preserve">Use local pinned generators and cached dependencies for a genuinely local hermetic mode. Buf's remote generators execute through the registry service; reproducibility through a pinned remote plugin is different from keeping the build local. </w:t>
      </w:r>
      <w:hyperlink w:anchor="source_50">
        <w:r>
          <w:rPr>
            <w:color w:val="174E76"/>
          </w:rPr>
          <w:t>[S50]</w:t>
        </w:r>
      </w:hyperlink>
    </w:p>
    <w:p>
      <w:r>
        <w:t xml:space="preserve">Use Buf FILE breaking checks as the conservative initial compatibility rule for generated source contracts. A project may choose a different category when consumer expectations justify it. More importantly, distinguish compatibility from freeze integrity: even an additive compatible change is prohibited during implementation if it changes the approved contract. </w:t>
      </w:r>
      <w:hyperlink w:anchor="source_22">
        <w:r>
          <w:rPr>
            <w:color w:val="174E76"/>
          </w:rPr>
          <w:t>[S22]</w:t>
        </w:r>
      </w:hyperlink>
    </w:p>
    <w:p>
      <w:r>
        <w:t>The gate should verify the frozen source manifest, lint and compile contracts, check the released compatibility baseline when one exists, regenerate bindings, compare every generated path and content digest, compile adapters and consumers, enforce allowed dependencies, and run contract behavior tests. Comparing only Git's tracked diff misses untracked output. Compare the full generated inventory too.</w:t>
      </w:r>
    </w:p>
    <w:p>
      <w:r>
        <w:t xml:space="preserve">Hash the source, configuration, dependency, and toolchain bundle. Do not assume arbitrary serialized protobuf bytes are a canonical semantic identity; even deterministic serialization is not guaranteed canonical across builds and library changes. A descriptor artifact can still be hashed as a toolchain specific output. </w:t>
      </w:r>
      <w:hyperlink w:anchor="source_26">
        <w:r>
          <w:rPr>
            <w:color w:val="174E76"/>
          </w:rPr>
          <w:t>[S26]</w:t>
        </w:r>
      </w:hyperlink>
    </w:p>
    <w:p>
      <w:pPr>
        <w:pStyle w:val="Heading1"/>
      </w:pPr>
      <w:r>
        <w:t>6 Preparation workflow</w:t>
      </w:r>
    </w:p>
    <w:p>
      <w:pPr>
        <w:pStyle w:val="Heading2"/>
      </w:pPr>
      <w:r>
        <w:t>6 1 Inspect the repository before planning additions</w:t>
      </w:r>
    </w:p>
    <w:p>
      <w:r>
        <w:t>Start with a baseline build and the current architecture, dependency, test, and deployment inventories. Search actual symbols and call paths rather than relying on folder names. Identify reusable components, partial implementations, obsolete paths, test fixtures, and integration points. Record preexisting failures separately so the new run cannot claim to have introduced or resolved them without evidence.</w:t>
      </w:r>
    </w:p>
    <w:p>
      <w:r>
        <w:t>Every proposed addition needs a reuse analysis: the capability required, candidate existing owners inspected, why extension is insufficient, and why the proposed abstraction belongs at this boundary. Prefer improving an existing cohesive component when it can satisfy the requirement cleanly. Do not force reuse across unrelated domains merely to reduce file count.</w:t>
      </w:r>
    </w:p>
    <w:p>
      <w:r>
        <w:t>Task category describes semantic work, not the Git operation. Implementing a new capability inside a shell created during preparation is still an addition. Splitting one new class across modifications to five files does not convert it into reuse. Conversely, adding a test file belongs to the tests category because its purpose is verification.</w:t>
      </w:r>
    </w:p>
    <w:p>
      <w:pPr>
        <w:pStyle w:val="Heading2"/>
      </w:pPr>
      <w:r>
        <w:t>6 2 Build the task graph and verticals</w:t>
      </w:r>
    </w:p>
    <w:p>
      <w:r>
        <w:t>Derive tasks from specification obligations and acceptance evidence. Give each a stable ID, semantic category, requirement and specification references, inputs, outputs, prerequisites, allowed paths, test IDs, estimated scope, and explicit completion evidence. Add dependencies for package construction, data migrations, infrastructure, test environments, generated types, consumer wiring, integration, and deployment transitions.</w:t>
      </w:r>
    </w:p>
    <w:p>
      <w:r>
        <w:t>A vertical is a named ordered path through that dependency graph that delivers a requirement or use case. Several verticals may share a task. Maintain one task identity with several memberships rather than duplicating work. Verticals expose where authentication, persistence, domain behavior, APIs, UI, and observability must arrive in a particular order.</w:t>
      </w:r>
    </w:p>
    <w:p>
      <w:r>
        <w:t xml:space="preserve">Detect missing producers and real cycles before assigning phases. Putting a cycle's tasks into one phase does not remove the cycle. Decompose a false task boundary, create an explicitly atomic operation when that is legitimate, or return the architectural issue to specification. An ordinary topological sort with cycle detection is sufficient for the initial scheduler; Python's graphlib is one available implementation if Python is selected. </w:t>
      </w:r>
      <w:hyperlink w:anchor="source_57">
        <w:r>
          <w:rPr>
            <w:color w:val="174E76"/>
          </w:rPr>
          <w:t>[S57]</w:t>
        </w:r>
      </w:hyperlink>
    </w:p>
    <w:p>
      <w:pPr>
        <w:pStyle w:val="Heading2"/>
      </w:pPr>
      <w:r>
        <w:t>6 3 Define phase independence precisely</w:t>
      </w:r>
    </w:p>
    <w:p>
      <w:r>
        <w:t>For every prerequisite edge from task u to task v, require phase(u) to be no later than phase(v). Within a phase, retain the dependency order. Each completed phase prefix must contain all prerequisites of every task in that prefix.</w:t>
      </w:r>
    </w:p>
    <w:p>
      <w:r>
        <w:t>A phase is independent when its own acceptance obligations can be met using the baseline, completed predecessor phases, and its own tasks. It must not rely on unfinished future work to make its claims true. A stacked PR therefore can depend on earlier PRs while still representing a complete, reviewable increment.</w:t>
      </w:r>
    </w:p>
    <w:p>
      <w:r>
        <w:t>Closed phase means sealed scope, accepted behavior, and immutable historical evidence. It does not mean every file touched by that phase can never change again. The same file can legitimately contain P01 and P02 markers. Later planned extensions must preserve the earlier phase's guarantees.</w:t>
      </w:r>
    </w:p>
    <w:p>
      <w:r>
        <w:t>If phase 3 reveals that phase 1 never satisfied its own acceptance criterion, the run has a closure failure. Do not relabel the repair as phase 3 work to conceal it. Record the defect, stop the affected run, and start an amendment through specification. This enforces the user's policy without making an impossible promise that planning will discover every future defect.</w:t>
      </w:r>
    </w:p>
    <w:p>
      <w:pPr>
        <w:pStyle w:val="Heading2"/>
      </w:pPr>
      <w:r>
        <w:t>6 4 Enforce the requested category order</w:t>
      </w:r>
    </w:p>
    <w:p>
      <w:r>
        <w:t>Use the requested default: tests, deletion, modification, addition, documentation. Add category barriers to the phase schedule after adding the true prerequisite edges. If the combined graph has a cycle, the strict schedule is invalid and preparation cannot freeze it.</w:t>
      </w:r>
    </w:p>
    <w:p>
      <w:r>
        <w:t>Equivalently, if category ranks are tests 0 through documentation 4, a prerequisite edge with a higher ranked predecessor than successor must cross a phase boundary. An addition that must precede a modification cannot occupy the same strict phase. Apply this rule only to real task dependencies; the mere existence of a new test does not mean the production feature must exist before the test can be authored.</w:t>
      </w:r>
    </w:p>
    <w:p>
      <w:r>
        <w:t>Consider an adapter replacement with a true execution dependency: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Task</w:t>
            </w:r>
          </w:p>
        </w:tc>
        <w:tc>
          <w:tcPr>
            <w:tcW w:type="dxa" w:w="2880"/>
            <w:vAlign w:val="center"/>
            <w:shd w:fill="163A50"/>
          </w:tcPr>
          <w:p>
            <w:pPr>
              <w:spacing w:after="0" w:line="252" w:lineRule="auto"/>
            </w:pPr>
            <w:r>
              <w:rPr>
                <w:b/>
                <w:color w:val="FFFFFF"/>
                <w:sz w:val="18"/>
              </w:rPr>
              <w:t>Category</w:t>
            </w:r>
          </w:p>
        </w:tc>
        <w:tc>
          <w:tcPr>
            <w:tcW w:type="dxa" w:w="4536"/>
            <w:vAlign w:val="center"/>
            <w:shd w:fill="163A50"/>
          </w:tcPr>
          <w:p>
            <w:pPr>
              <w:spacing w:after="0" w:line="252" w:lineRule="auto"/>
            </w:pPr>
            <w:r>
              <w:rPr>
                <w:b/>
                <w:color w:val="FFFFFF"/>
                <w:sz w:val="18"/>
              </w:rPr>
              <w:t>Needs</w:t>
            </w:r>
          </w:p>
        </w:tc>
      </w:tr>
      <w:tr>
        <w:trPr>
          <w:cantSplit/>
        </w:trPr>
        <w:tc>
          <w:tcPr>
            <w:tcW w:type="dxa" w:w="2664"/>
            <w:vAlign w:val="center"/>
            <w:shd w:fill="FFFFFF"/>
          </w:tcPr>
          <w:p>
            <w:pPr>
              <w:spacing w:after="0" w:line="252" w:lineRule="auto"/>
            </w:pPr>
            <w:r>
              <w:rPr>
                <w:sz w:val="18"/>
              </w:rPr>
              <w:t>Implement replacement adapter</w:t>
            </w:r>
          </w:p>
        </w:tc>
        <w:tc>
          <w:tcPr>
            <w:tcW w:type="dxa" w:w="2880"/>
            <w:vAlign w:val="center"/>
            <w:shd w:fill="FFFFFF"/>
          </w:tcPr>
          <w:p>
            <w:pPr>
              <w:spacing w:after="0" w:line="252" w:lineRule="auto"/>
            </w:pPr>
            <w:r>
              <w:rPr>
                <w:sz w:val="18"/>
              </w:rPr>
              <w:t>Addition</w:t>
            </w:r>
          </w:p>
        </w:tc>
        <w:tc>
          <w:tcPr>
            <w:tcW w:type="dxa" w:w="4536"/>
            <w:vAlign w:val="center"/>
            <w:shd w:fill="FFFFFF"/>
          </w:tcPr>
          <w:p>
            <w:pPr>
              <w:spacing w:after="0" w:line="252" w:lineRule="auto"/>
            </w:pPr>
            <w:r>
              <w:rPr>
                <w:sz w:val="18"/>
              </w:rPr>
              <w:t>Approved interface and tests</w:t>
            </w:r>
          </w:p>
        </w:tc>
      </w:tr>
      <w:tr>
        <w:trPr>
          <w:cantSplit/>
        </w:trPr>
        <w:tc>
          <w:tcPr>
            <w:tcW w:type="dxa" w:w="2664"/>
            <w:vAlign w:val="center"/>
            <w:shd w:fill="F3F6F8"/>
          </w:tcPr>
          <w:p>
            <w:pPr>
              <w:spacing w:after="0" w:line="252" w:lineRule="auto"/>
            </w:pPr>
            <w:r>
              <w:rPr>
                <w:sz w:val="18"/>
              </w:rPr>
              <w:t>Switch active consumers</w:t>
            </w:r>
          </w:p>
        </w:tc>
        <w:tc>
          <w:tcPr>
            <w:tcW w:type="dxa" w:w="2880"/>
            <w:vAlign w:val="center"/>
            <w:shd w:fill="F3F6F8"/>
          </w:tcPr>
          <w:p>
            <w:pPr>
              <w:spacing w:after="0" w:line="252" w:lineRule="auto"/>
            </w:pPr>
            <w:r>
              <w:rPr>
                <w:sz w:val="18"/>
              </w:rPr>
              <w:t>Modification</w:t>
            </w:r>
          </w:p>
        </w:tc>
        <w:tc>
          <w:tcPr>
            <w:tcW w:type="dxa" w:w="4536"/>
            <w:vAlign w:val="center"/>
            <w:shd w:fill="F3F6F8"/>
          </w:tcPr>
          <w:p>
            <w:pPr>
              <w:spacing w:after="0" w:line="252" w:lineRule="auto"/>
            </w:pPr>
            <w:r>
              <w:rPr>
                <w:sz w:val="18"/>
              </w:rPr>
              <w:t>Replacement adapter</w:t>
            </w:r>
          </w:p>
        </w:tc>
      </w:tr>
      <w:tr>
        <w:trPr>
          <w:cantSplit/>
        </w:trPr>
        <w:tc>
          <w:tcPr>
            <w:tcW w:type="dxa" w:w="2664"/>
            <w:vAlign w:val="center"/>
            <w:shd w:fill="FFFFFF"/>
          </w:tcPr>
          <w:p>
            <w:pPr>
              <w:spacing w:after="0" w:line="252" w:lineRule="auto"/>
            </w:pPr>
            <w:r>
              <w:rPr>
                <w:sz w:val="18"/>
              </w:rPr>
              <w:t>Remove obsolete adapter</w:t>
            </w:r>
          </w:p>
        </w:tc>
        <w:tc>
          <w:tcPr>
            <w:tcW w:type="dxa" w:w="2880"/>
            <w:vAlign w:val="center"/>
            <w:shd w:fill="FFFFFF"/>
          </w:tcPr>
          <w:p>
            <w:pPr>
              <w:spacing w:after="0" w:line="252" w:lineRule="auto"/>
            </w:pPr>
            <w:r>
              <w:rPr>
                <w:sz w:val="18"/>
              </w:rPr>
              <w:t>Deletion</w:t>
            </w:r>
          </w:p>
        </w:tc>
        <w:tc>
          <w:tcPr>
            <w:tcW w:type="dxa" w:w="4536"/>
            <w:vAlign w:val="center"/>
            <w:shd w:fill="FFFFFF"/>
          </w:tcPr>
          <w:p>
            <w:pPr>
              <w:spacing w:after="0" w:line="252" w:lineRule="auto"/>
            </w:pPr>
            <w:r>
              <w:rPr>
                <w:sz w:val="18"/>
              </w:rPr>
              <w:t>Consumers switched</w:t>
            </w:r>
          </w:p>
        </w:tc>
      </w:tr>
    </w:tbl>
    <w:p>
      <w:pPr>
        <w:spacing w:after="40" w:before="0" w:line="120" w:lineRule="auto"/>
      </w:pPr>
    </w:p>
    <w:p>
      <w:r>
        <w:t>One valid strict plan can add the adapter in P01, switch consumers in P02, and remove the unused adapter in P03. Each phase still starts with its tests and ends with its documentation. The phase acceptance must honestly describe those intermediate states and all requirements must be met by the complete run.</w:t>
      </w:r>
    </w:p>
    <w:p>
      <w:r>
        <w:t>Some source edits can temporarily break compilation inside a phase. That does not solve operational dependencies such as expand database schema, migrate data, then contract the schema. Distinguish source edit ordering from migration and deployment execution ordering; specify both and preserve the safe runtime order.</w:t>
      </w:r>
    </w:p>
    <w:p>
      <w:r>
        <w:t>A useful optional policy is category preference among dependency ready tasks. It is usually less restrictive, but it changes the user's stated rule. Enable it only through an explicit specification decision. The default design in this report keeps strict ordering and rejects or restructures incompatible plans.</w:t>
      </w:r>
    </w:p>
    <w:p>
      <w:pPr>
        <w:pStyle w:val="Heading2"/>
      </w:pPr>
      <w:r>
        <w:t>6 5 Validate each phase before freeze</w:t>
      </w:r>
    </w:p>
    <w:p>
      <w:r>
        <w:t>For every proposed phase, enumerate its consumed capabilities and their producers, its produced capabilities, acceptance cases, cumulative regression inventory, changes to shared files, runtime state, deployment or migration obligations, and rollback or recovery plan where needed. Verify that the phase's promised outcome does not depend on later tasks.</w:t>
      </w:r>
    </w:p>
    <w:p>
      <w:r>
        <w:t>Do not allocate all security, observability, error handling, and performance work to a final cleanup phase. Integrate the portions needed for each phase's accepted behavior. Project wide requirements can remain pending until their defined measurement point; do not falsely mark them satisfied early. Final cumulative testing still verifies the whole project.</w:t>
      </w:r>
    </w:p>
    <w:p>
      <w:r>
        <w:t>Keep phases small enough that one PR can be reviewed coherently. If a phase combines unrelated features or an excessive foundation change, divide it before implementation. Use explicit size and complexity budgets as review signals, not universal numerical laws.</w:t>
      </w:r>
    </w:p>
    <w:p>
      <w:pPr>
        <w:pStyle w:val="Heading2"/>
      </w:pPr>
      <w:r>
        <w:t>6 6 Materialize shells and inline work</w:t>
      </w:r>
    </w:p>
    <w:p>
      <w:r>
        <w:t>The authoritative backlog is a validated task manifest. Inline comments are generated navigation anchors into it. Use stable IDs, the phase prefix, a brief action, and the canonical task reference. Do not duplicate full specifications inside every comment.</w:t>
      </w:r>
    </w:p>
    <w:p>
      <w:pPr>
        <w:keepNext/>
        <w:widowControl/>
        <w:spacing w:after="0" w:before="0" w:line="250" w:lineRule="auto"/>
        <w:ind w:left="187" w:right="144"/>
        <w:shd w:fill="F1F3F5"/>
      </w:pPr>
      <w:r>
        <w:rPr>
          <w:rFonts w:ascii="Liberation Mono" w:hAnsi="Liberation Mono"/>
          <w:sz w:val="16"/>
        </w:rPr>
        <w:t>// RDD:P02:T-021 run=R-001 req=FR-NOT-001</w:t>
      </w:r>
    </w:p>
    <w:p>
      <w:pPr>
        <w:keepNext w:val="0"/>
        <w:widowControl/>
        <w:spacing w:after="0" w:before="0" w:line="250" w:lineRule="auto"/>
        <w:ind w:left="187" w:right="144"/>
        <w:shd w:fill="F1F3F5"/>
      </w:pPr>
      <w:r>
        <w:rPr>
          <w:rFonts w:ascii="Liberation Mono" w:hAnsi="Liberation Mono"/>
          <w:sz w:val="16"/>
        </w:rPr>
        <w:t>// Deliver the committed invitation event; see .rdd/plan/tasks.yaml.</w:t>
      </w:r>
    </w:p>
    <w:p>
      <w:pPr>
        <w:spacing w:after="60" w:line="96" w:lineRule="auto"/>
      </w:pPr>
    </w:p>
    <w:p>
      <w:r>
        <w:t>Create syntax valid, runtime inert shells for missing files. Avoid adding route files that a framework automatically exposes, empty migration files that tooling executes, incomplete build manifests, or shells that appear to implement business behavior. Generated bindings, binary files, and formats without comments need safe sidecar anchors. JSON is a common example where adding source comments would make the artifact invalid.</w:t>
      </w:r>
    </w:p>
    <w:p>
      <w:r>
        <w:t>These sidecars are an explicit exception to literal comments in every file. Record them in the manifest and validate them like inline anchors. If a project insists on literal comments everywhere, preparation must report the incompatibility for unsupported formats rather than silently corrupt them. Folder anchors can live in a small local task sidecar that is removed when its work is complete.</w:t>
      </w:r>
    </w:p>
    <w:p>
      <w:r>
        <w:t>Never insert or retire task comments inside frozen proto sources, schema locks, generation configuration, or generated protobuf output. Anchor the handwritten adapter or a separately writable declared sidecar. Otherwise completion itself would mutate the frozen contract hash. Record prepared shells in an inventory so the final gate distinguishes intentionally empty files from unfinished scaffolding. A file containing only a removed TODO is not evidence of implementation.</w:t>
      </w:r>
    </w:p>
    <w:p>
      <w:r>
        <w:t>The reconciler requires every open task to have an anchor, every anchor to resolve to a task, and each completed task to have evidence. A rename preserves task identity. A deletion leaves a tombstone in the ledger because its comment disappears with the deleted file. During phase i, no unfinished task or marker for phase i or earlier may remain; later phase markers remain until their work is complete.</w:t>
      </w:r>
    </w:p>
    <w:p>
      <w:pPr>
        <w:pStyle w:val="Heading1"/>
      </w:pPr>
      <w:r>
        <w:t>7 A worked vertical and phase example</w:t>
      </w:r>
    </w:p>
    <w:p>
      <w:r>
        <w:t>This example illustrates planning rather than prescribing an application. Assume three separate requirements: an administrator can create a durable invitation, an eligible invitation produces a notification, and a user can complete that workflow through an accessible UI. Also assume the specification has already finalized identity, invitation, notification, and public API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Vertical</w:t>
            </w:r>
          </w:p>
        </w:tc>
        <w:tc>
          <w:tcPr>
            <w:tcW w:type="dxa" w:w="2880"/>
            <w:vAlign w:val="center"/>
            <w:shd w:fill="163A50"/>
          </w:tcPr>
          <w:p>
            <w:pPr>
              <w:spacing w:after="0" w:line="252" w:lineRule="auto"/>
            </w:pPr>
            <w:r>
              <w:rPr>
                <w:b/>
                <w:color w:val="FFFFFF"/>
                <w:sz w:val="18"/>
              </w:rPr>
              <w:t>Ordered capabilities</w:t>
            </w:r>
          </w:p>
        </w:tc>
        <w:tc>
          <w:tcPr>
            <w:tcW w:type="dxa" w:w="4536"/>
            <w:vAlign w:val="center"/>
            <w:shd w:fill="163A50"/>
          </w:tcPr>
          <w:p>
            <w:pPr>
              <w:spacing w:after="0" w:line="252" w:lineRule="auto"/>
            </w:pPr>
            <w:r>
              <w:rPr>
                <w:b/>
                <w:color w:val="FFFFFF"/>
                <w:sz w:val="18"/>
              </w:rPr>
              <w:t>Phase boundary</w:t>
            </w:r>
          </w:p>
        </w:tc>
      </w:tr>
      <w:tr>
        <w:trPr>
          <w:cantSplit/>
        </w:trPr>
        <w:tc>
          <w:tcPr>
            <w:tcW w:type="dxa" w:w="2664"/>
            <w:vAlign w:val="center"/>
            <w:shd w:fill="FFFFFF"/>
          </w:tcPr>
          <w:p>
            <w:pPr>
              <w:spacing w:after="0" w:line="252" w:lineRule="auto"/>
            </w:pPr>
            <w:r>
              <w:rPr>
                <w:sz w:val="18"/>
              </w:rPr>
              <w:t>V01 Durable invitation</w:t>
            </w:r>
          </w:p>
        </w:tc>
        <w:tc>
          <w:tcPr>
            <w:tcW w:type="dxa" w:w="2880"/>
            <w:vAlign w:val="center"/>
            <w:shd w:fill="FFFFFF"/>
          </w:tcPr>
          <w:p>
            <w:pPr>
              <w:spacing w:after="0" w:line="252" w:lineRule="auto"/>
            </w:pPr>
            <w:r>
              <w:rPr>
                <w:sz w:val="18"/>
              </w:rPr>
              <w:t>Authorized identity, domain validation, persistence, audit, public operation</w:t>
            </w:r>
          </w:p>
        </w:tc>
        <w:tc>
          <w:tcPr>
            <w:tcW w:type="dxa" w:w="4536"/>
            <w:vAlign w:val="center"/>
            <w:shd w:fill="FFFFFF"/>
          </w:tcPr>
          <w:p>
            <w:pPr>
              <w:spacing w:after="0" w:line="252" w:lineRule="auto"/>
            </w:pPr>
            <w:r>
              <w:rPr>
                <w:sz w:val="18"/>
              </w:rPr>
              <w:t>P01 ends with a usable and verified invitation capability</w:t>
            </w:r>
          </w:p>
        </w:tc>
      </w:tr>
      <w:tr>
        <w:trPr>
          <w:cantSplit/>
        </w:trPr>
        <w:tc>
          <w:tcPr>
            <w:tcW w:type="dxa" w:w="2664"/>
            <w:vAlign w:val="center"/>
            <w:shd w:fill="F3F6F8"/>
          </w:tcPr>
          <w:p>
            <w:pPr>
              <w:spacing w:after="0" w:line="252" w:lineRule="auto"/>
            </w:pPr>
            <w:r>
              <w:rPr>
                <w:sz w:val="18"/>
              </w:rPr>
              <w:t>V02 Notification</w:t>
            </w:r>
          </w:p>
        </w:tc>
        <w:tc>
          <w:tcPr>
            <w:tcW w:type="dxa" w:w="2880"/>
            <w:vAlign w:val="center"/>
            <w:shd w:fill="F3F6F8"/>
          </w:tcPr>
          <w:p>
            <w:pPr>
              <w:spacing w:after="0" w:line="252" w:lineRule="auto"/>
            </w:pPr>
            <w:r>
              <w:rPr>
                <w:sz w:val="18"/>
              </w:rPr>
              <w:t>Durable invitation event, provider adapter, delivery state, retry and deduplication</w:t>
            </w:r>
          </w:p>
        </w:tc>
        <w:tc>
          <w:tcPr>
            <w:tcW w:type="dxa" w:w="4536"/>
            <w:vAlign w:val="center"/>
            <w:shd w:fill="F3F6F8"/>
          </w:tcPr>
          <w:p>
            <w:pPr>
              <w:spacing w:after="0" w:line="252" w:lineRule="auto"/>
            </w:pPr>
            <w:r>
              <w:rPr>
                <w:sz w:val="18"/>
              </w:rPr>
              <w:t>P02 adds the specified delivery behavior without weakening P01</w:t>
            </w:r>
          </w:p>
        </w:tc>
      </w:tr>
      <w:tr>
        <w:trPr>
          <w:cantSplit/>
        </w:trPr>
        <w:tc>
          <w:tcPr>
            <w:tcW w:type="dxa" w:w="2664"/>
            <w:vAlign w:val="center"/>
            <w:shd w:fill="FFFFFF"/>
          </w:tcPr>
          <w:p>
            <w:pPr>
              <w:spacing w:after="0" w:line="252" w:lineRule="auto"/>
            </w:pPr>
            <w:r>
              <w:rPr>
                <w:sz w:val="18"/>
              </w:rPr>
              <w:t>V03 User journey</w:t>
            </w:r>
          </w:p>
        </w:tc>
        <w:tc>
          <w:tcPr>
            <w:tcW w:type="dxa" w:w="2880"/>
            <w:vAlign w:val="center"/>
            <w:shd w:fill="FFFFFF"/>
          </w:tcPr>
          <w:p>
            <w:pPr>
              <w:spacing w:after="0" w:line="252" w:lineRule="auto"/>
            </w:pPr>
            <w:r>
              <w:rPr>
                <w:sz w:val="18"/>
              </w:rPr>
              <w:t>Generated client, page state, authorized interaction, accessible outcomes, integration</w:t>
            </w:r>
          </w:p>
        </w:tc>
        <w:tc>
          <w:tcPr>
            <w:tcW w:type="dxa" w:w="4536"/>
            <w:vAlign w:val="center"/>
            <w:shd w:fill="FFFFFF"/>
          </w:tcPr>
          <w:p>
            <w:pPr>
              <w:spacing w:after="0" w:line="252" w:lineRule="auto"/>
            </w:pPr>
            <w:r>
              <w:rPr>
                <w:sz w:val="18"/>
              </w:rPr>
              <w:t>P03 completes the UI and final cumulative validation</w:t>
            </w:r>
          </w:p>
        </w:tc>
      </w:tr>
    </w:tbl>
    <w:p>
      <w:pPr>
        <w:spacing w:after="40" w:before="0" w:line="120" w:lineRule="auto"/>
      </w:pPr>
    </w:p>
    <w:p>
      <w:r>
        <w:t>This phase division is valid only if P01's own requirement is durable invitation creation. If its acceptance already promises notification delivery, notification cannot be deferred to P02 while declaring P01 complete. The requirement wording determines the boundary.</w:t>
      </w:r>
    </w:p>
    <w:p>
      <w:r>
        <w:t>Shared work has one task identity. For example, organization authorization can support all three verticals and complete in P01. Its existing behavior is regression tested in later phases. P02 may extend an invitation service through a previously specified interface without reopening P01, provided it preserves P01's obligations.</w:t>
      </w:r>
    </w:p>
    <w:p>
      <w:r>
        <w:t>The implementation matrix should make this explicit rather than merely list checkboxes: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613"/>
        <w:gridCol w:w="1584"/>
        <w:gridCol w:w="2448"/>
        <w:gridCol w:w="1613"/>
        <w:gridCol w:w="1325"/>
        <w:gridCol w:w="1498"/>
      </w:tblGrid>
      <w:tr>
        <w:trPr>
          <w:cantSplit/>
          <w:tblHeader/>
        </w:trPr>
        <w:tc>
          <w:tcPr>
            <w:tcW w:type="dxa" w:w="1613"/>
            <w:vAlign w:val="center"/>
            <w:shd w:fill="163A50"/>
          </w:tcPr>
          <w:p>
            <w:pPr>
              <w:spacing w:after="0" w:line="252" w:lineRule="auto"/>
            </w:pPr>
            <w:r>
              <w:rPr>
                <w:b/>
                <w:color w:val="FFFFFF"/>
                <w:sz w:val="18"/>
              </w:rPr>
              <w:t>Requirement</w:t>
            </w:r>
          </w:p>
        </w:tc>
        <w:tc>
          <w:tcPr>
            <w:tcW w:type="dxa" w:w="1584"/>
            <w:vAlign w:val="center"/>
            <w:shd w:fill="163A50"/>
          </w:tcPr>
          <w:p>
            <w:pPr>
              <w:spacing w:after="0" w:line="252" w:lineRule="auto"/>
            </w:pPr>
            <w:r>
              <w:rPr>
                <w:b/>
                <w:color w:val="FFFFFF"/>
                <w:sz w:val="18"/>
              </w:rPr>
              <w:t>Specification</w:t>
            </w:r>
          </w:p>
        </w:tc>
        <w:tc>
          <w:tcPr>
            <w:tcW w:type="dxa" w:w="2448"/>
            <w:vAlign w:val="center"/>
            <w:shd w:fill="163A50"/>
          </w:tcPr>
          <w:p>
            <w:pPr>
              <w:spacing w:after="0" w:line="252" w:lineRule="auto"/>
            </w:pPr>
            <w:r>
              <w:rPr>
                <w:b/>
                <w:color w:val="FFFFFF"/>
                <w:sz w:val="18"/>
              </w:rPr>
              <w:t>Acceptance evidence</w:t>
            </w:r>
          </w:p>
        </w:tc>
        <w:tc>
          <w:tcPr>
            <w:tcW w:type="dxa" w:w="1613"/>
            <w:vAlign w:val="center"/>
            <w:shd w:fill="163A50"/>
          </w:tcPr>
          <w:p>
            <w:pPr>
              <w:spacing w:after="0" w:line="252" w:lineRule="auto"/>
              <w:jc w:val="center"/>
            </w:pPr>
            <w:r>
              <w:rPr>
                <w:b/>
                <w:color w:val="FFFFFF"/>
                <w:sz w:val="18"/>
              </w:rPr>
              <w:t>Tasks</w:t>
            </w:r>
          </w:p>
        </w:tc>
        <w:tc>
          <w:tcPr>
            <w:tcW w:type="dxa" w:w="1325"/>
            <w:vAlign w:val="center"/>
            <w:shd w:fill="163A50"/>
          </w:tcPr>
          <w:p>
            <w:pPr>
              <w:spacing w:after="0" w:line="252" w:lineRule="auto"/>
              <w:jc w:val="center"/>
            </w:pPr>
            <w:r>
              <w:rPr>
                <w:b/>
                <w:color w:val="FFFFFF"/>
                <w:sz w:val="18"/>
              </w:rPr>
              <w:t>Vertical</w:t>
            </w:r>
          </w:p>
        </w:tc>
        <w:tc>
          <w:tcPr>
            <w:tcW w:type="dxa" w:w="1498"/>
            <w:vAlign w:val="center"/>
            <w:shd w:fill="163A50"/>
          </w:tcPr>
          <w:p>
            <w:pPr>
              <w:spacing w:after="0" w:line="252" w:lineRule="auto"/>
              <w:jc w:val="center"/>
            </w:pPr>
            <w:r>
              <w:rPr>
                <w:b/>
                <w:color w:val="FFFFFF"/>
                <w:sz w:val="18"/>
              </w:rPr>
              <w:t>Closure phase</w:t>
            </w:r>
          </w:p>
        </w:tc>
      </w:tr>
      <w:tr>
        <w:trPr>
          <w:cantSplit/>
        </w:trPr>
        <w:tc>
          <w:tcPr>
            <w:tcW w:type="dxa" w:w="1613"/>
            <w:vAlign w:val="center"/>
            <w:shd w:fill="FFFFFF"/>
          </w:tcPr>
          <w:p>
            <w:pPr>
              <w:spacing w:after="0" w:line="252" w:lineRule="auto"/>
            </w:pPr>
            <w:r>
              <w:rPr>
                <w:sz w:val="18"/>
              </w:rPr>
              <w:t>FR-INV-001</w:t>
            </w:r>
          </w:p>
        </w:tc>
        <w:tc>
          <w:tcPr>
            <w:tcW w:type="dxa" w:w="1584"/>
            <w:vAlign w:val="center"/>
            <w:shd w:fill="FFFFFF"/>
          </w:tcPr>
          <w:p>
            <w:pPr>
              <w:spacing w:after="0" w:line="252" w:lineRule="auto"/>
            </w:pPr>
            <w:r>
              <w:rPr>
                <w:sz w:val="18"/>
              </w:rPr>
              <w:t>SPEC-INV-01</w:t>
            </w:r>
          </w:p>
        </w:tc>
        <w:tc>
          <w:tcPr>
            <w:tcW w:type="dxa" w:w="2448"/>
            <w:vAlign w:val="center"/>
            <w:shd w:fill="FFFFFF"/>
          </w:tcPr>
          <w:p>
            <w:pPr>
              <w:spacing w:after="0" w:line="252" w:lineRule="auto"/>
            </w:pPr>
            <w:r>
              <w:rPr>
                <w:sz w:val="18"/>
              </w:rPr>
              <w:t>GP-INV-001 and tenant denial</w:t>
            </w:r>
          </w:p>
        </w:tc>
        <w:tc>
          <w:tcPr>
            <w:tcW w:type="dxa" w:w="1613"/>
            <w:vAlign w:val="center"/>
            <w:shd w:fill="FFFFFF"/>
          </w:tcPr>
          <w:p>
            <w:pPr>
              <w:spacing w:after="0" w:line="252" w:lineRule="auto"/>
              <w:jc w:val="center"/>
            </w:pPr>
            <w:r>
              <w:rPr>
                <w:sz w:val="18"/>
              </w:rPr>
              <w:t>T-001 to T-008</w:t>
            </w:r>
          </w:p>
        </w:tc>
        <w:tc>
          <w:tcPr>
            <w:tcW w:type="dxa" w:w="1325"/>
            <w:vAlign w:val="center"/>
            <w:shd w:fill="FFFFFF"/>
          </w:tcPr>
          <w:p>
            <w:pPr>
              <w:spacing w:after="0" w:line="252" w:lineRule="auto"/>
              <w:jc w:val="center"/>
            </w:pPr>
            <w:r>
              <w:rPr>
                <w:sz w:val="18"/>
              </w:rPr>
              <w:t>V01</w:t>
            </w:r>
          </w:p>
        </w:tc>
        <w:tc>
          <w:tcPr>
            <w:tcW w:type="dxa" w:w="1498"/>
            <w:vAlign w:val="center"/>
            <w:shd w:fill="FFFFFF"/>
          </w:tcPr>
          <w:p>
            <w:pPr>
              <w:spacing w:after="0" w:line="252" w:lineRule="auto"/>
              <w:jc w:val="center"/>
            </w:pPr>
            <w:r>
              <w:rPr>
                <w:sz w:val="18"/>
              </w:rPr>
              <w:t>P01</w:t>
            </w:r>
          </w:p>
        </w:tc>
      </w:tr>
      <w:tr>
        <w:trPr>
          <w:cantSplit/>
        </w:trPr>
        <w:tc>
          <w:tcPr>
            <w:tcW w:type="dxa" w:w="1613"/>
            <w:vAlign w:val="center"/>
            <w:shd w:fill="F3F6F8"/>
          </w:tcPr>
          <w:p>
            <w:pPr>
              <w:spacing w:after="0" w:line="252" w:lineRule="auto"/>
            </w:pPr>
            <w:r>
              <w:rPr>
                <w:sz w:val="18"/>
              </w:rPr>
              <w:t>FR-NOT-001</w:t>
            </w:r>
          </w:p>
        </w:tc>
        <w:tc>
          <w:tcPr>
            <w:tcW w:type="dxa" w:w="1584"/>
            <w:vAlign w:val="center"/>
            <w:shd w:fill="F3F6F8"/>
          </w:tcPr>
          <w:p>
            <w:pPr>
              <w:spacing w:after="0" w:line="252" w:lineRule="auto"/>
            </w:pPr>
            <w:r>
              <w:rPr>
                <w:sz w:val="18"/>
              </w:rPr>
              <w:t>SPEC-NOT-01</w:t>
            </w:r>
          </w:p>
        </w:tc>
        <w:tc>
          <w:tcPr>
            <w:tcW w:type="dxa" w:w="2448"/>
            <w:vAlign w:val="center"/>
            <w:shd w:fill="F3F6F8"/>
          </w:tcPr>
          <w:p>
            <w:pPr>
              <w:spacing w:after="0" w:line="252" w:lineRule="auto"/>
            </w:pPr>
            <w:r>
              <w:rPr>
                <w:sz w:val="18"/>
              </w:rPr>
              <w:t>GP-NOT-001 and retry cases</w:t>
            </w:r>
          </w:p>
        </w:tc>
        <w:tc>
          <w:tcPr>
            <w:tcW w:type="dxa" w:w="1613"/>
            <w:vAlign w:val="center"/>
            <w:shd w:fill="F3F6F8"/>
          </w:tcPr>
          <w:p>
            <w:pPr>
              <w:spacing w:after="0" w:line="252" w:lineRule="auto"/>
              <w:jc w:val="center"/>
            </w:pPr>
            <w:r>
              <w:rPr>
                <w:sz w:val="18"/>
              </w:rPr>
              <w:t>T-020 to T-029</w:t>
            </w:r>
          </w:p>
        </w:tc>
        <w:tc>
          <w:tcPr>
            <w:tcW w:type="dxa" w:w="1325"/>
            <w:vAlign w:val="center"/>
            <w:shd w:fill="F3F6F8"/>
          </w:tcPr>
          <w:p>
            <w:pPr>
              <w:spacing w:after="0" w:line="252" w:lineRule="auto"/>
              <w:jc w:val="center"/>
            </w:pPr>
            <w:r>
              <w:rPr>
                <w:sz w:val="18"/>
              </w:rPr>
              <w:t>V02</w:t>
            </w:r>
          </w:p>
        </w:tc>
        <w:tc>
          <w:tcPr>
            <w:tcW w:type="dxa" w:w="1498"/>
            <w:vAlign w:val="center"/>
            <w:shd w:fill="F3F6F8"/>
          </w:tcPr>
          <w:p>
            <w:pPr>
              <w:spacing w:after="0" w:line="252" w:lineRule="auto"/>
              <w:jc w:val="center"/>
            </w:pPr>
            <w:r>
              <w:rPr>
                <w:sz w:val="18"/>
              </w:rPr>
              <w:t>P02</w:t>
            </w:r>
          </w:p>
        </w:tc>
      </w:tr>
      <w:tr>
        <w:trPr>
          <w:cantSplit/>
        </w:trPr>
        <w:tc>
          <w:tcPr>
            <w:tcW w:type="dxa" w:w="1613"/>
            <w:vAlign w:val="center"/>
            <w:shd w:fill="FFFFFF"/>
          </w:tcPr>
          <w:p>
            <w:pPr>
              <w:spacing w:after="0" w:line="252" w:lineRule="auto"/>
            </w:pPr>
            <w:r>
              <w:rPr>
                <w:sz w:val="18"/>
              </w:rPr>
              <w:t>FR-UI-001</w:t>
            </w:r>
          </w:p>
        </w:tc>
        <w:tc>
          <w:tcPr>
            <w:tcW w:type="dxa" w:w="1584"/>
            <w:vAlign w:val="center"/>
            <w:shd w:fill="FFFFFF"/>
          </w:tcPr>
          <w:p>
            <w:pPr>
              <w:spacing w:after="0" w:line="252" w:lineRule="auto"/>
            </w:pPr>
            <w:r>
              <w:rPr>
                <w:sz w:val="18"/>
              </w:rPr>
              <w:t>SPEC-UI-01</w:t>
            </w:r>
          </w:p>
        </w:tc>
        <w:tc>
          <w:tcPr>
            <w:tcW w:type="dxa" w:w="2448"/>
            <w:vAlign w:val="center"/>
            <w:shd w:fill="FFFFFF"/>
          </w:tcPr>
          <w:p>
            <w:pPr>
              <w:spacing w:after="0" w:line="252" w:lineRule="auto"/>
            </w:pPr>
            <w:r>
              <w:rPr>
                <w:sz w:val="18"/>
              </w:rPr>
              <w:t>GP-UI-001 and accessibility</w:t>
            </w:r>
          </w:p>
        </w:tc>
        <w:tc>
          <w:tcPr>
            <w:tcW w:type="dxa" w:w="1613"/>
            <w:vAlign w:val="center"/>
            <w:shd w:fill="FFFFFF"/>
          </w:tcPr>
          <w:p>
            <w:pPr>
              <w:spacing w:after="0" w:line="252" w:lineRule="auto"/>
              <w:jc w:val="center"/>
            </w:pPr>
            <w:r>
              <w:rPr>
                <w:sz w:val="18"/>
              </w:rPr>
              <w:t>T-040 to T-049</w:t>
            </w:r>
          </w:p>
        </w:tc>
        <w:tc>
          <w:tcPr>
            <w:tcW w:type="dxa" w:w="1325"/>
            <w:vAlign w:val="center"/>
            <w:shd w:fill="FFFFFF"/>
          </w:tcPr>
          <w:p>
            <w:pPr>
              <w:spacing w:after="0" w:line="252" w:lineRule="auto"/>
              <w:jc w:val="center"/>
            </w:pPr>
            <w:r>
              <w:rPr>
                <w:sz w:val="18"/>
              </w:rPr>
              <w:t>V03</w:t>
            </w:r>
          </w:p>
        </w:tc>
        <w:tc>
          <w:tcPr>
            <w:tcW w:type="dxa" w:w="1498"/>
            <w:vAlign w:val="center"/>
            <w:shd w:fill="FFFFFF"/>
          </w:tcPr>
          <w:p>
            <w:pPr>
              <w:spacing w:after="0" w:line="252" w:lineRule="auto"/>
              <w:jc w:val="center"/>
            </w:pPr>
            <w:r>
              <w:rPr>
                <w:sz w:val="18"/>
              </w:rPr>
              <w:t>P03</w:t>
            </w:r>
          </w:p>
        </w:tc>
      </w:tr>
      <w:tr>
        <w:trPr>
          <w:cantSplit/>
        </w:trPr>
        <w:tc>
          <w:tcPr>
            <w:tcW w:type="dxa" w:w="1613"/>
            <w:vAlign w:val="center"/>
            <w:shd w:fill="F3F6F8"/>
          </w:tcPr>
          <w:p>
            <w:pPr>
              <w:spacing w:after="0" w:line="252" w:lineRule="auto"/>
            </w:pPr>
            <w:r>
              <w:rPr>
                <w:sz w:val="18"/>
              </w:rPr>
              <w:t>NFR-PERF-001</w:t>
            </w:r>
          </w:p>
        </w:tc>
        <w:tc>
          <w:tcPr>
            <w:tcW w:type="dxa" w:w="1584"/>
            <w:vAlign w:val="center"/>
            <w:shd w:fill="F3F6F8"/>
          </w:tcPr>
          <w:p>
            <w:pPr>
              <w:spacing w:after="0" w:line="252" w:lineRule="auto"/>
            </w:pPr>
            <w:r>
              <w:rPr>
                <w:sz w:val="18"/>
              </w:rPr>
              <w:t>SPEC-PERF-01</w:t>
            </w:r>
          </w:p>
        </w:tc>
        <w:tc>
          <w:tcPr>
            <w:tcW w:type="dxa" w:w="2448"/>
            <w:vAlign w:val="center"/>
            <w:shd w:fill="F3F6F8"/>
          </w:tcPr>
          <w:p>
            <w:pPr>
              <w:spacing w:after="0" w:line="252" w:lineRule="auto"/>
            </w:pPr>
            <w:r>
              <w:rPr>
                <w:sz w:val="18"/>
              </w:rPr>
              <w:t>BENCH-API-001 under fixed load</w:t>
            </w:r>
          </w:p>
        </w:tc>
        <w:tc>
          <w:tcPr>
            <w:tcW w:type="dxa" w:w="1613"/>
            <w:vAlign w:val="center"/>
            <w:shd w:fill="F3F6F8"/>
          </w:tcPr>
          <w:p>
            <w:pPr>
              <w:spacing w:after="0" w:line="252" w:lineRule="auto"/>
              <w:jc w:val="center"/>
            </w:pPr>
            <w:r>
              <w:rPr>
                <w:sz w:val="18"/>
              </w:rPr>
              <w:t>T-006 and T-047</w:t>
            </w:r>
          </w:p>
        </w:tc>
        <w:tc>
          <w:tcPr>
            <w:tcW w:type="dxa" w:w="1325"/>
            <w:vAlign w:val="center"/>
            <w:shd w:fill="F3F6F8"/>
          </w:tcPr>
          <w:p>
            <w:pPr>
              <w:spacing w:after="0" w:line="252" w:lineRule="auto"/>
              <w:jc w:val="center"/>
            </w:pPr>
            <w:r>
              <w:rPr>
                <w:sz w:val="18"/>
              </w:rPr>
              <w:t>V01 and V03</w:t>
            </w:r>
          </w:p>
        </w:tc>
        <w:tc>
          <w:tcPr>
            <w:tcW w:type="dxa" w:w="1498"/>
            <w:vAlign w:val="center"/>
            <w:shd w:fill="F3F6F8"/>
          </w:tcPr>
          <w:p>
            <w:pPr>
              <w:spacing w:after="0" w:line="252" w:lineRule="auto"/>
              <w:jc w:val="center"/>
            </w:pPr>
            <w:r>
              <w:rPr>
                <w:sz w:val="18"/>
              </w:rPr>
              <w:t>P03</w:t>
            </w:r>
          </w:p>
        </w:tc>
      </w:tr>
    </w:tbl>
    <w:p>
      <w:pPr>
        <w:spacing w:after="40" w:before="0" w:line="120" w:lineRule="auto"/>
      </w:pPr>
    </w:p>
    <w:p>
      <w:r>
        <w:t>The exact task count and phase count should come from the graph and acceptance boundaries, not a preference for three phases. A greenfield project may need addition dominated phases; a mature repository may be mostly modifications and deletions.</w:t>
      </w:r>
    </w:p>
    <w:p>
      <w:pPr>
        <w:pStyle w:val="Heading1"/>
      </w:pPr>
      <w:r>
        <w:t>8 Implementation workflow</w:t>
      </w:r>
    </w:p>
    <w:p>
      <w:pPr>
        <w:pStyle w:val="Heading2"/>
      </w:pPr>
      <w:r>
        <w:t>8 1 Start from a verified prepared run</w:t>
      </w:r>
    </w:p>
    <w:p>
      <w:r>
        <w:t>Verify all input hashes, model settings, tools, credentials required for the declared actions, contract regeneration, and the repository baseline before dispatch. Load only the active run. A stale requirement revision, missing generator, or mismatched phase manifest blocks implementation before it can write into an obsolete plan.</w:t>
      </w:r>
    </w:p>
    <w:p>
      <w:r>
        <w:t>The orchestrator uses GPT-6 Astra with Ultra when that setting is supported. Large bounded targets and the independent live reviewer use GPT-6.1 Sol xhigh. Small unambiguous tasks use GPT-6 Luna xhigh. Dispatch by uncertainty, blast radius, context needs, and dependencies rather than changed line count alone. Promote a small task when it unexpectedly requires architectural judgment; record the reason.</w:t>
      </w:r>
    </w:p>
    <w:p>
      <w:r>
        <w:t xml:space="preserve">The model catalog documents the three model IDs and xhigh support for Sol and Luna. Ultra is client and account dependent; it should be validated rather than assumed to be a universal API reasoning parameter. A local capability check must fail clearly if an exact requested setting is unavailable. </w:t>
      </w:r>
      <w:hyperlink w:anchor="source_6">
        <w:r>
          <w:rPr>
            <w:color w:val="174E76"/>
          </w:rPr>
          <w:t>[S6–S8]</w:t>
        </w:r>
      </w:hyperlink>
    </w:p>
    <w:p>
      <w:pPr>
        <w:pStyle w:val="Heading2"/>
      </w:pPr>
      <w:r>
        <w:t>8 2 Make test first evidence real</w:t>
      </w:r>
    </w:p>
    <w:p>
      <w:r>
        <w:t>Create the planned phase tests before production edits, including executable versions of the golden cases allocated to that phase. Capture the baseline commit, new test inventory and digest, command, discovered count, observed failures, and why they reflect missing required behavior. A suite that never started because its database was unavailable is not useful red evidence.</w:t>
      </w:r>
    </w:p>
    <w:p>
      <w:r>
        <w:t>Prepared interfaces and honest unimplemented adapters can let tests fail meaningfully before business implementation exists. Where a new language symbol must first be introduced for tests to compile, distinguish that structural compilation failure from a functioning behavioral oracle and resolve the scaffolding strategy during preparation.</w:t>
      </w:r>
    </w:p>
    <w:p>
      <w:r>
        <w:t>Then execute deletion, modification, addition, and documentation in the frozen order. Run focused checks frequently. Refactoring within the allowed category can improve the code while preserving the test oracle. This is phase level test first development with local feedback loops; it is not a claim that every phase follows a textbook one assertion red green cycle.</w:t>
      </w:r>
    </w:p>
    <w:p>
      <w:r>
        <w:t>Keep the phase open through feedback and permit recorded corrective sweeps. A corrective sweep first adds or runs the regression test for the defect, then executes the affected categories in the same order. It cannot expand scope, move phase boundaries, recategorize new capability, or weaken an acceptance oracle. This makes the requested starting order compatible with fixing a modification defect discovered during additions or phase review. There is no reopening because the phase has not yet been sealed.</w:t>
      </w:r>
    </w:p>
    <w:p>
      <w:r>
        <w:t>Keep newly authored acceptance definitions and benchmark thresholds protected after their test first stage. An implementation agent must not remove inconvenient cases, add blanket skips, recalculate expected values using the production logic, or loosen a limit. A genuine wrong expectation becomes a specification issue when it changes the approved meaning.</w:t>
      </w:r>
    </w:p>
    <w:p>
      <w:pPr>
        <w:pStyle w:val="Heading2"/>
      </w:pPr>
      <w:r>
        <w:t>8 3 Parallelize bounded work and review coherent snapshots</w:t>
      </w:r>
    </w:p>
    <w:p>
      <w:r>
        <w:t>Begin with at most two simultaneous writing workers and a separate reviewer, plus the orchestrator. Increase concurrency only when measured queue time and low conflict rates justify it. A dependency graph does not automatically imply safe concurrent editing: shared paths, generated manifests, migration sequences, and integration files also need write ownership.</w:t>
      </w:r>
    </w:p>
    <w:p>
      <w:r>
        <w:t xml:space="preserve">Use isolated worktrees for workers and one integration owner for the phase branch. Return patches or commits with task IDs. Integrate serially, verify the resulting diff, and run the relevant tests on the integrated tree. Git worktrees provide independent checkouts; permission isolation requires additional controls. </w:t>
      </w:r>
      <w:hyperlink w:anchor="source_31">
        <w:r>
          <w:rPr>
            <w:color w:val="174E76"/>
          </w:rPr>
          <w:t>[S31]</w:t>
        </w:r>
      </w:hyperlink>
    </w:p>
    <w:p>
      <w:r>
        <w:t>The live reviewer receives coherent snapshots with phase IDs, task IDs, exact revision, relevant requirements, current diff, and actual test results. It sends structured findings containing severity, violated obligation, location, evidence, and proposed correction. The orchestrator steers the appropriate worker. Discard or refresh findings tied to an obsolete revision.</w:t>
      </w:r>
    </w:p>
    <w:p>
      <w:r>
        <w:t>Keep observations and course corrections continuous. The formal review gate occurs only when the phase is complete. No individual task requires a separate approval ritual. Runtime prohibitions on changing frozen contracts remain continuously enforced; these are invariants, not extra review ceremonies.</w:t>
      </w:r>
    </w:p>
    <w:p>
      <w:pPr>
        <w:pStyle w:val="Heading2"/>
      </w:pPr>
      <w:r>
        <w:t>8 4 Classify blockers and preserve the freeze</w:t>
      </w:r>
    </w:p>
    <w:p>
      <w:r>
        <w:t>Use distinct statuses for specification conflict, planning defect, environment failure, denied authorization, exhausted budget, missing external review, and inconclusive evidence. This prevents the goal loop from repeatedly trying to solve an impossible or unauthorized action.</w:t>
      </w:r>
    </w:p>
    <w:p>
      <w:r>
        <w:t>A requirement ambiguity, conflicting specification, or necessary contract change creates BLOCKED_SPEC. Record the affected IDs, concrete evidence, impacted work, and minimal decision required. Stop dependent mutation and require a new specification run. Preparation can repair its own purely mechanical plan error before freezing, provided the approved solution does not change.</w:t>
      </w:r>
    </w:p>
    <w:p>
      <w:r>
        <w:t>During implementation, do not quietly move tasks between phases or alter categories. A defective frozen plan requires a revised prepared baseline; if the correction changes solution meaning or invalidates a closed phase, it returns to specification and a new run. Ordinary coding defects inside the currently open phase can be fixed there until its gate passes.</w:t>
      </w:r>
    </w:p>
    <w:p>
      <w:pPr>
        <w:pStyle w:val="Heading1"/>
      </w:pPr>
      <w:r>
        <w:t>9 Phase gates and project evidence</w:t>
      </w:r>
    </w:p>
    <w:p>
      <w:pPr>
        <w:pStyle w:val="Heading2"/>
      </w:pPr>
      <w:r>
        <w:t>9 1 Gate on evidence from the tested revision</w:t>
      </w:r>
    </w:p>
    <w:p>
      <w:r>
        <w:t>A phase gate validates both the new phase obligations and the cumulative previous guarantees. It checks source and contract integrity, task reconciliation, build and type checks, relevant test execution, benchmark results, architecture boundaries, required security and migration evidence, documentation, and independent review findings.</w:t>
      </w:r>
    </w:p>
    <w:p>
      <w:r>
        <w:t xml:space="preserve">Tests must be inventoried, discovered, and executed. Treat missing reports, unexpected zero test counts, unapproved skips, and silently disabled benchmarks as failures or inconclusive results. GitHub's generic required check mechanism can accept skipped and neutral statuses; the RDD aggregate check must perform the stricter evidence validation itself. Where supported, restrict that status to the trusted producing app. </w:t>
      </w:r>
      <w:hyperlink w:anchor="source_35">
        <w:r>
          <w:rPr>
            <w:color w:val="174E76"/>
          </w:rPr>
          <w:t>[S35]</w:t>
        </w:r>
      </w:hyperlink>
    </w:p>
    <w:p>
      <w:r>
        <w:t xml:space="preserve">Reviewers assess requirement fulfillment, correctness, test strength, interface adherence, error handling, duplication, unnecessary abstractions, and operational completeness. Use mutation tests selectively for valuable invariants rather than demanding an arbitrary global mutation score. A line coverage target can reveal gaps but is not a correctness proof. </w:t>
      </w:r>
      <w:hyperlink w:anchor="source_54">
        <w:r>
          <w:rPr>
            <w:color w:val="174E76"/>
          </w:rPr>
          <w:t>[S54]</w:t>
        </w:r>
      </w:hyperlink>
    </w:p>
    <w:p>
      <w:r>
        <w:t>The project gate runs on the complete final integration state. It must cover the entire requirement inventory, all registered tests and benchmarks, all task and shell reconciliation, all frozen contracts, and the actual PR completion policy. Run its substantive code and operational checks before closing the last phase, using the proposed project gate code scope, so a last phase defect can be corrected without inventing an extra phase or PR. Final PR metadata and evidence publication can then be finalized without changing the tested code.</w:t>
      </w:r>
    </w:p>
    <w:p>
      <w:r>
        <w:t>CI phase validation is an input to the controller's sealing decision. Do not make a check wait for its own successful status or make phase approval depend on a PR that cannot be opened until after approval. Prepare the complete phase candidate, create or update its single PR, resolve CI and required review feedback while it remains open, and then seal the exact accepted revision.</w:t>
      </w:r>
    </w:p>
    <w:p>
      <w:pPr>
        <w:pStyle w:val="Heading2"/>
      </w:pPr>
      <w:r>
        <w:t>9 2 Benchmark protocols must be explicit</w:t>
      </w:r>
    </w:p>
    <w:p>
      <w:r>
        <w:t xml:space="preserve">A benchmark executable exiting zero does not establish that a latency or memory requirement passed. Record workload, dataset, concurrency, environment, hardware, compiler flags, warmup, repetitions, raw measurements, units, threshold comparator, baseline comparison, and the treatment of uncertainty. Google Benchmark documents warmup, repetitions, statistics, and context metadata that illustrate these needs. </w:t>
      </w:r>
      <w:hyperlink w:anchor="source_55">
        <w:r>
          <w:rPr>
            <w:color w:val="174E76"/>
          </w:rPr>
          <w:t>[S55]</w:t>
        </w:r>
      </w:hyperlink>
    </w:p>
    <w:p>
      <w:r>
        <w:t>Use dedicated or adequately controlled runners for sensitive comparisons. Separate product benchmarks from the harness's own elapsed time and model cost. A noisy result close to a bound may be inconclusive; the implementation must not keep rerunning until a favorable sample appears or change the threshold to force success.</w:t>
      </w:r>
    </w:p>
    <w:p>
      <w:r>
        <w:t xml:space="preserve">Monthly availability and other observation based SLOs cannot be proven by a short local test. The gate can verify instrumentation, failure handling, deployment readiness, and an agreed preproduction exercise. It should distinguish those results from measured production compliance over the required window. </w:t>
      </w:r>
      <w:hyperlink w:anchor="source_56">
        <w:r>
          <w:rPr>
            <w:color w:val="174E76"/>
          </w:rPr>
          <w:t>[S56]</w:t>
        </w:r>
      </w:hyperlink>
    </w:p>
    <w:p>
      <w:pPr>
        <w:pStyle w:val="Heading2"/>
      </w:pPr>
      <w:r>
        <w:t>9 3 Prevent evidence self certification</w:t>
      </w:r>
    </w:p>
    <w:p>
      <w:r>
        <w:t>The controller or trusted CI records command arguments, exit status, timing, output locations and digests, test counts, benchmark values, source commit, source tree, toolchain, requirement and contract baselines, review revision, and PR state. The worker's statement that tests passed is a pointer to evidence, not the evidence itself.</w:t>
      </w:r>
    </w:p>
    <w:p>
      <w:r>
        <w:t>Avoid a report that claims its own final commit SHA inside that same commit. Prefer a CI artifact keyed by the tested source SHA, or a subsequent evidence only commit that records and independently verifies the unchanged source tree. Define the source inventory precisely; executable scripts and build configuration must not be excluded under an overly broad documentation exception.</w:t>
      </w:r>
    </w:p>
    <w:p>
      <w:r>
        <w:t xml:space="preserve">An artifact attestation can identify source and build provenance, but it is not proof the application is secure or correct. Acceptance still depends on the checks and their adequacy. </w:t>
      </w:r>
      <w:hyperlink w:anchor="source_37">
        <w:r>
          <w:rPr>
            <w:color w:val="174E76"/>
          </w:rPr>
          <w:t>[S37]</w:t>
        </w:r>
      </w:hyperlink>
    </w:p>
    <w:p>
      <w:pPr>
        <w:pStyle w:val="Heading2"/>
      </w:pPr>
      <w:r>
        <w:t>9 4 Define completion as a predicate</w:t>
      </w:r>
    </w:p>
    <w:p>
      <w:r>
        <w:t>The controller reports success only when all of the following are true: the frozen input baseline still matches; every active task has valid completion evidence; no active run marker or unfinished shell remains; the expected test and benchmark inventory actually ran and met its criteria; contracts and architecture checks pass; no blocking findings remain; every phase has current evidence; all PRs satisfy the selected completion policy; and the final validation artifact exists and matches the tested source and live stack.</w:t>
      </w:r>
    </w:p>
    <w:p>
      <w:r>
        <w:t>Keep task state separate from phase acceptance. A worker may have completed its assignment while the phase remains open for integration and review. Deleting all inline comments without evidence cannot satisfy the predicate. A goal mode session that stops because of a budget, permission, review dependency, or unresolved specification is not a completed implementation.</w:t>
      </w:r>
    </w:p>
    <w:p>
      <w:pPr>
        <w:pStyle w:val="Heading1"/>
      </w:pPr>
      <w:r>
        <w:t>10 Stacked PR lifecycle</w:t>
      </w:r>
    </w:p>
    <w:p>
      <w:r>
        <w:t>Use one run namespace and one branch per phase. Keep the approved specification, preparation artifacts, compiled contracts, and safe shells in the initial commits of P01. This preserves one PR per phase without introducing an unplanned preparation PR. If a separate foundation phase is desirable, declare it explicitly in the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Phase</w:t>
            </w:r>
          </w:p>
        </w:tc>
        <w:tc>
          <w:tcPr>
            <w:tcW w:type="dxa" w:w="2880"/>
            <w:vAlign w:val="center"/>
            <w:shd w:fill="163A50"/>
          </w:tcPr>
          <w:p>
            <w:pPr>
              <w:spacing w:after="0" w:line="252" w:lineRule="auto"/>
            </w:pPr>
            <w:r>
              <w:rPr>
                <w:b/>
                <w:color w:val="FFFFFF"/>
                <w:sz w:val="18"/>
              </w:rPr>
              <w:t>Head branch</w:t>
            </w:r>
          </w:p>
        </w:tc>
        <w:tc>
          <w:tcPr>
            <w:tcW w:type="dxa" w:w="4536"/>
            <w:vAlign w:val="center"/>
            <w:shd w:fill="163A50"/>
          </w:tcPr>
          <w:p>
            <w:pPr>
              <w:spacing w:after="0" w:line="252" w:lineRule="auto"/>
            </w:pPr>
            <w:r>
              <w:rPr>
                <w:b/>
                <w:color w:val="FFFFFF"/>
                <w:sz w:val="18"/>
              </w:rPr>
              <w:t>Initial comparison base</w:t>
            </w:r>
          </w:p>
        </w:tc>
      </w:tr>
      <w:tr>
        <w:trPr>
          <w:cantSplit/>
        </w:trPr>
        <w:tc>
          <w:tcPr>
            <w:tcW w:type="dxa" w:w="2664"/>
            <w:vAlign w:val="center"/>
            <w:shd w:fill="FFFFFF"/>
          </w:tcPr>
          <w:p>
            <w:pPr>
              <w:spacing w:after="0" w:line="252" w:lineRule="auto"/>
            </w:pPr>
            <w:r>
              <w:rPr>
                <w:sz w:val="18"/>
              </w:rPr>
              <w:t>P01</w:t>
            </w:r>
          </w:p>
        </w:tc>
        <w:tc>
          <w:tcPr>
            <w:tcW w:type="dxa" w:w="2880"/>
            <w:vAlign w:val="center"/>
            <w:shd w:fill="FFFFFF"/>
          </w:tcPr>
          <w:p>
            <w:pPr>
              <w:spacing w:after="0" w:line="252" w:lineRule="auto"/>
            </w:pPr>
            <w:r>
              <w:rPr>
                <w:sz w:val="18"/>
              </w:rPr>
              <w:t>rdd/R-001/p01</w:t>
            </w:r>
          </w:p>
        </w:tc>
        <w:tc>
          <w:tcPr>
            <w:tcW w:type="dxa" w:w="4536"/>
            <w:vAlign w:val="center"/>
            <w:shd w:fill="FFFFFF"/>
          </w:tcPr>
          <w:p>
            <w:pPr>
              <w:spacing w:after="0" w:line="252" w:lineRule="auto"/>
            </w:pPr>
            <w:r>
              <w:rPr>
                <w:sz w:val="18"/>
              </w:rPr>
              <w:t>main</w:t>
            </w:r>
          </w:p>
        </w:tc>
      </w:tr>
      <w:tr>
        <w:trPr>
          <w:cantSplit/>
        </w:trPr>
        <w:tc>
          <w:tcPr>
            <w:tcW w:type="dxa" w:w="2664"/>
            <w:vAlign w:val="center"/>
            <w:shd w:fill="F3F6F8"/>
          </w:tcPr>
          <w:p>
            <w:pPr>
              <w:spacing w:after="0" w:line="252" w:lineRule="auto"/>
            </w:pPr>
            <w:r>
              <w:rPr>
                <w:sz w:val="18"/>
              </w:rPr>
              <w:t>P02</w:t>
            </w:r>
          </w:p>
        </w:tc>
        <w:tc>
          <w:tcPr>
            <w:tcW w:type="dxa" w:w="2880"/>
            <w:vAlign w:val="center"/>
            <w:shd w:fill="F3F6F8"/>
          </w:tcPr>
          <w:p>
            <w:pPr>
              <w:spacing w:after="0" w:line="252" w:lineRule="auto"/>
            </w:pPr>
            <w:r>
              <w:rPr>
                <w:sz w:val="18"/>
              </w:rPr>
              <w:t>rdd/R-001/p02</w:t>
            </w:r>
          </w:p>
        </w:tc>
        <w:tc>
          <w:tcPr>
            <w:tcW w:type="dxa" w:w="4536"/>
            <w:vAlign w:val="center"/>
            <w:shd w:fill="F3F6F8"/>
          </w:tcPr>
          <w:p>
            <w:pPr>
              <w:spacing w:after="0" w:line="252" w:lineRule="auto"/>
            </w:pPr>
            <w:r>
              <w:rPr>
                <w:sz w:val="18"/>
              </w:rPr>
              <w:t>rdd/R-001/p01</w:t>
            </w:r>
          </w:p>
        </w:tc>
      </w:tr>
      <w:tr>
        <w:trPr>
          <w:cantSplit/>
        </w:trPr>
        <w:tc>
          <w:tcPr>
            <w:tcW w:type="dxa" w:w="2664"/>
            <w:vAlign w:val="center"/>
            <w:shd w:fill="FFFFFF"/>
          </w:tcPr>
          <w:p>
            <w:pPr>
              <w:spacing w:after="0" w:line="252" w:lineRule="auto"/>
            </w:pPr>
            <w:r>
              <w:rPr>
                <w:sz w:val="18"/>
              </w:rPr>
              <w:t>P03</w:t>
            </w:r>
          </w:p>
        </w:tc>
        <w:tc>
          <w:tcPr>
            <w:tcW w:type="dxa" w:w="2880"/>
            <w:vAlign w:val="center"/>
            <w:shd w:fill="FFFFFF"/>
          </w:tcPr>
          <w:p>
            <w:pPr>
              <w:spacing w:after="0" w:line="252" w:lineRule="auto"/>
            </w:pPr>
            <w:r>
              <w:rPr>
                <w:sz w:val="18"/>
              </w:rPr>
              <w:t>rdd/R-001/p03</w:t>
            </w:r>
          </w:p>
        </w:tc>
        <w:tc>
          <w:tcPr>
            <w:tcW w:type="dxa" w:w="4536"/>
            <w:vAlign w:val="center"/>
            <w:shd w:fill="FFFFFF"/>
          </w:tcPr>
          <w:p>
            <w:pPr>
              <w:spacing w:after="0" w:line="252" w:lineRule="auto"/>
            </w:pPr>
            <w:r>
              <w:rPr>
                <w:sz w:val="18"/>
              </w:rPr>
              <w:t>rdd/R-001/p02</w:t>
            </w:r>
          </w:p>
        </w:tc>
      </w:tr>
    </w:tbl>
    <w:p>
      <w:pPr>
        <w:spacing w:after="40" w:before="0" w:line="120" w:lineRule="auto"/>
      </w:pPr>
    </w:p>
    <w:p>
      <w:r>
        <w:t>Select pr_completion during specification. The recommended ready policy means one open non draft PR per phase; correct head and base chain; current phase and cumulative evidence; all configured checks and required reviews satisfied on the relevant revision; no blocking findings; and a recorded bottom up landing plan. Ready means ready within the dependency stack, not that every child already targets main.</w:t>
      </w:r>
    </w:p>
    <w:p>
      <w:r>
        <w:t>If a required human review is unavailable, report awaiting_review. A request for review is not approval. If the owner selects merged instead, the run also needs authority to merge, bottom up landing of all phases, and verification of the resulting target tree.</w:t>
      </w:r>
    </w:p>
    <w:p>
      <w:r>
        <w:t>Never merge a child PR into its parent simply because that is its current comparison base. That would mutate the already accepted parent and collapse the phase boundary. Land the bottom PR into main, retarget the successor to main, restack if necessary, revalidate the resulting revision, and repeat.</w:t>
      </w:r>
    </w:p>
    <w:p>
      <w:r>
        <w:t xml:space="preserve">Prefer ancestry preserving merges when compatible with the repository. Squash and rebase merge strategies require careful replay of only the successor's delta using the recorded old parent boundary. Git documents rebase onto for transplanting commits; GitHub documents how merge methods and base changes affect ancestry, diffs, and reviews. </w:t>
      </w:r>
      <w:hyperlink w:anchor="source_32">
        <w:r>
          <w:rPr>
            <w:color w:val="174E76"/>
          </w:rPr>
          <w:t>[S32–S34]</w:t>
        </w:r>
      </w:hyperlink>
    </w:p>
    <w:p>
      <w:r>
        <w:t>A restack creates new revisions, so append new validation evidence even if the intended source change is unchanged. If main changes while the run is active, rebase or merge through the selected policy and verify the exact resulting tree. Distinguish a defect that already invalidated an earlier phase against its frozen baseline from an incompatible later external change. The former is a closure failure; the latter is baseline drift requiring new integration evidence or replanning. Preserve the old historical attestation and append an explicit invalidation or supersession record.</w:t>
      </w:r>
    </w:p>
    <w:p>
      <w:r>
        <w:t xml:space="preserve">If using GitHub's merge queue, configure the required checks for merge_group as well as the relevant PR events. A queue validates the candidate with the latest target and queued predecessors. Availability and repository policy should be checked during setup. </w:t>
      </w:r>
      <w:hyperlink w:anchor="source_36">
        <w:r>
          <w:rPr>
            <w:color w:val="174E76"/>
          </w:rPr>
          <w:t>[S36]</w:t>
        </w:r>
      </w:hyperlink>
    </w:p>
    <w:p>
      <w:r>
        <w:t xml:space="preserve">Do not accept merged badges as the only completion evidence: GitHub can mark PRs indirectly merged, which does not establish that each PR's own protections were satisfied. The harness must retain independent per phase gate evidence. </w:t>
      </w:r>
      <w:hyperlink w:anchor="source_34">
        <w:r>
          <w:rPr>
            <w:color w:val="174E76"/>
          </w:rPr>
          <w:t>[S34]</w:t>
        </w:r>
      </w:hyperlink>
    </w:p>
    <w:p>
      <w:pPr>
        <w:pStyle w:val="Heading1"/>
      </w:pPr>
      <w:r>
        <w:t>11 Skill system</w:t>
      </w:r>
    </w:p>
    <w:p>
      <w:pPr>
        <w:pStyle w:val="Heading2"/>
      </w:pPr>
      <w:r>
        <w:t>11 1 Organize skills by responsibility</w:t>
      </w:r>
    </w:p>
    <w:p>
      <w:r>
        <w:t xml:space="preserve">Place repository skills under .agents/skills and agent configurations under .codex/agents. The three workflow skills are explicit developer entry points. Supporting skills should load only when their scope matches the task. Codex supports skill entry points, reference material, scripts, and optional invocation policy metadata. Keep these distinct from the harness's own machine readable metadata. </w:t>
      </w:r>
      <w:hyperlink w:anchor="source_7">
        <w:r>
          <w:rPr>
            <w:color w:val="174E76"/>
          </w:rPr>
          <w:t>[S7, S13]</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24"/>
        <w:gridCol w:w="7056"/>
      </w:tblGrid>
      <w:tr>
        <w:trPr>
          <w:cantSplit/>
          <w:tblHeader/>
        </w:trPr>
        <w:tc>
          <w:tcPr>
            <w:tcW w:type="dxa" w:w="3024"/>
            <w:vAlign w:val="center"/>
            <w:shd w:fill="163A50"/>
          </w:tcPr>
          <w:p>
            <w:pPr>
              <w:spacing w:after="0" w:line="252" w:lineRule="auto"/>
            </w:pPr>
            <w:r>
              <w:rPr>
                <w:b/>
                <w:color w:val="FFFFFF"/>
                <w:sz w:val="18"/>
              </w:rPr>
              <w:t>Skill family</w:t>
            </w:r>
          </w:p>
        </w:tc>
        <w:tc>
          <w:tcPr>
            <w:tcW w:type="dxa" w:w="7056"/>
            <w:vAlign w:val="center"/>
            <w:shd w:fill="163A50"/>
          </w:tcPr>
          <w:p>
            <w:pPr>
              <w:spacing w:after="0" w:line="252" w:lineRule="auto"/>
            </w:pPr>
            <w:r>
              <w:rPr>
                <w:b/>
                <w:color w:val="FFFFFF"/>
                <w:sz w:val="18"/>
              </w:rPr>
              <w:t>Initial skills and responsibility</w:t>
            </w:r>
          </w:p>
        </w:tc>
      </w:tr>
      <w:tr>
        <w:trPr>
          <w:cantSplit/>
        </w:trPr>
        <w:tc>
          <w:tcPr>
            <w:tcW w:type="dxa" w:w="3024"/>
            <w:vAlign w:val="center"/>
            <w:shd w:fill="FFFFFF"/>
          </w:tcPr>
          <w:p>
            <w:pPr>
              <w:spacing w:after="0" w:line="252" w:lineRule="auto"/>
            </w:pPr>
            <w:r>
              <w:rPr>
                <w:sz w:val="18"/>
              </w:rPr>
              <w:t>Workflow</w:t>
            </w:r>
          </w:p>
        </w:tc>
        <w:tc>
          <w:tcPr>
            <w:tcW w:type="dxa" w:w="7056"/>
            <w:vAlign w:val="center"/>
            <w:shd w:fill="FFFFFF"/>
          </w:tcPr>
          <w:p>
            <w:pPr>
              <w:spacing w:after="0" w:line="252" w:lineRule="auto"/>
            </w:pPr>
            <w:r>
              <w:rPr>
                <w:sz w:val="18"/>
              </w:rPr>
              <w:t>specification-workflow, preparation-workflow, implementation-workflow</w:t>
            </w:r>
          </w:p>
        </w:tc>
      </w:tr>
      <w:tr>
        <w:trPr>
          <w:cantSplit/>
        </w:trPr>
        <w:tc>
          <w:tcPr>
            <w:tcW w:type="dxa" w:w="3024"/>
            <w:vAlign w:val="center"/>
            <w:shd w:fill="F3F6F8"/>
          </w:tcPr>
          <w:p>
            <w:pPr>
              <w:spacing w:after="0" w:line="252" w:lineRule="auto"/>
            </w:pPr>
            <w:r>
              <w:rPr>
                <w:sz w:val="18"/>
              </w:rPr>
              <w:t>Requirements and change</w:t>
            </w:r>
          </w:p>
        </w:tc>
        <w:tc>
          <w:tcPr>
            <w:tcW w:type="dxa" w:w="7056"/>
            <w:vAlign w:val="center"/>
            <w:shd w:fill="F3F6F8"/>
          </w:tcPr>
          <w:p>
            <w:pPr>
              <w:spacing w:after="0" w:line="252" w:lineRule="auto"/>
            </w:pPr>
            <w:r>
              <w:rPr>
                <w:sz w:val="18"/>
              </w:rPr>
              <w:t>Requirement quality, traceability, amendment impact and regeneration</w:t>
            </w:r>
          </w:p>
        </w:tc>
      </w:tr>
      <w:tr>
        <w:trPr>
          <w:cantSplit/>
        </w:trPr>
        <w:tc>
          <w:tcPr>
            <w:tcW w:type="dxa" w:w="3024"/>
            <w:vAlign w:val="center"/>
            <w:shd w:fill="FFFFFF"/>
          </w:tcPr>
          <w:p>
            <w:pPr>
              <w:spacing w:after="0" w:line="252" w:lineRule="auto"/>
            </w:pPr>
            <w:r>
              <w:rPr>
                <w:sz w:val="18"/>
              </w:rPr>
              <w:t>Planning</w:t>
            </w:r>
          </w:p>
        </w:tc>
        <w:tc>
          <w:tcPr>
            <w:tcW w:type="dxa" w:w="7056"/>
            <w:vAlign w:val="center"/>
            <w:shd w:fill="FFFFFF"/>
          </w:tcPr>
          <w:p>
            <w:pPr>
              <w:spacing w:after="0" w:line="252" w:lineRule="auto"/>
            </w:pPr>
            <w:r>
              <w:rPr>
                <w:sz w:val="18"/>
              </w:rPr>
              <w:t>Domain boundaries, dependency due diligence, reuse analysis, task verticals and phase closure</w:t>
            </w:r>
          </w:p>
        </w:tc>
      </w:tr>
      <w:tr>
        <w:trPr>
          <w:cantSplit/>
        </w:trPr>
        <w:tc>
          <w:tcPr>
            <w:tcW w:type="dxa" w:w="3024"/>
            <w:vAlign w:val="center"/>
            <w:shd w:fill="F3F6F8"/>
          </w:tcPr>
          <w:p>
            <w:pPr>
              <w:spacing w:after="0" w:line="252" w:lineRule="auto"/>
            </w:pPr>
            <w:r>
              <w:rPr>
                <w:sz w:val="18"/>
              </w:rPr>
              <w:t>Contracts</w:t>
            </w:r>
          </w:p>
        </w:tc>
        <w:tc>
          <w:tcPr>
            <w:tcW w:type="dxa" w:w="7056"/>
            <w:vAlign w:val="center"/>
            <w:shd w:fill="F3F6F8"/>
          </w:tcPr>
          <w:p>
            <w:pPr>
              <w:spacing w:after="0" w:line="252" w:lineRule="auto"/>
            </w:pPr>
            <w:r>
              <w:rPr>
                <w:sz w:val="18"/>
              </w:rPr>
              <w:t>Protobuf design, validation, generation integrity and compatibility</w:t>
            </w:r>
          </w:p>
        </w:tc>
      </w:tr>
      <w:tr>
        <w:trPr>
          <w:cantSplit/>
        </w:trPr>
        <w:tc>
          <w:tcPr>
            <w:tcW w:type="dxa" w:w="3024"/>
            <w:vAlign w:val="center"/>
            <w:shd w:fill="FFFFFF"/>
          </w:tcPr>
          <w:p>
            <w:pPr>
              <w:spacing w:after="0" w:line="252" w:lineRule="auto"/>
            </w:pPr>
            <w:r>
              <w:rPr>
                <w:sz w:val="18"/>
              </w:rPr>
              <w:t>Development</w:t>
            </w:r>
          </w:p>
        </w:tc>
        <w:tc>
          <w:tcPr>
            <w:tcW w:type="dxa" w:w="7056"/>
            <w:vAlign w:val="center"/>
            <w:shd w:fill="FFFFFF"/>
          </w:tcPr>
          <w:p>
            <w:pPr>
              <w:spacing w:after="0" w:line="252" w:lineRule="auto"/>
            </w:pPr>
            <w:r>
              <w:rPr>
                <w:sz w:val="18"/>
              </w:rPr>
              <w:t>New module, API endpoint set, UI page, test suite, domain code structure, safe migration and deletion</w:t>
            </w:r>
          </w:p>
        </w:tc>
      </w:tr>
      <w:tr>
        <w:trPr>
          <w:cantSplit/>
        </w:trPr>
        <w:tc>
          <w:tcPr>
            <w:tcW w:type="dxa" w:w="3024"/>
            <w:vAlign w:val="center"/>
            <w:shd w:fill="F3F6F8"/>
          </w:tcPr>
          <w:p>
            <w:pPr>
              <w:spacing w:after="0" w:line="252" w:lineRule="auto"/>
            </w:pPr>
            <w:r>
              <w:rPr>
                <w:sz w:val="18"/>
              </w:rPr>
              <w:t>Operations</w:t>
            </w:r>
          </w:p>
        </w:tc>
        <w:tc>
          <w:tcPr>
            <w:tcW w:type="dxa" w:w="7056"/>
            <w:vAlign w:val="center"/>
            <w:shd w:fill="F3F6F8"/>
          </w:tcPr>
          <w:p>
            <w:pPr>
              <w:spacing w:after="0" w:line="252" w:lineRule="auto"/>
            </w:pPr>
            <w:r>
              <w:rPr>
                <w:sz w:val="18"/>
              </w:rPr>
              <w:t>Logging and tracing, NFR measurement, documentation and operator guidance</w:t>
            </w:r>
          </w:p>
        </w:tc>
      </w:tr>
      <w:tr>
        <w:trPr>
          <w:cantSplit/>
        </w:trPr>
        <w:tc>
          <w:tcPr>
            <w:tcW w:type="dxa" w:w="3024"/>
            <w:vAlign w:val="center"/>
            <w:shd w:fill="FFFFFF"/>
          </w:tcPr>
          <w:p>
            <w:pPr>
              <w:spacing w:after="0" w:line="252" w:lineRule="auto"/>
            </w:pPr>
            <w:r>
              <w:rPr>
                <w:sz w:val="18"/>
              </w:rPr>
              <w:t>Language profiles</w:t>
            </w:r>
          </w:p>
        </w:tc>
        <w:tc>
          <w:tcPr>
            <w:tcW w:type="dxa" w:w="7056"/>
            <w:vAlign w:val="center"/>
            <w:shd w:fill="FFFFFF"/>
          </w:tcPr>
          <w:p>
            <w:pPr>
              <w:spacing w:after="0" w:line="252" w:lineRule="auto"/>
            </w:pPr>
            <w:r>
              <w:rPr>
                <w:sz w:val="18"/>
              </w:rPr>
              <w:t>Version specific async, types, receiver methods, interfaces or traits, generics, errors and testing</w:t>
            </w:r>
          </w:p>
        </w:tc>
      </w:tr>
      <w:tr>
        <w:trPr>
          <w:cantSplit/>
        </w:trPr>
        <w:tc>
          <w:tcPr>
            <w:tcW w:type="dxa" w:w="3024"/>
            <w:vAlign w:val="center"/>
            <w:shd w:fill="F3F6F8"/>
          </w:tcPr>
          <w:p>
            <w:pPr>
              <w:spacing w:after="0" w:line="252" w:lineRule="auto"/>
            </w:pPr>
            <w:r>
              <w:rPr>
                <w:sz w:val="18"/>
              </w:rPr>
              <w:t>Harness support</w:t>
            </w:r>
          </w:p>
        </w:tc>
        <w:tc>
          <w:tcPr>
            <w:tcW w:type="dxa" w:w="7056"/>
            <w:vAlign w:val="center"/>
            <w:shd w:fill="F3F6F8"/>
          </w:tcPr>
          <w:p>
            <w:pPr>
              <w:spacing w:after="0" w:line="252" w:lineRule="auto"/>
            </w:pPr>
            <w:r>
              <w:rPr>
                <w:sz w:val="18"/>
              </w:rPr>
              <w:t>Context selection, anchor reconciliation, checkpoint recovery and evidence reporting</w:t>
            </w:r>
          </w:p>
        </w:tc>
      </w:tr>
    </w:tbl>
    <w:p>
      <w:pPr>
        <w:spacing w:after="40" w:before="0" w:line="120" w:lineRule="auto"/>
      </w:pPr>
    </w:p>
    <w:p>
      <w:r>
        <w:t>The first version should implement the few skills needed by one representative project. Expand the catalog when repeated work justifies a new skill. Avoid dozens of overlapping entry points that restate the same rules or give conflicting advice.</w:t>
      </w:r>
    </w:p>
    <w:p>
      <w:r>
        <w:t>Each skill needs a narrow trigger, exclusions, supported versions, input artifacts, authority limits, procedure, rules with rationale, original bad and good examples, executable verification, output schema, blocker conditions, and official sources with the checked date and supported claim. Put language details in topic references so the entry file stays short.</w:t>
      </w:r>
    </w:p>
    <w:p>
      <w:r>
        <w:t>Language and framework versions come from the NFRs or specification decisions. Generate a skill pack only for those technologies. Validate its examples against the pinned toolchain, including intended failing examples. Record the expected failure of a bad example rather than accidentally shipping it as approved code.</w:t>
      </w:r>
    </w:p>
    <w:p>
      <w:r>
        <w:t>The skill lock covers referenced scripts, examples, configuration, and assets as well as SKILL.md. Validate trigger metadata, referenced paths, input and output schemas, and constrained example fixtures. A bad example may compile correctly; check that it fails the intended behavioral or lint rule rather than treating compilation failure as its only possible lesson.</w:t>
      </w:r>
    </w:p>
    <w:p>
      <w:pPr>
        <w:pStyle w:val="Heading2"/>
      </w:pPr>
      <w:r>
        <w:t>11 2 Make language advice idiomatic</w:t>
      </w:r>
    </w:p>
    <w:p>
      <w:r>
        <w:t xml:space="preserve">For Go, encode explicit goroutine lifetimes, context propagation, intentional pointer and value receivers, errors, small consumer owned interfaces, package visibility, testing, and fuzzing where useful. Go's review guidance discourages speculative interfaces created solely for mocking and emphasizes clear goroutine ownership. </w:t>
      </w:r>
      <w:hyperlink w:anchor="source_41">
        <w:r>
          <w:rPr>
            <w:color w:val="174E76"/>
          </w:rPr>
          <w:t>[S41]</w:t>
        </w:r>
      </w:hyperlink>
    </w:p>
    <w:p>
      <w:r>
        <w:t xml:space="preserve">For Rust, encode private invariant bearing types, impl methods, ownership and borrowing, appropriate traits and generics, error types, async runtime lifecycle, and tests against public interfaces. Rust's method guidance supports keeping behavior organized around its type. For TypeScript, encode boundary validation, discriminated unions and exhaustive states, dependency ownership, and framework specific async behavior. Compile time annotations do not validate an incoming request at runtime. </w:t>
      </w:r>
      <w:hyperlink w:anchor="source_42">
        <w:r>
          <w:rPr>
            <w:color w:val="174E76"/>
          </w:rPr>
          <w:t>[S42–S43, S53]</w:t>
        </w:r>
      </w:hyperlink>
    </w:p>
    <w:p>
      <w:r>
        <w:t xml:space="preserve">Refine the receiver method preference to this rule: place behavior with the type or service that owns its state, invariants, or dependencies. Use stateless functions for transformations and framework defined function surfaces. Avoid utility dumping grounds, wrapper classes without responsibility, speculative interfaces, and generic abstractions with only one imaginary use case. React function components are an explicit example where forcing a class wrapper would oppose the framework's normal model. </w:t>
      </w:r>
      <w:hyperlink w:anchor="source_44">
        <w:r>
          <w:rPr>
            <w:color w:val="174E76"/>
          </w:rPr>
          <w:t>[S44]</w:t>
        </w:r>
      </w:hyperlink>
    </w:p>
    <w:p>
      <w:r>
        <w:t>The following original Go excerpts illustrate a skill example for an operation whose contract promises that sending has completed before success is returned. The surrounding types and imports are omitted for focus.</w:t>
      </w:r>
    </w:p>
    <w:p>
      <w:r>
        <w:t>Bad implementation:</w:t>
      </w:r>
    </w:p>
    <w:p>
      <w:pPr>
        <w:keepNext/>
        <w:widowControl/>
        <w:spacing w:after="0" w:before="0" w:line="250" w:lineRule="auto"/>
        <w:ind w:left="187" w:right="144"/>
        <w:shd w:fill="F1F3F5"/>
      </w:pPr>
      <w:r>
        <w:rPr>
          <w:rFonts w:ascii="Liberation Mono" w:hAnsi="Liberation Mono"/>
          <w:sz w:val="16"/>
        </w:rPr>
        <w:t>func (s *Service) Notify(ctx context.Context, id InvitationID) error {</w:t>
      </w:r>
    </w:p>
    <w:p>
      <w:pPr>
        <w:keepNext/>
        <w:widowControl/>
        <w:spacing w:after="0" w:before="0" w:line="250" w:lineRule="auto"/>
        <w:ind w:left="187" w:right="144"/>
        <w:shd w:fill="F1F3F5"/>
      </w:pPr>
      <w:r>
        <w:rPr>
          <w:rFonts w:ascii="Liberation Mono" w:hAnsi="Liberation Mono"/>
          <w:sz w:val="16"/>
        </w:rPr>
        <w:t xml:space="preserve">    go s.sender.Send(context.Background(), id)</w:t>
      </w:r>
    </w:p>
    <w:p>
      <w:pPr>
        <w:keepNext/>
        <w:widowControl/>
        <w:spacing w:after="0" w:before="0" w:line="250" w:lineRule="auto"/>
        <w:ind w:left="187" w:right="144"/>
        <w:shd w:fill="F1F3F5"/>
      </w:pPr>
      <w:r>
        <w:rPr>
          <w:rFonts w:ascii="Liberation Mono" w:hAnsi="Liberation Mono"/>
          <w:sz w:val="16"/>
        </w:rPr>
        <w:t xml:space="preserve">    return nil</w:t>
      </w:r>
    </w:p>
    <w:p>
      <w:pPr>
        <w:keepNext w:val="0"/>
        <w:widowControl/>
        <w:spacing w:after="0" w:before="0" w:line="250" w:lineRule="auto"/>
        <w:ind w:left="187" w:right="144"/>
        <w:shd w:fill="F1F3F5"/>
      </w:pPr>
      <w:r>
        <w:rPr>
          <w:rFonts w:ascii="Liberation Mono" w:hAnsi="Liberation Mono"/>
          <w:sz w:val="16"/>
        </w:rPr>
        <w:t>}</w:t>
      </w:r>
    </w:p>
    <w:p>
      <w:pPr>
        <w:spacing w:after="60" w:line="96" w:lineRule="auto"/>
      </w:pPr>
    </w:p>
    <w:p>
      <w:r>
        <w:t>This detaches work from the caller, drops the error, and reports success before the promised operation completes. It also lacks a managed lifetime or durable retry path.</w:t>
      </w:r>
    </w:p>
    <w:p>
      <w:r>
        <w:t>Better implementation for that synchronous contract:</w:t>
      </w:r>
    </w:p>
    <w:p>
      <w:pPr>
        <w:keepNext/>
        <w:widowControl/>
        <w:spacing w:after="0" w:before="0" w:line="250" w:lineRule="auto"/>
        <w:ind w:left="187" w:right="144"/>
        <w:shd w:fill="F1F3F5"/>
      </w:pPr>
      <w:r>
        <w:rPr>
          <w:rFonts w:ascii="Liberation Mono" w:hAnsi="Liberation Mono"/>
          <w:sz w:val="16"/>
        </w:rPr>
        <w:t>func (s *Service) Notify(ctx context.Context, id InvitationID) error {</w:t>
      </w:r>
    </w:p>
    <w:p>
      <w:pPr>
        <w:keepNext/>
        <w:widowControl/>
        <w:spacing w:after="0" w:before="0" w:line="250" w:lineRule="auto"/>
        <w:ind w:left="187" w:right="144"/>
        <w:shd w:fill="F1F3F5"/>
      </w:pPr>
      <w:r>
        <w:rPr>
          <w:rFonts w:ascii="Liberation Mono" w:hAnsi="Liberation Mono"/>
          <w:sz w:val="16"/>
        </w:rPr>
        <w:t xml:space="preserve">    if err := s.sender.Send(ctx, id); err != nil {</w:t>
      </w:r>
    </w:p>
    <w:p>
      <w:pPr>
        <w:keepNext/>
        <w:widowControl/>
        <w:spacing w:after="0" w:before="0" w:line="250" w:lineRule="auto"/>
        <w:ind w:left="187" w:right="144"/>
        <w:shd w:fill="F1F3F5"/>
      </w:pPr>
      <w:r>
        <w:rPr>
          <w:rFonts w:ascii="Liberation Mono" w:hAnsi="Liberation Mono"/>
          <w:sz w:val="16"/>
        </w:rPr>
        <w:t xml:space="preserve">        return fmt.Errorf("send invitation: %w", err)</w:t>
      </w:r>
    </w:p>
    <w:p>
      <w:pPr>
        <w:keepNext/>
        <w:widowControl/>
        <w:spacing w:after="0" w:before="0" w:line="250" w:lineRule="auto"/>
        <w:ind w:left="187" w:right="144"/>
        <w:shd w:fill="F1F3F5"/>
      </w:pPr>
      <w:r>
        <w:rPr>
          <w:rFonts w:ascii="Liberation Mono" w:hAnsi="Liberation Mono"/>
          <w:sz w:val="16"/>
        </w:rPr>
        <w:t xml:space="preserve">    }</w:t>
      </w:r>
    </w:p>
    <w:p>
      <w:pPr>
        <w:keepNext/>
        <w:widowControl/>
        <w:spacing w:after="0" w:before="0" w:line="250" w:lineRule="auto"/>
        <w:ind w:left="187" w:right="144"/>
        <w:shd w:fill="F1F3F5"/>
      </w:pPr>
      <w:r>
        <w:rPr>
          <w:rFonts w:ascii="Liberation Mono" w:hAnsi="Liberation Mono"/>
          <w:sz w:val="16"/>
        </w:rPr>
        <w:t xml:space="preserve">    return nil</w:t>
      </w:r>
    </w:p>
    <w:p>
      <w:pPr>
        <w:keepNext w:val="0"/>
        <w:widowControl/>
        <w:spacing w:after="0" w:before="0" w:line="250" w:lineRule="auto"/>
        <w:ind w:left="187" w:right="144"/>
        <w:shd w:fill="F1F3F5"/>
      </w:pPr>
      <w:r>
        <w:rPr>
          <w:rFonts w:ascii="Liberation Mono" w:hAnsi="Liberation Mono"/>
          <w:sz w:val="16"/>
        </w:rPr>
        <w:t>}</w:t>
      </w:r>
    </w:p>
    <w:p>
      <w:pPr>
        <w:spacing w:after="60" w:line="96" w:lineRule="auto"/>
      </w:pPr>
    </w:p>
    <w:p>
      <w:r>
        <w:t xml:space="preserve">For an asynchronous contract, the better design may instead acknowledge a durable enqueue and let an explicitly owned worker handle delivery, retries, and shutdown. The skill must explain that exception rather than declare every background task incorrect. The chosen behavior is a specification decision. </w:t>
      </w:r>
      <w:hyperlink w:anchor="source_41">
        <w:r>
          <w:rPr>
            <w:color w:val="174E76"/>
          </w:rPr>
          <w:t>[S41]</w:t>
        </w:r>
      </w:hyperlink>
    </w:p>
    <w:p>
      <w:pPr>
        <w:pStyle w:val="Heading2"/>
      </w:pPr>
      <w:r>
        <w:t>11 3 Define development recipes without creating bloat</w:t>
      </w:r>
    </w:p>
    <w:p>
      <w:r>
        <w:t>A new module skill should inspect existing ownership, implement the approved entry interface, create only required domain, application, adapter, and test surfaces, and enforce its allowed dependencies. A public API skill should wire generated contracts, execute validation, enforce identity and authorization, map errors, propagate deadlines, instrument boundaries, and test registration and behavior.</w:t>
      </w:r>
    </w:p>
    <w:p>
      <w:r>
        <w:t>A UI skill should use generated clients where selected, model loading and error states explicitly, preserve authorization boundaries, meet accessibility requirements, and include browser level evidence for the required journeys. A test suite skill should select unit tests for local rules, integration tests for real boundaries and persistence behavior, and end to end tests for critical workflows. Avoid mocking every internal method or using an integration suite as a substitute for clear local tests.</w:t>
      </w:r>
    </w:p>
    <w:p>
      <w:r>
        <w:t xml:space="preserve">The observability skill should name required operations, logs, spans, metrics, correlation, redaction, and bounded attribute dimensions. Use the selected OpenTelemetry conventions and check that instrumentation actually emits the required data. Do not log credentials, whole requests, or duplicated errors by default. The OTel data model supports log and trace correlation, and its HTTP conventions discuss sensitive headers and query redaction. </w:t>
      </w:r>
      <w:hyperlink w:anchor="source_39">
        <w:r>
          <w:rPr>
            <w:color w:val="174E76"/>
          </w:rPr>
          <w:t>[S39–S40]</w:t>
        </w:r>
      </w:hyperlink>
    </w:p>
    <w:p>
      <w:r>
        <w:t>Documentation skills should update user behavior, API reference, architecture decisions, setup commands, and operational runbooks in the documentation category of the owning phase. Avoid repeating the requirements document in every README.</w:t>
      </w:r>
    </w:p>
    <w:p>
      <w:pPr>
        <w:pStyle w:val="Heading1"/>
      </w:pPr>
      <w:r>
        <w:t>12 Bloat and context integrity</w:t>
      </w:r>
    </w:p>
    <w:p>
      <w:r>
        <w:t>Define bloat checks in all three workflows. Specification checks reject unsupported features, duplicated normative statements, circular definitions, unnecessary architecture layers, and decisions without requirement links. Preparation checks for duplicate tasks, unnecessary packages, needless dependencies, weak reuse analysis, large phase boundaries, and speculative infrastructure. Implementation checks for duplicate business rules, unused code, wrapper abstractions, dependency growth, large public surfaces, and abandoned scaffolding.</w:t>
      </w:r>
    </w:p>
    <w:p>
      <w:r>
        <w:t>Do not reward raw lines deleted or require every phase to reduce source size. Those incentives can produce dense code and inappropriate coupling. Track logical ownership, public API growth, duplicated behavior, dependency changes, and justified additions. A small transport to domain mapping can be healthier than reusing one type across incompatible responsibilities.</w:t>
      </w:r>
    </w:p>
    <w:p>
      <w:r>
        <w:t xml:space="preserve">Keep AGENTS.md as a compact map with the authority chain, active run locator, invariant rules, verification commands, and links to skills. Load deeper guidance only when needed. Codex documents hierarchical instruction discovery; the harness should avoid piling unrelated root and nested instructions into every task. </w:t>
      </w:r>
      <w:hyperlink w:anchor="source_14">
        <w:r>
          <w:rPr>
            <w:color w:val="174E76"/>
          </w:rPr>
          <w:t>[S14]</w:t>
        </w:r>
      </w:hyperlink>
    </w:p>
    <w:p>
      <w:r>
        <w:t xml:space="preserve">Treat retrieved web pages, repository issues, tool output, comments, and vendor examples as data unless explicitly adopted through the trusted workflow. A dependency document cannot tell the agent to ignore frozen requirements, expose secrets, or run a new privileged command. OpenAI's agent safety guidance recommends keeping untrusted input out of privileged instructions and using constrained structured transfers. These reduce risk but do not make arbitrary source text trustworthy. </w:t>
      </w:r>
      <w:hyperlink w:anchor="source_38">
        <w:r>
          <w:rPr>
            <w:color w:val="174E76"/>
          </w:rPr>
          <w:t>[S38]</w:t>
        </w:r>
      </w:hyperlink>
    </w:p>
    <w:p>
      <w:r>
        <w:t>Pin the active skill pack and harness policy for each run. New skills generated during specification should be reviewed and validated before implementation can invoke them. Implementation must not update its own gate rules or install a new skill that grants itself authority to bypass a blocker.</w:t>
      </w:r>
    </w:p>
    <w:p>
      <w:r>
        <w:t xml:space="preserve">Use fresh bounded contexts for workers and critics. A checkpoint should retain unresolved decisions, active task IDs, source revisions, evidence references, and next allowed actions. It should not promote an implementor's assumptions into requirements. Archive old research and obsolete specifications outside the default retrieval path; preserve links for audit and targeted recovery. </w:t>
      </w:r>
      <w:hyperlink w:anchor="source_5">
        <w:r>
          <w:rPr>
            <w:color w:val="174E76"/>
          </w:rPr>
          <w:t>[S5]</w:t>
        </w:r>
      </w:hyperlink>
    </w:p>
    <w:p>
      <w:pPr>
        <w:pStyle w:val="Heading1"/>
      </w:pPr>
      <w:r>
        <w:t>13 Repository setup for a follow up</w:t>
      </w:r>
    </w:p>
    <w:p>
      <w:pPr>
        <w:pStyle w:val="Heading2"/>
      </w:pPr>
      <w:r>
        <w:t>13 1 Establish the repository contract</w:t>
      </w:r>
    </w:p>
    <w:p>
      <w:r>
        <w:t>The follow up should first select the repository, implementation languages and versions, public API transport, deployment target, dependency providers, existing code ownership, and PR completion policy. Confirm whether the run is amendment or regeneration. Resolve these during specification instead of blocking implementation later with avoidable setup questions.</w:t>
      </w:r>
    </w:p>
    <w:p>
      <w:r>
        <w:t>Use the following target structure as a template. Application module paths should follow the chosen language's conventions; these paths describe responsibilities, not an enforced polyglot layout.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24"/>
        <w:gridCol w:w="7056"/>
      </w:tblGrid>
      <w:tr>
        <w:trPr>
          <w:cantSplit/>
          <w:tblHeader/>
        </w:trPr>
        <w:tc>
          <w:tcPr>
            <w:tcW w:type="dxa" w:w="3024"/>
            <w:vAlign w:val="center"/>
            <w:shd w:fill="163A50"/>
          </w:tcPr>
          <w:p>
            <w:pPr>
              <w:spacing w:after="0" w:line="252" w:lineRule="auto"/>
            </w:pPr>
            <w:r>
              <w:rPr>
                <w:b/>
                <w:color w:val="FFFFFF"/>
                <w:sz w:val="18"/>
              </w:rPr>
              <w:t>Path</w:t>
            </w:r>
          </w:p>
        </w:tc>
        <w:tc>
          <w:tcPr>
            <w:tcW w:type="dxa" w:w="7056"/>
            <w:vAlign w:val="center"/>
            <w:shd w:fill="163A50"/>
          </w:tcPr>
          <w:p>
            <w:pPr>
              <w:spacing w:after="0" w:line="252" w:lineRule="auto"/>
            </w:pPr>
            <w:r>
              <w:rPr>
                <w:b/>
                <w:color w:val="FFFFFF"/>
                <w:sz w:val="18"/>
              </w:rPr>
              <w:t>Purpose</w:t>
            </w:r>
          </w:p>
        </w:tc>
      </w:tr>
      <w:tr>
        <w:trPr>
          <w:cantSplit/>
        </w:trPr>
        <w:tc>
          <w:tcPr>
            <w:tcW w:type="dxa" w:w="3024"/>
            <w:vAlign w:val="center"/>
            <w:shd w:fill="FFFFFF"/>
          </w:tcPr>
          <w:p>
            <w:pPr>
              <w:spacing w:after="0" w:line="252" w:lineRule="auto"/>
            </w:pPr>
            <w:r>
              <w:rPr>
                <w:sz w:val="18"/>
              </w:rPr>
              <w:t>requirements/requirements.md</w:t>
            </w:r>
          </w:p>
        </w:tc>
        <w:tc>
          <w:tcPr>
            <w:tcW w:type="dxa" w:w="7056"/>
            <w:vAlign w:val="center"/>
            <w:shd w:fill="FFFFFF"/>
          </w:tcPr>
          <w:p>
            <w:pPr>
              <w:spacing w:after="0" w:line="252" w:lineRule="auto"/>
            </w:pPr>
            <w:r>
              <w:rPr>
                <w:sz w:val="18"/>
              </w:rPr>
              <w:t>Canonical human owned formal requirements</w:t>
            </w:r>
          </w:p>
        </w:tc>
      </w:tr>
      <w:tr>
        <w:trPr>
          <w:cantSplit/>
        </w:trPr>
        <w:tc>
          <w:tcPr>
            <w:tcW w:type="dxa" w:w="3024"/>
            <w:vAlign w:val="center"/>
            <w:shd w:fill="F3F6F8"/>
          </w:tcPr>
          <w:p>
            <w:pPr>
              <w:spacing w:after="0" w:line="252" w:lineRule="auto"/>
            </w:pPr>
            <w:r>
              <w:rPr>
                <w:sz w:val="18"/>
              </w:rPr>
              <w:t>requirements/changes/</w:t>
            </w:r>
          </w:p>
        </w:tc>
        <w:tc>
          <w:tcPr>
            <w:tcW w:type="dxa" w:w="7056"/>
            <w:vAlign w:val="center"/>
            <w:shd w:fill="F3F6F8"/>
          </w:tcPr>
          <w:p>
            <w:pPr>
              <w:spacing w:after="0" w:line="252" w:lineRule="auto"/>
            </w:pPr>
            <w:r>
              <w:rPr>
                <w:sz w:val="18"/>
              </w:rPr>
              <w:t>Requirement revisions and amendment rationale</w:t>
            </w:r>
          </w:p>
        </w:tc>
      </w:tr>
      <w:tr>
        <w:trPr>
          <w:cantSplit/>
        </w:trPr>
        <w:tc>
          <w:tcPr>
            <w:tcW w:type="dxa" w:w="3024"/>
            <w:vAlign w:val="center"/>
            <w:shd w:fill="FFFFFF"/>
          </w:tcPr>
          <w:p>
            <w:pPr>
              <w:spacing w:after="0" w:line="252" w:lineRule="auto"/>
            </w:pPr>
            <w:r>
              <w:rPr>
                <w:sz w:val="18"/>
              </w:rPr>
              <w:t>docs/specs/</w:t>
            </w:r>
          </w:p>
        </w:tc>
        <w:tc>
          <w:tcPr>
            <w:tcW w:type="dxa" w:w="7056"/>
            <w:vAlign w:val="center"/>
            <w:shd w:fill="FFFFFF"/>
          </w:tcPr>
          <w:p>
            <w:pPr>
              <w:spacing w:after="0" w:line="252" w:lineRule="auto"/>
            </w:pPr>
            <w:r>
              <w:rPr>
                <w:sz w:val="18"/>
              </w:rPr>
              <w:t>Current approved solution and domain specifications</w:t>
            </w:r>
          </w:p>
        </w:tc>
      </w:tr>
      <w:tr>
        <w:trPr>
          <w:cantSplit/>
        </w:trPr>
        <w:tc>
          <w:tcPr>
            <w:tcW w:type="dxa" w:w="3024"/>
            <w:vAlign w:val="center"/>
            <w:shd w:fill="F3F6F8"/>
          </w:tcPr>
          <w:p>
            <w:pPr>
              <w:spacing w:after="0" w:line="252" w:lineRule="auto"/>
            </w:pPr>
            <w:r>
              <w:rPr>
                <w:sz w:val="18"/>
              </w:rPr>
              <w:t>docs/decisions/</w:t>
            </w:r>
          </w:p>
        </w:tc>
        <w:tc>
          <w:tcPr>
            <w:tcW w:type="dxa" w:w="7056"/>
            <w:vAlign w:val="center"/>
            <w:shd w:fill="F3F6F8"/>
          </w:tcPr>
          <w:p>
            <w:pPr>
              <w:spacing w:after="0" w:line="252" w:lineRule="auto"/>
            </w:pPr>
            <w:r>
              <w:rPr>
                <w:sz w:val="18"/>
              </w:rPr>
              <w:t>Architectural decisions and requirement links</w:t>
            </w:r>
          </w:p>
        </w:tc>
      </w:tr>
      <w:tr>
        <w:trPr>
          <w:cantSplit/>
        </w:trPr>
        <w:tc>
          <w:tcPr>
            <w:tcW w:type="dxa" w:w="3024"/>
            <w:vAlign w:val="center"/>
            <w:shd w:fill="FFFFFF"/>
          </w:tcPr>
          <w:p>
            <w:pPr>
              <w:spacing w:after="0" w:line="252" w:lineRule="auto"/>
            </w:pPr>
            <w:r>
              <w:rPr>
                <w:sz w:val="18"/>
              </w:rPr>
              <w:t>contracts/</w:t>
            </w:r>
          </w:p>
        </w:tc>
        <w:tc>
          <w:tcPr>
            <w:tcW w:type="dxa" w:w="7056"/>
            <w:vAlign w:val="center"/>
            <w:shd w:fill="FFFFFF"/>
          </w:tcPr>
          <w:p>
            <w:pPr>
              <w:spacing w:after="0" w:line="252" w:lineRule="auto"/>
            </w:pPr>
            <w:r>
              <w:rPr>
                <w:sz w:val="18"/>
              </w:rPr>
              <w:t>Canonical proto sources and selected public mappings</w:t>
            </w:r>
          </w:p>
        </w:tc>
      </w:tr>
      <w:tr>
        <w:trPr>
          <w:cantSplit/>
        </w:trPr>
        <w:tc>
          <w:tcPr>
            <w:tcW w:type="dxa" w:w="3024"/>
            <w:vAlign w:val="center"/>
            <w:shd w:fill="F3F6F8"/>
          </w:tcPr>
          <w:p>
            <w:pPr>
              <w:spacing w:after="0" w:line="252" w:lineRule="auto"/>
            </w:pPr>
            <w:r>
              <w:rPr>
                <w:sz w:val="18"/>
              </w:rPr>
              <w:t>gen/</w:t>
            </w:r>
          </w:p>
        </w:tc>
        <w:tc>
          <w:tcPr>
            <w:tcW w:type="dxa" w:w="7056"/>
            <w:vAlign w:val="center"/>
            <w:shd w:fill="F3F6F8"/>
          </w:tcPr>
          <w:p>
            <w:pPr>
              <w:spacing w:after="0" w:line="252" w:lineRule="auto"/>
            </w:pPr>
            <w:r>
              <w:rPr>
                <w:sz w:val="18"/>
              </w:rPr>
              <w:t>Deterministic generated bindings and approved generated API artifacts</w:t>
            </w:r>
          </w:p>
        </w:tc>
      </w:tr>
      <w:tr>
        <w:trPr>
          <w:cantSplit/>
        </w:trPr>
        <w:tc>
          <w:tcPr>
            <w:tcW w:type="dxa" w:w="3024"/>
            <w:vAlign w:val="center"/>
            <w:shd w:fill="FFFFFF"/>
          </w:tcPr>
          <w:p>
            <w:pPr>
              <w:spacing w:after="0" w:line="252" w:lineRule="auto"/>
            </w:pPr>
            <w:r>
              <w:rPr>
                <w:sz w:val="18"/>
              </w:rPr>
              <w:t>modules/</w:t>
            </w:r>
          </w:p>
        </w:tc>
        <w:tc>
          <w:tcPr>
            <w:tcW w:type="dxa" w:w="7056"/>
            <w:vAlign w:val="center"/>
            <w:shd w:fill="FFFFFF"/>
          </w:tcPr>
          <w:p>
            <w:pPr>
              <w:spacing w:after="0" w:line="252" w:lineRule="auto"/>
            </w:pPr>
            <w:r>
              <w:rPr>
                <w:sz w:val="18"/>
              </w:rPr>
              <w:t>Language appropriate domain modules and private implementations</w:t>
            </w:r>
          </w:p>
        </w:tc>
      </w:tr>
      <w:tr>
        <w:trPr>
          <w:cantSplit/>
        </w:trPr>
        <w:tc>
          <w:tcPr>
            <w:tcW w:type="dxa" w:w="3024"/>
            <w:vAlign w:val="center"/>
            <w:shd w:fill="F3F6F8"/>
          </w:tcPr>
          <w:p>
            <w:pPr>
              <w:spacing w:after="0" w:line="252" w:lineRule="auto"/>
            </w:pPr>
            <w:r>
              <w:rPr>
                <w:sz w:val="18"/>
              </w:rPr>
              <w:t>apps/</w:t>
            </w:r>
          </w:p>
        </w:tc>
        <w:tc>
          <w:tcPr>
            <w:tcW w:type="dxa" w:w="7056"/>
            <w:vAlign w:val="center"/>
            <w:shd w:fill="F3F6F8"/>
          </w:tcPr>
          <w:p>
            <w:pPr>
              <w:spacing w:after="0" w:line="252" w:lineRule="auto"/>
            </w:pPr>
            <w:r>
              <w:rPr>
                <w:sz w:val="18"/>
              </w:rPr>
              <w:t>Entrypoints and UI where the application needs them</w:t>
            </w:r>
          </w:p>
        </w:tc>
      </w:tr>
      <w:tr>
        <w:trPr>
          <w:cantSplit/>
        </w:trPr>
        <w:tc>
          <w:tcPr>
            <w:tcW w:type="dxa" w:w="3024"/>
            <w:vAlign w:val="center"/>
            <w:shd w:fill="FFFFFF"/>
          </w:tcPr>
          <w:p>
            <w:pPr>
              <w:spacing w:after="0" w:line="252" w:lineRule="auto"/>
            </w:pPr>
            <w:r>
              <w:rPr>
                <w:sz w:val="18"/>
              </w:rPr>
              <w:t>tests/acceptance/</w:t>
            </w:r>
          </w:p>
        </w:tc>
        <w:tc>
          <w:tcPr>
            <w:tcW w:type="dxa" w:w="7056"/>
            <w:vAlign w:val="center"/>
            <w:shd w:fill="FFFFFF"/>
          </w:tcPr>
          <w:p>
            <w:pPr>
              <w:spacing w:after="0" w:line="252" w:lineRule="auto"/>
            </w:pPr>
            <w:r>
              <w:rPr>
                <w:sz w:val="18"/>
              </w:rPr>
              <w:t>Executable requirement journeys and cross module cases</w:t>
            </w:r>
          </w:p>
        </w:tc>
      </w:tr>
      <w:tr>
        <w:trPr>
          <w:cantSplit/>
        </w:trPr>
        <w:tc>
          <w:tcPr>
            <w:tcW w:type="dxa" w:w="3024"/>
            <w:vAlign w:val="center"/>
            <w:shd w:fill="F3F6F8"/>
          </w:tcPr>
          <w:p>
            <w:pPr>
              <w:spacing w:after="0" w:line="252" w:lineRule="auto"/>
            </w:pPr>
            <w:r>
              <w:rPr>
                <w:sz w:val="18"/>
              </w:rPr>
              <w:t>tests/integration/</w:t>
            </w:r>
          </w:p>
        </w:tc>
        <w:tc>
          <w:tcPr>
            <w:tcW w:type="dxa" w:w="7056"/>
            <w:vAlign w:val="center"/>
            <w:shd w:fill="F3F6F8"/>
          </w:tcPr>
          <w:p>
            <w:pPr>
              <w:spacing w:after="0" w:line="252" w:lineRule="auto"/>
            </w:pPr>
            <w:r>
              <w:rPr>
                <w:sz w:val="18"/>
              </w:rPr>
              <w:t>Real adapter, persistence and provider boundary tests</w:t>
            </w:r>
          </w:p>
        </w:tc>
      </w:tr>
      <w:tr>
        <w:trPr>
          <w:cantSplit/>
        </w:trPr>
        <w:tc>
          <w:tcPr>
            <w:tcW w:type="dxa" w:w="3024"/>
            <w:vAlign w:val="center"/>
            <w:shd w:fill="FFFFFF"/>
          </w:tcPr>
          <w:p>
            <w:pPr>
              <w:spacing w:after="0" w:line="252" w:lineRule="auto"/>
            </w:pPr>
            <w:r>
              <w:rPr>
                <w:sz w:val="18"/>
              </w:rPr>
              <w:t>benchmarks/</w:t>
            </w:r>
          </w:p>
        </w:tc>
        <w:tc>
          <w:tcPr>
            <w:tcW w:type="dxa" w:w="7056"/>
            <w:vAlign w:val="center"/>
            <w:shd w:fill="FFFFFF"/>
          </w:tcPr>
          <w:p>
            <w:pPr>
              <w:spacing w:after="0" w:line="252" w:lineRule="auto"/>
            </w:pPr>
            <w:r>
              <w:rPr>
                <w:sz w:val="18"/>
              </w:rPr>
              <w:t>Registered workloads, fixtures and result evaluators</w:t>
            </w:r>
          </w:p>
        </w:tc>
      </w:tr>
      <w:tr>
        <w:trPr>
          <w:cantSplit/>
        </w:trPr>
        <w:tc>
          <w:tcPr>
            <w:tcW w:type="dxa" w:w="3024"/>
            <w:vAlign w:val="center"/>
            <w:shd w:fill="F3F6F8"/>
          </w:tcPr>
          <w:p>
            <w:pPr>
              <w:spacing w:after="0" w:line="252" w:lineRule="auto"/>
            </w:pPr>
            <w:r>
              <w:rPr>
                <w:sz w:val="18"/>
              </w:rPr>
              <w:t>.rdd/schemas/</w:t>
            </w:r>
          </w:p>
        </w:tc>
        <w:tc>
          <w:tcPr>
            <w:tcW w:type="dxa" w:w="7056"/>
            <w:vAlign w:val="center"/>
            <w:shd w:fill="F3F6F8"/>
          </w:tcPr>
          <w:p>
            <w:pPr>
              <w:spacing w:after="0" w:line="252" w:lineRule="auto"/>
            </w:pPr>
            <w:r>
              <w:rPr>
                <w:sz w:val="18"/>
              </w:rPr>
              <w:t>Run, task, phase, blocker, and evidence schemas</w:t>
            </w:r>
          </w:p>
        </w:tc>
      </w:tr>
      <w:tr>
        <w:trPr>
          <w:cantSplit/>
        </w:trPr>
        <w:tc>
          <w:tcPr>
            <w:tcW w:type="dxa" w:w="3024"/>
            <w:vAlign w:val="center"/>
            <w:shd w:fill="FFFFFF"/>
          </w:tcPr>
          <w:p>
            <w:pPr>
              <w:spacing w:after="0" w:line="252" w:lineRule="auto"/>
            </w:pPr>
            <w:r>
              <w:rPr>
                <w:sz w:val="18"/>
              </w:rPr>
              <w:t>.rdd/plan/</w:t>
            </w:r>
          </w:p>
        </w:tc>
        <w:tc>
          <w:tcPr>
            <w:tcW w:type="dxa" w:w="7056"/>
            <w:vAlign w:val="center"/>
            <w:shd w:fill="FFFFFF"/>
          </w:tcPr>
          <w:p>
            <w:pPr>
              <w:spacing w:after="0" w:line="252" w:lineRule="auto"/>
            </w:pPr>
            <w:r>
              <w:rPr>
                <w:sz w:val="18"/>
              </w:rPr>
              <w:t>Frozen tasks, verticals, phases, matrix and target tree</w:t>
            </w:r>
          </w:p>
        </w:tc>
      </w:tr>
      <w:tr>
        <w:trPr>
          <w:cantSplit/>
        </w:trPr>
        <w:tc>
          <w:tcPr>
            <w:tcW w:type="dxa" w:w="3024"/>
            <w:vAlign w:val="center"/>
            <w:shd w:fill="F3F6F8"/>
          </w:tcPr>
          <w:p>
            <w:pPr>
              <w:spacing w:after="0" w:line="252" w:lineRule="auto"/>
            </w:pPr>
            <w:r>
              <w:rPr>
                <w:sz w:val="18"/>
              </w:rPr>
              <w:t>.rdd/run.json</w:t>
            </w:r>
          </w:p>
        </w:tc>
        <w:tc>
          <w:tcPr>
            <w:tcW w:type="dxa" w:w="7056"/>
            <w:vAlign w:val="center"/>
            <w:shd w:fill="F3F6F8"/>
          </w:tcPr>
          <w:p>
            <w:pPr>
              <w:spacing w:after="0" w:line="252" w:lineRule="auto"/>
            </w:pPr>
            <w:r>
              <w:rPr>
                <w:sz w:val="18"/>
              </w:rPr>
              <w:t>Active run locator and approved baseline references</w:t>
            </w:r>
          </w:p>
        </w:tc>
      </w:tr>
      <w:tr>
        <w:trPr>
          <w:cantSplit/>
        </w:trPr>
        <w:tc>
          <w:tcPr>
            <w:tcW w:type="dxa" w:w="3024"/>
            <w:vAlign w:val="center"/>
            <w:shd w:fill="FFFFFF"/>
          </w:tcPr>
          <w:p>
            <w:pPr>
              <w:spacing w:after="0" w:line="252" w:lineRule="auto"/>
            </w:pPr>
            <w:r>
              <w:rPr>
                <w:sz w:val="18"/>
              </w:rPr>
              <w:t>.rdd/evidence/</w:t>
            </w:r>
          </w:p>
        </w:tc>
        <w:tc>
          <w:tcPr>
            <w:tcW w:type="dxa" w:w="7056"/>
            <w:vAlign w:val="center"/>
            <w:shd w:fill="FFFFFF"/>
          </w:tcPr>
          <w:p>
            <w:pPr>
              <w:spacing w:after="0" w:line="252" w:lineRule="auto"/>
            </w:pPr>
            <w:r>
              <w:rPr>
                <w:sz w:val="18"/>
              </w:rPr>
              <w:t>Small evidence indexes and human readable validation summaries</w:t>
            </w:r>
          </w:p>
        </w:tc>
      </w:tr>
      <w:tr>
        <w:trPr>
          <w:cantSplit/>
        </w:trPr>
        <w:tc>
          <w:tcPr>
            <w:tcW w:type="dxa" w:w="3024"/>
            <w:vAlign w:val="center"/>
            <w:shd w:fill="F3F6F8"/>
          </w:tcPr>
          <w:p>
            <w:pPr>
              <w:spacing w:after="0" w:line="252" w:lineRule="auto"/>
            </w:pPr>
            <w:r>
              <w:rPr>
                <w:sz w:val="18"/>
              </w:rPr>
              <w:t>.rdd/runtime/</w:t>
            </w:r>
          </w:p>
        </w:tc>
        <w:tc>
          <w:tcPr>
            <w:tcW w:type="dxa" w:w="7056"/>
            <w:vAlign w:val="center"/>
            <w:shd w:fill="F3F6F8"/>
          </w:tcPr>
          <w:p>
            <w:pPr>
              <w:spacing w:after="0" w:line="252" w:lineRule="auto"/>
            </w:pPr>
            <w:r>
              <w:rPr>
                <w:sz w:val="18"/>
              </w:rPr>
              <w:t>Ignored local state, leases and recoverable checkpoints</w:t>
            </w:r>
          </w:p>
        </w:tc>
      </w:tr>
      <w:tr>
        <w:trPr>
          <w:cantSplit/>
        </w:trPr>
        <w:tc>
          <w:tcPr>
            <w:tcW w:type="dxa" w:w="3024"/>
            <w:vAlign w:val="center"/>
            <w:shd w:fill="FFFFFF"/>
          </w:tcPr>
          <w:p>
            <w:pPr>
              <w:spacing w:after="0" w:line="252" w:lineRule="auto"/>
            </w:pPr>
            <w:r>
              <w:rPr>
                <w:sz w:val="18"/>
              </w:rPr>
              <w:t>.agents/skills/</w:t>
            </w:r>
          </w:p>
        </w:tc>
        <w:tc>
          <w:tcPr>
            <w:tcW w:type="dxa" w:w="7056"/>
            <w:vAlign w:val="center"/>
            <w:shd w:fill="FFFFFF"/>
          </w:tcPr>
          <w:p>
            <w:pPr>
              <w:spacing w:after="0" w:line="252" w:lineRule="auto"/>
            </w:pPr>
            <w:r>
              <w:rPr>
                <w:sz w:val="18"/>
              </w:rPr>
              <w:t>Workflow and supporting skills</w:t>
            </w:r>
          </w:p>
        </w:tc>
      </w:tr>
      <w:tr>
        <w:trPr>
          <w:cantSplit/>
        </w:trPr>
        <w:tc>
          <w:tcPr>
            <w:tcW w:type="dxa" w:w="3024"/>
            <w:vAlign w:val="center"/>
            <w:shd w:fill="F3F6F8"/>
          </w:tcPr>
          <w:p>
            <w:pPr>
              <w:spacing w:after="0" w:line="252" w:lineRule="auto"/>
            </w:pPr>
            <w:r>
              <w:rPr>
                <w:sz w:val="18"/>
              </w:rPr>
              <w:t>.codex/agents/</w:t>
            </w:r>
          </w:p>
        </w:tc>
        <w:tc>
          <w:tcPr>
            <w:tcW w:type="dxa" w:w="7056"/>
            <w:vAlign w:val="center"/>
            <w:shd w:fill="F3F6F8"/>
          </w:tcPr>
          <w:p>
            <w:pPr>
              <w:spacing w:after="0" w:line="252" w:lineRule="auto"/>
            </w:pPr>
            <w:r>
              <w:rPr>
                <w:sz w:val="18"/>
              </w:rPr>
              <w:t>Large worker, small worker and reviewer definitions</w:t>
            </w:r>
          </w:p>
        </w:tc>
      </w:tr>
      <w:tr>
        <w:trPr>
          <w:cantSplit/>
        </w:trPr>
        <w:tc>
          <w:tcPr>
            <w:tcW w:type="dxa" w:w="3024"/>
            <w:vAlign w:val="center"/>
            <w:shd w:fill="FFFFFF"/>
          </w:tcPr>
          <w:p>
            <w:pPr>
              <w:spacing w:after="0" w:line="252" w:lineRule="auto"/>
            </w:pPr>
            <w:r>
              <w:rPr>
                <w:sz w:val="18"/>
              </w:rPr>
              <w:t>.codex/config.toml</w:t>
            </w:r>
          </w:p>
        </w:tc>
        <w:tc>
          <w:tcPr>
            <w:tcW w:type="dxa" w:w="7056"/>
            <w:vAlign w:val="center"/>
            <w:shd w:fill="FFFFFF"/>
          </w:tcPr>
          <w:p>
            <w:pPr>
              <w:spacing w:after="0" w:line="252" w:lineRule="auto"/>
            </w:pPr>
            <w:r>
              <w:rPr>
                <w:sz w:val="18"/>
              </w:rPr>
              <w:t>Model routing and concurrency defaults</w:t>
            </w:r>
          </w:p>
        </w:tc>
      </w:tr>
      <w:tr>
        <w:trPr>
          <w:cantSplit/>
        </w:trPr>
        <w:tc>
          <w:tcPr>
            <w:tcW w:type="dxa" w:w="3024"/>
            <w:vAlign w:val="center"/>
            <w:shd w:fill="F3F6F8"/>
          </w:tcPr>
          <w:p>
            <w:pPr>
              <w:spacing w:after="0" w:line="252" w:lineRule="auto"/>
            </w:pPr>
            <w:r>
              <w:rPr>
                <w:sz w:val="18"/>
              </w:rPr>
              <w:t>.github/workflows/</w:t>
            </w:r>
          </w:p>
        </w:tc>
        <w:tc>
          <w:tcPr>
            <w:tcW w:type="dxa" w:w="7056"/>
            <w:vAlign w:val="center"/>
            <w:shd w:fill="F3F6F8"/>
          </w:tcPr>
          <w:p>
            <w:pPr>
              <w:spacing w:after="0" w:line="252" w:lineRule="auto"/>
            </w:pPr>
            <w:r>
              <w:rPr>
                <w:sz w:val="18"/>
              </w:rPr>
              <w:t>Trusted contract, phase and project verification</w:t>
            </w:r>
          </w:p>
        </w:tc>
      </w:tr>
      <w:tr>
        <w:trPr>
          <w:cantSplit/>
        </w:trPr>
        <w:tc>
          <w:tcPr>
            <w:tcW w:type="dxa" w:w="3024"/>
            <w:vAlign w:val="center"/>
            <w:shd w:fill="FFFFFF"/>
          </w:tcPr>
          <w:p>
            <w:pPr>
              <w:spacing w:after="0" w:line="252" w:lineRule="auto"/>
            </w:pPr>
            <w:r>
              <w:rPr>
                <w:sz w:val="18"/>
              </w:rPr>
              <w:t>tools/rdd/ and ./rdd</w:t>
            </w:r>
          </w:p>
        </w:tc>
        <w:tc>
          <w:tcPr>
            <w:tcW w:type="dxa" w:w="7056"/>
            <w:vAlign w:val="center"/>
            <w:shd w:fill="FFFFFF"/>
          </w:tcPr>
          <w:p>
            <w:pPr>
              <w:spacing w:after="0" w:line="252" w:lineRule="auto"/>
            </w:pPr>
            <w:r>
              <w:rPr>
                <w:sz w:val="18"/>
              </w:rPr>
              <w:t>Controller implementation and CLI entry point</w:t>
            </w:r>
          </w:p>
        </w:tc>
      </w:tr>
      <w:tr>
        <w:trPr>
          <w:cantSplit/>
        </w:trPr>
        <w:tc>
          <w:tcPr>
            <w:tcW w:type="dxa" w:w="3024"/>
            <w:vAlign w:val="center"/>
            <w:shd w:fill="F3F6F8"/>
          </w:tcPr>
          <w:p>
            <w:pPr>
              <w:spacing w:after="0" w:line="252" w:lineRule="auto"/>
            </w:pPr>
            <w:r>
              <w:rPr>
                <w:sz w:val="18"/>
              </w:rPr>
              <w:t>AGENTS.md</w:t>
            </w:r>
          </w:p>
        </w:tc>
        <w:tc>
          <w:tcPr>
            <w:tcW w:type="dxa" w:w="7056"/>
            <w:vAlign w:val="center"/>
            <w:shd w:fill="F3F6F8"/>
          </w:tcPr>
          <w:p>
            <w:pPr>
              <w:spacing w:after="0" w:line="252" w:lineRule="auto"/>
            </w:pPr>
            <w:r>
              <w:rPr>
                <w:sz w:val="18"/>
              </w:rPr>
              <w:t>Short authority and navigation guide</w:t>
            </w:r>
          </w:p>
        </w:tc>
      </w:tr>
    </w:tbl>
    <w:p>
      <w:pPr>
        <w:spacing w:after="40" w:before="0" w:line="120" w:lineRule="auto"/>
      </w:pPr>
    </w:p>
    <w:p>
      <w:pPr>
        <w:pStyle w:val="Heading2"/>
      </w:pPr>
      <w:r>
        <w:t>13 2 Bootstrap in a deliberate sequence</w:t>
      </w:r>
    </w:p>
    <w:p>
      <w:r>
        <w:t>First create the repository policy, requirement template, artifact schemas, and a minimal buildable application baseline. Add deterministic contract generation, the task graph validator, and evidence checking before asking agents to implement a large feature. A harness whose success criteria exist only in prompts is not ready for autonomous work.</w:t>
      </w:r>
    </w:p>
    <w:p>
      <w:r>
        <w:t>Then implement the three workflow skills and only the language and development skills needed by the first sample project. Add the anchor projector and scanner, an isolated worker workflow, one integration branch owner, and the phase gate. Exercise interruption and restart before introducing a PR stack.</w:t>
      </w:r>
    </w:p>
    <w:p>
      <w:r>
        <w:t>Next configure GitHub branch rules and a trusted aggregate RDD check, including explicit test and benchmark inventories. Add stacked PR creation, live state reconciliation, retargeting, restacking, and the chosen completion mode. Preserve the exact one PR per phase rule.</w:t>
      </w:r>
    </w:p>
    <w:p>
      <w:r>
        <w:t>Finally run a small representative greenfield project through specification, preparation, and implementation. Follow it with a local amendment, then a cross module amendment and a deliberate specification blocker. Expand concurrency and skills only after those cases produce correct evidence and failure behavior.</w:t>
      </w:r>
    </w:p>
    <w:p>
      <w:r>
        <w:t>The following commands are a proposed interface to build in the repository. They are not existing Codex commands or a harness delivered by this research:</w:t>
      </w:r>
    </w:p>
    <w:p>
      <w:pPr>
        <w:keepNext/>
        <w:widowControl/>
        <w:spacing w:after="0" w:before="0" w:line="250" w:lineRule="auto"/>
        <w:ind w:left="187" w:right="144"/>
        <w:shd w:fill="F1F3F5"/>
      </w:pPr>
      <w:r>
        <w:rPr>
          <w:rFonts w:ascii="Liberation Mono" w:hAnsi="Liberation Mono"/>
          <w:sz w:val="18"/>
        </w:rPr>
        <w:t>./rdd init</w:t>
      </w:r>
    </w:p>
    <w:p>
      <w:pPr>
        <w:keepNext/>
        <w:widowControl/>
        <w:spacing w:after="0" w:before="0" w:line="250" w:lineRule="auto"/>
        <w:ind w:left="187" w:right="144"/>
        <w:shd w:fill="F1F3F5"/>
      </w:pPr>
      <w:r>
        <w:rPr>
          <w:rFonts w:ascii="Liberation Mono" w:hAnsi="Liberation Mono"/>
          <w:sz w:val="18"/>
        </w:rPr>
        <w:t>./rdd verify --stage specification</w:t>
      </w:r>
    </w:p>
    <w:p>
      <w:pPr>
        <w:keepNext/>
        <w:widowControl/>
        <w:spacing w:after="0" w:before="0" w:line="250" w:lineRule="auto"/>
        <w:ind w:left="187" w:right="144"/>
        <w:shd w:fill="F1F3F5"/>
      </w:pPr>
      <w:r>
        <w:rPr>
          <w:rFonts w:ascii="Liberation Mono" w:hAnsi="Liberation Mono"/>
          <w:sz w:val="18"/>
        </w:rPr>
        <w:t>./rdd verify --stage preparation</w:t>
      </w:r>
    </w:p>
    <w:p>
      <w:pPr>
        <w:keepNext/>
        <w:widowControl/>
        <w:spacing w:after="0" w:before="0" w:line="250" w:lineRule="auto"/>
        <w:ind w:left="187" w:right="144"/>
        <w:shd w:fill="F1F3F5"/>
      </w:pPr>
      <w:r>
        <w:rPr>
          <w:rFonts w:ascii="Liberation Mono" w:hAnsi="Liberation Mono"/>
          <w:sz w:val="18"/>
        </w:rPr>
        <w:t>./rdd verify --stage implementation</w:t>
      </w:r>
    </w:p>
    <w:p>
      <w:pPr>
        <w:keepNext/>
        <w:widowControl/>
        <w:spacing w:after="0" w:before="0" w:line="250" w:lineRule="auto"/>
        <w:ind w:left="187" w:right="144"/>
        <w:shd w:fill="F1F3F5"/>
      </w:pPr>
      <w:r>
        <w:rPr>
          <w:rFonts w:ascii="Liberation Mono" w:hAnsi="Liberation Mono"/>
          <w:sz w:val="18"/>
        </w:rPr>
        <w:t>./rdd next</w:t>
      </w:r>
    </w:p>
    <w:p>
      <w:pPr>
        <w:keepNext/>
        <w:widowControl/>
        <w:spacing w:after="0" w:before="0" w:line="250" w:lineRule="auto"/>
        <w:ind w:left="187" w:right="144"/>
        <w:shd w:fill="F1F3F5"/>
      </w:pPr>
      <w:r>
        <w:rPr>
          <w:rFonts w:ascii="Liberation Mono" w:hAnsi="Liberation Mono"/>
          <w:sz w:val="18"/>
        </w:rPr>
        <w:t>./rdd anchors reconcile</w:t>
      </w:r>
    </w:p>
    <w:p>
      <w:pPr>
        <w:keepNext/>
        <w:widowControl/>
        <w:spacing w:after="0" w:before="0" w:line="250" w:lineRule="auto"/>
        <w:ind w:left="187" w:right="144"/>
        <w:shd w:fill="F1F3F5"/>
      </w:pPr>
      <w:r>
        <w:rPr>
          <w:rFonts w:ascii="Liberation Mono" w:hAnsi="Liberation Mono"/>
          <w:sz w:val="18"/>
        </w:rPr>
        <w:t>./rdd gate phase --current</w:t>
      </w:r>
    </w:p>
    <w:p>
      <w:pPr>
        <w:keepNext/>
        <w:widowControl/>
        <w:spacing w:after="0" w:before="0" w:line="250" w:lineRule="auto"/>
        <w:ind w:left="187" w:right="144"/>
        <w:shd w:fill="F1F3F5"/>
      </w:pPr>
      <w:r>
        <w:rPr>
          <w:rFonts w:ascii="Liberation Mono" w:hAnsi="Liberation Mono"/>
          <w:sz w:val="18"/>
        </w:rPr>
        <w:t>./rdd stack verify</w:t>
      </w:r>
    </w:p>
    <w:p>
      <w:pPr>
        <w:keepNext/>
        <w:widowControl/>
        <w:spacing w:after="0" w:before="0" w:line="250" w:lineRule="auto"/>
        <w:ind w:left="187" w:right="144"/>
        <w:shd w:fill="F1F3F5"/>
      </w:pPr>
      <w:r>
        <w:rPr>
          <w:rFonts w:ascii="Liberation Mono" w:hAnsi="Liberation Mono"/>
          <w:sz w:val="18"/>
        </w:rPr>
        <w:t>./rdd gate project</w:t>
      </w:r>
    </w:p>
    <w:p>
      <w:pPr>
        <w:keepNext w:val="0"/>
        <w:widowControl/>
        <w:spacing w:after="0" w:before="0" w:line="250" w:lineRule="auto"/>
        <w:ind w:left="187" w:right="144"/>
        <w:shd w:fill="F1F3F5"/>
      </w:pPr>
      <w:r>
        <w:rPr>
          <w:rFonts w:ascii="Liberation Mono" w:hAnsi="Liberation Mono"/>
          <w:sz w:val="18"/>
        </w:rPr>
        <w:t>./rdd resume</w:t>
      </w:r>
    </w:p>
    <w:p>
      <w:pPr>
        <w:spacing w:after="60" w:line="96" w:lineRule="auto"/>
      </w:pPr>
    </w:p>
    <w:p>
      <w:pPr>
        <w:pStyle w:val="Heading2"/>
      </w:pPr>
      <w:r>
        <w:t>13 3 Configure the exact agent roles</w:t>
      </w:r>
    </w:p>
    <w:p>
      <w:r>
        <w:t xml:space="preserve">Current Codex configuration supports project agents with model and reasoning choices. The following is a starter configuration, subject to capability and account checks in the chosen local client. The concurrency setting caps spawned agents and excludes the primary agent. </w:t>
      </w:r>
      <w:hyperlink w:anchor="source_7">
        <w:r>
          <w:rPr>
            <w:color w:val="174E76"/>
          </w:rPr>
          <w:t>[S7–S8]</w:t>
        </w:r>
      </w:hyperlink>
    </w:p>
    <w:p>
      <w:pPr>
        <w:keepNext/>
        <w:widowControl/>
        <w:spacing w:after="0" w:before="0" w:line="250" w:lineRule="auto"/>
        <w:ind w:left="187" w:right="144"/>
        <w:shd w:fill="F1F3F5"/>
      </w:pPr>
      <w:r>
        <w:rPr>
          <w:rFonts w:ascii="Liberation Mono" w:hAnsi="Liberation Mono"/>
          <w:sz w:val="16"/>
        </w:rPr>
        <w:t># .codex/config.toml</w:t>
      </w:r>
    </w:p>
    <w:p>
      <w:pPr>
        <w:keepNext/>
        <w:widowControl/>
        <w:spacing w:after="0" w:before="0" w:line="250" w:lineRule="auto"/>
        <w:ind w:left="187" w:right="144"/>
        <w:shd w:fill="F1F3F5"/>
      </w:pPr>
      <w:r>
        <w:rPr>
          <w:rFonts w:ascii="Liberation Mono" w:hAnsi="Liberation Mono"/>
          <w:sz w:val="16"/>
        </w:rPr>
        <w:t>model = "gpt-6-astra"</w:t>
      </w:r>
    </w:p>
    <w:p>
      <w:pPr>
        <w:keepNext/>
        <w:widowControl/>
        <w:spacing w:after="0" w:before="0" w:line="250" w:lineRule="auto"/>
        <w:ind w:left="187" w:right="144"/>
        <w:shd w:fill="F1F3F5"/>
      </w:pPr>
      <w:r>
        <w:rPr>
          <w:rFonts w:ascii="Liberation Mono" w:hAnsi="Liberation Mono"/>
          <w:sz w:val="16"/>
        </w:rPr>
        <w:t>model_reasoning_effort = "ultra"</w:t>
      </w:r>
    </w:p>
    <w:p>
      <w:pPr>
        <w:keepNext/>
        <w:widowControl/>
        <w:spacing w:after="0" w:before="0" w:line="250" w:lineRule="auto"/>
        <w:ind w:left="187" w:right="144"/>
        <w:shd w:fill="F1F3F5"/>
      </w:pPr>
      <w:r>
        <w:rPr>
          <w:rFonts w:ascii="Liberation Mono" w:hAnsi="Liberation Mono"/>
          <w:sz w:val="16"/>
        </w:rPr>
        <w:t xml:space="preserve"> </w:t>
      </w:r>
    </w:p>
    <w:p>
      <w:pPr>
        <w:keepNext/>
        <w:widowControl/>
        <w:spacing w:after="0" w:before="0" w:line="250" w:lineRule="auto"/>
        <w:ind w:left="187" w:right="144"/>
        <w:shd w:fill="F1F3F5"/>
      </w:pPr>
      <w:r>
        <w:rPr>
          <w:rFonts w:ascii="Liberation Mono" w:hAnsi="Liberation Mono"/>
          <w:sz w:val="16"/>
        </w:rPr>
        <w:t>[agents]</w:t>
      </w:r>
    </w:p>
    <w:p>
      <w:pPr>
        <w:keepNext/>
        <w:widowControl/>
        <w:spacing w:after="0" w:before="0" w:line="250" w:lineRule="auto"/>
        <w:ind w:left="187" w:right="144"/>
        <w:shd w:fill="F1F3F5"/>
      </w:pPr>
      <w:r>
        <w:rPr>
          <w:rFonts w:ascii="Liberation Mono" w:hAnsi="Liberation Mono"/>
          <w:sz w:val="16"/>
        </w:rPr>
        <w:t>enabled = true</w:t>
      </w:r>
    </w:p>
    <w:p>
      <w:pPr>
        <w:keepNext/>
        <w:widowControl/>
        <w:spacing w:after="0" w:before="0" w:line="250" w:lineRule="auto"/>
        <w:ind w:left="187" w:right="144"/>
        <w:shd w:fill="F1F3F5"/>
      </w:pPr>
      <w:r>
        <w:rPr>
          <w:rFonts w:ascii="Liberation Mono" w:hAnsi="Liberation Mono"/>
          <w:sz w:val="16"/>
        </w:rPr>
        <w:t>max_concurrent_threads_per_session = 3</w:t>
      </w:r>
    </w:p>
    <w:p>
      <w:pPr>
        <w:keepNext/>
        <w:widowControl/>
        <w:spacing w:after="0" w:before="0" w:line="250" w:lineRule="auto"/>
        <w:ind w:left="187" w:right="144"/>
        <w:shd w:fill="F1F3F5"/>
      </w:pPr>
      <w:r>
        <w:rPr>
          <w:rFonts w:ascii="Liberation Mono" w:hAnsi="Liberation Mono"/>
          <w:sz w:val="16"/>
        </w:rPr>
        <w:t>default_subagent_model = "gpt-6.1-sol"</w:t>
      </w:r>
    </w:p>
    <w:p>
      <w:pPr>
        <w:keepNext w:val="0"/>
        <w:widowControl/>
        <w:spacing w:after="0" w:before="0" w:line="250" w:lineRule="auto"/>
        <w:ind w:left="187" w:right="144"/>
        <w:shd w:fill="F1F3F5"/>
      </w:pPr>
      <w:r>
        <w:rPr>
          <w:rFonts w:ascii="Liberation Mono" w:hAnsi="Liberation Mono"/>
          <w:sz w:val="16"/>
        </w:rPr>
        <w:t>default_subagent_reasoning_effort = "xhigh"</w:t>
      </w:r>
    </w:p>
    <w:p>
      <w:pPr>
        <w:spacing w:after="60" w:line="96" w:lineRule="auto"/>
      </w:pPr>
    </w:p>
    <w:p>
      <w:r>
        <w:t xml:space="preserve">Create rdd-large.toml, rdd-small.toml, and rdd-reviewer.toml under .codex/agents. Codex requires name, description, and developer_instructions. This harness additionally requires explicit model and model_reasoning_effort values to pin the requested routing. The reviewer's configuration can request read only mode, but the controller must verify the effective permissions and can supply an immutable snapshot for stronger isolation. Parent runtime overrides can affect child defaults. </w:t>
      </w:r>
      <w:hyperlink w:anchor="source_7">
        <w:r>
          <w:rPr>
            <w:color w:val="174E76"/>
          </w:rPr>
          <w:t>[S7]</w:t>
        </w:r>
      </w:hyperlink>
    </w:p>
    <w:p>
      <w:pPr>
        <w:keepNext/>
        <w:widowControl/>
        <w:spacing w:after="0" w:before="0" w:line="250" w:lineRule="auto"/>
        <w:ind w:left="187" w:right="144"/>
        <w:shd w:fill="F1F3F5"/>
      </w:pPr>
      <w:r>
        <w:rPr>
          <w:rFonts w:ascii="Liberation Mono" w:hAnsi="Liberation Mono"/>
          <w:sz w:val="16"/>
        </w:rPr>
        <w:t># .codex/agents/rdd-reviewer.toml</w:t>
      </w:r>
    </w:p>
    <w:p>
      <w:pPr>
        <w:keepNext/>
        <w:widowControl/>
        <w:spacing w:after="0" w:before="0" w:line="250" w:lineRule="auto"/>
        <w:ind w:left="187" w:right="144"/>
        <w:shd w:fill="F1F3F5"/>
      </w:pPr>
      <w:r>
        <w:rPr>
          <w:rFonts w:ascii="Liberation Mono" w:hAnsi="Liberation Mono"/>
          <w:sz w:val="16"/>
        </w:rPr>
        <w:t>name = "rdd_reviewer"</w:t>
      </w:r>
    </w:p>
    <w:p>
      <w:pPr>
        <w:keepNext/>
        <w:widowControl/>
        <w:spacing w:after="0" w:before="0" w:line="250" w:lineRule="auto"/>
        <w:ind w:left="187" w:right="144"/>
        <w:shd w:fill="F1F3F5"/>
      </w:pPr>
      <w:r>
        <w:rPr>
          <w:rFonts w:ascii="Liberation Mono" w:hAnsi="Liberation Mono"/>
          <w:sz w:val="16"/>
        </w:rPr>
        <w:t>description = "Observe the active phase and identify concrete defects."</w:t>
      </w:r>
    </w:p>
    <w:p>
      <w:pPr>
        <w:keepNext/>
        <w:widowControl/>
        <w:spacing w:after="0" w:before="0" w:line="250" w:lineRule="auto"/>
        <w:ind w:left="187" w:right="144"/>
        <w:shd w:fill="F1F3F5"/>
      </w:pPr>
      <w:r>
        <w:rPr>
          <w:rFonts w:ascii="Liberation Mono" w:hAnsi="Liberation Mono"/>
          <w:sz w:val="16"/>
        </w:rPr>
        <w:t>model = "gpt-6.1-sol"</w:t>
      </w:r>
    </w:p>
    <w:p>
      <w:pPr>
        <w:keepNext/>
        <w:widowControl/>
        <w:spacing w:after="0" w:before="0" w:line="250" w:lineRule="auto"/>
        <w:ind w:left="187" w:right="144"/>
        <w:shd w:fill="F1F3F5"/>
      </w:pPr>
      <w:r>
        <w:rPr>
          <w:rFonts w:ascii="Liberation Mono" w:hAnsi="Liberation Mono"/>
          <w:sz w:val="16"/>
        </w:rPr>
        <w:t>model_reasoning_effort = "xhigh"</w:t>
      </w:r>
    </w:p>
    <w:p>
      <w:pPr>
        <w:keepNext/>
        <w:widowControl/>
        <w:spacing w:after="0" w:before="0" w:line="250" w:lineRule="auto"/>
        <w:ind w:left="187" w:right="144"/>
        <w:shd w:fill="F1F3F5"/>
      </w:pPr>
      <w:r>
        <w:rPr>
          <w:rFonts w:ascii="Liberation Mono" w:hAnsi="Liberation Mono"/>
          <w:sz w:val="16"/>
        </w:rPr>
        <w:t>sandbox_mode = "read-only"</w:t>
      </w:r>
    </w:p>
    <w:p>
      <w:pPr>
        <w:keepNext/>
        <w:widowControl/>
        <w:spacing w:after="0" w:before="0" w:line="250" w:lineRule="auto"/>
        <w:ind w:left="187" w:right="144"/>
        <w:shd w:fill="F1F3F5"/>
      </w:pPr>
      <w:r>
        <w:rPr>
          <w:rFonts w:ascii="Liberation Mono" w:hAnsi="Liberation Mono"/>
          <w:sz w:val="16"/>
        </w:rPr>
        <w:t>developer_instructions = """</w:t>
      </w:r>
    </w:p>
    <w:p>
      <w:pPr>
        <w:keepNext/>
        <w:widowControl/>
        <w:spacing w:after="0" w:before="0" w:line="250" w:lineRule="auto"/>
        <w:ind w:left="187" w:right="144"/>
        <w:shd w:fill="F1F3F5"/>
      </w:pPr>
      <w:r>
        <w:rPr>
          <w:rFonts w:ascii="Liberation Mono" w:hAnsi="Liberation Mono"/>
          <w:sz w:val="16"/>
        </w:rPr>
        <w:t>Review the supplied immutable snapshot and actual verification results.</w:t>
      </w:r>
    </w:p>
    <w:p>
      <w:pPr>
        <w:keepNext/>
        <w:widowControl/>
        <w:spacing w:after="0" w:before="0" w:line="250" w:lineRule="auto"/>
        <w:ind w:left="187" w:right="144"/>
        <w:shd w:fill="F1F3F5"/>
      </w:pPr>
      <w:r>
        <w:rPr>
          <w:rFonts w:ascii="Liberation Mono" w:hAnsi="Liberation Mono"/>
          <w:sz w:val="16"/>
        </w:rPr>
        <w:t>Return requirement IDs, task IDs, severity, locations and evidence.</w:t>
      </w:r>
    </w:p>
    <w:p>
      <w:pPr>
        <w:keepNext/>
        <w:widowControl/>
        <w:spacing w:after="0" w:before="0" w:line="250" w:lineRule="auto"/>
        <w:ind w:left="187" w:right="144"/>
        <w:shd w:fill="F1F3F5"/>
      </w:pPr>
      <w:r>
        <w:rPr>
          <w:rFonts w:ascii="Liberation Mono" w:hAnsi="Liberation Mono"/>
          <w:sz w:val="16"/>
        </w:rPr>
        <w:t>Flag contract drift, weak tests, duplication and incomplete behavior.</w:t>
      </w:r>
    </w:p>
    <w:p>
      <w:pPr>
        <w:keepNext/>
        <w:widowControl/>
        <w:spacing w:after="0" w:before="0" w:line="250" w:lineRule="auto"/>
        <w:ind w:left="187" w:right="144"/>
        <w:shd w:fill="F1F3F5"/>
      </w:pPr>
      <w:r>
        <w:rPr>
          <w:rFonts w:ascii="Liberation Mono" w:hAnsi="Liberation Mono"/>
          <w:sz w:val="16"/>
        </w:rPr>
        <w:t>Send corrections to the orchestrator. Do not edit code or close phases.</w:t>
      </w:r>
    </w:p>
    <w:p>
      <w:pPr>
        <w:keepNext w:val="0"/>
        <w:widowControl/>
        <w:spacing w:after="0" w:before="0" w:line="250" w:lineRule="auto"/>
        <w:ind w:left="187" w:right="144"/>
        <w:shd w:fill="F1F3F5"/>
      </w:pPr>
      <w:r>
        <w:rPr>
          <w:rFonts w:ascii="Liberation Mono" w:hAnsi="Liberation Mono"/>
          <w:sz w:val="16"/>
        </w:rPr>
        <w:t>"""</w:t>
      </w:r>
    </w:p>
    <w:p>
      <w:pPr>
        <w:spacing w:after="60" w:line="96" w:lineRule="auto"/>
      </w:pPr>
    </w:p>
    <w:p>
      <w:pPr>
        <w:pStyle w:val="Heading1"/>
      </w:pPr>
      <w:r>
        <w:t>14 Goal mode implementation</w:t>
      </w:r>
    </w:p>
    <w:p>
      <w:pPr>
        <w:pStyle w:val="Heading2"/>
      </w:pPr>
      <w:r>
        <w:t>14 1 Use the native goal surface first</w:t>
      </w:r>
    </w:p>
    <w:p>
      <w:r>
        <w:t xml:space="preserve">Launch the local Codex client with the repository and verified requested model settings, invoke the implementation skill through the goal, and keep the actual detailed procedure in that skill. The native command is /goal followed by the objective. The documentation specifies a nonempty objective of at most 4,000 characters. It recommends a referenced file for longer instructions but does not establish automatic conversion into a special objective file. </w:t>
      </w:r>
      <w:hyperlink w:anchor="source_9">
        <w:r>
          <w:rPr>
            <w:color w:val="174E76"/>
          </w:rPr>
          <w:t>[S9]</w:t>
        </w:r>
      </w:hyperlink>
    </w:p>
    <w:p>
      <w:r>
        <w:t xml:space="preserve">Do not invent a codex exec goal flag. Use codex exec with JSON events and an output schema for bounded noninteractive jobs such as research packets and preparation analysis. The SDK supplies a convenient thread interface. Structured output validates the result's shape, not whether its claims are correct. </w:t>
      </w:r>
      <w:hyperlink w:anchor="source_11">
        <w:r>
          <w:rPr>
            <w:color w:val="174E76"/>
          </w:rPr>
          <w:t>[S11–S12]</w:t>
        </w:r>
      </w:hyperlink>
    </w:p>
    <w:p>
      <w:r>
        <w:t xml:space="preserve">For a richer custom client, App Server documents goal state, model capability discovery, steering and interruption, and review operations. Its current documentation also labels the command and WebSocket transport experimental. Prefer a version pinned local adapter and explicit integration tests if this route is adopted; stdio does not erase the command's stated maturity limitation. </w:t>
      </w:r>
      <w:hyperlink w:anchor="source_10">
        <w:r>
          <w:rPr>
            <w:color w:val="174E76"/>
          </w:rPr>
          <w:t>[S10]</w:t>
        </w:r>
      </w:hyperlink>
    </w:p>
    <w:p>
      <w:r>
        <w:t>The goal prompt below is 3,157 ASCII characters excluding its trailing newline. It references the workflow skill and the proposed controller. It is a usable objective template after that harness exists; it is not an assertion that the commands already exist in a new repository.</w:t>
      </w:r>
    </w:p>
    <w:p>
      <w:pPr>
        <w:keepNext/>
        <w:widowControl/>
        <w:spacing w:after="0" w:before="0" w:line="250" w:lineRule="auto"/>
        <w:ind w:left="187" w:right="144"/>
        <w:shd w:fill="F1F3F5"/>
      </w:pPr>
      <w:r>
        <w:rPr>
          <w:rFonts w:ascii="Liberation Mono" w:hAnsi="Liberation Mono"/>
          <w:sz w:val="18"/>
        </w:rPr>
        <w:t>$implementation-workflow Complete the active frozen RDD run identified by .rdd/run.json.</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Start with ./rdd verify --stage implementation. Load the run's approved requirements, specs, contract lock, task DAG, phased backlog, implementation matrix and relevant skills. Verify the configured GPT-6 Astra Ultra coordinator, GPT-6.1 Sol xhigh large-worker/reviewer and GPT-6 Luna xhigh small-worker settings; do not silently substitute models.</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Work one phase at a time, in the frozen order. Preserve completed phase obligations. Create all planned phase tests first and record expected-failure evidence against the baseline; then execute deletion, modification, addition and documentation in order, respecting validated dependencies. Use frequent tests and refactoring. Corrective sweeps in the still-open phase start with regression tests and follow the same category order without expanding scope. An addition requires its approved reuse analysis; never recategorize to bypass the order.</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Delegate bounded independent targets to Sol and smaller unambiguous tasks to Luna. Use isolated worker worktrees, explicit write ownership and serialized integration. Keep a separate Sol reviewer observing coherent snapshots and test evidence, sending actionable corrections through you. Advice is continuous; formal review gates occur only at phase completion.</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Do not alter requirements, specs, protobufs, approved validation or HTTP mappings, benchmark thresholds, gate policy or phase boundaries. Do not weaken tests or manufacture evidence. A requirement/specification ambiguity or necessary contract change is BLOCKED_SPEC: record affected IDs, evidence and the decision needed, stop dependent work and require specification-workflow. An execution/environment blocker must be recorded distinctly. If a closed phase's acceptance was invalid, fail the run; do not reopen or disguise its repair as later work.</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Use ./rdd next and the run ledger to track task IDs. Mark completion only through evidence-backed reconciliation; retire inline markers through ./rdd anchors reconcile. Deleting comments does not complete tasks. Preserve markers for future phases.</w:t>
      </w:r>
    </w:p>
    <w:p>
      <w:pPr>
        <w:keepNext/>
        <w:widowControl/>
        <w:spacing w:after="0" w:before="0" w:line="250" w:lineRule="auto"/>
        <w:ind w:left="187" w:right="144"/>
        <w:shd w:fill="F1F3F5"/>
      </w:pPr>
      <w:r>
        <w:rPr>
          <w:rFonts w:ascii="Liberation Mono" w:hAnsi="Liberation Mono"/>
          <w:sz w:val="18"/>
        </w:rPr>
        <w:t xml:space="preserve"> </w:t>
      </w:r>
    </w:p>
    <w:p>
      <w:pPr>
        <w:keepNext/>
        <w:widowControl/>
        <w:spacing w:after="0" w:before="0" w:line="250" w:lineRule="auto"/>
        <w:ind w:left="187" w:right="144"/>
        <w:shd w:fill="F1F3F5"/>
      </w:pPr>
      <w:r>
        <w:rPr>
          <w:rFonts w:ascii="Liberation Mono" w:hAnsi="Liberation Mono"/>
          <w:sz w:val="18"/>
        </w:rPr>
        <w:t>At each boundary create or update the phase's single PR, stacked on its predecessor. Run ./rdd gate phase --current and resolve current-phase defects and required reviews while the phase is open. Before sealing the final phase, run ./rdd gate project --scope code. Seal only the accepted revision, with current evidence and a non-draft PR, then advance. Never merge a child into its parent. Follow pr_completion; merge only with the selected policy and authority. Revalidate changed revisions after restacking.</w:t>
      </w:r>
    </w:p>
    <w:p>
      <w:pPr>
        <w:keepNext/>
        <w:widowControl/>
        <w:spacing w:after="0" w:before="0" w:line="250" w:lineRule="auto"/>
        <w:ind w:left="187" w:right="144"/>
        <w:shd w:fill="F1F3F5"/>
      </w:pPr>
      <w:r>
        <w:rPr>
          <w:rFonts w:ascii="Liberation Mono" w:hAnsi="Liberation Mono"/>
          <w:sz w:val="18"/>
        </w:rPr>
        <w:t xml:space="preserve"> </w:t>
      </w:r>
    </w:p>
    <w:p>
      <w:pPr>
        <w:keepNext w:val="0"/>
        <w:widowControl/>
        <w:spacing w:after="0" w:before="0" w:line="250" w:lineRule="auto"/>
        <w:ind w:left="187" w:right="144"/>
        <w:shd w:fill="F1F3F5"/>
      </w:pPr>
      <w:r>
        <w:rPr>
          <w:rFonts w:ascii="Liberation Mono" w:hAnsi="Liberation Mono"/>
          <w:sz w:val="18"/>
        </w:rPr>
        <w:t>Finish only when ./rdd gate project succeeds: every active task has valid evidence, no run task markers or unfinished shells remain, every required test and benchmark actually ran and passed, contracts and architecture checks pass, all phase PRs meet the declared completion policy, and the project validation JSON and human-readable report are recorded for the tested source and PR revisions. Respect run budgets; report blockers or inconclusive evidence truthfully instead of claiming success.</w:t>
      </w:r>
    </w:p>
    <w:p>
      <w:pPr>
        <w:spacing w:after="60" w:line="96" w:lineRule="auto"/>
      </w:pPr>
    </w:p>
    <w:p>
      <w:pPr>
        <w:pStyle w:val="Heading2"/>
      </w:pPr>
      <w:r>
        <w:t>14 2 Treat native goal completion as advisory</w:t>
      </w:r>
    </w:p>
    <w:p>
      <w:r>
        <w:t>The runner's project predicate is the authority for completed work. Native goal state and model responses should reflect it. A goal can remain active through context changes and resumable checkpoints, but a model's decision to stop cannot override a failed or missing gate.</w:t>
      </w:r>
    </w:p>
    <w:p>
      <w:r>
        <w:t>If the exact model or reasoning setting is unavailable, record a capability blocker before work starts. If the operator deliberately changes it, create an updated run configuration and retain the new provenance. Do not silently map Astra Ultra to another model or generic API value.</w:t>
      </w:r>
    </w:p>
    <w:p>
      <w:pPr>
        <w:pStyle w:val="Heading1"/>
      </w:pPr>
      <w:r>
        <w:t>15 Existing workflows to evaluate and reuse</w:t>
      </w:r>
    </w:p>
    <w:p>
      <w:r>
        <w:t>The general requirements to design to tasks sequence already exists in several development systems. RDD's useful differentiation is the explicit authority of the requirements, frozen contract boundaries, sealed phase obligations, independent evidence, and precise PR completion policy. The label alone does not establish better outcomes than other approaches.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664"/>
        <w:gridCol w:w="2880"/>
        <w:gridCol w:w="4536"/>
      </w:tblGrid>
      <w:tr>
        <w:trPr>
          <w:cantSplit/>
          <w:tblHeader/>
        </w:trPr>
        <w:tc>
          <w:tcPr>
            <w:tcW w:type="dxa" w:w="2664"/>
            <w:vAlign w:val="center"/>
            <w:shd w:fill="163A50"/>
          </w:tcPr>
          <w:p>
            <w:pPr>
              <w:spacing w:after="0" w:line="252" w:lineRule="auto"/>
            </w:pPr>
            <w:r>
              <w:rPr>
                <w:b/>
                <w:color w:val="FFFFFF"/>
                <w:sz w:val="18"/>
              </w:rPr>
              <w:t>Existing workflow</w:t>
            </w:r>
          </w:p>
        </w:tc>
        <w:tc>
          <w:tcPr>
            <w:tcW w:type="dxa" w:w="2880"/>
            <w:vAlign w:val="center"/>
            <w:shd w:fill="163A50"/>
          </w:tcPr>
          <w:p>
            <w:pPr>
              <w:spacing w:after="0" w:line="252" w:lineRule="auto"/>
            </w:pPr>
            <w:r>
              <w:rPr>
                <w:b/>
                <w:color w:val="FFFFFF"/>
                <w:sz w:val="18"/>
              </w:rPr>
              <w:t>Useful starting point</w:t>
            </w:r>
          </w:p>
        </w:tc>
        <w:tc>
          <w:tcPr>
            <w:tcW w:type="dxa" w:w="4536"/>
            <w:vAlign w:val="center"/>
            <w:shd w:fill="163A50"/>
          </w:tcPr>
          <w:p>
            <w:pPr>
              <w:spacing w:after="0" w:line="252" w:lineRule="auto"/>
            </w:pPr>
            <w:r>
              <w:rPr>
                <w:b/>
                <w:color w:val="FFFFFF"/>
                <w:sz w:val="18"/>
              </w:rPr>
              <w:t>RDD policy to add or change</w:t>
            </w:r>
          </w:p>
        </w:tc>
      </w:tr>
      <w:tr>
        <w:trPr>
          <w:cantSplit/>
        </w:trPr>
        <w:tc>
          <w:tcPr>
            <w:tcW w:type="dxa" w:w="2664"/>
            <w:vAlign w:val="center"/>
            <w:shd w:fill="FFFFFF"/>
          </w:tcPr>
          <w:p>
            <w:pPr>
              <w:spacing w:after="0" w:line="252" w:lineRule="auto"/>
            </w:pPr>
            <w:r>
              <w:rPr>
                <w:sz w:val="18"/>
              </w:rPr>
              <w:t>GitHub Spec Kit</w:t>
            </w:r>
          </w:p>
        </w:tc>
        <w:tc>
          <w:tcPr>
            <w:tcW w:type="dxa" w:w="2880"/>
            <w:vAlign w:val="center"/>
            <w:shd w:fill="FFFFFF"/>
          </w:tcPr>
          <w:p>
            <w:pPr>
              <w:spacing w:after="0" w:line="252" w:lineRule="auto"/>
            </w:pPr>
            <w:r>
              <w:rPr>
                <w:sz w:val="18"/>
              </w:rPr>
              <w:t>Phased dependency ordered tasks, cross artifact analysis, convergence, and a resumable workflow engine</w:t>
            </w:r>
          </w:p>
        </w:tc>
        <w:tc>
          <w:tcPr>
            <w:tcW w:type="dxa" w:w="4536"/>
            <w:vAlign w:val="center"/>
            <w:shd w:fill="FFFFFF"/>
          </w:tcPr>
          <w:p>
            <w:pPr>
              <w:spacing w:after="0" w:line="252" w:lineRule="auto"/>
            </w:pPr>
            <w:r>
              <w:rPr>
                <w:sz w:val="18"/>
              </w:rPr>
              <w:t>Mandatory verification, controlled task additions, protobuf locks, phase closure, anchor reconciliation, and the selected PR stack policy</w:t>
            </w:r>
          </w:p>
        </w:tc>
      </w:tr>
      <w:tr>
        <w:trPr>
          <w:cantSplit/>
        </w:trPr>
        <w:tc>
          <w:tcPr>
            <w:tcW w:type="dxa" w:w="2664"/>
            <w:vAlign w:val="center"/>
            <w:shd w:fill="F3F6F8"/>
          </w:tcPr>
          <w:p>
            <w:pPr>
              <w:spacing w:after="0" w:line="252" w:lineRule="auto"/>
            </w:pPr>
            <w:r>
              <w:rPr>
                <w:sz w:val="18"/>
              </w:rPr>
              <w:t>Fission AI OpenSpec</w:t>
            </w:r>
          </w:p>
        </w:tc>
        <w:tc>
          <w:tcPr>
            <w:tcW w:type="dxa" w:w="2880"/>
            <w:vAlign w:val="center"/>
            <w:shd w:fill="F3F6F8"/>
          </w:tcPr>
          <w:p>
            <w:pPr>
              <w:spacing w:after="0" w:line="252" w:lineRule="auto"/>
            </w:pPr>
            <w:r>
              <w:rPr>
                <w:sz w:val="18"/>
              </w:rPr>
              <w:t>Explicit added, modified, and removed requirement deltas, change packaging, and archival reconciliation</w:t>
            </w:r>
          </w:p>
        </w:tc>
        <w:tc>
          <w:tcPr>
            <w:tcW w:type="dxa" w:w="4536"/>
            <w:vAlign w:val="center"/>
            <w:shd w:fill="F3F6F8"/>
          </w:tcPr>
          <w:p>
            <w:pPr>
              <w:spacing w:after="0" w:line="252" w:lineRule="auto"/>
            </w:pPr>
            <w:r>
              <w:rPr>
                <w:sz w:val="18"/>
              </w:rPr>
              <w:t>Preserve separate requirements authority and prohibit semantic design changes during a frozen implementation run</w:t>
            </w:r>
          </w:p>
        </w:tc>
      </w:tr>
      <w:tr>
        <w:trPr>
          <w:cantSplit/>
        </w:trPr>
        <w:tc>
          <w:tcPr>
            <w:tcW w:type="dxa" w:w="2664"/>
            <w:vAlign w:val="center"/>
            <w:shd w:fill="FFFFFF"/>
          </w:tcPr>
          <w:p>
            <w:pPr>
              <w:spacing w:after="0" w:line="252" w:lineRule="auto"/>
            </w:pPr>
            <w:r>
              <w:rPr>
                <w:sz w:val="18"/>
              </w:rPr>
              <w:t>Kiro Requirements First</w:t>
            </w:r>
          </w:p>
        </w:tc>
        <w:tc>
          <w:tcPr>
            <w:tcW w:type="dxa" w:w="2880"/>
            <w:vAlign w:val="center"/>
            <w:shd w:fill="FFFFFF"/>
          </w:tcPr>
          <w:p>
            <w:pPr>
              <w:spacing w:after="0" w:line="252" w:lineRule="auto"/>
            </w:pPr>
            <w:r>
              <w:rPr>
                <w:sz w:val="18"/>
              </w:rPr>
              <w:t>Structured requirements, design and tasks, plus dependency waves for concurrent work</w:t>
            </w:r>
          </w:p>
        </w:tc>
        <w:tc>
          <w:tcPr>
            <w:tcW w:type="dxa" w:w="4536"/>
            <w:vAlign w:val="center"/>
            <w:shd w:fill="FFFFFF"/>
          </w:tcPr>
          <w:p>
            <w:pPr>
              <w:spacing w:after="0" w:line="252" w:lineRule="auto"/>
            </w:pPr>
            <w:r>
              <w:rPr>
                <w:sz w:val="18"/>
              </w:rPr>
              <w:t>Distinguish execution waves from acceptable closed phases and add the frozen contract and evidence rules</w:t>
            </w:r>
          </w:p>
        </w:tc>
      </w:tr>
    </w:tbl>
    <w:p>
      <w:pPr>
        <w:spacing w:after="40" w:before="0" w:line="120" w:lineRule="auto"/>
      </w:pPr>
    </w:p>
    <w:p>
      <w:r>
        <w:t xml:space="preserve">Spec Kit's current workflow engine supports conditionals, loops, parallel branches and pause and resume. Its planning and convergence functions are useful reference points; an RDD adaptation must constrain new tasks and preserve the frozen baseline. Evaluate extending that engine before recreating general workflow orchestration. </w:t>
      </w:r>
      <w:hyperlink w:anchor="source_59">
        <w:r>
          <w:rPr>
            <w:color w:val="174E76"/>
          </w:rPr>
          <w:t>[S59–S60]</w:t>
        </w:r>
      </w:hyperlink>
    </w:p>
    <w:p>
      <w:r>
        <w:t xml:space="preserve">OpenSpec's change representation is a useful model for amendment impact and history. Its documented workflow permits revising design during implementation, so adopting it unchanged would conflict with the requested freeze. Its current system specifications also need to remain distinct from this harness's human owned problem requirements. </w:t>
      </w:r>
      <w:hyperlink w:anchor="source_61">
        <w:r>
          <w:rPr>
            <w:color w:val="174E76"/>
          </w:rPr>
          <w:t>[S61, S64]</w:t>
        </w:r>
      </w:hyperlink>
    </w:p>
    <w:p>
      <w:r>
        <w:t xml:space="preserve">Kiro explicitly documents a requirements first path through requirements.md, design.md, and tasks.md. It also documents sequential waves of independent ready tasks. A wave is an execution grouping; the RDD phase additionally needs accepted behavior and immutable closure evidence. </w:t>
      </w:r>
      <w:hyperlink w:anchor="source_62">
        <w:r>
          <w:rPr>
            <w:color w:val="174E76"/>
          </w:rPr>
          <w:t>[S62–S63]</w:t>
        </w:r>
      </w:hyperlink>
    </w:p>
    <w:p>
      <w:r>
        <w:t>The follow up should compare a small custom controller with a Spec Kit workflow extension using the same RDD conformance tests. Borrow the useful amendment and requirement review patterns without assuming any default tool configuration supplies the entire proposed policy. This comparison is an implementation recommendation, not a claim that the tools cannot be extended.</w:t>
      </w:r>
    </w:p>
    <w:p>
      <w:pPr>
        <w:pStyle w:val="Heading1"/>
      </w:pPr>
      <w:r>
        <w:t>16 Evaluate the harness before calling it optimal</w:t>
      </w:r>
    </w:p>
    <w:p>
      <w:r>
        <w:t>Use a representative evaluation set containing greenfield implementation, a local amendment, a cross module amendment, a breaking public contract change, an expand migrate contract data change, a late specification conflict, interruption and recovery, target branch drift, and a squash or rebase restack. Include a retrieved document containing an instruction that conflicts with the trusted run policy to test context handling.</w:t>
      </w:r>
    </w:p>
    <w:p>
      <w:r>
        <w:t>Compare a single implementor and a multi implementor configuration with the same requirements, frozen acceptance oracle, tools, budgets, and dependency versions. Vary one major policy at a time. A small repeated pilot is useful for finding failure modes; do not present it as statistically conclusive without sufficient trials and a defined analysis.</w:t>
      </w:r>
    </w:p>
    <w:p>
      <w:r>
        <w:t>Measure independently verified requirement completion, escaped defects, phase closure failures, unauthorized contract changes, weakened tests, addition rationale quality, duplicate logic, blocked run correctness, reviewer corrections accepted, conflict time, elapsed time, model usage, and human intervention. Distinguish productive review corrections from repeated advice that adds latency without changing outcomes.</w:t>
      </w:r>
    </w:p>
    <w:p>
      <w:r>
        <w:t>Use the results to choose phase size, concurrency, routing thresholds, and which checks need automation. Keep strict category order as the initial requested policy. If it creates too many artificial phases or operational conflicts, present measured evidence for changing that policy during a later specification run.</w:t>
      </w:r>
    </w:p>
    <w:p>
      <w:r>
        <w:t>The initial success criterion should be one complete small project and two correct amendments, including a deliberate blocker that the harness handles honestly. That establishes a concrete base for expansion without assuming that more agents, more skills, or larger specifications automatically improve results.</w:t>
      </w:r>
    </w:p>
    <w:p>
      <w:pPr>
        <w:pStyle w:val="Heading1"/>
      </w:pPr>
      <w:r>
        <w:t>Appendix A Minimum machine readable records</w:t>
      </w:r>
    </w:p>
    <w:p>
      <w:r>
        <w:t>These are illustrative harness schemas, not native Codex or Buf configuration. Validate production versions with JSON Schema or an equivalent typed schema and reject dangling references.</w:t>
      </w:r>
    </w:p>
    <w:p>
      <w:pPr>
        <w:keepNext/>
        <w:widowControl/>
        <w:spacing w:after="0" w:before="0" w:line="250" w:lineRule="auto"/>
        <w:ind w:left="187" w:right="144"/>
        <w:shd w:fill="F1F3F5"/>
      </w:pPr>
      <w:r>
        <w:rPr>
          <w:rFonts w:ascii="Liberation Mono" w:hAnsi="Liberation Mono"/>
          <w:sz w:val="16"/>
        </w:rPr>
        <w:t>run_id: R-001</w:t>
      </w:r>
    </w:p>
    <w:p>
      <w:pPr>
        <w:keepNext/>
        <w:widowControl/>
        <w:spacing w:after="0" w:before="0" w:line="250" w:lineRule="auto"/>
        <w:ind w:left="187" w:right="144"/>
        <w:shd w:fill="F1F3F5"/>
      </w:pPr>
      <w:r>
        <w:rPr>
          <w:rFonts w:ascii="Liberation Mono" w:hAnsi="Liberation Mono"/>
          <w:sz w:val="16"/>
        </w:rPr>
        <w:t>mode: amend</w:t>
      </w:r>
    </w:p>
    <w:p>
      <w:pPr>
        <w:keepNext/>
        <w:widowControl/>
        <w:spacing w:after="0" w:before="0" w:line="250" w:lineRule="auto"/>
        <w:ind w:left="187" w:right="144"/>
        <w:shd w:fill="F1F3F5"/>
      </w:pPr>
      <w:r>
        <w:rPr>
          <w:rFonts w:ascii="Liberation Mono" w:hAnsi="Liberation Mono"/>
          <w:sz w:val="16"/>
        </w:rPr>
        <w:t>requirements_ref: &lt;git-commit-and-content-digest&gt;</w:t>
      </w:r>
    </w:p>
    <w:p>
      <w:pPr>
        <w:keepNext/>
        <w:widowControl/>
        <w:spacing w:after="0" w:before="0" w:line="250" w:lineRule="auto"/>
        <w:ind w:left="187" w:right="144"/>
        <w:shd w:fill="F1F3F5"/>
      </w:pPr>
      <w:r>
        <w:rPr>
          <w:rFonts w:ascii="Liberation Mono" w:hAnsi="Liberation Mono"/>
          <w:sz w:val="16"/>
        </w:rPr>
        <w:t>specification_ref: &lt;approved-bundle-digest&gt;</w:t>
      </w:r>
    </w:p>
    <w:p>
      <w:pPr>
        <w:keepNext/>
        <w:widowControl/>
        <w:spacing w:after="0" w:before="0" w:line="250" w:lineRule="auto"/>
        <w:ind w:left="187" w:right="144"/>
        <w:shd w:fill="F1F3F5"/>
      </w:pPr>
      <w:r>
        <w:rPr>
          <w:rFonts w:ascii="Liberation Mono" w:hAnsi="Liberation Mono"/>
          <w:sz w:val="16"/>
        </w:rPr>
        <w:t>contract_lock_ref: &lt;source-config-toolchain-manifest&gt;</w:t>
      </w:r>
    </w:p>
    <w:p>
      <w:pPr>
        <w:keepNext/>
        <w:widowControl/>
        <w:spacing w:after="0" w:before="0" w:line="250" w:lineRule="auto"/>
        <w:ind w:left="187" w:right="144"/>
        <w:shd w:fill="F1F3F5"/>
      </w:pPr>
      <w:r>
        <w:rPr>
          <w:rFonts w:ascii="Liberation Mono" w:hAnsi="Liberation Mono"/>
          <w:sz w:val="16"/>
        </w:rPr>
        <w:t>plan_ref: &lt;frozen-plan-digest&gt;</w:t>
      </w:r>
    </w:p>
    <w:p>
      <w:pPr>
        <w:keepNext/>
        <w:widowControl/>
        <w:spacing w:after="0" w:before="0" w:line="250" w:lineRule="auto"/>
        <w:ind w:left="187" w:right="144"/>
        <w:shd w:fill="F1F3F5"/>
      </w:pPr>
      <w:r>
        <w:rPr>
          <w:rFonts w:ascii="Liberation Mono" w:hAnsi="Liberation Mono"/>
          <w:sz w:val="16"/>
        </w:rPr>
        <w:t>category_order: strict</w:t>
      </w:r>
    </w:p>
    <w:p>
      <w:pPr>
        <w:keepNext/>
        <w:widowControl/>
        <w:spacing w:after="0" w:before="0" w:line="250" w:lineRule="auto"/>
        <w:ind w:left="187" w:right="144"/>
        <w:shd w:fill="F1F3F5"/>
      </w:pPr>
      <w:r>
        <w:rPr>
          <w:rFonts w:ascii="Liberation Mono" w:hAnsi="Liberation Mono"/>
          <w:sz w:val="16"/>
        </w:rPr>
        <w:t>pr_completion: ready</w:t>
      </w:r>
    </w:p>
    <w:p>
      <w:pPr>
        <w:keepNext/>
        <w:widowControl/>
        <w:spacing w:after="0" w:before="0" w:line="250" w:lineRule="auto"/>
        <w:ind w:left="187" w:right="144"/>
        <w:shd w:fill="F1F3F5"/>
      </w:pPr>
      <w:r>
        <w:rPr>
          <w:rFonts w:ascii="Liberation Mono" w:hAnsi="Liberation Mono"/>
          <w:sz w:val="16"/>
        </w:rPr>
        <w:t>current_phase: P02</w:t>
      </w:r>
    </w:p>
    <w:p>
      <w:pPr>
        <w:keepNext/>
        <w:widowControl/>
        <w:spacing w:after="0" w:before="0" w:line="250" w:lineRule="auto"/>
        <w:ind w:left="187" w:right="144"/>
        <w:shd w:fill="F1F3F5"/>
      </w:pPr>
      <w:r>
        <w:rPr>
          <w:rFonts w:ascii="Liberation Mono" w:hAnsi="Liberation Mono"/>
          <w:sz w:val="16"/>
        </w:rPr>
        <w:t>gate_policy_ref: &lt;protected-policy-digest&gt;</w:t>
      </w:r>
    </w:p>
    <w:p>
      <w:pPr>
        <w:keepNext w:val="0"/>
        <w:widowControl/>
        <w:spacing w:after="0" w:before="0" w:line="250" w:lineRule="auto"/>
        <w:ind w:left="187" w:right="144"/>
        <w:shd w:fill="F1F3F5"/>
      </w:pPr>
      <w:r>
        <w:rPr>
          <w:rFonts w:ascii="Liberation Mono" w:hAnsi="Liberation Mono"/>
          <w:sz w:val="16"/>
        </w:rPr>
        <w:t>status: implementing</w:t>
      </w:r>
    </w:p>
    <w:p>
      <w:pPr>
        <w:spacing w:after="60" w:line="96" w:lineRule="auto"/>
      </w:pPr>
    </w:p>
    <w:p>
      <w:pPr>
        <w:keepNext/>
        <w:widowControl/>
        <w:spacing w:after="0" w:before="0" w:line="250" w:lineRule="auto"/>
        <w:ind w:left="187" w:right="144"/>
        <w:shd w:fill="F1F3F5"/>
      </w:pPr>
      <w:r>
        <w:rPr>
          <w:rFonts w:ascii="Liberation Mono" w:hAnsi="Liberation Mono"/>
          <w:sz w:val="16"/>
        </w:rPr>
        <w:t>id: T-021</w:t>
      </w:r>
    </w:p>
    <w:p>
      <w:pPr>
        <w:keepNext/>
        <w:widowControl/>
        <w:spacing w:after="0" w:before="0" w:line="250" w:lineRule="auto"/>
        <w:ind w:left="187" w:right="144"/>
        <w:shd w:fill="F1F3F5"/>
      </w:pPr>
      <w:r>
        <w:rPr>
          <w:rFonts w:ascii="Liberation Mono" w:hAnsi="Liberation Mono"/>
          <w:sz w:val="16"/>
        </w:rPr>
        <w:t>phase: P02</w:t>
      </w:r>
    </w:p>
    <w:p>
      <w:pPr>
        <w:keepNext/>
        <w:widowControl/>
        <w:spacing w:after="0" w:before="0" w:line="250" w:lineRule="auto"/>
        <w:ind w:left="187" w:right="144"/>
        <w:shd w:fill="F1F3F5"/>
      </w:pPr>
      <w:r>
        <w:rPr>
          <w:rFonts w:ascii="Liberation Mono" w:hAnsi="Liberation Mono"/>
          <w:sz w:val="16"/>
        </w:rPr>
        <w:t>category: modification</w:t>
      </w:r>
    </w:p>
    <w:p>
      <w:pPr>
        <w:keepNext/>
        <w:widowControl/>
        <w:spacing w:after="0" w:before="0" w:line="250" w:lineRule="auto"/>
        <w:ind w:left="187" w:right="144"/>
        <w:shd w:fill="F1F3F5"/>
      </w:pPr>
      <w:r>
        <w:rPr>
          <w:rFonts w:ascii="Liberation Mono" w:hAnsi="Liberation Mono"/>
          <w:sz w:val="16"/>
        </w:rPr>
        <w:t>requirements: [FR-NOT-001]</w:t>
      </w:r>
    </w:p>
    <w:p>
      <w:pPr>
        <w:keepNext/>
        <w:widowControl/>
        <w:spacing w:after="0" w:before="0" w:line="250" w:lineRule="auto"/>
        <w:ind w:left="187" w:right="144"/>
        <w:shd w:fill="F1F3F5"/>
      </w:pPr>
      <w:r>
        <w:rPr>
          <w:rFonts w:ascii="Liberation Mono" w:hAnsi="Liberation Mono"/>
          <w:sz w:val="16"/>
        </w:rPr>
        <w:t>specifications: [SPEC-NOT-01]</w:t>
      </w:r>
    </w:p>
    <w:p>
      <w:pPr>
        <w:keepNext/>
        <w:widowControl/>
        <w:spacing w:after="0" w:before="0" w:line="250" w:lineRule="auto"/>
        <w:ind w:left="187" w:right="144"/>
        <w:shd w:fill="F1F3F5"/>
      </w:pPr>
      <w:r>
        <w:rPr>
          <w:rFonts w:ascii="Liberation Mono" w:hAnsi="Liberation Mono"/>
          <w:sz w:val="16"/>
        </w:rPr>
        <w:t>verticals: [V02]</w:t>
      </w:r>
    </w:p>
    <w:p>
      <w:pPr>
        <w:keepNext/>
        <w:widowControl/>
        <w:spacing w:after="0" w:before="0" w:line="250" w:lineRule="auto"/>
        <w:ind w:left="187" w:right="144"/>
        <w:shd w:fill="F1F3F5"/>
      </w:pPr>
      <w:r>
        <w:rPr>
          <w:rFonts w:ascii="Liberation Mono" w:hAnsi="Liberation Mono"/>
          <w:sz w:val="16"/>
        </w:rPr>
        <w:t>depends_on: [T-020]</w:t>
      </w:r>
    </w:p>
    <w:p>
      <w:pPr>
        <w:keepNext/>
        <w:widowControl/>
        <w:spacing w:after="0" w:before="0" w:line="250" w:lineRule="auto"/>
        <w:ind w:left="187" w:right="144"/>
        <w:shd w:fill="F1F3F5"/>
      </w:pPr>
      <w:r>
        <w:rPr>
          <w:rFonts w:ascii="Liberation Mono" w:hAnsi="Liberation Mono"/>
          <w:sz w:val="16"/>
        </w:rPr>
        <w:t>reads: [contracts/notifications/v1/service.proto]</w:t>
      </w:r>
    </w:p>
    <w:p>
      <w:pPr>
        <w:keepNext/>
        <w:widowControl/>
        <w:spacing w:after="0" w:before="0" w:line="250" w:lineRule="auto"/>
        <w:ind w:left="187" w:right="144"/>
        <w:shd w:fill="F1F3F5"/>
      </w:pPr>
      <w:r>
        <w:rPr>
          <w:rFonts w:ascii="Liberation Mono" w:hAnsi="Liberation Mono"/>
          <w:sz w:val="16"/>
        </w:rPr>
        <w:t>writes: [modules/notifications/service.go]</w:t>
      </w:r>
    </w:p>
    <w:p>
      <w:pPr>
        <w:keepNext/>
        <w:widowControl/>
        <w:spacing w:after="0" w:before="0" w:line="250" w:lineRule="auto"/>
        <w:ind w:left="187" w:right="144"/>
        <w:shd w:fill="F1F3F5"/>
      </w:pPr>
      <w:r>
        <w:rPr>
          <w:rFonts w:ascii="Liberation Mono" w:hAnsi="Liberation Mono"/>
          <w:sz w:val="16"/>
        </w:rPr>
        <w:t>acceptance: [GP-NOT-001, NEG-NOT-001]</w:t>
      </w:r>
    </w:p>
    <w:p>
      <w:pPr>
        <w:keepNext/>
        <w:widowControl/>
        <w:spacing w:after="0" w:before="0" w:line="250" w:lineRule="auto"/>
        <w:ind w:left="187" w:right="144"/>
        <w:shd w:fill="F1F3F5"/>
      </w:pPr>
      <w:r>
        <w:rPr>
          <w:rFonts w:ascii="Liberation Mono" w:hAnsi="Liberation Mono"/>
          <w:sz w:val="16"/>
        </w:rPr>
        <w:t>anchor:</w:t>
      </w:r>
    </w:p>
    <w:p>
      <w:pPr>
        <w:keepNext/>
        <w:widowControl/>
        <w:spacing w:after="0" w:before="0" w:line="250" w:lineRule="auto"/>
        <w:ind w:left="187" w:right="144"/>
        <w:shd w:fill="F1F3F5"/>
      </w:pPr>
      <w:r>
        <w:rPr>
          <w:rFonts w:ascii="Liberation Mono" w:hAnsi="Liberation Mono"/>
          <w:sz w:val="16"/>
        </w:rPr>
        <w:t xml:space="preserve">  path: modules/notifications/service.go</w:t>
      </w:r>
    </w:p>
    <w:p>
      <w:pPr>
        <w:keepNext/>
        <w:widowControl/>
        <w:spacing w:after="0" w:before="0" w:line="250" w:lineRule="auto"/>
        <w:ind w:left="187" w:right="144"/>
        <w:shd w:fill="F1F3F5"/>
      </w:pPr>
      <w:r>
        <w:rPr>
          <w:rFonts w:ascii="Liberation Mono" w:hAnsi="Liberation Mono"/>
          <w:sz w:val="16"/>
        </w:rPr>
        <w:t xml:space="preserve">  symbol: NotificationService.Deliver</w:t>
      </w:r>
    </w:p>
    <w:p>
      <w:pPr>
        <w:keepNext w:val="0"/>
        <w:widowControl/>
        <w:spacing w:after="0" w:before="0" w:line="250" w:lineRule="auto"/>
        <w:ind w:left="187" w:right="144"/>
        <w:shd w:fill="F1F3F5"/>
      </w:pPr>
      <w:r>
        <w:rPr>
          <w:rFonts w:ascii="Liberation Mono" w:hAnsi="Liberation Mono"/>
          <w:sz w:val="16"/>
        </w:rPr>
        <w:t>completion_evidence: [test-result, diff, observability-result]</w:t>
      </w:r>
    </w:p>
    <w:p>
      <w:pPr>
        <w:spacing w:after="60" w:line="96" w:lineRule="auto"/>
      </w:pPr>
    </w:p>
    <w:p>
      <w:r>
        <w:t>An addition also needs capability_missing, candidates_examined with rejection reasons, and duplicate_behavior_check. Mutable task status, worker claims and attempts belong in the controlled runtime ledger, not in an implementor editable copy of the frozen task definition.</w:t>
      </w:r>
    </w:p>
    <w:p>
      <w:pPr>
        <w:keepNext/>
        <w:widowControl/>
        <w:spacing w:after="0" w:before="0" w:line="250" w:lineRule="auto"/>
        <w:ind w:left="187" w:right="144"/>
        <w:shd w:fill="F1F3F5"/>
      </w:pPr>
      <w:r>
        <w:rPr>
          <w:rFonts w:ascii="Liberation Mono" w:hAnsi="Liberation Mono"/>
          <w:sz w:val="16"/>
        </w:rPr>
        <w:t>artifact_type: project-validation</w:t>
      </w:r>
    </w:p>
    <w:p>
      <w:pPr>
        <w:keepNext/>
        <w:widowControl/>
        <w:spacing w:after="0" w:before="0" w:line="250" w:lineRule="auto"/>
        <w:ind w:left="187" w:right="144"/>
        <w:shd w:fill="F1F3F5"/>
      </w:pPr>
      <w:r>
        <w:rPr>
          <w:rFonts w:ascii="Liberation Mono" w:hAnsi="Liberation Mono"/>
          <w:sz w:val="16"/>
        </w:rPr>
        <w:t>schema_version: 1</w:t>
      </w:r>
    </w:p>
    <w:p>
      <w:pPr>
        <w:keepNext/>
        <w:widowControl/>
        <w:spacing w:after="0" w:before="0" w:line="250" w:lineRule="auto"/>
        <w:ind w:left="187" w:right="144"/>
        <w:shd w:fill="F1F3F5"/>
      </w:pPr>
      <w:r>
        <w:rPr>
          <w:rFonts w:ascii="Liberation Mono" w:hAnsi="Liberation Mono"/>
          <w:sz w:val="16"/>
        </w:rPr>
        <w:t>run_id: R-001</w:t>
      </w:r>
    </w:p>
    <w:p>
      <w:pPr>
        <w:keepNext/>
        <w:widowControl/>
        <w:spacing w:after="0" w:before="0" w:line="250" w:lineRule="auto"/>
        <w:ind w:left="187" w:right="144"/>
        <w:shd w:fill="F1F3F5"/>
      </w:pPr>
      <w:r>
        <w:rPr>
          <w:rFonts w:ascii="Liberation Mono" w:hAnsi="Liberation Mono"/>
          <w:sz w:val="16"/>
        </w:rPr>
        <w:t>source_commit: &lt;tested-code-commit&gt;</w:t>
      </w:r>
    </w:p>
    <w:p>
      <w:pPr>
        <w:keepNext/>
        <w:widowControl/>
        <w:spacing w:after="0" w:before="0" w:line="250" w:lineRule="auto"/>
        <w:ind w:left="187" w:right="144"/>
        <w:shd w:fill="F1F3F5"/>
      </w:pPr>
      <w:r>
        <w:rPr>
          <w:rFonts w:ascii="Liberation Mono" w:hAnsi="Liberation Mono"/>
          <w:sz w:val="16"/>
        </w:rPr>
        <w:t>source_tree_digest: &lt;defined-source-inventory-digest&gt;</w:t>
      </w:r>
    </w:p>
    <w:p>
      <w:pPr>
        <w:keepNext/>
        <w:widowControl/>
        <w:spacing w:after="0" w:before="0" w:line="250" w:lineRule="auto"/>
        <w:ind w:left="187" w:right="144"/>
        <w:shd w:fill="F1F3F5"/>
      </w:pPr>
      <w:r>
        <w:rPr>
          <w:rFonts w:ascii="Liberation Mono" w:hAnsi="Liberation Mono"/>
          <w:sz w:val="16"/>
        </w:rPr>
        <w:t>requirements_digest: &lt;digest&gt;</w:t>
      </w:r>
    </w:p>
    <w:p>
      <w:pPr>
        <w:keepNext/>
        <w:widowControl/>
        <w:spacing w:after="0" w:before="0" w:line="250" w:lineRule="auto"/>
        <w:ind w:left="187" w:right="144"/>
        <w:shd w:fill="F1F3F5"/>
      </w:pPr>
      <w:r>
        <w:rPr>
          <w:rFonts w:ascii="Liberation Mono" w:hAnsi="Liberation Mono"/>
          <w:sz w:val="16"/>
        </w:rPr>
        <w:t>specification_digest: &lt;digest&gt;</w:t>
      </w:r>
    </w:p>
    <w:p>
      <w:pPr>
        <w:keepNext/>
        <w:widowControl/>
        <w:spacing w:after="0" w:before="0" w:line="250" w:lineRule="auto"/>
        <w:ind w:left="187" w:right="144"/>
        <w:shd w:fill="F1F3F5"/>
      </w:pPr>
      <w:r>
        <w:rPr>
          <w:rFonts w:ascii="Liberation Mono" w:hAnsi="Liberation Mono"/>
          <w:sz w:val="16"/>
        </w:rPr>
        <w:t>contract_bundle_digest: &lt;digest&gt;</w:t>
      </w:r>
    </w:p>
    <w:p>
      <w:pPr>
        <w:keepNext/>
        <w:widowControl/>
        <w:spacing w:after="0" w:before="0" w:line="250" w:lineRule="auto"/>
        <w:ind w:left="187" w:right="144"/>
        <w:shd w:fill="F1F3F5"/>
      </w:pPr>
      <w:r>
        <w:rPr>
          <w:rFonts w:ascii="Liberation Mono" w:hAnsi="Liberation Mono"/>
          <w:sz w:val="16"/>
        </w:rPr>
        <w:t>plan_digest: &lt;digest&gt;</w:t>
      </w:r>
    </w:p>
    <w:p>
      <w:pPr>
        <w:keepNext/>
        <w:widowControl/>
        <w:spacing w:after="0" w:before="0" w:line="250" w:lineRule="auto"/>
        <w:ind w:left="187" w:right="144"/>
        <w:shd w:fill="F1F3F5"/>
      </w:pPr>
      <w:r>
        <w:rPr>
          <w:rFonts w:ascii="Liberation Mono" w:hAnsi="Liberation Mono"/>
          <w:sz w:val="16"/>
        </w:rPr>
        <w:t>oracle_digest: &lt;digest&gt;</w:t>
      </w:r>
    </w:p>
    <w:p>
      <w:pPr>
        <w:keepNext/>
        <w:widowControl/>
        <w:spacing w:after="0" w:before="0" w:line="250" w:lineRule="auto"/>
        <w:ind w:left="187" w:right="144"/>
        <w:shd w:fill="F1F3F5"/>
      </w:pPr>
      <w:r>
        <w:rPr>
          <w:rFonts w:ascii="Liberation Mono" w:hAnsi="Liberation Mono"/>
          <w:sz w:val="16"/>
        </w:rPr>
        <w:t>environment_digest: &lt;digest&gt;</w:t>
      </w:r>
    </w:p>
    <w:p>
      <w:pPr>
        <w:keepNext/>
        <w:widowControl/>
        <w:spacing w:after="0" w:before="0" w:line="250" w:lineRule="auto"/>
        <w:ind w:left="187" w:right="144"/>
        <w:shd w:fill="F1F3F5"/>
      </w:pPr>
      <w:r>
        <w:rPr>
          <w:rFonts w:ascii="Liberation Mono" w:hAnsi="Liberation Mono"/>
          <w:sz w:val="16"/>
        </w:rPr>
        <w:t>task_counts: {planned: 49, evidenced: 49, unresolved: 0}</w:t>
      </w:r>
    </w:p>
    <w:p>
      <w:pPr>
        <w:keepNext/>
        <w:widowControl/>
        <w:spacing w:after="0" w:before="0" w:line="250" w:lineRule="auto"/>
        <w:ind w:left="187" w:right="144"/>
        <w:shd w:fill="F1F3F5"/>
      </w:pPr>
      <w:r>
        <w:rPr>
          <w:rFonts w:ascii="Liberation Mono" w:hAnsi="Liberation Mono"/>
          <w:sz w:val="16"/>
        </w:rPr>
        <w:t>anchor_counts: {unresolved: 0, orphaned: 0}</w:t>
      </w:r>
    </w:p>
    <w:p>
      <w:pPr>
        <w:keepNext/>
        <w:widowControl/>
        <w:spacing w:after="0" w:before="0" w:line="250" w:lineRule="auto"/>
        <w:ind w:left="187" w:right="144"/>
        <w:shd w:fill="F1F3F5"/>
      </w:pPr>
      <w:r>
        <w:rPr>
          <w:rFonts w:ascii="Liberation Mono" w:hAnsi="Liberation Mono"/>
          <w:sz w:val="16"/>
        </w:rPr>
        <w:t>checks: &lt;named-checks-with-results-and-evidence-links&gt;</w:t>
      </w:r>
    </w:p>
    <w:p>
      <w:pPr>
        <w:keepNext/>
        <w:widowControl/>
        <w:spacing w:after="0" w:before="0" w:line="250" w:lineRule="auto"/>
        <w:ind w:left="187" w:right="144"/>
        <w:shd w:fill="F1F3F5"/>
      </w:pPr>
      <w:r>
        <w:rPr>
          <w:rFonts w:ascii="Liberation Mono" w:hAnsi="Liberation Mono"/>
          <w:sz w:val="16"/>
        </w:rPr>
        <w:t>benchmarks: &lt;measurements-thresholds-and-decisions&gt;</w:t>
      </w:r>
    </w:p>
    <w:p>
      <w:pPr>
        <w:keepNext/>
        <w:widowControl/>
        <w:spacing w:after="0" w:before="0" w:line="250" w:lineRule="auto"/>
        <w:ind w:left="187" w:right="144"/>
        <w:shd w:fill="F1F3F5"/>
      </w:pPr>
      <w:r>
        <w:rPr>
          <w:rFonts w:ascii="Liberation Mono" w:hAnsi="Liberation Mono"/>
          <w:sz w:val="16"/>
        </w:rPr>
        <w:t>review: &lt;reviewed-revision-and-blocking-findings&gt;</w:t>
      </w:r>
    </w:p>
    <w:p>
      <w:pPr>
        <w:keepNext/>
        <w:widowControl/>
        <w:spacing w:after="0" w:before="0" w:line="250" w:lineRule="auto"/>
        <w:ind w:left="187" w:right="144"/>
        <w:shd w:fill="F1F3F5"/>
      </w:pPr>
      <w:r>
        <w:rPr>
          <w:rFonts w:ascii="Liberation Mono" w:hAnsi="Liberation Mono"/>
          <w:sz w:val="16"/>
        </w:rPr>
        <w:t>stack: &lt;live-pr-ids-heads-bases-and-completion-state&gt;</w:t>
      </w:r>
    </w:p>
    <w:p>
      <w:pPr>
        <w:keepNext w:val="0"/>
        <w:widowControl/>
        <w:spacing w:after="0" w:before="0" w:line="250" w:lineRule="auto"/>
        <w:ind w:left="187" w:right="144"/>
        <w:shd w:fill="F1F3F5"/>
      </w:pPr>
      <w:r>
        <w:rPr>
          <w:rFonts w:ascii="Liberation Mono" w:hAnsi="Liberation Mono"/>
          <w:sz w:val="16"/>
        </w:rPr>
        <w:t>result: passed</w:t>
      </w:r>
    </w:p>
    <w:p>
      <w:pPr>
        <w:spacing w:after="60" w:line="96" w:lineRule="auto"/>
      </w:pPr>
    </w:p>
    <w:p>
      <w:r>
        <w:t>The example counts do not describe an actual run. A production report must contain actual values and evidence. Use passed, failed, blocked, and inconclusive distinctly. The human readable companion should explain requirement coverage, changes, important design decisions, operational limits, and remaining external prerequisites.</w:t>
      </w:r>
    </w:p>
    <w:p>
      <w:pPr>
        <w:pStyle w:val="Heading1"/>
      </w:pPr>
      <w:r>
        <w:t>Appendix B Source register</w:t>
      </w:r>
    </w:p>
    <w:p>
      <w:r>
        <w:t>All links below are primary documentation or first party engineering sources checked for this research on 7 October 2026. Their product details should be rechecked against the versions selected for the follow up. The proposed RDD controller, artifact schemas, phase algorithms, and policy choices are this report's recommendations; the sources establish component capabilities and relevant limits.</w:t>
      </w:r>
    </w:p>
    <w:p>
      <w:pPr>
        <w:spacing w:after="100" w:line="252" w:lineRule="auto"/>
      </w:pPr>
      <w:bookmarkStart w:id="100" w:name="source_1"/>
      <w:bookmarkEnd w:id="100"/>
      <w:hyperlink w:anchor="source_1">
        <w:r>
          <w:rPr>
            <w:color w:val="174E76"/>
          </w:rPr>
          <w:t>[S1]</w:t>
        </w:r>
      </w:hyperlink>
      <w:r>
        <w:t xml:space="preserve"> </w:t>
      </w:r>
      <w:hyperlink r:id="rId11">
        <w:r>
          <w:rPr>
            <w:color w:val="174E76"/>
          </w:rPr>
          <w:t>NASA How to Write a Good Requirement</w:t>
        </w:r>
      </w:hyperlink>
    </w:p>
    <w:p>
      <w:pPr>
        <w:spacing w:after="100" w:line="252" w:lineRule="auto"/>
      </w:pPr>
      <w:bookmarkStart w:id="101" w:name="source_2"/>
      <w:bookmarkEnd w:id="101"/>
      <w:hyperlink w:anchor="source_2">
        <w:r>
          <w:rPr>
            <w:color w:val="174E76"/>
          </w:rPr>
          <w:t>[S2]</w:t>
        </w:r>
      </w:hyperlink>
      <w:r>
        <w:t xml:space="preserve"> </w:t>
      </w:r>
      <w:hyperlink r:id="rId12">
        <w:r>
          <w:rPr>
            <w:color w:val="174E76"/>
          </w:rPr>
          <w:t>NASA Requirements Verification Matrix</w:t>
        </w:r>
      </w:hyperlink>
    </w:p>
    <w:p>
      <w:pPr>
        <w:spacing w:after="100" w:line="252" w:lineRule="auto"/>
      </w:pPr>
      <w:bookmarkStart w:id="102" w:name="source_3"/>
      <w:bookmarkEnd w:id="102"/>
      <w:hyperlink w:anchor="source_3">
        <w:r>
          <w:rPr>
            <w:color w:val="174E76"/>
          </w:rPr>
          <w:t>[S3]</w:t>
        </w:r>
      </w:hyperlink>
      <w:r>
        <w:t xml:space="preserve"> </w:t>
      </w:r>
      <w:hyperlink r:id="rId13">
        <w:r>
          <w:rPr>
            <w:color w:val="174E76"/>
          </w:rPr>
          <w:t>OpenAI Harness engineering</w:t>
        </w:r>
      </w:hyperlink>
    </w:p>
    <w:p>
      <w:pPr>
        <w:spacing w:after="100" w:line="252" w:lineRule="auto"/>
      </w:pPr>
      <w:bookmarkStart w:id="103" w:name="source_4"/>
      <w:bookmarkEnd w:id="103"/>
      <w:hyperlink w:anchor="source_4">
        <w:r>
          <w:rPr>
            <w:color w:val="174E76"/>
          </w:rPr>
          <w:t>[S4]</w:t>
        </w:r>
      </w:hyperlink>
      <w:r>
        <w:t xml:space="preserve"> </w:t>
      </w:r>
      <w:hyperlink r:id="rId14">
        <w:r>
          <w:rPr>
            <w:color w:val="174E76"/>
          </w:rPr>
          <w:t>Anthropic Effective harnesses for long running agents</w:t>
        </w:r>
      </w:hyperlink>
    </w:p>
    <w:p>
      <w:pPr>
        <w:spacing w:after="100" w:line="252" w:lineRule="auto"/>
      </w:pPr>
      <w:bookmarkStart w:id="104" w:name="source_5"/>
      <w:bookmarkEnd w:id="104"/>
      <w:hyperlink w:anchor="source_5">
        <w:r>
          <w:rPr>
            <w:color w:val="174E76"/>
          </w:rPr>
          <w:t>[S5]</w:t>
        </w:r>
      </w:hyperlink>
      <w:r>
        <w:t xml:space="preserve"> </w:t>
      </w:r>
      <w:hyperlink r:id="rId15">
        <w:r>
          <w:rPr>
            <w:color w:val="174E76"/>
          </w:rPr>
          <w:t>Anthropic Effective context engineering for AI agents</w:t>
        </w:r>
      </w:hyperlink>
    </w:p>
    <w:p>
      <w:pPr>
        <w:spacing w:after="100" w:line="252" w:lineRule="auto"/>
      </w:pPr>
      <w:bookmarkStart w:id="105" w:name="source_6"/>
      <w:bookmarkEnd w:id="105"/>
      <w:hyperlink w:anchor="source_6">
        <w:r>
          <w:rPr>
            <w:color w:val="174E76"/>
          </w:rPr>
          <w:t>[S6]</w:t>
        </w:r>
      </w:hyperlink>
      <w:r>
        <w:t xml:space="preserve"> </w:t>
      </w:r>
      <w:hyperlink r:id="rId16">
        <w:r>
          <w:rPr>
            <w:color w:val="174E76"/>
          </w:rPr>
          <w:t>OpenAI Model catalog</w:t>
        </w:r>
      </w:hyperlink>
    </w:p>
    <w:p>
      <w:pPr>
        <w:spacing w:after="100" w:line="252" w:lineRule="auto"/>
      </w:pPr>
      <w:bookmarkStart w:id="106" w:name="source_7"/>
      <w:bookmarkEnd w:id="106"/>
      <w:hyperlink w:anchor="source_7">
        <w:r>
          <w:rPr>
            <w:color w:val="174E76"/>
          </w:rPr>
          <w:t>[S7]</w:t>
        </w:r>
      </w:hyperlink>
      <w:r>
        <w:t xml:space="preserve"> </w:t>
      </w:r>
      <w:hyperlink r:id="rId17">
        <w:r>
          <w:rPr>
            <w:color w:val="174E76"/>
          </w:rPr>
          <w:t>OpenAI Codex subagents</w:t>
        </w:r>
      </w:hyperlink>
    </w:p>
    <w:p>
      <w:pPr>
        <w:spacing w:after="100" w:line="252" w:lineRule="auto"/>
      </w:pPr>
      <w:bookmarkStart w:id="107" w:name="source_8"/>
      <w:bookmarkEnd w:id="107"/>
      <w:hyperlink w:anchor="source_8">
        <w:r>
          <w:rPr>
            <w:color w:val="174E76"/>
          </w:rPr>
          <w:t>[S8]</w:t>
        </w:r>
      </w:hyperlink>
      <w:r>
        <w:t xml:space="preserve"> </w:t>
      </w:r>
      <w:hyperlink r:id="rId18">
        <w:r>
          <w:rPr>
            <w:color w:val="174E76"/>
          </w:rPr>
          <w:t>OpenAI Configuration reference</w:t>
        </w:r>
      </w:hyperlink>
    </w:p>
    <w:p>
      <w:pPr>
        <w:spacing w:after="100" w:line="252" w:lineRule="auto"/>
      </w:pPr>
      <w:bookmarkStart w:id="108" w:name="source_9"/>
      <w:bookmarkEnd w:id="108"/>
      <w:hyperlink w:anchor="source_9">
        <w:r>
          <w:rPr>
            <w:color w:val="174E76"/>
          </w:rPr>
          <w:t>[S9]</w:t>
        </w:r>
      </w:hyperlink>
      <w:r>
        <w:t xml:space="preserve"> </w:t>
      </w:r>
      <w:hyperlink r:id="rId19">
        <w:r>
          <w:rPr>
            <w:color w:val="174E76"/>
          </w:rPr>
          <w:t>OpenAI Developer commands and native goals</w:t>
        </w:r>
      </w:hyperlink>
    </w:p>
    <w:p>
      <w:pPr>
        <w:spacing w:after="100" w:line="252" w:lineRule="auto"/>
      </w:pPr>
      <w:bookmarkStart w:id="109" w:name="source_10"/>
      <w:bookmarkEnd w:id="109"/>
      <w:hyperlink w:anchor="source_10">
        <w:r>
          <w:rPr>
            <w:color w:val="174E76"/>
          </w:rPr>
          <w:t>[S10]</w:t>
        </w:r>
      </w:hyperlink>
      <w:r>
        <w:t xml:space="preserve"> </w:t>
      </w:r>
      <w:hyperlink r:id="rId20">
        <w:r>
          <w:rPr>
            <w:color w:val="174E76"/>
          </w:rPr>
          <w:t>OpenAI Codex App Server</w:t>
        </w:r>
      </w:hyperlink>
    </w:p>
    <w:p>
      <w:pPr>
        <w:spacing w:after="100" w:line="252" w:lineRule="auto"/>
      </w:pPr>
      <w:bookmarkStart w:id="110" w:name="source_11"/>
      <w:bookmarkEnd w:id="110"/>
      <w:hyperlink w:anchor="source_11">
        <w:r>
          <w:rPr>
            <w:color w:val="174E76"/>
          </w:rPr>
          <w:t>[S11]</w:t>
        </w:r>
      </w:hyperlink>
      <w:r>
        <w:t xml:space="preserve"> </w:t>
      </w:r>
      <w:hyperlink r:id="rId21">
        <w:r>
          <w:rPr>
            <w:color w:val="174E76"/>
          </w:rPr>
          <w:t>OpenAI Noninteractive mode</w:t>
        </w:r>
      </w:hyperlink>
    </w:p>
    <w:p>
      <w:pPr>
        <w:spacing w:after="100" w:line="252" w:lineRule="auto"/>
      </w:pPr>
      <w:bookmarkStart w:id="111" w:name="source_12"/>
      <w:bookmarkEnd w:id="111"/>
      <w:hyperlink w:anchor="source_12">
        <w:r>
          <w:rPr>
            <w:color w:val="174E76"/>
          </w:rPr>
          <w:t>[S12]</w:t>
        </w:r>
      </w:hyperlink>
      <w:r>
        <w:t xml:space="preserve"> </w:t>
      </w:r>
      <w:hyperlink r:id="rId22">
        <w:r>
          <w:rPr>
            <w:color w:val="174E76"/>
          </w:rPr>
          <w:t>OpenAI Codex SDK</w:t>
        </w:r>
      </w:hyperlink>
    </w:p>
    <w:p>
      <w:pPr>
        <w:spacing w:after="100" w:line="252" w:lineRule="auto"/>
      </w:pPr>
      <w:bookmarkStart w:id="112" w:name="source_13"/>
      <w:bookmarkEnd w:id="112"/>
      <w:hyperlink w:anchor="source_13">
        <w:r>
          <w:rPr>
            <w:color w:val="174E76"/>
          </w:rPr>
          <w:t>[S13]</w:t>
        </w:r>
      </w:hyperlink>
      <w:r>
        <w:t xml:space="preserve"> </w:t>
      </w:r>
      <w:hyperlink r:id="rId23">
        <w:r>
          <w:rPr>
            <w:color w:val="174E76"/>
          </w:rPr>
          <w:t>OpenAI Build skills</w:t>
        </w:r>
      </w:hyperlink>
    </w:p>
    <w:p>
      <w:pPr>
        <w:spacing w:after="100" w:line="252" w:lineRule="auto"/>
      </w:pPr>
      <w:bookmarkStart w:id="113" w:name="source_14"/>
      <w:bookmarkEnd w:id="113"/>
      <w:hyperlink w:anchor="source_14">
        <w:r>
          <w:rPr>
            <w:color w:val="174E76"/>
          </w:rPr>
          <w:t>[S14]</w:t>
        </w:r>
      </w:hyperlink>
      <w:r>
        <w:t xml:space="preserve"> </w:t>
      </w:r>
      <w:hyperlink r:id="rId24">
        <w:r>
          <w:rPr>
            <w:color w:val="174E76"/>
          </w:rPr>
          <w:t>OpenAI Custom instructions with AGENTS.md</w:t>
        </w:r>
      </w:hyperlink>
    </w:p>
    <w:p>
      <w:pPr>
        <w:spacing w:after="100" w:line="252" w:lineRule="auto"/>
      </w:pPr>
      <w:bookmarkStart w:id="114" w:name="source_15"/>
      <w:bookmarkEnd w:id="114"/>
      <w:hyperlink w:anchor="source_15">
        <w:r>
          <w:rPr>
            <w:color w:val="174E76"/>
          </w:rPr>
          <w:t>[S15]</w:t>
        </w:r>
      </w:hyperlink>
      <w:r>
        <w:t xml:space="preserve"> </w:t>
      </w:r>
      <w:hyperlink r:id="rId25">
        <w:r>
          <w:rPr>
            <w:color w:val="174E76"/>
          </w:rPr>
          <w:t>OpenAI Hooks and tool coverage</w:t>
        </w:r>
      </w:hyperlink>
    </w:p>
    <w:p>
      <w:pPr>
        <w:spacing w:after="100" w:line="252" w:lineRule="auto"/>
      </w:pPr>
      <w:bookmarkStart w:id="115" w:name="source_16"/>
      <w:bookmarkEnd w:id="115"/>
      <w:hyperlink w:anchor="source_16">
        <w:r>
          <w:rPr>
            <w:color w:val="174E76"/>
          </w:rPr>
          <w:t>[S16]</w:t>
        </w:r>
      </w:hyperlink>
      <w:r>
        <w:t xml:space="preserve"> </w:t>
      </w:r>
      <w:hyperlink r:id="rId26">
        <w:r>
          <w:rPr>
            <w:color w:val="174E76"/>
          </w:rPr>
          <w:t>OpenAI Long running work</w:t>
        </w:r>
      </w:hyperlink>
    </w:p>
    <w:p>
      <w:pPr>
        <w:spacing w:after="100" w:line="252" w:lineRule="auto"/>
      </w:pPr>
      <w:bookmarkStart w:id="116" w:name="source_17"/>
      <w:bookmarkEnd w:id="116"/>
      <w:hyperlink w:anchor="source_17">
        <w:r>
          <w:rPr>
            <w:color w:val="174E76"/>
          </w:rPr>
          <w:t>[S17]</w:t>
        </w:r>
      </w:hyperlink>
      <w:r>
        <w:t xml:space="preserve"> </w:t>
      </w:r>
      <w:hyperlink r:id="rId27">
        <w:r>
          <w:rPr>
            <w:color w:val="174E76"/>
          </w:rPr>
          <w:t>Microsoft Domain analysis</w:t>
        </w:r>
      </w:hyperlink>
    </w:p>
    <w:p>
      <w:pPr>
        <w:spacing w:after="100" w:line="252" w:lineRule="auto"/>
      </w:pPr>
      <w:bookmarkStart w:id="117" w:name="source_18"/>
      <w:bookmarkEnd w:id="117"/>
      <w:hyperlink w:anchor="source_18">
        <w:r>
          <w:rPr>
            <w:color w:val="174E76"/>
          </w:rPr>
          <w:t>[S18]</w:t>
        </w:r>
      </w:hyperlink>
      <w:r>
        <w:t xml:space="preserve"> </w:t>
      </w:r>
      <w:hyperlink r:id="rId28">
        <w:r>
          <w:rPr>
            <w:color w:val="174E76"/>
          </w:rPr>
          <w:t>Microsoft Identify service boundaries</w:t>
        </w:r>
      </w:hyperlink>
    </w:p>
    <w:p>
      <w:pPr>
        <w:spacing w:after="100" w:line="252" w:lineRule="auto"/>
      </w:pPr>
      <w:bookmarkStart w:id="118" w:name="source_19"/>
      <w:bookmarkEnd w:id="118"/>
      <w:hyperlink w:anchor="source_19">
        <w:r>
          <w:rPr>
            <w:color w:val="174E76"/>
          </w:rPr>
          <w:t>[S19]</w:t>
        </w:r>
      </w:hyperlink>
      <w:r>
        <w:t xml:space="preserve"> </w:t>
      </w:r>
      <w:hyperlink r:id="rId29">
        <w:r>
          <w:rPr>
            <w:color w:val="174E76"/>
          </w:rPr>
          <w:t>Protocol Buffers Proto best practices</w:t>
        </w:r>
      </w:hyperlink>
    </w:p>
    <w:p>
      <w:pPr>
        <w:spacing w:after="100" w:line="252" w:lineRule="auto"/>
      </w:pPr>
      <w:bookmarkStart w:id="119" w:name="source_20"/>
      <w:bookmarkEnd w:id="119"/>
      <w:hyperlink w:anchor="source_20">
        <w:r>
          <w:rPr>
            <w:color w:val="174E76"/>
          </w:rPr>
          <w:t>[S20]</w:t>
        </w:r>
      </w:hyperlink>
      <w:r>
        <w:t xml:space="preserve"> </w:t>
      </w:r>
      <w:hyperlink r:id="rId30">
        <w:r>
          <w:rPr>
            <w:color w:val="174E76"/>
          </w:rPr>
          <w:t>gRPC Core concepts architecture and lifecycle</w:t>
        </w:r>
      </w:hyperlink>
    </w:p>
    <w:p>
      <w:pPr>
        <w:spacing w:after="100" w:line="252" w:lineRule="auto"/>
      </w:pPr>
      <w:bookmarkStart w:id="120" w:name="source_21"/>
      <w:bookmarkEnd w:id="120"/>
      <w:hyperlink w:anchor="source_21">
        <w:r>
          <w:rPr>
            <w:color w:val="174E76"/>
          </w:rPr>
          <w:t>[S21]</w:t>
        </w:r>
      </w:hyperlink>
      <w:r>
        <w:t xml:space="preserve"> </w:t>
      </w:r>
      <w:hyperlink r:id="rId31">
        <w:r>
          <w:rPr>
            <w:color w:val="174E76"/>
          </w:rPr>
          <w:t>gRPC Go server generator and unimplemented server behavior</w:t>
        </w:r>
      </w:hyperlink>
    </w:p>
    <w:p>
      <w:pPr>
        <w:spacing w:after="100" w:line="252" w:lineRule="auto"/>
      </w:pPr>
      <w:bookmarkStart w:id="121" w:name="source_22"/>
      <w:bookmarkEnd w:id="121"/>
      <w:hyperlink w:anchor="source_22">
        <w:r>
          <w:rPr>
            <w:color w:val="174E76"/>
          </w:rPr>
          <w:t>[S22]</w:t>
        </w:r>
      </w:hyperlink>
      <w:r>
        <w:t xml:space="preserve"> </w:t>
      </w:r>
      <w:hyperlink r:id="rId32">
        <w:r>
          <w:rPr>
            <w:color w:val="174E76"/>
          </w:rPr>
          <w:t>Buf Detecting breaking changes</w:t>
        </w:r>
      </w:hyperlink>
    </w:p>
    <w:p>
      <w:pPr>
        <w:spacing w:after="100" w:line="252" w:lineRule="auto"/>
      </w:pPr>
      <w:bookmarkStart w:id="122" w:name="source_23"/>
      <w:bookmarkEnd w:id="122"/>
      <w:hyperlink w:anchor="source_23">
        <w:r>
          <w:rPr>
            <w:color w:val="174E76"/>
          </w:rPr>
          <w:t>[S23]</w:t>
        </w:r>
      </w:hyperlink>
      <w:r>
        <w:t xml:space="preserve"> </w:t>
      </w:r>
      <w:hyperlink r:id="rId33">
        <w:r>
          <w:rPr>
            <w:color w:val="174E76"/>
          </w:rPr>
          <w:t>Buf Generation configuration</w:t>
        </w:r>
      </w:hyperlink>
    </w:p>
    <w:p>
      <w:pPr>
        <w:spacing w:after="100" w:line="252" w:lineRule="auto"/>
      </w:pPr>
      <w:bookmarkStart w:id="123" w:name="source_24"/>
      <w:bookmarkEnd w:id="123"/>
      <w:hyperlink w:anchor="source_24">
        <w:r>
          <w:rPr>
            <w:color w:val="174E76"/>
          </w:rPr>
          <w:t>[S24]</w:t>
        </w:r>
      </w:hyperlink>
      <w:r>
        <w:t xml:space="preserve"> </w:t>
      </w:r>
      <w:hyperlink r:id="rId34">
        <w:r>
          <w:rPr>
            <w:color w:val="174E76"/>
          </w:rPr>
          <w:t>Buf Dependency lock</w:t>
        </w:r>
      </w:hyperlink>
    </w:p>
    <w:p>
      <w:pPr>
        <w:spacing w:after="100" w:line="252" w:lineRule="auto"/>
      </w:pPr>
      <w:bookmarkStart w:id="124" w:name="source_25"/>
      <w:bookmarkEnd w:id="124"/>
      <w:hyperlink w:anchor="source_25">
        <w:r>
          <w:rPr>
            <w:color w:val="174E76"/>
          </w:rPr>
          <w:t>[S25]</w:t>
        </w:r>
      </w:hyperlink>
      <w:r>
        <w:t xml:space="preserve"> </w:t>
      </w:r>
      <w:hyperlink r:id="rId35">
        <w:r>
          <w:rPr>
            <w:color w:val="174E76"/>
          </w:rPr>
          <w:t>Protocol Buffers Cross version runtime guarantee</w:t>
        </w:r>
      </w:hyperlink>
    </w:p>
    <w:p>
      <w:pPr>
        <w:spacing w:after="100" w:line="252" w:lineRule="auto"/>
      </w:pPr>
      <w:bookmarkStart w:id="125" w:name="source_26"/>
      <w:bookmarkEnd w:id="125"/>
      <w:hyperlink w:anchor="source_26">
        <w:r>
          <w:rPr>
            <w:color w:val="174E76"/>
          </w:rPr>
          <w:t>[S26]</w:t>
        </w:r>
      </w:hyperlink>
      <w:r>
        <w:t xml:space="preserve"> </w:t>
      </w:r>
      <w:hyperlink r:id="rId36">
        <w:r>
          <w:rPr>
            <w:color w:val="174E76"/>
          </w:rPr>
          <w:t>Protocol Buffers Serialization is not canonical</w:t>
        </w:r>
      </w:hyperlink>
    </w:p>
    <w:p>
      <w:pPr>
        <w:spacing w:after="100" w:line="252" w:lineRule="auto"/>
      </w:pPr>
      <w:bookmarkStart w:id="126" w:name="source_27"/>
      <w:bookmarkEnd w:id="126"/>
      <w:hyperlink w:anchor="source_27">
        <w:r>
          <w:rPr>
            <w:color w:val="174E76"/>
          </w:rPr>
          <w:t>[S27]</w:t>
        </w:r>
      </w:hyperlink>
      <w:r>
        <w:t xml:space="preserve"> </w:t>
      </w:r>
      <w:hyperlink r:id="rId37">
        <w:r>
          <w:rPr>
            <w:color w:val="174E76"/>
          </w:rPr>
          <w:t>Protovalidate Semantic validation</w:t>
        </w:r>
      </w:hyperlink>
    </w:p>
    <w:p>
      <w:pPr>
        <w:spacing w:after="100" w:line="252" w:lineRule="auto"/>
      </w:pPr>
      <w:bookmarkStart w:id="127" w:name="source_28"/>
      <w:bookmarkEnd w:id="127"/>
      <w:hyperlink w:anchor="source_28">
        <w:r>
          <w:rPr>
            <w:color w:val="174E76"/>
          </w:rPr>
          <w:t>[S28]</w:t>
        </w:r>
      </w:hyperlink>
      <w:r>
        <w:t xml:space="preserve"> </w:t>
      </w:r>
      <w:hyperlink r:id="rId38">
        <w:r>
          <w:rPr>
            <w:color w:val="174E76"/>
          </w:rPr>
          <w:t>gRPC Deadlines</w:t>
        </w:r>
      </w:hyperlink>
    </w:p>
    <w:p>
      <w:pPr>
        <w:spacing w:after="100" w:line="252" w:lineRule="auto"/>
      </w:pPr>
      <w:bookmarkStart w:id="128" w:name="source_29"/>
      <w:bookmarkEnd w:id="128"/>
      <w:hyperlink w:anchor="source_29">
        <w:r>
          <w:rPr>
            <w:color w:val="174E76"/>
          </w:rPr>
          <w:t>[S29]</w:t>
        </w:r>
      </w:hyperlink>
      <w:r>
        <w:t xml:space="preserve"> </w:t>
      </w:r>
      <w:hyperlink r:id="rId39">
        <w:r>
          <w:rPr>
            <w:color w:val="174E76"/>
          </w:rPr>
          <w:t>gRPC Cancellation</w:t>
        </w:r>
      </w:hyperlink>
    </w:p>
    <w:p>
      <w:pPr>
        <w:spacing w:after="100" w:line="252" w:lineRule="auto"/>
      </w:pPr>
      <w:bookmarkStart w:id="129" w:name="source_30"/>
      <w:bookmarkEnd w:id="129"/>
      <w:hyperlink w:anchor="source_30">
        <w:r>
          <w:rPr>
            <w:color w:val="174E76"/>
          </w:rPr>
          <w:t>[S30]</w:t>
        </w:r>
      </w:hyperlink>
      <w:r>
        <w:t xml:space="preserve"> </w:t>
      </w:r>
      <w:hyperlink r:id="rId40">
        <w:r>
          <w:rPr>
            <w:color w:val="174E76"/>
          </w:rPr>
          <w:t>Protocol Buffers ProtoJSON format</w:t>
        </w:r>
      </w:hyperlink>
    </w:p>
    <w:p>
      <w:pPr>
        <w:spacing w:after="100" w:line="252" w:lineRule="auto"/>
      </w:pPr>
      <w:bookmarkStart w:id="130" w:name="source_31"/>
      <w:bookmarkEnd w:id="130"/>
      <w:hyperlink w:anchor="source_31">
        <w:r>
          <w:rPr>
            <w:color w:val="174E76"/>
          </w:rPr>
          <w:t>[S31]</w:t>
        </w:r>
      </w:hyperlink>
      <w:r>
        <w:t xml:space="preserve"> </w:t>
      </w:r>
      <w:hyperlink r:id="rId41">
        <w:r>
          <w:rPr>
            <w:color w:val="174E76"/>
          </w:rPr>
          <w:t>Git Worktree documentation</w:t>
        </w:r>
      </w:hyperlink>
    </w:p>
    <w:p>
      <w:pPr>
        <w:spacing w:after="100" w:line="252" w:lineRule="auto"/>
      </w:pPr>
      <w:bookmarkStart w:id="131" w:name="source_32"/>
      <w:bookmarkEnd w:id="131"/>
      <w:hyperlink w:anchor="source_32">
        <w:r>
          <w:rPr>
            <w:color w:val="174E76"/>
          </w:rPr>
          <w:t>[S32]</w:t>
        </w:r>
      </w:hyperlink>
      <w:r>
        <w:t xml:space="preserve"> </w:t>
      </w:r>
      <w:hyperlink r:id="rId42">
        <w:r>
          <w:rPr>
            <w:color w:val="174E76"/>
          </w:rPr>
          <w:t>Git Rebase documentation</w:t>
        </w:r>
      </w:hyperlink>
    </w:p>
    <w:p>
      <w:pPr>
        <w:spacing w:after="100" w:line="252" w:lineRule="auto"/>
      </w:pPr>
      <w:bookmarkStart w:id="132" w:name="source_33"/>
      <w:bookmarkEnd w:id="132"/>
      <w:hyperlink w:anchor="source_33">
        <w:r>
          <w:rPr>
            <w:color w:val="174E76"/>
          </w:rPr>
          <w:t>[S33]</w:t>
        </w:r>
      </w:hyperlink>
      <w:r>
        <w:t xml:space="preserve"> </w:t>
      </w:r>
      <w:hyperlink r:id="rId43">
        <w:r>
          <w:rPr>
            <w:color w:val="174E76"/>
          </w:rPr>
          <w:t>GitHub Changing a pull request base</w:t>
        </w:r>
      </w:hyperlink>
    </w:p>
    <w:p>
      <w:pPr>
        <w:spacing w:after="100" w:line="252" w:lineRule="auto"/>
      </w:pPr>
      <w:bookmarkStart w:id="133" w:name="source_34"/>
      <w:bookmarkEnd w:id="133"/>
      <w:hyperlink w:anchor="source_34">
        <w:r>
          <w:rPr>
            <w:color w:val="174E76"/>
          </w:rPr>
          <w:t>[S34]</w:t>
        </w:r>
      </w:hyperlink>
      <w:r>
        <w:t xml:space="preserve"> </w:t>
      </w:r>
      <w:hyperlink r:id="rId44">
        <w:r>
          <w:rPr>
            <w:color w:val="174E76"/>
          </w:rPr>
          <w:t>GitHub Pull request merges</w:t>
        </w:r>
      </w:hyperlink>
    </w:p>
    <w:p>
      <w:pPr>
        <w:spacing w:after="100" w:line="252" w:lineRule="auto"/>
      </w:pPr>
      <w:bookmarkStart w:id="134" w:name="source_35"/>
      <w:bookmarkEnd w:id="134"/>
      <w:hyperlink w:anchor="source_35">
        <w:r>
          <w:rPr>
            <w:color w:val="174E76"/>
          </w:rPr>
          <w:t>[S35]</w:t>
        </w:r>
      </w:hyperlink>
      <w:r>
        <w:t xml:space="preserve"> </w:t>
      </w:r>
      <w:hyperlink r:id="rId45">
        <w:r>
          <w:rPr>
            <w:color w:val="174E76"/>
          </w:rPr>
          <w:t>GitHub Protected branches</w:t>
        </w:r>
      </w:hyperlink>
    </w:p>
    <w:p>
      <w:pPr>
        <w:spacing w:after="100" w:line="252" w:lineRule="auto"/>
      </w:pPr>
      <w:bookmarkStart w:id="135" w:name="source_36"/>
      <w:bookmarkEnd w:id="135"/>
      <w:hyperlink w:anchor="source_36">
        <w:r>
          <w:rPr>
            <w:color w:val="174E76"/>
          </w:rPr>
          <w:t>[S36]</w:t>
        </w:r>
      </w:hyperlink>
      <w:r>
        <w:t xml:space="preserve"> </w:t>
      </w:r>
      <w:hyperlink r:id="rId46">
        <w:r>
          <w:rPr>
            <w:color w:val="174E76"/>
          </w:rPr>
          <w:t>GitHub Managing a merge queue</w:t>
        </w:r>
      </w:hyperlink>
    </w:p>
    <w:p>
      <w:pPr>
        <w:spacing w:after="100" w:line="252" w:lineRule="auto"/>
      </w:pPr>
      <w:bookmarkStart w:id="136" w:name="source_37"/>
      <w:bookmarkEnd w:id="136"/>
      <w:hyperlink w:anchor="source_37">
        <w:r>
          <w:rPr>
            <w:color w:val="174E76"/>
          </w:rPr>
          <w:t>[S37]</w:t>
        </w:r>
      </w:hyperlink>
      <w:r>
        <w:t xml:space="preserve"> </w:t>
      </w:r>
      <w:hyperlink r:id="rId47">
        <w:r>
          <w:rPr>
            <w:color w:val="174E76"/>
          </w:rPr>
          <w:t>GitHub Artifact attestations</w:t>
        </w:r>
      </w:hyperlink>
    </w:p>
    <w:p>
      <w:pPr>
        <w:spacing w:after="100" w:line="252" w:lineRule="auto"/>
      </w:pPr>
      <w:bookmarkStart w:id="137" w:name="source_38"/>
      <w:bookmarkEnd w:id="137"/>
      <w:hyperlink w:anchor="source_38">
        <w:r>
          <w:rPr>
            <w:color w:val="174E76"/>
          </w:rPr>
          <w:t>[S38]</w:t>
        </w:r>
      </w:hyperlink>
      <w:r>
        <w:t xml:space="preserve"> </w:t>
      </w:r>
      <w:hyperlink r:id="rId48">
        <w:r>
          <w:rPr>
            <w:color w:val="174E76"/>
          </w:rPr>
          <w:t>OpenAI Safety in building agents</w:t>
        </w:r>
      </w:hyperlink>
    </w:p>
    <w:p>
      <w:pPr>
        <w:spacing w:after="100" w:line="252" w:lineRule="auto"/>
      </w:pPr>
      <w:bookmarkStart w:id="138" w:name="source_39"/>
      <w:bookmarkEnd w:id="138"/>
      <w:hyperlink w:anchor="source_39">
        <w:r>
          <w:rPr>
            <w:color w:val="174E76"/>
          </w:rPr>
          <w:t>[S39]</w:t>
        </w:r>
      </w:hyperlink>
      <w:r>
        <w:t xml:space="preserve"> </w:t>
      </w:r>
      <w:hyperlink r:id="rId49">
        <w:r>
          <w:rPr>
            <w:color w:val="174E76"/>
          </w:rPr>
          <w:t>OpenTelemetry Logs data model</w:t>
        </w:r>
      </w:hyperlink>
    </w:p>
    <w:p>
      <w:pPr>
        <w:spacing w:after="100" w:line="252" w:lineRule="auto"/>
      </w:pPr>
      <w:bookmarkStart w:id="139" w:name="source_40"/>
      <w:bookmarkEnd w:id="139"/>
      <w:hyperlink w:anchor="source_40">
        <w:r>
          <w:rPr>
            <w:color w:val="174E76"/>
          </w:rPr>
          <w:t>[S40]</w:t>
        </w:r>
      </w:hyperlink>
      <w:r>
        <w:t xml:space="preserve"> </w:t>
      </w:r>
      <w:hyperlink r:id="rId50">
        <w:r>
          <w:rPr>
            <w:color w:val="174E76"/>
          </w:rPr>
          <w:t>OpenTelemetry HTTP span conventions</w:t>
        </w:r>
      </w:hyperlink>
    </w:p>
    <w:p>
      <w:pPr>
        <w:spacing w:after="100" w:line="252" w:lineRule="auto"/>
      </w:pPr>
      <w:bookmarkStart w:id="140" w:name="source_41"/>
      <w:bookmarkEnd w:id="140"/>
      <w:hyperlink w:anchor="source_41">
        <w:r>
          <w:rPr>
            <w:color w:val="174E76"/>
          </w:rPr>
          <w:t>[S41]</w:t>
        </w:r>
      </w:hyperlink>
      <w:r>
        <w:t xml:space="preserve"> </w:t>
      </w:r>
      <w:hyperlink r:id="rId51">
        <w:r>
          <w:rPr>
            <w:color w:val="174E76"/>
          </w:rPr>
          <w:t>Go Code review comments</w:t>
        </w:r>
      </w:hyperlink>
    </w:p>
    <w:p>
      <w:pPr>
        <w:spacing w:after="100" w:line="252" w:lineRule="auto"/>
      </w:pPr>
      <w:bookmarkStart w:id="141" w:name="source_42"/>
      <w:bookmarkEnd w:id="141"/>
      <w:hyperlink w:anchor="source_42">
        <w:r>
          <w:rPr>
            <w:color w:val="174E76"/>
          </w:rPr>
          <w:t>[S42]</w:t>
        </w:r>
      </w:hyperlink>
      <w:r>
        <w:t xml:space="preserve"> </w:t>
      </w:r>
      <w:hyperlink r:id="rId52">
        <w:r>
          <w:rPr>
            <w:color w:val="174E76"/>
          </w:rPr>
          <w:t>Rust Method syntax</w:t>
        </w:r>
      </w:hyperlink>
    </w:p>
    <w:p>
      <w:pPr>
        <w:spacing w:after="100" w:line="252" w:lineRule="auto"/>
      </w:pPr>
      <w:bookmarkStart w:id="142" w:name="source_43"/>
      <w:bookmarkEnd w:id="142"/>
      <w:hyperlink w:anchor="source_43">
        <w:r>
          <w:rPr>
            <w:color w:val="174E76"/>
          </w:rPr>
          <w:t>[S43]</w:t>
        </w:r>
      </w:hyperlink>
      <w:r>
        <w:t xml:space="preserve"> </w:t>
      </w:r>
      <w:hyperlink r:id="rId53">
        <w:r>
          <w:rPr>
            <w:color w:val="174E76"/>
          </w:rPr>
          <w:t>TypeScript Narrowing and discriminated unions</w:t>
        </w:r>
      </w:hyperlink>
    </w:p>
    <w:p>
      <w:pPr>
        <w:spacing w:after="100" w:line="252" w:lineRule="auto"/>
      </w:pPr>
      <w:bookmarkStart w:id="143" w:name="source_44"/>
      <w:bookmarkEnd w:id="143"/>
      <w:hyperlink w:anchor="source_44">
        <w:r>
          <w:rPr>
            <w:color w:val="174E76"/>
          </w:rPr>
          <w:t>[S44]</w:t>
        </w:r>
      </w:hyperlink>
      <w:r>
        <w:t xml:space="preserve"> </w:t>
      </w:r>
      <w:hyperlink r:id="rId54">
        <w:r>
          <w:rPr>
            <w:color w:val="174E76"/>
          </w:rPr>
          <w:t>React Your first component</w:t>
        </w:r>
      </w:hyperlink>
    </w:p>
    <w:p>
      <w:pPr>
        <w:spacing w:after="100" w:line="252" w:lineRule="auto"/>
      </w:pPr>
      <w:bookmarkStart w:id="144" w:name="source_45"/>
      <w:bookmarkEnd w:id="144"/>
      <w:hyperlink w:anchor="source_45">
        <w:r>
          <w:rPr>
            <w:color w:val="174E76"/>
          </w:rPr>
          <w:t>[S45]</w:t>
        </w:r>
      </w:hyperlink>
      <w:r>
        <w:t xml:space="preserve"> </w:t>
      </w:r>
      <w:hyperlink r:id="rId55">
        <w:r>
          <w:rPr>
            <w:color w:val="174E76"/>
          </w:rPr>
          <w:t>Apache Kafka Design and delivery semantics</w:t>
        </w:r>
      </w:hyperlink>
    </w:p>
    <w:p>
      <w:pPr>
        <w:spacing w:after="100" w:line="252" w:lineRule="auto"/>
      </w:pPr>
      <w:bookmarkStart w:id="145" w:name="source_46"/>
      <w:bookmarkEnd w:id="145"/>
      <w:hyperlink w:anchor="source_46">
        <w:r>
          <w:rPr>
            <w:color w:val="174E76"/>
          </w:rPr>
          <w:t>[S46]</w:t>
        </w:r>
      </w:hyperlink>
      <w:r>
        <w:t xml:space="preserve"> </w:t>
      </w:r>
      <w:hyperlink r:id="rId56">
        <w:r>
          <w:rPr>
            <w:color w:val="174E76"/>
          </w:rPr>
          <w:t>Stytch B2B JWT session authentication</w:t>
        </w:r>
      </w:hyperlink>
    </w:p>
    <w:p>
      <w:pPr>
        <w:spacing w:after="100" w:line="252" w:lineRule="auto"/>
      </w:pPr>
      <w:bookmarkStart w:id="146" w:name="source_47"/>
      <w:bookmarkEnd w:id="146"/>
      <w:hyperlink w:anchor="source_47">
        <w:r>
          <w:rPr>
            <w:color w:val="174E76"/>
          </w:rPr>
          <w:t>[S47]</w:t>
        </w:r>
      </w:hyperlink>
      <w:r>
        <w:t xml:space="preserve"> </w:t>
      </w:r>
      <w:hyperlink r:id="rId57">
        <w:r>
          <w:rPr>
            <w:color w:val="174E76"/>
          </w:rPr>
          <w:t>Postmark Webhooks overview</w:t>
        </w:r>
      </w:hyperlink>
    </w:p>
    <w:p>
      <w:pPr>
        <w:spacing w:after="100" w:line="252" w:lineRule="auto"/>
      </w:pPr>
      <w:bookmarkStart w:id="147" w:name="source_48"/>
      <w:bookmarkEnd w:id="147"/>
      <w:hyperlink w:anchor="source_48">
        <w:r>
          <w:rPr>
            <w:color w:val="174E76"/>
          </w:rPr>
          <w:t>[S48]</w:t>
        </w:r>
      </w:hyperlink>
      <w:r>
        <w:t xml:space="preserve"> </w:t>
      </w:r>
      <w:hyperlink r:id="rId58">
        <w:r>
          <w:rPr>
            <w:color w:val="174E76"/>
          </w:rPr>
          <w:t>gRPC Gateway HTTP annotations</w:t>
        </w:r>
      </w:hyperlink>
    </w:p>
    <w:p>
      <w:pPr>
        <w:spacing w:after="100" w:line="252" w:lineRule="auto"/>
      </w:pPr>
      <w:bookmarkStart w:id="148" w:name="source_49"/>
      <w:bookmarkEnd w:id="148"/>
      <w:hyperlink w:anchor="source_49">
        <w:r>
          <w:rPr>
            <w:color w:val="174E76"/>
          </w:rPr>
          <w:t>[S49]</w:t>
        </w:r>
      </w:hyperlink>
      <w:r>
        <w:t xml:space="preserve"> </w:t>
      </w:r>
      <w:hyperlink r:id="rId59">
        <w:r>
          <w:rPr>
            <w:color w:val="174E76"/>
          </w:rPr>
          <w:t>Connect Introduction</w:t>
        </w:r>
      </w:hyperlink>
    </w:p>
    <w:p>
      <w:pPr>
        <w:spacing w:after="100" w:line="252" w:lineRule="auto"/>
      </w:pPr>
      <w:bookmarkStart w:id="149" w:name="source_50"/>
      <w:bookmarkEnd w:id="149"/>
      <w:hyperlink w:anchor="source_50">
        <w:r>
          <w:rPr>
            <w:color w:val="174E76"/>
          </w:rPr>
          <w:t>[S50]</w:t>
        </w:r>
      </w:hyperlink>
      <w:r>
        <w:t xml:space="preserve"> </w:t>
      </w:r>
      <w:hyperlink r:id="rId60">
        <w:r>
          <w:rPr>
            <w:color w:val="174E76"/>
          </w:rPr>
          <w:t>Buf Remote plugins</w:t>
        </w:r>
      </w:hyperlink>
    </w:p>
    <w:p>
      <w:pPr>
        <w:spacing w:after="100" w:line="252" w:lineRule="auto"/>
      </w:pPr>
      <w:bookmarkStart w:id="150" w:name="source_51"/>
      <w:bookmarkEnd w:id="150"/>
      <w:hyperlink w:anchor="source_51">
        <w:r>
          <w:rPr>
            <w:color w:val="174E76"/>
          </w:rPr>
          <w:t>[S51]</w:t>
        </w:r>
      </w:hyperlink>
      <w:r>
        <w:t xml:space="preserve"> </w:t>
      </w:r>
      <w:hyperlink r:id="rId61">
        <w:r>
          <w:rPr>
            <w:color w:val="174E76"/>
          </w:rPr>
          <w:t>Go Internal directory import rules</w:t>
        </w:r>
      </w:hyperlink>
    </w:p>
    <w:p>
      <w:pPr>
        <w:spacing w:after="100" w:line="252" w:lineRule="auto"/>
      </w:pPr>
      <w:bookmarkStart w:id="151" w:name="source_52"/>
      <w:bookmarkEnd w:id="151"/>
      <w:hyperlink w:anchor="source_52">
        <w:r>
          <w:rPr>
            <w:color w:val="174E76"/>
          </w:rPr>
          <w:t>[S52]</w:t>
        </w:r>
      </w:hyperlink>
      <w:r>
        <w:t xml:space="preserve"> </w:t>
      </w:r>
      <w:hyperlink r:id="rId62">
        <w:r>
          <w:rPr>
            <w:color w:val="174E76"/>
          </w:rPr>
          <w:t>Rust Visibility and privacy</w:t>
        </w:r>
      </w:hyperlink>
    </w:p>
    <w:p>
      <w:pPr>
        <w:spacing w:after="100" w:line="252" w:lineRule="auto"/>
      </w:pPr>
      <w:bookmarkStart w:id="152" w:name="source_53"/>
      <w:bookmarkEnd w:id="152"/>
      <w:hyperlink w:anchor="source_53">
        <w:r>
          <w:rPr>
            <w:color w:val="174E76"/>
          </w:rPr>
          <w:t>[S53]</w:t>
        </w:r>
      </w:hyperlink>
      <w:r>
        <w:t xml:space="preserve"> </w:t>
      </w:r>
      <w:hyperlink r:id="rId63">
        <w:r>
          <w:rPr>
            <w:color w:val="174E76"/>
          </w:rPr>
          <w:t>TypeScript Classes and runtime type behavior</w:t>
        </w:r>
      </w:hyperlink>
    </w:p>
    <w:p>
      <w:pPr>
        <w:spacing w:after="100" w:line="252" w:lineRule="auto"/>
      </w:pPr>
      <w:bookmarkStart w:id="153" w:name="source_54"/>
      <w:bookmarkEnd w:id="153"/>
      <w:hyperlink w:anchor="source_54">
        <w:r>
          <w:rPr>
            <w:color w:val="174E76"/>
          </w:rPr>
          <w:t>[S54]</w:t>
        </w:r>
      </w:hyperlink>
      <w:r>
        <w:t xml:space="preserve"> </w:t>
      </w:r>
      <w:hyperlink r:id="rId64">
        <w:r>
          <w:rPr>
            <w:color w:val="174E76"/>
          </w:rPr>
          <w:t>Google Building Secure and Reliable Systems Testing Code</w:t>
        </w:r>
      </w:hyperlink>
    </w:p>
    <w:p>
      <w:pPr>
        <w:spacing w:after="100" w:line="252" w:lineRule="auto"/>
      </w:pPr>
      <w:bookmarkStart w:id="154" w:name="source_55"/>
      <w:bookmarkEnd w:id="154"/>
      <w:hyperlink w:anchor="source_55">
        <w:r>
          <w:rPr>
            <w:color w:val="174E76"/>
          </w:rPr>
          <w:t>[S55]</w:t>
        </w:r>
      </w:hyperlink>
      <w:r>
        <w:t xml:space="preserve"> </w:t>
      </w:r>
      <w:hyperlink r:id="rId65">
        <w:r>
          <w:rPr>
            <w:color w:val="174E76"/>
          </w:rPr>
          <w:t>Google Benchmark User guide</w:t>
        </w:r>
      </w:hyperlink>
    </w:p>
    <w:p>
      <w:pPr>
        <w:spacing w:after="100" w:line="252" w:lineRule="auto"/>
      </w:pPr>
      <w:bookmarkStart w:id="155" w:name="source_56"/>
      <w:bookmarkEnd w:id="155"/>
      <w:hyperlink w:anchor="source_56">
        <w:r>
          <w:rPr>
            <w:color w:val="174E76"/>
          </w:rPr>
          <w:t>[S56]</w:t>
        </w:r>
      </w:hyperlink>
      <w:r>
        <w:t xml:space="preserve"> </w:t>
      </w:r>
      <w:hyperlink r:id="rId66">
        <w:r>
          <w:rPr>
            <w:color w:val="174E76"/>
          </w:rPr>
          <w:t>Google SRE Implementing service level objectives</w:t>
        </w:r>
      </w:hyperlink>
    </w:p>
    <w:p>
      <w:pPr>
        <w:spacing w:after="100" w:line="252" w:lineRule="auto"/>
      </w:pPr>
      <w:bookmarkStart w:id="156" w:name="source_57"/>
      <w:bookmarkEnd w:id="156"/>
      <w:hyperlink w:anchor="source_57">
        <w:r>
          <w:rPr>
            <w:color w:val="174E76"/>
          </w:rPr>
          <w:t>[S57]</w:t>
        </w:r>
      </w:hyperlink>
      <w:r>
        <w:t xml:space="preserve"> </w:t>
      </w:r>
      <w:hyperlink r:id="rId67">
        <w:r>
          <w:rPr>
            <w:color w:val="174E76"/>
          </w:rPr>
          <w:t>Python graphlib Topological sorting</w:t>
        </w:r>
      </w:hyperlink>
    </w:p>
    <w:p>
      <w:pPr>
        <w:spacing w:after="100" w:line="252" w:lineRule="auto"/>
      </w:pPr>
      <w:bookmarkStart w:id="157" w:name="source_58"/>
      <w:bookmarkEnd w:id="157"/>
      <w:hyperlink w:anchor="source_58">
        <w:r>
          <w:rPr>
            <w:color w:val="174E76"/>
          </w:rPr>
          <w:t>[S58]</w:t>
        </w:r>
      </w:hyperlink>
      <w:r>
        <w:t xml:space="preserve"> </w:t>
      </w:r>
      <w:hyperlink r:id="rId68">
        <w:r>
          <w:rPr>
            <w:color w:val="174E76"/>
          </w:rPr>
          <w:t>gRPC Go Generated Greeter service example</w:t>
        </w:r>
      </w:hyperlink>
    </w:p>
    <w:p>
      <w:pPr>
        <w:spacing w:after="100" w:line="252" w:lineRule="auto"/>
      </w:pPr>
      <w:bookmarkStart w:id="158" w:name="source_59"/>
      <w:bookmarkEnd w:id="158"/>
      <w:hyperlink w:anchor="source_59">
        <w:r>
          <w:rPr>
            <w:color w:val="174E76"/>
          </w:rPr>
          <w:t>[S59]</w:t>
        </w:r>
      </w:hyperlink>
      <w:r>
        <w:t xml:space="preserve"> </w:t>
      </w:r>
      <w:hyperlink r:id="rId69">
        <w:r>
          <w:rPr>
            <w:color w:val="174E76"/>
          </w:rPr>
          <w:t>GitHub Spec Kit Agentic SDD</w:t>
        </w:r>
      </w:hyperlink>
    </w:p>
    <w:p>
      <w:pPr>
        <w:spacing w:after="100" w:line="252" w:lineRule="auto"/>
      </w:pPr>
      <w:bookmarkStart w:id="159" w:name="source_60"/>
      <w:bookmarkEnd w:id="159"/>
      <w:hyperlink w:anchor="source_60">
        <w:r>
          <w:rPr>
            <w:color w:val="174E76"/>
          </w:rPr>
          <w:t>[S60]</w:t>
        </w:r>
      </w:hyperlink>
      <w:r>
        <w:t xml:space="preserve"> </w:t>
      </w:r>
      <w:hyperlink r:id="rId70">
        <w:r>
          <w:rPr>
            <w:color w:val="174E76"/>
          </w:rPr>
          <w:t>GitHub Spec Kit Workflow engine</w:t>
        </w:r>
      </w:hyperlink>
    </w:p>
    <w:p>
      <w:pPr>
        <w:spacing w:after="100" w:line="252" w:lineRule="auto"/>
      </w:pPr>
      <w:bookmarkStart w:id="160" w:name="source_61"/>
      <w:bookmarkEnd w:id="160"/>
      <w:hyperlink w:anchor="source_61">
        <w:r>
          <w:rPr>
            <w:color w:val="174E76"/>
          </w:rPr>
          <w:t>[S61]</w:t>
        </w:r>
      </w:hyperlink>
      <w:r>
        <w:t xml:space="preserve"> </w:t>
      </w:r>
      <w:hyperlink r:id="rId71">
        <w:r>
          <w:rPr>
            <w:color w:val="174E76"/>
          </w:rPr>
          <w:t>OpenSpec Overview</w:t>
        </w:r>
      </w:hyperlink>
    </w:p>
    <w:p>
      <w:pPr>
        <w:spacing w:after="100" w:line="252" w:lineRule="auto"/>
      </w:pPr>
      <w:bookmarkStart w:id="161" w:name="source_62"/>
      <w:bookmarkEnd w:id="161"/>
      <w:hyperlink w:anchor="source_62">
        <w:r>
          <w:rPr>
            <w:color w:val="174E76"/>
          </w:rPr>
          <w:t>[S62]</w:t>
        </w:r>
      </w:hyperlink>
      <w:r>
        <w:t xml:space="preserve"> </w:t>
      </w:r>
      <w:hyperlink r:id="rId72">
        <w:r>
          <w:rPr>
            <w:color w:val="174E76"/>
          </w:rPr>
          <w:t>Kiro Requirements First</w:t>
        </w:r>
      </w:hyperlink>
    </w:p>
    <w:p>
      <w:pPr>
        <w:spacing w:after="100" w:line="252" w:lineRule="auto"/>
      </w:pPr>
      <w:bookmarkStart w:id="162" w:name="source_63"/>
      <w:bookmarkEnd w:id="162"/>
      <w:hyperlink w:anchor="source_63">
        <w:r>
          <w:rPr>
            <w:color w:val="174E76"/>
          </w:rPr>
          <w:t>[S63]</w:t>
        </w:r>
      </w:hyperlink>
      <w:r>
        <w:t xml:space="preserve"> </w:t>
      </w:r>
      <w:hyperlink r:id="rId73">
        <w:r>
          <w:rPr>
            <w:color w:val="174E76"/>
          </w:rPr>
          <w:t>Kiro Specs and dependency waves</w:t>
        </w:r>
      </w:hyperlink>
    </w:p>
    <w:p>
      <w:pPr>
        <w:spacing w:after="100" w:line="252" w:lineRule="auto"/>
      </w:pPr>
      <w:bookmarkStart w:id="163" w:name="source_64"/>
      <w:bookmarkEnd w:id="163"/>
      <w:hyperlink w:anchor="source_64">
        <w:r>
          <w:rPr>
            <w:color w:val="174E76"/>
          </w:rPr>
          <w:t>[S64]</w:t>
        </w:r>
      </w:hyperlink>
      <w:r>
        <w:t xml:space="preserve"> </w:t>
      </w:r>
      <w:hyperlink r:id="rId74">
        <w:r>
          <w:rPr>
            <w:color w:val="174E76"/>
          </w:rPr>
          <w:t>OpenSpec Concepts and change deltas</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eastAsia="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eastAsia="Arial" w:cs="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cs="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nasa.gov/reference/appendix-c-how-to-write-a-good-requirement/" TargetMode="External"/><Relationship Id="rId12" Type="http://schemas.openxmlformats.org/officeDocument/2006/relationships/hyperlink" Target="https://www.nasa.gov/reference/appendix-d-requirements-verification-matrix/" TargetMode="External"/><Relationship Id="rId13" Type="http://schemas.openxmlformats.org/officeDocument/2006/relationships/hyperlink" Target="https://openai.com/index/harness-engineering/" TargetMode="External"/><Relationship Id="rId14" Type="http://schemas.openxmlformats.org/officeDocument/2006/relationships/hyperlink" Target="https://www.anthropic.com/engineering/effective-harnesses-for-long-running-agents" TargetMode="External"/><Relationship Id="rId15" Type="http://schemas.openxmlformats.org/officeDocument/2006/relationships/hyperlink" Target="https://www.anthropic.com/engineering/effective-context-engineering-for-ai-agents" TargetMode="External"/><Relationship Id="rId16" Type="http://schemas.openxmlformats.org/officeDocument/2006/relationships/hyperlink" Target="https://developers.openai.com/api/docs/models" TargetMode="External"/><Relationship Id="rId17" Type="http://schemas.openxmlformats.org/officeDocument/2006/relationships/hyperlink" Target="https://learn.chatgpt.com/docs/agent-configuration/subagents" TargetMode="External"/><Relationship Id="rId18" Type="http://schemas.openxmlformats.org/officeDocument/2006/relationships/hyperlink" Target="https://learn.chatgpt.com/docs/config-file/config-reference" TargetMode="External"/><Relationship Id="rId19" Type="http://schemas.openxmlformats.org/officeDocument/2006/relationships/hyperlink" Target="https://learn.chatgpt.com/docs/developer-commands" TargetMode="External"/><Relationship Id="rId20" Type="http://schemas.openxmlformats.org/officeDocument/2006/relationships/hyperlink" Target="https://learn.chatgpt.com/docs/app-server" TargetMode="External"/><Relationship Id="rId21" Type="http://schemas.openxmlformats.org/officeDocument/2006/relationships/hyperlink" Target="https://learn.chatgpt.com/docs/non-interactive-mode" TargetMode="External"/><Relationship Id="rId22" Type="http://schemas.openxmlformats.org/officeDocument/2006/relationships/hyperlink" Target="https://learn.chatgpt.com/docs/codex-sdk" TargetMode="External"/><Relationship Id="rId23" Type="http://schemas.openxmlformats.org/officeDocument/2006/relationships/hyperlink" Target="https://learn.chatgpt.com/docs/build-skills" TargetMode="External"/><Relationship Id="rId24" Type="http://schemas.openxmlformats.org/officeDocument/2006/relationships/hyperlink" Target="https://learn.chatgpt.com/docs/agent-configuration/agents-md" TargetMode="External"/><Relationship Id="rId25" Type="http://schemas.openxmlformats.org/officeDocument/2006/relationships/hyperlink" Target="https://learn.chatgpt.com/docs/hooks" TargetMode="External"/><Relationship Id="rId26" Type="http://schemas.openxmlformats.org/officeDocument/2006/relationships/hyperlink" Target="https://learn.chatgpt.com/docs/long-running-work" TargetMode="External"/><Relationship Id="rId27" Type="http://schemas.openxmlformats.org/officeDocument/2006/relationships/hyperlink" Target="https://learn.microsoft.com/en-us/azure/architecture/microservices/model/domain-analysis" TargetMode="External"/><Relationship Id="rId28" Type="http://schemas.openxmlformats.org/officeDocument/2006/relationships/hyperlink" Target="https://learn.microsoft.com/en-us/azure/architecture/microservices/model/microservice-boundaries" TargetMode="External"/><Relationship Id="rId29" Type="http://schemas.openxmlformats.org/officeDocument/2006/relationships/hyperlink" Target="https://protobuf.dev/best-practices/dos-donts/" TargetMode="External"/><Relationship Id="rId30" Type="http://schemas.openxmlformats.org/officeDocument/2006/relationships/hyperlink" Target="https://grpc.io/docs/what-is-grpc/core-concepts/" TargetMode="External"/><Relationship Id="rId31" Type="http://schemas.openxmlformats.org/officeDocument/2006/relationships/hyperlink" Target="https://github.com/grpc/grpc-go/blob/master/cmd/protoc-gen-go-grpc/README.md" TargetMode="External"/><Relationship Id="rId32" Type="http://schemas.openxmlformats.org/officeDocument/2006/relationships/hyperlink" Target="https://buf.build/docs/breaking/" TargetMode="External"/><Relationship Id="rId33" Type="http://schemas.openxmlformats.org/officeDocument/2006/relationships/hyperlink" Target="https://buf.build/docs/configuration/v2/buf-gen-yaml/" TargetMode="External"/><Relationship Id="rId34" Type="http://schemas.openxmlformats.org/officeDocument/2006/relationships/hyperlink" Target="https://buf.build/docs/configuration/v2/buf-lock/" TargetMode="External"/><Relationship Id="rId35" Type="http://schemas.openxmlformats.org/officeDocument/2006/relationships/hyperlink" Target="https://protobuf.dev/support/cross-version-runtime-guarantee/" TargetMode="External"/><Relationship Id="rId36" Type="http://schemas.openxmlformats.org/officeDocument/2006/relationships/hyperlink" Target="https://protobuf.dev/programming-guides/serialization-not-canonical/" TargetMode="External"/><Relationship Id="rId37" Type="http://schemas.openxmlformats.org/officeDocument/2006/relationships/hyperlink" Target="https://protovalidate.com/" TargetMode="External"/><Relationship Id="rId38" Type="http://schemas.openxmlformats.org/officeDocument/2006/relationships/hyperlink" Target="https://grpc.io/docs/guides/deadlines/" TargetMode="External"/><Relationship Id="rId39" Type="http://schemas.openxmlformats.org/officeDocument/2006/relationships/hyperlink" Target="https://grpc.io/docs/guides/cancellation/" TargetMode="External"/><Relationship Id="rId40" Type="http://schemas.openxmlformats.org/officeDocument/2006/relationships/hyperlink" Target="https://protobuf.dev/programming-guides/json/" TargetMode="External"/><Relationship Id="rId41" Type="http://schemas.openxmlformats.org/officeDocument/2006/relationships/hyperlink" Target="https://git-scm.com/docs/git-worktree" TargetMode="External"/><Relationship Id="rId42" Type="http://schemas.openxmlformats.org/officeDocument/2006/relationships/hyperlink" Target="https://git-scm.com/docs/git-rebase" TargetMode="External"/><Relationship Id="rId43" Type="http://schemas.openxmlformats.org/officeDocument/2006/relationships/hyperlink" Target="https://docs.github.com/en/pull-requests/how-tos/create-pull-requests/changing-the-base-branch-of-a-pull-request" TargetMode="External"/><Relationship Id="rId44" Type="http://schemas.openxmlformats.org/officeDocument/2006/relationships/hyperlink" Target="https://docs.github.com/en/pull-requests/reference/pull-request-merges" TargetMode="External"/><Relationship Id="rId45" Type="http://schemas.openxmlformats.org/officeDocument/2006/relationships/hyperlink" Target="https://docs.github.com/en/repositories/configuring-branches-and-merges-in-your-repository/managing-protected-branches/about-protected-branches" TargetMode="External"/><Relationship Id="rId46" Type="http://schemas.openxmlformats.org/officeDocument/2006/relationships/hyperlink" Target="https://docs.github.com/en/repositories/configuring-branches-and-merges-in-your-repository/configuring-pull-request-merges/managing-a-merge-queue" TargetMode="External"/><Relationship Id="rId47" Type="http://schemas.openxmlformats.org/officeDocument/2006/relationships/hyperlink" Target="https://docs.github.com/en/actions/concepts/security/artifact-attestations" TargetMode="External"/><Relationship Id="rId48" Type="http://schemas.openxmlformats.org/officeDocument/2006/relationships/hyperlink" Target="https://developers.openai.com/api/docs/guides/agent-builder-safety" TargetMode="External"/><Relationship Id="rId49" Type="http://schemas.openxmlformats.org/officeDocument/2006/relationships/hyperlink" Target="https://opentelemetry.io/docs/specs/otel/logs/data-model/" TargetMode="External"/><Relationship Id="rId50" Type="http://schemas.openxmlformats.org/officeDocument/2006/relationships/hyperlink" Target="https://opentelemetry.io/docs/specs/semconv/http/http-spans/" TargetMode="External"/><Relationship Id="rId51" Type="http://schemas.openxmlformats.org/officeDocument/2006/relationships/hyperlink" Target="https://go.dev/wiki/CodeReviewComments" TargetMode="External"/><Relationship Id="rId52" Type="http://schemas.openxmlformats.org/officeDocument/2006/relationships/hyperlink" Target="https://doc.rust-lang.org/book/ch05-03-method-syntax.html" TargetMode="External"/><Relationship Id="rId53" Type="http://schemas.openxmlformats.org/officeDocument/2006/relationships/hyperlink" Target="https://www.typescriptlang.org/docs/handbook/2/narrowing.html" TargetMode="External"/><Relationship Id="rId54" Type="http://schemas.openxmlformats.org/officeDocument/2006/relationships/hyperlink" Target="https://react.dev/learn/your-first-component" TargetMode="External"/><Relationship Id="rId55" Type="http://schemas.openxmlformats.org/officeDocument/2006/relationships/hyperlink" Target="https://kafka.apache.org/41/design/design/" TargetMode="External"/><Relationship Id="rId56" Type="http://schemas.openxmlformats.org/officeDocument/2006/relationships/hyperlink" Target="https://stytch.com/docs/api-reference/b2b/api/sessions/authenticate-jwt" TargetMode="External"/><Relationship Id="rId57" Type="http://schemas.openxmlformats.org/officeDocument/2006/relationships/hyperlink" Target="https://postmarkapp.com/developer/webhooks/webhooks-overview" TargetMode="External"/><Relationship Id="rId58" Type="http://schemas.openxmlformats.org/officeDocument/2006/relationships/hyperlink" Target="https://grpc-ecosystem.github.io/grpc-gateway/docs/tutorials/adding_annotations/" TargetMode="External"/><Relationship Id="rId59" Type="http://schemas.openxmlformats.org/officeDocument/2006/relationships/hyperlink" Target="https://connectrpc.com/docs/introduction/" TargetMode="External"/><Relationship Id="rId60" Type="http://schemas.openxmlformats.org/officeDocument/2006/relationships/hyperlink" Target="https://buf.build/docs/bsr/remote-plugins/" TargetMode="External"/><Relationship Id="rId61" Type="http://schemas.openxmlformats.org/officeDocument/2006/relationships/hyperlink" Target="https://pkg.go.dev/cmd/go#hdr-Internal_Directories" TargetMode="External"/><Relationship Id="rId62" Type="http://schemas.openxmlformats.org/officeDocument/2006/relationships/hyperlink" Target="https://doc.rust-lang.org/reference/visibility-and-privacy.html" TargetMode="External"/><Relationship Id="rId63" Type="http://schemas.openxmlformats.org/officeDocument/2006/relationships/hyperlink" Target="https://www.typescriptlang.org/docs/handbook/2/classes.html" TargetMode="External"/><Relationship Id="rId64" Type="http://schemas.openxmlformats.org/officeDocument/2006/relationships/hyperlink" Target="https://google.github.io/building-secure-and-reliable-systems/raw/ch13.html" TargetMode="External"/><Relationship Id="rId65" Type="http://schemas.openxmlformats.org/officeDocument/2006/relationships/hyperlink" Target="https://google.github.io/benchmark/user_guide.html" TargetMode="External"/><Relationship Id="rId66" Type="http://schemas.openxmlformats.org/officeDocument/2006/relationships/hyperlink" Target="https://sre.google/workbook/implementing-slos/" TargetMode="External"/><Relationship Id="rId67" Type="http://schemas.openxmlformats.org/officeDocument/2006/relationships/hyperlink" Target="https://docs.python.org/3/library/graphlib.html" TargetMode="External"/><Relationship Id="rId68" Type="http://schemas.openxmlformats.org/officeDocument/2006/relationships/hyperlink" Target="https://github.com/grpc/grpc-go/blob/master/examples/helloworld/helloworld/helloworld_grpc.pb.go" TargetMode="External"/><Relationship Id="rId69" Type="http://schemas.openxmlformats.org/officeDocument/2006/relationships/hyperlink" Target="https://github.github.com/spec-kit/reference/agentic-sdd.html" TargetMode="External"/><Relationship Id="rId70" Type="http://schemas.openxmlformats.org/officeDocument/2006/relationships/hyperlink" Target="https://github.github.io/spec-kit/reference/workflows.html" TargetMode="External"/><Relationship Id="rId71" Type="http://schemas.openxmlformats.org/officeDocument/2006/relationships/hyperlink" Target="https://github.com/Fission-AI/OpenSpec/blob/main/docs/overview.md" TargetMode="External"/><Relationship Id="rId72" Type="http://schemas.openxmlformats.org/officeDocument/2006/relationships/hyperlink" Target="https://kiro.dev/docs/specs/feature-specs/requirements-first/" TargetMode="External"/><Relationship Id="rId73" Type="http://schemas.openxmlformats.org/officeDocument/2006/relationships/hyperlink" Target="https://kiro.dev/docs/specs/" TargetMode="External"/><Relationship Id="rId74" Type="http://schemas.openxmlformats.org/officeDocument/2006/relationships/hyperlink" Target="https://github.com/Fission-AI/OpenSpec/blob/main/docs/concep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Driven Development Harness Research and Design</dc:title>
  <dc:subject>Feasibility, recommendations, and repository implementation blueprint</dc:subject>
  <dc:creator>OpenAI</dc:creator>
  <cp:keywords>RDD, Codex, requirements, protobuf, multi-agent, TDD, phases</cp:keywords>
  <dc:description>Research prepared 7 October 2026</dc:description>
  <cp:lastModifiedBy/>
  <cp:revision>1</cp:revision>
  <dcterms:created xsi:type="dcterms:W3CDTF">2013-12-23T23:15:00Z</dcterms:created>
  <dcterms:modified xsi:type="dcterms:W3CDTF">2013-12-23T23:15:00Z</dcterms:modified>
  <cp:category/>
</cp:coreProperties>
</file>