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ind w:firstLine="0"/>
        <w:jc w:val="center"/>
      </w:pPr>
      <w:r>
        <w:rPr>
          <w:rFonts w:ascii="Times New Roman" w:hAnsi="Times New Roman" w:eastAsia="Times New Roman"/>
          <w:b/>
          <w:sz w:val="26"/>
        </w:rPr>
        <w:t>VIETNAM ACADEMY OF SCIENCE AND TECHNOLOGY</w:t>
      </w:r>
    </w:p>
    <w:p>
      <w:pPr>
        <w:spacing w:after="0"/>
        <w:ind w:firstLine="0"/>
        <w:jc w:val="center"/>
      </w:pPr>
      <w:r>
        <w:rPr>
          <w:rFonts w:ascii="Times New Roman" w:hAnsi="Times New Roman" w:eastAsia="Times New Roman"/>
          <w:b/>
          <w:sz w:val="26"/>
        </w:rPr>
        <w:t>UNIVERSITY OF SCIENCE AND TECHNOLOGY OF HANOI</w:t>
      </w:r>
    </w:p>
    <w:p/>
    <w:p/>
    <w:p/>
    <w:p/>
    <w:p/>
    <w:p>
      <w:pPr>
        <w:spacing w:after="200"/>
        <w:ind w:firstLine="0"/>
        <w:jc w:val="center"/>
      </w:pPr>
      <w:r>
        <w:rPr>
          <w:rFonts w:ascii="Times New Roman" w:hAnsi="Times New Roman" w:eastAsia="Times New Roman"/>
          <w:b/>
          <w:sz w:val="32"/>
        </w:rPr>
        <w:t>REPORT</w:t>
      </w:r>
    </w:p>
    <w:p>
      <w:pPr>
        <w:spacing w:after="0"/>
        <w:ind w:firstLine="0"/>
        <w:jc w:val="center"/>
      </w:pPr>
      <w:r>
        <w:rPr>
          <w:rFonts w:ascii="Times New Roman" w:hAnsi="Times New Roman" w:eastAsia="Times New Roman"/>
          <w:b/>
          <w:sz w:val="28"/>
        </w:rPr>
        <w:t>CONTEST</w:t>
      </w:r>
    </w:p>
    <w:p>
      <w:pPr>
        <w:spacing w:after="0"/>
        <w:ind w:firstLine="0"/>
        <w:jc w:val="center"/>
      </w:pPr>
      <w:r>
        <w:rPr>
          <w:rFonts w:ascii="Times New Roman" w:hAnsi="Times New Roman" w:eastAsia="Times New Roman"/>
          <w:b/>
          <w:sz w:val="28"/>
        </w:rPr>
        <w:t>"USTH SCIENTIFIC RESEARCH FOR STUDENTS 2026"</w:t>
      </w:r>
    </w:p>
    <w:p/>
    <w:p/>
    <w:p/>
    <w:p>
      <w:pPr>
        <w:spacing w:after="0"/>
        <w:ind w:firstLine="0"/>
        <w:jc w:val="center"/>
      </w:pPr>
      <w:r>
        <w:rPr>
          <w:rFonts w:ascii="Times New Roman" w:hAnsi="Times New Roman" w:eastAsia="Times New Roman"/>
          <w:b/>
          <w:sz w:val="28"/>
        </w:rPr>
        <w:t>Automatic Recognition of Surgical Phases in Cholecystectomy Videos: A Comparison of Three Modern Deep-Learning Architectures on Cholec80</w:t>
      </w:r>
    </w:p>
    <w:p/>
    <w:p/>
    <w:p/>
    <w:p>
      <w:pPr>
        <w:ind w:firstLine="0"/>
      </w:pPr>
      <w:r>
        <w:t>Subcommittee: ICT (Information and Communication Technology)</w:t>
      </w:r>
      <w:r/>
    </w:p>
    <w:p>
      <w:pPr>
        <w:ind w:firstLine="0"/>
      </w:pPr>
      <w:r>
        <w:t>Student's name: Nguyen Trong Bach</w:t>
      </w:r>
      <w:r/>
    </w:p>
    <w:p>
      <w:pPr>
        <w:ind w:firstLine="0"/>
      </w:pPr>
      <w:r>
        <w:t>Student's ID: 23BI14057</w:t>
      </w:r>
      <w:r/>
    </w:p>
    <w:p>
      <w:pPr>
        <w:ind w:firstLine="0"/>
      </w:pPr>
      <w:r>
        <w:t>Department: Department of Information and Communication Technology</w:t>
      </w:r>
      <w:r/>
    </w:p>
    <w:p>
      <w:pPr>
        <w:ind w:firstLine="0"/>
      </w:pPr>
      <w:r>
        <w:t>Major: Information and Communication Technology</w:t>
      </w:r>
      <w:r/>
    </w:p>
    <w:p>
      <w:pPr>
        <w:ind w:firstLine="0"/>
      </w:pPr>
      <w:r>
        <w:t>Supervisor: Dr. Vu Trong Sinh</w:t>
      </w:r>
      <w:r/>
    </w:p>
    <w:p/>
    <w:p/>
    <w:p/>
    <w:p>
      <w:pPr>
        <w:spacing w:after="0"/>
        <w:ind w:firstLine="0"/>
        <w:jc w:val="center"/>
      </w:pPr>
      <w:r>
        <w:rPr>
          <w:rFonts w:ascii="Times New Roman" w:hAnsi="Times New Roman" w:eastAsia="Times New Roman"/>
          <w:b w:val="0"/>
          <w:sz w:val="24"/>
        </w:rPr>
        <w:t>Hanoi, 2026</w:t>
      </w:r>
    </w:p>
    <w:p>
      <w:r>
        <w:br w:type="page"/>
      </w:r>
    </w:p>
    <w:p>
      <w:pPr>
        <w:spacing w:after="0"/>
        <w:ind w:firstLine="0"/>
        <w:jc w:val="center"/>
      </w:pPr>
      <w:r>
        <w:rPr>
          <w:rFonts w:ascii="Times New Roman" w:hAnsi="Times New Roman" w:eastAsia="Times New Roman"/>
          <w:b/>
          <w:sz w:val="24"/>
        </w:rPr>
        <w:t>UNIVERSITY OF SCIENCE &amp; TECHNOLOGY OF HANOI</w:t>
      </w:r>
    </w:p>
    <w:p>
      <w:pPr>
        <w:spacing w:after="0"/>
        <w:ind w:firstLine="0"/>
        <w:jc w:val="center"/>
      </w:pPr>
      <w:r>
        <w:rPr>
          <w:rFonts w:ascii="Times New Roman" w:hAnsi="Times New Roman" w:eastAsia="Times New Roman"/>
          <w:b/>
          <w:sz w:val="24"/>
        </w:rPr>
        <w:t>TRƯỜNG ĐẠI HỌC KHOA HỌC &amp; CÔNG NGHỆ HÀ NỘI</w:t>
      </w:r>
    </w:p>
    <w:p/>
    <w:p>
      <w:r>
        <w:t>Comments from the supervisor on the scientific contributions of the report (This part is recorded by the instructor):</w:t>
      </w:r>
    </w:p>
    <w:p>
      <w:r>
        <w:t>The report presents a clear and relevant research topic in the field of surgical video analysis and deep learning. The student demonstrates a good understanding of the scientific problem, especially the difficulty of surgical phase recognition due to class imbalance, visually similar phases, and the need for temporal modelling.</w:t>
      </w:r>
    </w:p>
    <w:p>
      <w:r/>
    </w:p>
    <w:p>
      <w:r>
        <w:t>The work shows a serious effort to build and compare different deep-learning architectures, including recurrent, temporal convolutional, and Transformer-based models. Beyond the comparison itself, the topic has clear practical value: reliable phase recognition can support surgical training and skill assessment, automatic indexing and retrieval of operative video, retrospective quality and workflow analysis, and, in the longer term, context-aware assistance in the operating room. The experimental design is appropriate for a student research project, with a clear dataset split and meaningful evaluation metrics.</w:t>
      </w:r>
    </w:p>
    <w:p>
      <w:r/>
    </w:p>
    <w:p>
      <w:r>
        <w:t>The report also shows scientific honesty by identifying implementation limitations and avoiding unsupported conclusions. The results are promising and provide a useful basis for further development and real deployment, especially in improving temporal inference, completing ablation studies, and validating the method on additional surgical datasets and hospitals before any clinical use.</w:t>
      </w:r>
    </w:p>
    <w:p>
      <w:r/>
    </w:p>
    <w:p>
      <w:r>
        <w:t>Overall, this is a well-prepared and technically sound report. The work demonstrates initiative, careful implementation, and good potential for continuation as a student scientific research project with a concrete path toward applied surgical-workflow tools.</w:t>
      </w:r>
    </w:p>
    <w:p>
      <w:r/>
    </w:p>
    <w:p>
      <w:r/>
    </w:p>
    <w:p>
      <w:r/>
    </w:p>
    <w:p>
      <w:r/>
    </w:p>
    <w:p>
      <w:r/>
    </w:p>
    <w:p>
      <w:r/>
    </w:p>
    <w:p>
      <w:r/>
    </w:p>
    <w:p>
      <w:r/>
    </w:p>
    <w:p>
      <w:pPr>
        <w:spacing w:after="0"/>
        <w:ind w:firstLine="0"/>
        <w:jc w:val="center"/>
      </w:pPr>
      <w:r>
        <w:rPr>
          <w:rFonts w:ascii="Times New Roman" w:hAnsi="Times New Roman" w:eastAsia="Times New Roman"/>
          <w:b w:val="0"/>
          <w:sz w:val="24"/>
        </w:rPr>
        <w:t>Hanoi,                  2026</w:t>
      </w:r>
    </w:p>
    <w:p>
      <w:pPr>
        <w:spacing w:after="0"/>
        <w:ind w:firstLine="0"/>
        <w:jc w:val="center"/>
      </w:pPr>
      <w:r>
        <w:rPr>
          <w:rFonts w:ascii="Times New Roman" w:hAnsi="Times New Roman" w:eastAsia="Times New Roman"/>
          <w:b w:val="0"/>
          <w:sz w:val="24"/>
        </w:rPr>
        <w:t>Supervisor</w:t>
      </w:r>
    </w:p>
    <w:p>
      <w:pPr>
        <w:spacing w:after="0"/>
        <w:ind w:firstLine="0"/>
        <w:jc w:val="center"/>
      </w:pPr>
      <w:r>
        <w:rPr>
          <w:rFonts w:ascii="Times New Roman" w:hAnsi="Times New Roman" w:eastAsia="Times New Roman"/>
          <w:b w:val="0"/>
          <w:sz w:val="24"/>
        </w:rPr>
        <w:t>(Signature and full name)</w:t>
      </w:r>
    </w:p>
    <w:p>
      <w:r>
        <w:br w:type="page"/>
      </w:r>
    </w:p>
    <w:p>
      <w:pPr>
        <w:pStyle w:val="Heading1"/>
      </w:pPr>
      <w:r>
        <w:t>ABSTRACT</w:t>
      </w:r>
    </w:p>
    <w:p>
      <w:r>
        <w:t>Automatic surgical phase recognition turns laparoscopic video into structured workflow information, but it remains hard when phases look alike and appear with very different frequencies. We compare three temporal deep-learning models on Cholec80, a dataset of 80 laparoscopic cholecystectomy videos annotated with seven phases and seven instruments. We sample frames at 1 fps and split the videos into 40 for training, 20 for validation and 20 for testing. The three models are a ResNet-50 with a bidirectional LSTM, an EfficientNet-B3 with a temporal convolutional network, and a Swin-Tiny with a Transformer temporal encoder. Each takes eight-frame inputs and is trained with auxiliary tool prediction, a staged schedule, mixed precision, and median filtering at inference. On the held-out test set the smoothed macro-F1 scores were 0.7811, 0.7482 and 0.8153; the Swin-Transformer also reached an accuracy of 0.8623 and an edit score of 0.2006. Dropping the tool-prediction task in a shorter ablation lowered macro-F1 to 0.7651, and removing smoothing lowered the baseline edit score from 0.1520 to 0.1123. A code review found that the configured class-weighting option was never connected to the loss, so we report its planned ablation as inconclusive. Overall the results motivate further work on attention-based temporal models, with corrected ablations and validation on more datasets before any clinical use.</w:t>
      </w:r>
    </w:p>
    <w:p>
      <w:pPr>
        <w:ind w:firstLine="0"/>
      </w:pPr>
      <w:r>
        <w:rPr>
          <w:b/>
        </w:rPr>
        <w:t xml:space="preserve">Keywords: </w:t>
      </w:r>
      <w:r>
        <w:t>surgical phase recognition; Cholec80; laparoscopic cholecystectomy; temporal modelling; Transformer; multi-task learning</w:t>
      </w:r>
    </w:p>
    <w:p>
      <w:pPr>
        <w:pStyle w:val="Heading1"/>
      </w:pPr>
      <w:r>
        <w:t>I/ INTRODUCTION</w:t>
      </w:r>
    </w:p>
    <w:p>
      <w:pPr>
        <w:pStyle w:val="Heading2"/>
      </w:pPr>
      <w:r>
        <w:t>1. Scientific and clinical context</w:t>
      </w:r>
    </w:p>
    <w:p>
      <w:r>
        <w:t>Minimally invasive surgery produces video that records an operation in detail, yet that record is hard to search or analyse by hand. A laparoscopic cholecystectomy removes the gallbladder through a recognisable sequence of steps: preparation, dissection around Calot's triangle, clipping and cutting, dissection of the gallbladder, packaging, cleaning and coagulation, and retraction. Identifying the current step automatically is called surgical phase recognition, and it underpins retrospective quality analysis, teaching support, case indexing, and future context-aware operating-room systems [1], [2]. We address workflow recognition only, and do not propose an autonomous clinical decision system.</w:t>
      </w:r>
    </w:p>
    <w:p>
      <w:r>
        <w:t>The public Cholec80 dataset, introduced with EndoNet, is a practical benchmark for this problem. It contains 80 laparoscopic cholecystectomy videos with frame-level phase labels and instrument-presence annotations [3], and its instrument labels let us test whether learning tools and phases together helps phase recognition. The dataset is also demanding: in our prepared training data, Calot triangle dissection makes up 40.9% of labelled frames while gallbladder retraction makes up only 3.7%. A model can therefore post a deceptively high overall accuracy by favouring the common phases while doing poorly on the brief but clinically important ones.</w:t>
      </w:r>
    </w:p>
    <w:p>
      <w:pPr>
        <w:pStyle w:val="Heading2"/>
      </w:pPr>
      <w:r>
        <w:t>2. Scientific problem</w:t>
      </w:r>
    </w:p>
    <w:p>
      <w:r>
        <w:t>A single laparoscopic frame is often not enough to identify a phase. The same instrument and similar tissue can appear on both sides of a transition, and even an expert annotator places the exact transition time with some subjectivity. A good model therefore has to combine the spatial evidence in each frame with temporal evidence from its neighbours, and it has to avoid sudden, implausible jumps between phases. These needs are what make a comparison of temporal model families more informative than a comparison of image backbones alone.</w:t>
      </w:r>
    </w:p>
    <w:p>
      <w:r>
        <w:t>We deliberately developed the project within a modest, single-GPU budget typical of a student or small research group, which constrains the input sequence length and batch size and rewards methods that others can reproduce without specialised infrastructure. The study therefore asks a concrete question: within one compact implementation and a realistic compute budget, which temporal architecture gives the strongest phase recognition, and which supporting design choices are worth testing more carefully?</w:t>
      </w:r>
    </w:p>
    <w:p>
      <w:pPr>
        <w:pStyle w:val="Heading2"/>
      </w:pPr>
      <w:r>
        <w:t>3. Related work and research gap</w:t>
      </w:r>
    </w:p>
    <w:p>
      <w:r>
        <w:t>EndoNet established Cholec80 and demonstrated that instrument prediction can be learned together with surgical phase recognition [3]. Subsequent work placed more emphasis on time. SV-RCNet joined a convolutional feature extractor to a recurrent network, allowing predictions to depend on preceding visual context [4]. TeCNO used multi-stage temporal convolutional networks to refine phase sequences and reduce over-segmentation [5]. Trans-SVNet later applied a Transformer-based aggregation scheme to surgical video features and showed that attention can be effective for phase recognition [6]. These works establish three relevant model families: recurrent, temporal convolutional, and attention-based.</w:t>
      </w:r>
    </w:p>
    <w:p>
      <w:r>
        <w:t>Published results are not a clean architectural experiment because preprocessing, sampling rate, temporal window, post-processing and computing budgets vary across studies. This project does not seek to claim a new state of the art. Its narrower contribution is an internally comparable implementation of three representative families using the same dataset split, phase labels, core evaluation metrics and resource envelope. The study also performs implementation auditing: a proposed ablation is only treated as evidence when the corresponding configuration change is demonstrably used in the loss or inference code.</w:t>
      </w:r>
    </w:p>
    <w:p>
      <w:pPr>
        <w:pStyle w:val="Heading2"/>
      </w:pPr>
      <w:r>
        <w:t>4. Research questions</w:t>
      </w:r>
    </w:p>
    <w:p>
      <w:pPr>
        <w:pStyle w:val="ListBullet"/>
        <w:ind w:firstLine="0" w:left="454"/>
      </w:pPr>
      <w:r>
        <w:t>RQ1. Which of the implemented LSTM, TCN and Transformer temporal architectures performs best on the held-out Cholec80 test videos?</w:t>
      </w:r>
    </w:p>
    <w:p>
      <w:pPr>
        <w:pStyle w:val="ListBullet"/>
        <w:ind w:firstLine="0" w:left="454"/>
      </w:pPr>
      <w:r>
        <w:t>RQ2. What is the observed contribution of auxiliary tool supervision and temporal smoothing within the implemented pipeline?</w:t>
      </w:r>
    </w:p>
    <w:p>
      <w:pPr>
        <w:pStyle w:val="ListBullet"/>
        <w:ind w:firstLine="0" w:left="454"/>
      </w:pPr>
      <w:r>
        <w:t>RQ3. Which experiments remain inconclusive because of implementation or completion status, and how should they be corrected?</w:t>
      </w:r>
    </w:p>
    <w:p>
      <w:pPr>
        <w:pStyle w:val="ListBullet"/>
        <w:ind w:firstLine="0" w:left="454"/>
      </w:pPr>
      <w:r>
        <w:t>RQ4. Can combining separately trained models provide a useful supplementary ensemble result under the same dataset setting?</w:t>
      </w:r>
    </w:p>
    <w:p>
      <w:pPr>
        <w:pStyle w:val="Heading1"/>
      </w:pPr>
      <w:r>
        <w:t>II/ OBJECTIVES</w:t>
      </w:r>
    </w:p>
    <w:p>
      <w:r>
        <w:t>The scientific objective is to evaluate compact temporal deep-learning architectures for recognising the seven phases of laparoscopic cholecystectomy from Cholec80 videos on consumer hardware. The strategy is to implement recurrent, temporal-convolutional and attention-based models in a common pipeline, then assess them with accuracy, macro-F1 and edit score on held-out videos. Controlled follow-up experiments test tool supervision, temporal smoothing and longer context, while implementation auditing is used to identify any ablation that requires correction.</w:t>
      </w:r>
    </w:p>
    <w:p>
      <w:pPr>
        <w:pStyle w:val="Heading1"/>
      </w:pPr>
      <w:r>
        <w:t>III/ MATERIALS AND METHODS</w:t>
      </w:r>
    </w:p>
    <w:p>
      <w:pPr>
        <w:pStyle w:val="Heading2"/>
      </w:pPr>
      <w:r>
        <w:t>1. Dataset and preprocessing</w:t>
      </w:r>
    </w:p>
    <w:p>
      <w:r>
        <w:t>The study uses Cholec80, comprising 80 videos of laparoscopic cholecystectomy with seven phase labels and seven binary tool-presence labels [3]. The project prepares all 80 videos and samples frames at one frame per second. Videos 1-40 form the training set, videos 41-60 the validation set, and videos 61-80 the held-out test set; no video occurs in more than one split. Each image is resized and cropped to 224 x 224 pixels and normalised using ImageNet mean and standard deviation. During training, random crop, horizontal flip, colour jitter and rotation up to 10 degrees are applied per frame; validation and test images receive deterministic resize and centre-crop transforms.</w:t>
      </w:r>
    </w:p>
    <w:p>
      <w:r>
        <w:t>The main experiments use sequences of eight consecutive sampled frames. Training windows use stride four, yielding 21,531 sequences; validation and test windows use non-overlapping stride eight, yielding 6,315 and 5,947 sequences respectively for the main configuration. The longer-context experiment uses sixteen frames and stride eight during training, with non-overlapping evaluation windows.</w:t>
      </w:r>
    </w:p>
    <w:p>
      <w:pPr>
        <w:pStyle w:val="Heading2"/>
      </w:pPr>
      <w:r>
        <w:t>2. Models</w:t>
      </w:r>
    </w:p>
    <w:p>
      <w:r>
        <w:t>All models first extract visual features for each frame, pass the ordered feature sequence through a temporal component, and use a shared prediction module for seven-way phase classification and, when enabled, seven-label instrument prediction. Model M1 uses an ImageNet-pretrained ResNet-50 backbone [7] followed by a two-layer bidirectional LSTM with hidden dimension 512. Model M2 uses an EfficientNet-B3 backbone [8] followed by a two-stage temporal convolutional network with eight layers per stage and 64 filters. Model M3 uses a Swin-Tiny backbone [9] followed by a three-layer temporal Transformer with model dimension 384 and six attention heads. The recorded parameter counts are 35.7 million for M1, approximately 11.2 million for M2, and 31.6 million for M3.</w:t>
      </w:r>
    </w:p>
    <w:p>
      <w:pPr>
        <w:pStyle w:val="Heading2"/>
      </w:pPr>
      <w:r>
        <w:t>3. Optimisation and inference</w:t>
      </w:r>
    </w:p>
    <w:p>
      <w:r>
        <w:t>The phase loss is cross-entropy with label smoothing of 0.1. When the tool head is active, we add binary cross-entropy for tool presence with weight 0.5. The loss also includes a temporal consistency penalty on adjacent phase probabilities with a default weight of 0.1. We optimise with AdamW [10] using mixed precision, gradient clipping and a cosine warm-restart scheduler. The main models are trained in three stages: the visual backbone stays frozen while the temporal component and heads train for 5 and then 10 epochs, followed by 10 epochs of end-to-end fine-tuning. We select the checkpoint by validation macro-F1.</w:t>
      </w:r>
    </w:p>
    <w:p>
      <w:r>
        <w:t>For evaluation, phase predictions are obtained at frame level and are additionally post-processed with a median filter of window size 15. Accuracy measures the fraction of correctly labelled frames; macro-F1 gives equal importance to all seven phases; edit score evaluates the ordering of phase segments and penalises fragmented sequences. Both raw and smoothed results are retained so that the effect of post-processing is visible.</w:t>
      </w:r>
    </w:p>
    <w:p>
      <w:pPr>
        <w:pStyle w:val="Heading2"/>
      </w:pPr>
      <w:r>
        <w:t>4. Additional experiments and quality control</w:t>
      </w:r>
    </w:p>
    <w:p>
      <w:r>
        <w:t>A no-tool-head experiment was run with the M1 model family to examine auxiliary instrument supervision. Removing temporal smoothing is evaluated directly by comparing raw and smoothed predictions from the same M1 test output. A sixteen-frame context experiment was launched but its test evaluation was not available when this report was prepared on 27 May 2026. A planned class-weight ablation was also trained; however, code audit found that the current Trainer constructs the loss without passing the configured class weights. Consequently that run cannot support a conclusion about class weighting until the implementation is corrected and the experiment is repeated.</w:t>
      </w:r>
    </w:p>
    <w:p>
      <w:pPr>
        <w:pStyle w:val="Heading1"/>
      </w:pPr>
      <w:r>
        <w:t>IV/ RESULTS AND DISCUSSION</w:t>
      </w:r>
    </w:p>
    <w:p>
      <w:pPr>
        <w:pStyle w:val="Heading2"/>
      </w:pPr>
      <w:r>
        <w:t>1. Results</w:t>
      </w:r>
    </w:p>
    <w:p>
      <w:r>
        <w:t>All three principal model outputs were evaluated on the held-out videos 61-80. Table 1 reports metrics taken directly from each saved evaluation result. After median smoothing, M3 (Swin-Tiny with temporal Transformer) obtains the strongest score on all three reported metrics, reaching macro-F1 0.8153 and accuracy 0.8623.</w:t>
      </w:r>
    </w:p>
    <w:p>
      <w:pPr>
        <w:spacing w:after="100"/>
        <w:ind w:firstLine="0"/>
        <w:jc w:val="center"/>
      </w:pPr>
      <w:r>
        <w:rPr>
          <w:rFonts w:ascii="Times New Roman" w:hAnsi="Times New Roman" w:eastAsia="Times New Roman"/>
          <w:b/>
          <w:sz w:val="22"/>
        </w:rPr>
        <w:t>Table 1. Performance of the three main models on the held-out test set.</w:t>
      </w:r>
    </w:p>
    <w:tbl>
      <w:tblPr>
        <w:tblStyle w:val="TableGrid"/>
        <w:tblW w:type="auto" w:w="0"/>
        <w:jc w:val="center"/>
        <w:tblLook w:firstColumn="1" w:firstRow="1" w:lastColumn="0" w:lastRow="0" w:noHBand="0" w:noVBand="1" w:val="04A0"/>
      </w:tblPr>
      <w:tblGrid>
        <w:gridCol w:w="1320"/>
        <w:gridCol w:w="1320"/>
        <w:gridCol w:w="1320"/>
        <w:gridCol w:w="1320"/>
        <w:gridCol w:w="1320"/>
        <w:gridCol w:w="1320"/>
        <w:gridCol w:w="1320"/>
      </w:tblGrid>
      <w:tr>
        <w:tc>
          <w:tcPr>
            <w:tcW w:type="dxa" w:w="2268"/>
            <w:vAlign w:val="center"/>
            <w:shd w:fill="D9EAF7"/>
          </w:tcPr>
          <w:p>
            <w:pPr>
              <w:spacing w:after="0"/>
              <w:jc w:val="center"/>
            </w:pPr>
            <w:r/>
            <w:r>
              <w:rPr>
                <w:rFonts w:ascii="Times New Roman" w:hAnsi="Times New Roman" w:eastAsia="Times New Roman"/>
                <w:b/>
                <w:sz w:val="20"/>
              </w:rPr>
              <w:t>Model</w:t>
            </w:r>
          </w:p>
        </w:tc>
        <w:tc>
          <w:tcPr>
            <w:tcW w:type="dxa" w:w="1134"/>
            <w:vAlign w:val="center"/>
            <w:shd w:fill="D9EAF7"/>
          </w:tcPr>
          <w:p>
            <w:pPr>
              <w:spacing w:after="0"/>
              <w:jc w:val="center"/>
            </w:pPr>
            <w:r/>
            <w:r>
              <w:rPr>
                <w:rFonts w:ascii="Times New Roman" w:hAnsi="Times New Roman" w:eastAsia="Times New Roman"/>
                <w:b/>
                <w:sz w:val="20"/>
              </w:rPr>
              <w:t>Raw Acc.</w:t>
            </w:r>
          </w:p>
        </w:tc>
        <w:tc>
          <w:tcPr>
            <w:tcW w:type="dxa" w:w="1417"/>
            <w:vAlign w:val="center"/>
            <w:shd w:fill="D9EAF7"/>
          </w:tcPr>
          <w:p>
            <w:pPr>
              <w:spacing w:after="0"/>
              <w:jc w:val="center"/>
            </w:pPr>
            <w:r/>
            <w:r>
              <w:rPr>
                <w:rFonts w:ascii="Times New Roman" w:hAnsi="Times New Roman" w:eastAsia="Times New Roman"/>
                <w:b/>
                <w:sz w:val="20"/>
              </w:rPr>
              <w:t>Raw Macro-F1</w:t>
            </w:r>
          </w:p>
        </w:tc>
        <w:tc>
          <w:tcPr>
            <w:tcW w:type="dxa" w:w="1134"/>
            <w:vAlign w:val="center"/>
            <w:shd w:fill="D9EAF7"/>
          </w:tcPr>
          <w:p>
            <w:pPr>
              <w:spacing w:after="0"/>
              <w:jc w:val="center"/>
            </w:pPr>
            <w:r/>
            <w:r>
              <w:rPr>
                <w:rFonts w:ascii="Times New Roman" w:hAnsi="Times New Roman" w:eastAsia="Times New Roman"/>
                <w:b/>
                <w:sz w:val="20"/>
              </w:rPr>
              <w:t>Raw Edit</w:t>
            </w:r>
          </w:p>
        </w:tc>
        <w:tc>
          <w:tcPr>
            <w:tcW w:type="dxa" w:w="1247"/>
            <w:vAlign w:val="center"/>
            <w:shd w:fill="D9EAF7"/>
          </w:tcPr>
          <w:p>
            <w:pPr>
              <w:spacing w:after="0"/>
              <w:jc w:val="center"/>
            </w:pPr>
            <w:r/>
            <w:r>
              <w:rPr>
                <w:rFonts w:ascii="Times New Roman" w:hAnsi="Times New Roman" w:eastAsia="Times New Roman"/>
                <w:b/>
                <w:sz w:val="20"/>
              </w:rPr>
              <w:t>Smooth Acc.</w:t>
            </w:r>
          </w:p>
        </w:tc>
        <w:tc>
          <w:tcPr>
            <w:tcW w:type="dxa" w:w="1587"/>
            <w:vAlign w:val="center"/>
            <w:shd w:fill="D9EAF7"/>
          </w:tcPr>
          <w:p>
            <w:pPr>
              <w:spacing w:after="0"/>
              <w:jc w:val="center"/>
            </w:pPr>
            <w:r/>
            <w:r>
              <w:rPr>
                <w:rFonts w:ascii="Times New Roman" w:hAnsi="Times New Roman" w:eastAsia="Times New Roman"/>
                <w:b/>
                <w:sz w:val="20"/>
              </w:rPr>
              <w:t>Smooth Macro-F1</w:t>
            </w:r>
          </w:p>
        </w:tc>
        <w:tc>
          <w:tcPr>
            <w:tcW w:type="dxa" w:w="1247"/>
            <w:vAlign w:val="center"/>
            <w:shd w:fill="D9EAF7"/>
          </w:tcPr>
          <w:p>
            <w:pPr>
              <w:spacing w:after="0"/>
              <w:jc w:val="center"/>
            </w:pPr>
            <w:r/>
            <w:r>
              <w:rPr>
                <w:rFonts w:ascii="Times New Roman" w:hAnsi="Times New Roman" w:eastAsia="Times New Roman"/>
                <w:b/>
                <w:sz w:val="20"/>
              </w:rPr>
              <w:t>Smooth Edit</w:t>
            </w:r>
          </w:p>
        </w:tc>
      </w:tr>
      <w:tr>
        <w:tc>
          <w:tcPr>
            <w:tcW w:type="dxa" w:w="2268"/>
            <w:vAlign w:val="center"/>
          </w:tcPr>
          <w:p>
            <w:pPr>
              <w:spacing w:after="0"/>
              <w:jc w:val="center"/>
            </w:pPr>
            <w:r/>
            <w:r>
              <w:rPr>
                <w:rFonts w:ascii="Times New Roman" w:hAnsi="Times New Roman" w:eastAsia="Times New Roman"/>
                <w:b w:val="0"/>
                <w:sz w:val="20"/>
              </w:rPr>
              <w:t>M1 ResNet-50 + BiLSTM</w:t>
            </w:r>
          </w:p>
        </w:tc>
        <w:tc>
          <w:tcPr>
            <w:tcW w:type="dxa" w:w="1134"/>
            <w:vAlign w:val="center"/>
          </w:tcPr>
          <w:p>
            <w:pPr>
              <w:spacing w:after="0"/>
              <w:jc w:val="center"/>
            </w:pPr>
            <w:r/>
            <w:r>
              <w:rPr>
                <w:rFonts w:ascii="Times New Roman" w:hAnsi="Times New Roman" w:eastAsia="Times New Roman"/>
                <w:b w:val="0"/>
                <w:sz w:val="20"/>
              </w:rPr>
              <w:t>0.8319</w:t>
            </w:r>
          </w:p>
        </w:tc>
        <w:tc>
          <w:tcPr>
            <w:tcW w:type="dxa" w:w="1417"/>
            <w:vAlign w:val="center"/>
          </w:tcPr>
          <w:p>
            <w:pPr>
              <w:spacing w:after="0"/>
              <w:jc w:val="center"/>
            </w:pPr>
            <w:r/>
            <w:r>
              <w:rPr>
                <w:rFonts w:ascii="Times New Roman" w:hAnsi="Times New Roman" w:eastAsia="Times New Roman"/>
                <w:b w:val="0"/>
                <w:sz w:val="20"/>
              </w:rPr>
              <w:t>0.7748</w:t>
            </w:r>
          </w:p>
        </w:tc>
        <w:tc>
          <w:tcPr>
            <w:tcW w:type="dxa" w:w="1134"/>
            <w:vAlign w:val="center"/>
          </w:tcPr>
          <w:p>
            <w:pPr>
              <w:spacing w:after="0"/>
              <w:jc w:val="center"/>
            </w:pPr>
            <w:r/>
            <w:r>
              <w:rPr>
                <w:rFonts w:ascii="Times New Roman" w:hAnsi="Times New Roman" w:eastAsia="Times New Roman"/>
                <w:b w:val="0"/>
                <w:sz w:val="20"/>
              </w:rPr>
              <w:t>0.1123</w:t>
            </w:r>
          </w:p>
        </w:tc>
        <w:tc>
          <w:tcPr>
            <w:tcW w:type="dxa" w:w="1247"/>
            <w:vAlign w:val="center"/>
          </w:tcPr>
          <w:p>
            <w:pPr>
              <w:spacing w:after="0"/>
              <w:jc w:val="center"/>
            </w:pPr>
            <w:r/>
            <w:r>
              <w:rPr>
                <w:rFonts w:ascii="Times New Roman" w:hAnsi="Times New Roman" w:eastAsia="Times New Roman"/>
                <w:b w:val="0"/>
                <w:sz w:val="20"/>
              </w:rPr>
              <w:t>0.8369</w:t>
            </w:r>
          </w:p>
        </w:tc>
        <w:tc>
          <w:tcPr>
            <w:tcW w:type="dxa" w:w="1587"/>
            <w:vAlign w:val="center"/>
          </w:tcPr>
          <w:p>
            <w:pPr>
              <w:spacing w:after="0"/>
              <w:jc w:val="center"/>
            </w:pPr>
            <w:r/>
            <w:r>
              <w:rPr>
                <w:rFonts w:ascii="Times New Roman" w:hAnsi="Times New Roman" w:eastAsia="Times New Roman"/>
                <w:b w:val="0"/>
                <w:sz w:val="20"/>
              </w:rPr>
              <w:t>0.7811</w:t>
            </w:r>
          </w:p>
        </w:tc>
        <w:tc>
          <w:tcPr>
            <w:tcW w:type="dxa" w:w="1247"/>
            <w:vAlign w:val="center"/>
          </w:tcPr>
          <w:p>
            <w:pPr>
              <w:spacing w:after="0"/>
              <w:jc w:val="center"/>
            </w:pPr>
            <w:r/>
            <w:r>
              <w:rPr>
                <w:rFonts w:ascii="Times New Roman" w:hAnsi="Times New Roman" w:eastAsia="Times New Roman"/>
                <w:b w:val="0"/>
                <w:sz w:val="20"/>
              </w:rPr>
              <w:t>0.1520</w:t>
            </w:r>
          </w:p>
        </w:tc>
      </w:tr>
      <w:tr>
        <w:tc>
          <w:tcPr>
            <w:tcW w:type="dxa" w:w="2268"/>
            <w:vAlign w:val="center"/>
          </w:tcPr>
          <w:p>
            <w:pPr>
              <w:spacing w:after="0"/>
              <w:jc w:val="center"/>
            </w:pPr>
            <w:r/>
            <w:r>
              <w:rPr>
                <w:rFonts w:ascii="Times New Roman" w:hAnsi="Times New Roman" w:eastAsia="Times New Roman"/>
                <w:b w:val="0"/>
                <w:sz w:val="20"/>
              </w:rPr>
              <w:t>M2 EfficientNet-B3 + TCN</w:t>
            </w:r>
          </w:p>
        </w:tc>
        <w:tc>
          <w:tcPr>
            <w:tcW w:type="dxa" w:w="1134"/>
            <w:vAlign w:val="center"/>
          </w:tcPr>
          <w:p>
            <w:pPr>
              <w:spacing w:after="0"/>
              <w:jc w:val="center"/>
            </w:pPr>
            <w:r/>
            <w:r>
              <w:rPr>
                <w:rFonts w:ascii="Times New Roman" w:hAnsi="Times New Roman" w:eastAsia="Times New Roman"/>
                <w:b w:val="0"/>
                <w:sz w:val="20"/>
              </w:rPr>
              <w:t>0.8182</w:t>
            </w:r>
          </w:p>
        </w:tc>
        <w:tc>
          <w:tcPr>
            <w:tcW w:type="dxa" w:w="1417"/>
            <w:vAlign w:val="center"/>
          </w:tcPr>
          <w:p>
            <w:pPr>
              <w:spacing w:after="0"/>
              <w:jc w:val="center"/>
            </w:pPr>
            <w:r/>
            <w:r>
              <w:rPr>
                <w:rFonts w:ascii="Times New Roman" w:hAnsi="Times New Roman" w:eastAsia="Times New Roman"/>
                <w:b w:val="0"/>
                <w:sz w:val="20"/>
              </w:rPr>
              <w:t>0.7394</w:t>
            </w:r>
          </w:p>
        </w:tc>
        <w:tc>
          <w:tcPr>
            <w:tcW w:type="dxa" w:w="1134"/>
            <w:vAlign w:val="center"/>
          </w:tcPr>
          <w:p>
            <w:pPr>
              <w:spacing w:after="0"/>
              <w:jc w:val="center"/>
            </w:pPr>
            <w:r/>
            <w:r>
              <w:rPr>
                <w:rFonts w:ascii="Times New Roman" w:hAnsi="Times New Roman" w:eastAsia="Times New Roman"/>
                <w:b w:val="0"/>
                <w:sz w:val="20"/>
              </w:rPr>
              <w:t>0.1010</w:t>
            </w:r>
          </w:p>
        </w:tc>
        <w:tc>
          <w:tcPr>
            <w:tcW w:type="dxa" w:w="1247"/>
            <w:vAlign w:val="center"/>
          </w:tcPr>
          <w:p>
            <w:pPr>
              <w:spacing w:after="0"/>
              <w:jc w:val="center"/>
            </w:pPr>
            <w:r/>
            <w:r>
              <w:rPr>
                <w:rFonts w:ascii="Times New Roman" w:hAnsi="Times New Roman" w:eastAsia="Times New Roman"/>
                <w:b w:val="0"/>
                <w:sz w:val="20"/>
              </w:rPr>
              <w:t>0.8237</w:t>
            </w:r>
          </w:p>
        </w:tc>
        <w:tc>
          <w:tcPr>
            <w:tcW w:type="dxa" w:w="1587"/>
            <w:vAlign w:val="center"/>
          </w:tcPr>
          <w:p>
            <w:pPr>
              <w:spacing w:after="0"/>
              <w:jc w:val="center"/>
            </w:pPr>
            <w:r/>
            <w:r>
              <w:rPr>
                <w:rFonts w:ascii="Times New Roman" w:hAnsi="Times New Roman" w:eastAsia="Times New Roman"/>
                <w:b w:val="0"/>
                <w:sz w:val="20"/>
              </w:rPr>
              <w:t>0.7482</w:t>
            </w:r>
          </w:p>
        </w:tc>
        <w:tc>
          <w:tcPr>
            <w:tcW w:type="dxa" w:w="1247"/>
            <w:vAlign w:val="center"/>
          </w:tcPr>
          <w:p>
            <w:pPr>
              <w:spacing w:after="0"/>
              <w:jc w:val="center"/>
            </w:pPr>
            <w:r/>
            <w:r>
              <w:rPr>
                <w:rFonts w:ascii="Times New Roman" w:hAnsi="Times New Roman" w:eastAsia="Times New Roman"/>
                <w:b w:val="0"/>
                <w:sz w:val="20"/>
              </w:rPr>
              <w:t>0.1406</w:t>
            </w:r>
          </w:p>
        </w:tc>
      </w:tr>
      <w:tr>
        <w:tc>
          <w:tcPr>
            <w:tcW w:type="dxa" w:w="2268"/>
            <w:vAlign w:val="center"/>
          </w:tcPr>
          <w:p>
            <w:pPr>
              <w:spacing w:after="0"/>
              <w:jc w:val="center"/>
            </w:pPr>
            <w:r/>
            <w:r>
              <w:rPr>
                <w:rFonts w:ascii="Times New Roman" w:hAnsi="Times New Roman" w:eastAsia="Times New Roman"/>
                <w:b w:val="0"/>
                <w:sz w:val="20"/>
              </w:rPr>
              <w:t>M3 Swin-Tiny + Transformer</w:t>
            </w:r>
          </w:p>
        </w:tc>
        <w:tc>
          <w:tcPr>
            <w:tcW w:type="dxa" w:w="1134"/>
            <w:vAlign w:val="center"/>
          </w:tcPr>
          <w:p>
            <w:pPr>
              <w:spacing w:after="0"/>
              <w:jc w:val="center"/>
            </w:pPr>
            <w:r/>
            <w:r>
              <w:rPr>
                <w:rFonts w:ascii="Times New Roman" w:hAnsi="Times New Roman" w:eastAsia="Times New Roman"/>
                <w:b w:val="0"/>
                <w:sz w:val="20"/>
              </w:rPr>
              <w:t>0.8573</w:t>
            </w:r>
          </w:p>
        </w:tc>
        <w:tc>
          <w:tcPr>
            <w:tcW w:type="dxa" w:w="1417"/>
            <w:vAlign w:val="center"/>
          </w:tcPr>
          <w:p>
            <w:pPr>
              <w:spacing w:after="0"/>
              <w:jc w:val="center"/>
            </w:pPr>
            <w:r/>
            <w:r>
              <w:rPr>
                <w:rFonts w:ascii="Times New Roman" w:hAnsi="Times New Roman" w:eastAsia="Times New Roman"/>
                <w:b w:val="0"/>
                <w:sz w:val="20"/>
              </w:rPr>
              <w:t>0.8065</w:t>
            </w:r>
          </w:p>
        </w:tc>
        <w:tc>
          <w:tcPr>
            <w:tcW w:type="dxa" w:w="1134"/>
            <w:vAlign w:val="center"/>
          </w:tcPr>
          <w:p>
            <w:pPr>
              <w:spacing w:after="0"/>
              <w:jc w:val="center"/>
            </w:pPr>
            <w:r/>
            <w:r>
              <w:rPr>
                <w:rFonts w:ascii="Times New Roman" w:hAnsi="Times New Roman" w:eastAsia="Times New Roman"/>
                <w:b w:val="0"/>
                <w:sz w:val="20"/>
              </w:rPr>
              <w:t>0.1393</w:t>
            </w:r>
          </w:p>
        </w:tc>
        <w:tc>
          <w:tcPr>
            <w:tcW w:type="dxa" w:w="1247"/>
            <w:vAlign w:val="center"/>
          </w:tcPr>
          <w:p>
            <w:pPr>
              <w:spacing w:after="0"/>
              <w:jc w:val="center"/>
            </w:pPr>
            <w:r/>
            <w:r>
              <w:rPr>
                <w:rFonts w:ascii="Times New Roman" w:hAnsi="Times New Roman" w:eastAsia="Times New Roman"/>
                <w:b w:val="0"/>
                <w:sz w:val="20"/>
              </w:rPr>
              <w:t>0.8623</w:t>
            </w:r>
          </w:p>
        </w:tc>
        <w:tc>
          <w:tcPr>
            <w:tcW w:type="dxa" w:w="1587"/>
            <w:vAlign w:val="center"/>
          </w:tcPr>
          <w:p>
            <w:pPr>
              <w:spacing w:after="0"/>
              <w:jc w:val="center"/>
            </w:pPr>
            <w:r/>
            <w:r>
              <w:rPr>
                <w:rFonts w:ascii="Times New Roman" w:hAnsi="Times New Roman" w:eastAsia="Times New Roman"/>
                <w:b w:val="0"/>
                <w:sz w:val="20"/>
              </w:rPr>
              <w:t>0.8153</w:t>
            </w:r>
          </w:p>
        </w:tc>
        <w:tc>
          <w:tcPr>
            <w:tcW w:type="dxa" w:w="1247"/>
            <w:vAlign w:val="center"/>
          </w:tcPr>
          <w:p>
            <w:pPr>
              <w:spacing w:after="0"/>
              <w:jc w:val="center"/>
            </w:pPr>
            <w:r/>
            <w:r>
              <w:rPr>
                <w:rFonts w:ascii="Times New Roman" w:hAnsi="Times New Roman" w:eastAsia="Times New Roman"/>
                <w:b w:val="0"/>
                <w:sz w:val="20"/>
              </w:rPr>
              <w:t>0.2006</w:t>
            </w:r>
          </w:p>
        </w:tc>
      </w:tr>
    </w:tbl>
    <w:p/>
    <w:p>
      <w:r>
        <w:t>For the best model M3, smoothed per-class F1 values are 0.825 for Preparation, 0.890 for Calot Triangle Dissection, 0.814 for Clipping and Cutting, 0.880 for Gallbladder Dissection, 0.825 for Gallbladder Packaging, 0.712 for Cleaning and Coagulation, and 0.760 for Gallbladder Retraction. Cleaning and coagulation is the most difficult class in this output, suggesting that short episodes near adjacent dissection activity remain difficult to separate.</w:t>
      </w:r>
    </w:p>
    <w:p>
      <w:pPr>
        <w:spacing w:after="100"/>
        <w:ind w:firstLine="0"/>
        <w:jc w:val="center"/>
      </w:pPr>
      <w:r>
        <w:rPr>
          <w:rFonts w:ascii="Times New Roman" w:hAnsi="Times New Roman" w:eastAsia="Times New Roman"/>
          <w:b/>
          <w:sz w:val="22"/>
        </w:rPr>
        <w:t>Table 2. Additional experiments available at report preparation time.</w:t>
      </w:r>
    </w:p>
    <w:tbl>
      <w:tblPr>
        <w:tblStyle w:val="TableGrid"/>
        <w:tblW w:type="auto" w:w="0"/>
        <w:jc w:val="center"/>
        <w:tblLook w:firstColumn="1" w:firstRow="1" w:lastColumn="0" w:lastRow="0" w:noHBand="0" w:noVBand="1" w:val="04A0"/>
      </w:tblPr>
      <w:tblGrid>
        <w:gridCol w:w="3081"/>
        <w:gridCol w:w="3081"/>
        <w:gridCol w:w="3081"/>
      </w:tblGrid>
      <w:tr>
        <w:tc>
          <w:tcPr>
            <w:tcW w:type="dxa" w:w="2835"/>
            <w:vAlign w:val="center"/>
            <w:shd w:fill="D9EAF7"/>
          </w:tcPr>
          <w:p>
            <w:pPr>
              <w:spacing w:after="0"/>
              <w:jc w:val="center"/>
            </w:pPr>
            <w:r/>
            <w:r>
              <w:rPr>
                <w:rFonts w:ascii="Times New Roman" w:hAnsi="Times New Roman" w:eastAsia="Times New Roman"/>
                <w:b/>
                <w:sz w:val="20"/>
              </w:rPr>
              <w:t>Experiment</w:t>
            </w:r>
          </w:p>
        </w:tc>
        <w:tc>
          <w:tcPr>
            <w:tcW w:type="dxa" w:w="1701"/>
            <w:vAlign w:val="center"/>
            <w:shd w:fill="D9EAF7"/>
          </w:tcPr>
          <w:p>
            <w:pPr>
              <w:spacing w:after="0"/>
              <w:jc w:val="center"/>
            </w:pPr>
            <w:r/>
            <w:r>
              <w:rPr>
                <w:rFonts w:ascii="Times New Roman" w:hAnsi="Times New Roman" w:eastAsia="Times New Roman"/>
                <w:b/>
                <w:sz w:val="20"/>
              </w:rPr>
              <w:t>Smoothed Macro-F1</w:t>
            </w:r>
          </w:p>
        </w:tc>
        <w:tc>
          <w:tcPr>
            <w:tcW w:type="dxa" w:w="4819"/>
            <w:vAlign w:val="center"/>
            <w:shd w:fill="D9EAF7"/>
          </w:tcPr>
          <w:p>
            <w:pPr>
              <w:spacing w:after="0"/>
              <w:jc w:val="center"/>
            </w:pPr>
            <w:r/>
            <w:r>
              <w:rPr>
                <w:rFonts w:ascii="Times New Roman" w:hAnsi="Times New Roman" w:eastAsia="Times New Roman"/>
                <w:b/>
                <w:sz w:val="20"/>
              </w:rPr>
              <w:t>Interpretation status</w:t>
            </w:r>
          </w:p>
        </w:tc>
      </w:tr>
      <w:tr>
        <w:tc>
          <w:tcPr>
            <w:tcW w:type="dxa" w:w="2835"/>
            <w:vAlign w:val="center"/>
          </w:tcPr>
          <w:p>
            <w:pPr>
              <w:spacing w:after="0"/>
              <w:jc w:val="center"/>
            </w:pPr>
            <w:r/>
            <w:r>
              <w:rPr>
                <w:rFonts w:ascii="Times New Roman" w:hAnsi="Times New Roman" w:eastAsia="Times New Roman"/>
                <w:b w:val="0"/>
                <w:sz w:val="20"/>
              </w:rPr>
              <w:t>M1 main output</w:t>
            </w:r>
          </w:p>
        </w:tc>
        <w:tc>
          <w:tcPr>
            <w:tcW w:type="dxa" w:w="1701"/>
            <w:vAlign w:val="center"/>
          </w:tcPr>
          <w:p>
            <w:pPr>
              <w:spacing w:after="0"/>
              <w:jc w:val="center"/>
            </w:pPr>
            <w:r/>
            <w:r>
              <w:rPr>
                <w:rFonts w:ascii="Times New Roman" w:hAnsi="Times New Roman" w:eastAsia="Times New Roman"/>
                <w:b w:val="0"/>
                <w:sz w:val="20"/>
              </w:rPr>
              <w:t>0.7811</w:t>
            </w:r>
          </w:p>
        </w:tc>
        <w:tc>
          <w:tcPr>
            <w:tcW w:type="dxa" w:w="4819"/>
            <w:vAlign w:val="center"/>
          </w:tcPr>
          <w:p>
            <w:pPr>
              <w:spacing w:after="0"/>
              <w:jc w:val="center"/>
            </w:pPr>
            <w:r/>
            <w:r>
              <w:rPr>
                <w:rFonts w:ascii="Times New Roman" w:hAnsi="Times New Roman" w:eastAsia="Times New Roman"/>
                <w:b w:val="0"/>
                <w:sz w:val="20"/>
              </w:rPr>
              <w:t>Reference output</w:t>
            </w:r>
          </w:p>
        </w:tc>
      </w:tr>
      <w:tr>
        <w:tc>
          <w:tcPr>
            <w:tcW w:type="dxa" w:w="2835"/>
            <w:vAlign w:val="center"/>
          </w:tcPr>
          <w:p>
            <w:pPr>
              <w:spacing w:after="0"/>
              <w:jc w:val="center"/>
            </w:pPr>
            <w:r/>
            <w:r>
              <w:rPr>
                <w:rFonts w:ascii="Times New Roman" w:hAnsi="Times New Roman" w:eastAsia="Times New Roman"/>
                <w:b w:val="0"/>
                <w:sz w:val="20"/>
              </w:rPr>
              <w:t>M1 without tool head</w:t>
            </w:r>
          </w:p>
        </w:tc>
        <w:tc>
          <w:tcPr>
            <w:tcW w:type="dxa" w:w="1701"/>
            <w:vAlign w:val="center"/>
          </w:tcPr>
          <w:p>
            <w:pPr>
              <w:spacing w:after="0"/>
              <w:jc w:val="center"/>
            </w:pPr>
            <w:r/>
            <w:r>
              <w:rPr>
                <w:rFonts w:ascii="Times New Roman" w:hAnsi="Times New Roman" w:eastAsia="Times New Roman"/>
                <w:b w:val="0"/>
                <w:sz w:val="20"/>
              </w:rPr>
              <w:t>0.7651</w:t>
            </w:r>
          </w:p>
        </w:tc>
        <w:tc>
          <w:tcPr>
            <w:tcW w:type="dxa" w:w="4819"/>
            <w:vAlign w:val="center"/>
          </w:tcPr>
          <w:p>
            <w:pPr>
              <w:spacing w:after="0"/>
              <w:jc w:val="center"/>
            </w:pPr>
            <w:r/>
            <w:r>
              <w:rPr>
                <w:rFonts w:ascii="Times New Roman" w:hAnsi="Times New Roman" w:eastAsia="Times New Roman"/>
                <w:b w:val="0"/>
                <w:sz w:val="20"/>
              </w:rPr>
              <w:t>Indicative; shorter training schedule</w:t>
            </w:r>
          </w:p>
        </w:tc>
      </w:tr>
      <w:tr>
        <w:tc>
          <w:tcPr>
            <w:tcW w:type="dxa" w:w="2835"/>
            <w:vAlign w:val="center"/>
          </w:tcPr>
          <w:p>
            <w:pPr>
              <w:spacing w:after="0"/>
              <w:jc w:val="center"/>
            </w:pPr>
            <w:r/>
            <w:r>
              <w:rPr>
                <w:rFonts w:ascii="Times New Roman" w:hAnsi="Times New Roman" w:eastAsia="Times New Roman"/>
                <w:b w:val="0"/>
                <w:sz w:val="20"/>
              </w:rPr>
              <w:t>M1 raw (no smoothing)</w:t>
            </w:r>
          </w:p>
        </w:tc>
        <w:tc>
          <w:tcPr>
            <w:tcW w:type="dxa" w:w="1701"/>
            <w:vAlign w:val="center"/>
          </w:tcPr>
          <w:p>
            <w:pPr>
              <w:spacing w:after="0"/>
              <w:jc w:val="center"/>
            </w:pPr>
            <w:r/>
            <w:r>
              <w:rPr>
                <w:rFonts w:ascii="Times New Roman" w:hAnsi="Times New Roman" w:eastAsia="Times New Roman"/>
                <w:b w:val="0"/>
                <w:sz w:val="20"/>
              </w:rPr>
              <w:t>0.7748</w:t>
            </w:r>
          </w:p>
        </w:tc>
        <w:tc>
          <w:tcPr>
            <w:tcW w:type="dxa" w:w="4819"/>
            <w:vAlign w:val="center"/>
          </w:tcPr>
          <w:p>
            <w:pPr>
              <w:spacing w:after="0"/>
              <w:jc w:val="center"/>
            </w:pPr>
            <w:r/>
            <w:r>
              <w:rPr>
                <w:rFonts w:ascii="Times New Roman" w:hAnsi="Times New Roman" w:eastAsia="Times New Roman"/>
                <w:b w:val="0"/>
                <w:sz w:val="20"/>
              </w:rPr>
              <w:t>Direct comparison; edit score 0.1123</w:t>
            </w:r>
          </w:p>
        </w:tc>
      </w:tr>
      <w:tr>
        <w:tc>
          <w:tcPr>
            <w:tcW w:type="dxa" w:w="2835"/>
            <w:vAlign w:val="center"/>
          </w:tcPr>
          <w:p>
            <w:pPr>
              <w:spacing w:after="0"/>
              <w:jc w:val="center"/>
            </w:pPr>
            <w:r/>
            <w:r>
              <w:rPr>
                <w:rFonts w:ascii="Times New Roman" w:hAnsi="Times New Roman" w:eastAsia="Times New Roman"/>
                <w:b w:val="0"/>
                <w:sz w:val="20"/>
              </w:rPr>
              <w:t>M1 with smoothing</w:t>
            </w:r>
          </w:p>
        </w:tc>
        <w:tc>
          <w:tcPr>
            <w:tcW w:type="dxa" w:w="1701"/>
            <w:vAlign w:val="center"/>
          </w:tcPr>
          <w:p>
            <w:pPr>
              <w:spacing w:after="0"/>
              <w:jc w:val="center"/>
            </w:pPr>
            <w:r/>
            <w:r>
              <w:rPr>
                <w:rFonts w:ascii="Times New Roman" w:hAnsi="Times New Roman" w:eastAsia="Times New Roman"/>
                <w:b w:val="0"/>
                <w:sz w:val="20"/>
              </w:rPr>
              <w:t>0.7811</w:t>
            </w:r>
          </w:p>
        </w:tc>
        <w:tc>
          <w:tcPr>
            <w:tcW w:type="dxa" w:w="4819"/>
            <w:vAlign w:val="center"/>
          </w:tcPr>
          <w:p>
            <w:pPr>
              <w:spacing w:after="0"/>
              <w:jc w:val="center"/>
            </w:pPr>
            <w:r/>
            <w:r>
              <w:rPr>
                <w:rFonts w:ascii="Times New Roman" w:hAnsi="Times New Roman" w:eastAsia="Times New Roman"/>
                <w:b w:val="0"/>
                <w:sz w:val="20"/>
              </w:rPr>
              <w:t>Direct comparison; edit score 0.1520</w:t>
            </w:r>
          </w:p>
        </w:tc>
      </w:tr>
      <w:tr>
        <w:tc>
          <w:tcPr>
            <w:tcW w:type="dxa" w:w="2835"/>
            <w:vAlign w:val="center"/>
          </w:tcPr>
          <w:p>
            <w:pPr>
              <w:spacing w:after="0"/>
              <w:jc w:val="center"/>
            </w:pPr>
            <w:r/>
            <w:r>
              <w:rPr>
                <w:rFonts w:ascii="Times New Roman" w:hAnsi="Times New Roman" w:eastAsia="Times New Roman"/>
                <w:b w:val="0"/>
                <w:sz w:val="20"/>
              </w:rPr>
              <w:t>No class weighting</w:t>
            </w:r>
          </w:p>
        </w:tc>
        <w:tc>
          <w:tcPr>
            <w:tcW w:type="dxa" w:w="1701"/>
            <w:vAlign w:val="center"/>
          </w:tcPr>
          <w:p>
            <w:pPr>
              <w:spacing w:after="0"/>
              <w:jc w:val="center"/>
            </w:pPr>
            <w:r/>
            <w:r>
              <w:rPr>
                <w:rFonts w:ascii="Times New Roman" w:hAnsi="Times New Roman" w:eastAsia="Times New Roman"/>
                <w:b w:val="0"/>
                <w:sz w:val="20"/>
              </w:rPr>
              <w:t>0.7613</w:t>
            </w:r>
          </w:p>
        </w:tc>
        <w:tc>
          <w:tcPr>
            <w:tcW w:type="dxa" w:w="4819"/>
            <w:vAlign w:val="center"/>
          </w:tcPr>
          <w:p>
            <w:pPr>
              <w:spacing w:after="0"/>
              <w:jc w:val="center"/>
            </w:pPr>
            <w:r/>
            <w:r>
              <w:rPr>
                <w:rFonts w:ascii="Times New Roman" w:hAnsi="Times New Roman" w:eastAsia="Times New Roman"/>
                <w:b w:val="0"/>
                <w:sz w:val="20"/>
              </w:rPr>
              <w:t>Inconclusive: weight not wired into loss</w:t>
            </w:r>
          </w:p>
        </w:tc>
      </w:tr>
      <w:tr>
        <w:tc>
          <w:tcPr>
            <w:tcW w:type="dxa" w:w="2835"/>
            <w:vAlign w:val="center"/>
          </w:tcPr>
          <w:p>
            <w:pPr>
              <w:spacing w:after="0"/>
              <w:jc w:val="center"/>
            </w:pPr>
            <w:r/>
            <w:r>
              <w:rPr>
                <w:rFonts w:ascii="Times New Roman" w:hAnsi="Times New Roman" w:eastAsia="Times New Roman"/>
                <w:b w:val="0"/>
                <w:sz w:val="20"/>
              </w:rPr>
              <w:t>Sequence length 16</w:t>
            </w:r>
          </w:p>
        </w:tc>
        <w:tc>
          <w:tcPr>
            <w:tcW w:type="dxa" w:w="1701"/>
            <w:vAlign w:val="center"/>
          </w:tcPr>
          <w:p>
            <w:pPr>
              <w:spacing w:after="0"/>
              <w:jc w:val="center"/>
            </w:pPr>
            <w:r/>
            <w:r>
              <w:rPr>
                <w:rFonts w:ascii="Times New Roman" w:hAnsi="Times New Roman" w:eastAsia="Times New Roman"/>
                <w:b w:val="0"/>
                <w:sz w:val="20"/>
              </w:rPr>
              <w:t>Not yet available</w:t>
            </w:r>
          </w:p>
        </w:tc>
        <w:tc>
          <w:tcPr>
            <w:tcW w:type="dxa" w:w="4819"/>
            <w:vAlign w:val="center"/>
          </w:tcPr>
          <w:p>
            <w:pPr>
              <w:spacing w:after="0"/>
              <w:jc w:val="center"/>
            </w:pPr>
            <w:r/>
            <w:r>
              <w:rPr>
                <w:rFonts w:ascii="Times New Roman" w:hAnsi="Times New Roman" w:eastAsia="Times New Roman"/>
                <w:b w:val="0"/>
                <w:sz w:val="20"/>
              </w:rPr>
              <w:t>Training/evaluation pending</w:t>
            </w:r>
          </w:p>
        </w:tc>
      </w:tr>
    </w:tbl>
    <w:p/>
    <w:p>
      <w:r>
        <w:t>In a supplementary ensemble output, validation-F1-weighted softmax averaging followed by smoothing produced accuracy 0.8635, macro-F1 0.8094 and edit score 0.1888. This confirms that ensembling is feasible in the pipeline. Because this output was generated as a separate evaluation artefact, the most defensible main conclusion remains the ranking of the individually evaluated models in Table 1.</w:t>
      </w:r>
    </w:p>
    <w:p>
      <w:pPr>
        <w:pStyle w:val="Heading2"/>
      </w:pPr>
      <w:r>
        <w:t>2. Discussion</w:t>
      </w:r>
    </w:p>
    <w:p>
      <w:r>
        <w:t>Within the implemented setting, the attention-based temporal model is the most successful of the three tested alternatives. Its macro-F1 exceeds the recurrent baseline by 0.0342 and the temporal convolutional model by 0.0670 after smoothing. This observation is consistent with the motivation of Transformer-based surgical workflow work such as Trans-SVNet [6], but it should be interpreted as evidence for this dataset and resource budget, not as proof that one architecture is universally superior.</w:t>
      </w:r>
    </w:p>
    <w:p>
      <w:r>
        <w:t>Temporal smoothing has a clear and reproducible effect because it compares two post-processing choices applied to the same M1 predictions. It raises macro-F1 from 0.7748 to 0.7811, while the larger relative change is in edit score, from 0.1123 to 0.1520. This pattern is reasonable for surgical workflows: isolated one-frame label changes may not strongly alter frame accuracy, but they create implausible extra segments. A median filter is therefore a useful baseline, although a causal smoothing method would be required for real-time use.</w:t>
      </w:r>
    </w:p>
    <w:p>
      <w:r>
        <w:t>The tool-head run suggests a possible benefit from auxiliary instrument learning, but the result must be phrased carefully. The no-tool run was trained with the shorter ablation schedule, whereas the main M1 result used the full schedule. A matched-duration rerun is required before assigning the full difference to tool supervision. More importantly, implementation review invalidated the intended class-weight experiment: although a utility function and configuration option exist, the loss created in the training code does not receive those weights. Reporting this fault is part of the scientific result, because it prevents an incorrect conclusion from being presented as experimental evidence.</w:t>
      </w:r>
    </w:p>
    <w:p>
      <w:r>
        <w:t>The study has further limitations. It looks at one operation type on one public dataset, so we cannot say how well it generalises to other hospitals or procedures. It samples at one frame per second and uses eight-frame context for the main comparison, which may miss very short actions. And the system has not been evaluated prospectively in an operating room, so it must not be treated as a clinical decision-support tool.</w:t>
      </w:r>
    </w:p>
    <w:p>
      <w:pPr>
        <w:pStyle w:val="Heading1"/>
      </w:pPr>
      <w:r>
        <w:t>V/ CONCLUSION &amp; PERSPECTIVE</w:t>
      </w:r>
    </w:p>
    <w:p>
      <w:r>
        <w:t>This study implemented and evaluated three temporal deep-learning approaches for seven-phase recognition in laparoscopic cholecystectomy videos. On the Cholec80 held-out test set, Swin-Tiny with a temporal Transformer achieved the best verified individual-model result, with smoothed accuracy 0.8623 and macro-F1 0.8153. The results also show that simple median smoothing substantially improves sequence edit quality, while code audit prevented an invalid class-weight ablation from being over-interpreted.</w:t>
      </w:r>
    </w:p>
    <w:p>
      <w:r>
        <w:t>The immediate next steps are to connect computed class weights correctly to the loss and repeat that ablation, complete and evaluate the sixteen-frame context run, and rerun tool-head comparisons with matched training schedules. Later work should test calibration and uncertainty reporting, causal temporal refinement suitable for online inference, and external validation on additional surgical-video datasets. These steps are necessary before considering any clinical application.</w:t>
      </w:r>
    </w:p>
    <w:p>
      <w:pPr>
        <w:pStyle w:val="Heading1"/>
      </w:pPr>
      <w:r>
        <w:t>REFERENCES</w:t>
      </w:r>
    </w:p>
    <w:p>
      <w:pPr>
        <w:ind w:hanging="340" w:left="340"/>
      </w:pPr>
      <w:r>
        <w:t>[1] Maier-Hein, L. et al. (2017). Surgical data science for next-generation interventions. Nature Biomedical Engineering, 1, 691-696.</w:t>
      </w:r>
    </w:p>
    <w:p>
      <w:pPr>
        <w:ind w:hanging="340" w:left="340"/>
      </w:pPr>
      <w:r>
        <w:t>[2] Vedula, S. S., Ishii, M., &amp; Hager, G. D. (2017). Objective assessment of surgical technical skill and competency in the operating room. Annual Review of Biomedical Engineering, 19, 301-325.</w:t>
      </w:r>
    </w:p>
    <w:p>
      <w:pPr>
        <w:ind w:hanging="340" w:left="340"/>
      </w:pPr>
      <w:r>
        <w:t>[3] Twinanda, A. P. et al. (2017). EndoNet: A deep architecture for recognition tasks on laparoscopic videos. IEEE Transactions on Medical Imaging, 36(1), 86-97. https://doi.org/10.1109/TMI.2016.2593957</w:t>
      </w:r>
    </w:p>
    <w:p>
      <w:pPr>
        <w:ind w:hanging="340" w:left="340"/>
      </w:pPr>
      <w:r>
        <w:t>[4] Jin, Y. et al. (2018). SV-RCNet: Workflow recognition from surgical videos using recurrent convolutional network. IEEE Transactions on Medical Imaging, 37(5), 1114-1126.</w:t>
      </w:r>
    </w:p>
    <w:p>
      <w:pPr>
        <w:ind w:hanging="340" w:left="340"/>
      </w:pPr>
      <w:r>
        <w:t>[5] Czempiel, T. et al. (2020). TeCNO: Surgical phase recognition with multi-stage temporal convolutional networks. In MICCAI 2020, 343-352.</w:t>
      </w:r>
    </w:p>
    <w:p>
      <w:pPr>
        <w:ind w:hanging="340" w:left="340"/>
      </w:pPr>
      <w:r>
        <w:t>[6] Gao, X., Jin, Y., Long, Y., Dou, Q., &amp; Heng, P.-A. (2021). Trans-SVNet: Accurate phase recognition from surgical videos via hybrid embedding aggregation Transformer. In MICCAI 2021, 593-603. https://doi.org/10.1007/978-3-030-87202-1_57</w:t>
      </w:r>
    </w:p>
    <w:p>
      <w:pPr>
        <w:ind w:hanging="340" w:left="340"/>
      </w:pPr>
      <w:r>
        <w:t>[7] He, K., Zhang, X., Ren, S., &amp; Sun, J. (2016). Deep residual learning for image recognition. In CVPR, 770-778.</w:t>
      </w:r>
    </w:p>
    <w:p>
      <w:pPr>
        <w:ind w:hanging="340" w:left="340"/>
      </w:pPr>
      <w:r>
        <w:t>[8] Tan, M., &amp; Le, Q. V. (2019). EfficientNet: Rethinking model scaling for convolutional neural networks. In ICML, 6105-6114.</w:t>
      </w:r>
    </w:p>
    <w:p>
      <w:pPr>
        <w:ind w:hanging="340" w:left="340"/>
      </w:pPr>
      <w:r>
        <w:t>[9] Liu, Z. et al. (2021). Swin Transformer: Hierarchical vision Transformer using shifted windows. In ICCV, 10012-10022.</w:t>
      </w:r>
    </w:p>
    <w:p>
      <w:pPr>
        <w:ind w:hanging="340" w:left="340"/>
      </w:pPr>
      <w:r>
        <w:t>[10] Loshchilov, I., &amp; Hutter, F. (2019). Decoupled weight decay regularization. In ICLR.</w:t>
      </w:r>
    </w:p>
    <w:sectPr w:rsidR="00FC693F" w:rsidRPr="0006063C" w:rsidSect="00034616">
      <w:footerReference w:type="default" r:id="rId9"/>
      <w:pgSz w:w="11906" w:h="16838"/>
      <w:pgMar w:top="1247" w:right="124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ind w:firstLine="454"/>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ind w:firstLine="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120"/>
      <w:ind w:firstLine="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120"/>
      <w:ind w:firstLine="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