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ind w:firstLine="0"/>
        <w:jc w:val="center"/>
      </w:pPr>
      <w:r>
        <w:rPr>
          <w:rFonts w:ascii="Times New Roman" w:hAnsi="Times New Roman" w:eastAsia="Times New Roman"/>
          <w:b/>
          <w:sz w:val="26"/>
        </w:rPr>
        <w:t>VIETNAM ACADEMY OF SCIENCE AND TECHNOLOGY</w:t>
      </w:r>
    </w:p>
    <w:p>
      <w:pPr>
        <w:spacing w:after="0"/>
        <w:ind w:firstLine="0"/>
        <w:jc w:val="center"/>
      </w:pPr>
      <w:r>
        <w:rPr>
          <w:rFonts w:ascii="Times New Roman" w:hAnsi="Times New Roman" w:eastAsia="Times New Roman"/>
          <w:b/>
          <w:sz w:val="26"/>
        </w:rPr>
        <w:t>UNIVERSITY OF SCIENCE AND TECHNOLOGY OF HANOI</w:t>
      </w:r>
    </w:p>
    <w:p/>
    <w:p/>
    <w:p/>
    <w:p/>
    <w:p/>
    <w:p>
      <w:pPr>
        <w:spacing w:after="200"/>
        <w:ind w:firstLine="0"/>
        <w:jc w:val="center"/>
      </w:pPr>
      <w:r>
        <w:rPr>
          <w:rFonts w:ascii="Times New Roman" w:hAnsi="Times New Roman" w:eastAsia="Times New Roman"/>
          <w:b/>
          <w:sz w:val="32"/>
        </w:rPr>
        <w:t>REPORT</w:t>
      </w:r>
    </w:p>
    <w:p>
      <w:pPr>
        <w:spacing w:after="0"/>
        <w:ind w:firstLine="0"/>
        <w:jc w:val="center"/>
      </w:pPr>
      <w:r>
        <w:rPr>
          <w:rFonts w:ascii="Times New Roman" w:hAnsi="Times New Roman" w:eastAsia="Times New Roman"/>
          <w:b/>
          <w:sz w:val="28"/>
        </w:rPr>
        <w:t>CONTEST</w:t>
      </w:r>
    </w:p>
    <w:p>
      <w:pPr>
        <w:spacing w:after="0"/>
        <w:ind w:firstLine="0"/>
        <w:jc w:val="center"/>
      </w:pPr>
      <w:r>
        <w:rPr>
          <w:rFonts w:ascii="Times New Roman" w:hAnsi="Times New Roman" w:eastAsia="Times New Roman"/>
          <w:b/>
          <w:sz w:val="28"/>
        </w:rPr>
        <w:t>"USTH SCIENTIFIC RESEARCH FOR STUDENTS 2026"</w:t>
      </w:r>
    </w:p>
    <w:p/>
    <w:p/>
    <w:p/>
    <w:p>
      <w:pPr>
        <w:spacing w:after="0"/>
        <w:ind w:firstLine="0"/>
        <w:jc w:val="center"/>
      </w:pPr>
      <w:r>
        <w:rPr>
          <w:rFonts w:ascii="Times New Roman" w:hAnsi="Times New Roman" w:eastAsia="Times New Roman"/>
          <w:b/>
          <w:sz w:val="28"/>
        </w:rPr>
        <w:t>SO SÁNH CÓ KIỂM SOÁT CÁC KIẾN TRÚC HỌC SÂU THEO THỜI GIAN CHO NHẬN DIỆN GIAI ĐOẠN PHẪU THUẬT TRÊN CHOLEC80</w:t>
      </w:r>
    </w:p>
    <w:p/>
    <w:p/>
    <w:p/>
    <w:p>
      <w:pPr>
        <w:ind w:firstLine="0"/>
      </w:pPr>
      <w:r>
        <w:t>Subcommittee:</w:t>
      </w:r>
      <w:r>
        <w:t xml:space="preserve"> _______________________________________________________</w:t>
      </w:r>
    </w:p>
    <w:p>
      <w:pPr>
        <w:ind w:firstLine="0"/>
      </w:pPr>
      <w:r>
        <w:t>Student's name:</w:t>
      </w:r>
      <w:r>
        <w:t xml:space="preserve"> _______________________________________________________</w:t>
      </w:r>
    </w:p>
    <w:p>
      <w:pPr>
        <w:ind w:firstLine="0"/>
      </w:pPr>
      <w:r>
        <w:t>Student's ID:</w:t>
      </w:r>
      <w:r>
        <w:t xml:space="preserve"> _______________________________________________________</w:t>
      </w:r>
    </w:p>
    <w:p>
      <w:pPr>
        <w:ind w:firstLine="0"/>
      </w:pPr>
      <w:r>
        <w:t>Department:</w:t>
      </w:r>
      <w:r>
        <w:t xml:space="preserve"> _______________________________________________________</w:t>
      </w:r>
    </w:p>
    <w:p>
      <w:pPr>
        <w:ind w:firstLine="0"/>
      </w:pPr>
      <w:r>
        <w:t>Major:</w:t>
      </w:r>
      <w:r>
        <w:t xml:space="preserve"> _______________________________________________________</w:t>
      </w:r>
    </w:p>
    <w:p>
      <w:pPr>
        <w:ind w:firstLine="0"/>
      </w:pPr>
      <w:r>
        <w:t>Supervisor:</w:t>
      </w:r>
      <w:r>
        <w:t xml:space="preserve"> _______________________________________________________</w:t>
      </w:r>
    </w:p>
    <w:p/>
    <w:p/>
    <w:p/>
    <w:p>
      <w:pPr>
        <w:spacing w:after="0"/>
        <w:ind w:firstLine="0"/>
        <w:jc w:val="center"/>
      </w:pPr>
      <w:r>
        <w:rPr>
          <w:rFonts w:ascii="Times New Roman" w:hAnsi="Times New Roman" w:eastAsia="Times New Roman"/>
          <w:b w:val="0"/>
          <w:sz w:val="24"/>
        </w:rPr>
        <w:t>Hanoi, 2026</w:t>
      </w:r>
    </w:p>
    <w:p>
      <w:r>
        <w:br w:type="page"/>
      </w:r>
    </w:p>
    <w:p>
      <w:pPr>
        <w:spacing w:after="0"/>
        <w:ind w:firstLine="0"/>
        <w:jc w:val="center"/>
      </w:pPr>
      <w:r>
        <w:rPr>
          <w:rFonts w:ascii="Times New Roman" w:hAnsi="Times New Roman" w:eastAsia="Times New Roman"/>
          <w:b/>
          <w:sz w:val="24"/>
        </w:rPr>
        <w:t>UNIVERSITY OF SCIENCE &amp; TECHNOLOGY OF HANOI</w:t>
      </w:r>
    </w:p>
    <w:p>
      <w:pPr>
        <w:spacing w:after="0"/>
        <w:ind w:firstLine="0"/>
        <w:jc w:val="center"/>
      </w:pPr>
      <w:r>
        <w:rPr>
          <w:rFonts w:ascii="Times New Roman" w:hAnsi="Times New Roman" w:eastAsia="Times New Roman"/>
          <w:b/>
          <w:sz w:val="24"/>
        </w:rPr>
        <w:t>TRƯỜNG ĐẠI HỌC KHOA HỌC &amp; CÔNG NGHỆ HÀ NỘI</w:t>
      </w:r>
    </w:p>
    <w:p/>
    <w:p>
      <w:r>
        <w:t>Nhận xét của giảng viên hướng dẫn về những đóng góp khoa học của báo cáo (phần này do giảng viên ghi):</w:t>
      </w:r>
    </w:p>
    <w:p>
      <w:r/>
    </w:p>
    <w:p>
      <w:r/>
    </w:p>
    <w:p>
      <w:r/>
    </w:p>
    <w:p>
      <w:r/>
    </w:p>
    <w:p>
      <w:r/>
    </w:p>
    <w:p>
      <w:r/>
    </w:p>
    <w:p>
      <w:r/>
    </w:p>
    <w:p>
      <w:r/>
    </w:p>
    <w:p>
      <w:r/>
    </w:p>
    <w:p>
      <w:r/>
    </w:p>
    <w:p>
      <w:r/>
    </w:p>
    <w:p>
      <w:r/>
    </w:p>
    <w:p>
      <w:r/>
    </w:p>
    <w:p>
      <w:r/>
    </w:p>
    <w:p>
      <w:r/>
    </w:p>
    <w:p>
      <w:pPr>
        <w:spacing w:after="0"/>
        <w:ind w:firstLine="0"/>
        <w:jc w:val="center"/>
      </w:pPr>
      <w:r>
        <w:rPr>
          <w:rFonts w:ascii="Times New Roman" w:hAnsi="Times New Roman" w:eastAsia="Times New Roman"/>
          <w:b w:val="0"/>
          <w:sz w:val="24"/>
        </w:rPr>
        <w:t>Hanoi,                  2026</w:t>
      </w:r>
    </w:p>
    <w:p>
      <w:pPr>
        <w:spacing w:after="0"/>
        <w:ind w:firstLine="0"/>
        <w:jc w:val="center"/>
      </w:pPr>
      <w:r>
        <w:rPr>
          <w:rFonts w:ascii="Times New Roman" w:hAnsi="Times New Roman" w:eastAsia="Times New Roman"/>
          <w:b w:val="0"/>
          <w:sz w:val="24"/>
        </w:rPr>
        <w:t>Supervisor</w:t>
      </w:r>
    </w:p>
    <w:p>
      <w:pPr>
        <w:spacing w:after="0"/>
        <w:ind w:firstLine="0"/>
        <w:jc w:val="center"/>
      </w:pPr>
      <w:r>
        <w:rPr>
          <w:rFonts w:ascii="Times New Roman" w:hAnsi="Times New Roman" w:eastAsia="Times New Roman"/>
          <w:b w:val="0"/>
          <w:sz w:val="24"/>
        </w:rPr>
        <w:t>(Signature and full name)</w:t>
      </w:r>
    </w:p>
    <w:p>
      <w:r>
        <w:br w:type="page"/>
      </w:r>
    </w:p>
    <w:p>
      <w:pPr>
        <w:pStyle w:val="Heading1"/>
      </w:pPr>
      <w:r>
        <w:t>TÓM TẮT</w:t>
      </w:r>
    </w:p>
    <w:p>
      <w:r>
        <w:t>Nhận diện giai đoạn phẫu thuật tự động giúp chuyển video nội soi thành thông tin quy trình có cấu trúc, nhưng bài toán này khó do nhiều giai đoạn có hình ảnh gần giống nhau và phân bố dữ liệu không cân bằng. Nghiên cứu này so sánh ba mô hình học sâu theo thời gian trên Cholec80, bộ dữ liệu gồm 80 video cắt túi mật nội soi được gán nhãn bảy giai đoạn và bảy dụng cụ. Khung hình được lấy ở tần số 1 fps và chia theo video thành 40 ca huấn luyện, 20 ca xác thực và 20 ca kiểm tra. Ba mô hình được xây dựng gồm ResNet-50 kết hợp BiLSTM, EfficientNet-B3 kết hợp mạng tích chập thời gian, và Swin-Tiny kết hợp Transformer theo thời gian. Kết quả trên tập kiểm tra cho thấy macro-F1 sau làm trơn lần lượt là 0,7811; 0,7482; và 0,8153; mô hình Swin-Transformer đạt accuracy 0,8623 và edit score 0,2006. Khi bỏ đầu ra dự đoán dụng cụ trong một lần chạy ablation ngắn hơn, macro-F1 giảm còn 0,7651; khi bỏ bộ lọc làm trơn, edit score của baseline giảm từ 0,1520 xuống 0,1123. Qua rà soát mã nguồn, tùy chọn trọng số lớp chưa thực sự được nối vào hàm mất mát, nên thí nghiệm liên quan chưa thể dùng để kết luận. Kết quả ủng hộ việc tiếp tục nghiên cứu mô hình attention theo thời gian, đồng thời cần sửa ablation và đánh giá ngoài bộ dữ liệu trước khi nghĩ tới ứng dụng lâm sàng.</w:t>
      </w:r>
    </w:p>
    <w:p>
      <w:pPr>
        <w:ind w:firstLine="0"/>
      </w:pPr>
      <w:r>
        <w:rPr>
          <w:b/>
        </w:rPr>
        <w:t xml:space="preserve">Từ khóa: </w:t>
      </w:r>
      <w:r>
        <w:t>nhận diện giai đoạn phẫu thuật; Cholec80; cắt túi mật nội soi; mô hình thời gian; Transformer; học đa nhiệm</w:t>
      </w:r>
    </w:p>
    <w:p>
      <w:pPr>
        <w:pStyle w:val="Heading1"/>
      </w:pPr>
      <w:r>
        <w:t>I/ GIỚI THIỆU</w:t>
      </w:r>
    </w:p>
    <w:p>
      <w:pPr>
        <w:pStyle w:val="Heading2"/>
      </w:pPr>
      <w:r>
        <w:t>1. Bối cảnh khoa học và thực tiễn</w:t>
      </w:r>
    </w:p>
    <w:p>
      <w:r>
        <w:t>Phẫu thuật nội soi tạo ra lượng lớn video ghi lại diễn biến của ca mổ, nhưng phần lớn dữ liệu này chưa được khai thác một cách hệ thống. Trong phẫu thuật cắt túi mật nội soi, bác sĩ thực hiện một chuỗi thao tác tương đối chuẩn hóa, từ chuẩn bị, bóc tách vùng tam giác Calot, kẹp và cắt, tách túi mật khỏi gan, đóng túi lấy bệnh phẩm, làm sạch/cầm máu đến lấy túi mật ra ngoài. Việc tự động xác định video đang ở giai đoạn nào được gọi là nhận diện giai đoạn phẫu thuật. Nếu được kiểm chứng đầy đủ, kỹ thuật này có thể hỗ trợ tra cứu ca mổ, đào tạo, phân tích quy trình và phát triển các hệ thống hỗ trợ theo ngữ cảnh [1], [2]. Đề tài này chỉ nghiên cứu nhận diện quy trình, không đưa ra quyết định điều trị tự động.</w:t>
      </w:r>
    </w:p>
    <w:p>
      <w:r>
        <w:t>Cholec80 là bộ dữ liệu công khai thường được sử dụng cho bài toán này. Bộ dữ liệu gồm 80 video cắt túi mật nội soi, có nhãn giai đoạn theo từng khung hình và nhãn xuất hiện của dụng cụ [3]. Điểm thuận lợi là nhãn dụng cụ cho phép nghiên cứu học đa nhiệm: mô hình vừa nhận diện giai đoạn vừa học tín hiệu liên quan đến dụng cụ. Tuy nhiên, dữ liệu không cân bằng rõ rệt. Trong dữ liệu huấn luyện đã chuẩn bị của đề tài, giai đoạn bóc tách tam giác Calot chiếm 40,9% số khung hình, trong khi giai đoạn lấy túi mật chỉ chiếm 3,7%. Vì vậy, chỉ nhìn accuracy tổng thể có thể che lấp việc mô hình nhận diện kém những giai đoạn ngắn.</w:t>
      </w:r>
    </w:p>
    <w:p>
      <w:pPr>
        <w:pStyle w:val="Heading2"/>
      </w:pPr>
      <w:r>
        <w:t>2. Vấn đề nghiên cứu</w:t>
      </w:r>
    </w:p>
    <w:p>
      <w:r>
        <w:t>Một ảnh nội soi riêng lẻ thường không đủ để phân biệt chính xác giai đoạn phẫu thuật. Cùng một loại dụng cụ hoặc vùng mô có thể xuất hiện ở hai giai đoạn liền kề; hơn nữa, ranh giới chuyển giai đoạn không phải lúc nào cũng sắc nét. Do đó, mô hình cần kết hợp đặc trưng không gian của từng ảnh với thông tin theo thời gian của các ảnh xung quanh. Mô hình cũng cần hạn chế dự đoán nhảy qua lại không hợp lý giữa các giai đoạn, bởi các lỗi ngắn như vậy làm giảm chất lượng chuỗi quy trình.</w:t>
      </w:r>
    </w:p>
    <w:p>
      <w:r>
        <w:t>Đề tài được triển khai trên máy tính cá nhân sử dụng GPU NVIDIA GeForce RTX 2050 với 4 GB bộ nhớ đồ họa. Đây vừa là hạn chế, vừa là bối cảnh thực tế đối với nghiên cứu sinh viên: độ dài chuỗi ảnh, kích thước batch và độ phức tạp mô hình đều phải được lựa chọn phù hợp. Vì vậy, câu hỏi của đề tài không phải là xây dựng hệ thống lớn nhất, mà là xác định kiến trúc thời gian nào hoạt động tốt trong một pipeline gọn, có thể tái lập trên thiết bị phổ thông.</w:t>
      </w:r>
    </w:p>
    <w:p>
      <w:pPr>
        <w:pStyle w:val="Heading2"/>
      </w:pPr>
      <w:r>
        <w:t>3. Tổng quan nghiên cứu và khoảng trống</w:t>
      </w:r>
    </w:p>
    <w:p>
      <w:r>
        <w:t>EndoNet là một trong những công trình nền tảng trên Cholec80, trong đó mô hình học đồng thời thông tin giai đoạn và dụng cụ [3]. Sau đó, SV-RCNet dùng mạng hồi quy để khai thác bối cảnh theo thời gian [4]. TeCNO thay thế phần hồi quy bằng mạng tích chập thời gian nhiều tầng nhằm tạo chuỗi dự đoán ổn định hơn [5]. Gần đây, Trans-SVNet cho thấy cơ chế attention của Transformer có tiềm năng trong nhận diện giai đoạn từ video phẫu thuật [6]. Ba hướng này tương ứng với ba họ mô hình được kiểm tra trong đề tài: hồi quy, tích chập thời gian và attention.</w:t>
      </w:r>
    </w:p>
    <w:p>
      <w:r>
        <w:t>Việc so sánh trực tiếp các kết quả đã công bố không hoàn toàn công bằng vì mỗi công trình có cách lấy mẫu khung hình, chia dữ liệu, xử lý hậu kỳ và tài nguyên tính toán khác nhau. Đóng góp của đề tài vì vậy được xác định ở phạm vi thận trọng hơn: xây dựng ba mô hình đại diện trong cùng một dự án, đánh giá trên cùng tập kiểm tra, báo cáo các chỉ số phù hợp với dữ liệu mất cân bằng và kiểm tra lại việc cấu hình có thực sự tác động tới mã nguồn hay không. Cách làm này đặc biệt quan trọng với các ablation, vì một thay đổi chỉ có giá trị khoa học khi nó thật sự được thực thi trong quá trình huấn luyện hoặc suy luận.</w:t>
      </w:r>
    </w:p>
    <w:p>
      <w:pPr>
        <w:pStyle w:val="Heading2"/>
      </w:pPr>
      <w:r>
        <w:t>4. Câu hỏi nghiên cứu</w:t>
      </w:r>
    </w:p>
    <w:p>
      <w:pPr>
        <w:pStyle w:val="ListBullet"/>
        <w:ind w:firstLine="0" w:left="454"/>
      </w:pPr>
      <w:r>
        <w:t>Câu hỏi 1: Trong ba mô hình LSTM, TCN và Transformer đã cài đặt, mô hình nào cho kết quả tốt nhất trên tập test Cholec80?</w:t>
      </w:r>
    </w:p>
    <w:p>
      <w:pPr>
        <w:pStyle w:val="ListBullet"/>
        <w:ind w:firstLine="0" w:left="454"/>
      </w:pPr>
      <w:r>
        <w:t>Câu hỏi 2: Việc dự đoán thêm dụng cụ và làm trơn chuỗi thời gian có biểu hiện lợi ích như thế nào trong pipeline hiện tại?</w:t>
      </w:r>
    </w:p>
    <w:p>
      <w:pPr>
        <w:pStyle w:val="ListBullet"/>
        <w:ind w:firstLine="0" w:left="454"/>
      </w:pPr>
      <w:r>
        <w:t>Câu hỏi 3: Những thí nghiệm nào chưa thể kết luận do chưa hoàn thành hoặc do lỗi nối cấu hình với mã thực thi?</w:t>
      </w:r>
    </w:p>
    <w:p>
      <w:pPr>
        <w:pStyle w:val="ListBullet"/>
        <w:ind w:firstLine="0" w:left="454"/>
      </w:pPr>
      <w:r>
        <w:t>Câu hỏi 4: Kết hợp dự đoán từ các mô hình có tạo ra một kết quả bổ sung hữu ích hay không?</w:t>
      </w:r>
    </w:p>
    <w:p>
      <w:pPr>
        <w:pStyle w:val="Heading1"/>
      </w:pPr>
      <w:r>
        <w:t>II/ MỤC TIÊU</w:t>
      </w:r>
    </w:p>
    <w:p>
      <w:r>
        <w:t>Mục tiêu khoa học của đề tài là đánh giá các kiến trúc học sâu theo thời gian gọn cho bài toán nhận diện bảy giai đoạn cắt túi mật nội soi từ video Cholec80 trên phần cứng phổ thông. Chiến lược thực hiện là xây dựng ba mô hình đại diện cho mạng hồi quy, mạng tích chập thời gian và Transformer trong cùng một pipeline, sau đó đánh giá bằng accuracy, macro-F1 và edit score trên các video giữ riêng để kiểm tra. Các thí nghiệm bổ sung được dùng để khảo sát vai trò của nhãn dụng cụ, làm trơn thời gian và bối cảnh dài hơn, đồng thời rà soát mã nguồn để bảo đảm kết luận phù hợp với điều thực sự được thực thi.</w:t>
      </w:r>
    </w:p>
    <w:p>
      <w:pPr>
        <w:pStyle w:val="Heading1"/>
      </w:pPr>
      <w:r>
        <w:t>III/ VẬT LIỆU VÀ PHƯƠNG PHÁP</w:t>
      </w:r>
    </w:p>
    <w:p>
      <w:pPr>
        <w:pStyle w:val="Heading2"/>
      </w:pPr>
      <w:r>
        <w:t>1. Dữ liệu và tiền xử lý</w:t>
      </w:r>
    </w:p>
    <w:p>
      <w:r>
        <w:t>Đề tài sử dụng Cholec80 gồm 80 video cắt túi mật nội soi, với bảy nhãn giai đoạn và bảy nhãn nhị phân về sự xuất hiện của dụng cụ [3]. Dữ liệu đã được chuẩn bị đủ 80 video và lấy mẫu ở tần số một khung hình mỗi giây. Các video 1-40 được dùng cho huấn luyện, video 41-60 cho xác thực và video 61-80 cho kiểm tra; cách chia theo video giúp tránh đưa hình ảnh của cùng một ca mổ vào nhiều tập. Mỗi ảnh được đưa về kích thước 224 x 224 pixel và chuẩn hóa theo thông số ImageNet. Trong huấn luyện, phép crop ngẫu nhiên, lật ngang, thay đổi màu sắc và xoay tối đa 10 độ được áp dụng theo từng khung hình; ở bước xác thực và kiểm tra chỉ dùng biến đổi xác định.</w:t>
      </w:r>
    </w:p>
    <w:p>
      <w:r>
        <w:t>Ba thí nghiệm chính sử dụng chuỗi tám khung hình liên tiếp. Cửa sổ huấn luyện dịch bốn khung hình mỗi lần, tạo ra 21.531 chuỗi; ở tập xác thực và kiểm tra, cửa sổ không chồng lấp với stride bằng tám, tương ứng 6.315 và 5.947 chuỗi. Thí nghiệm bối cảnh dài hơn thay chuỗi tám khung hình bằng chuỗi mười sáu khung hình.</w:t>
      </w:r>
    </w:p>
    <w:p>
      <w:pPr>
        <w:pStyle w:val="Heading2"/>
      </w:pPr>
      <w:r>
        <w:t>2. Kiến trúc mô hình</w:t>
      </w:r>
    </w:p>
    <w:p>
      <w:r>
        <w:t>Cả ba mô hình đều gồm ba phần: backbone trích xuất đặc trưng từ từng khung hình, mô-đun thời gian xử lý chuỗi đặc trưng, và các đầu ra dự đoán giai đoạn cùng dụng cụ khi được bật. Mô hình M1 sử dụng ResNet-50 [7] đã tiền huấn luyện trên ImageNet kết hợp BiLSTM hai lớp với kích thước ẩn 512. Mô hình M2 sử dụng EfficientNet-B3 [8] kết hợp mạng tích chập thời gian hai stage, mỗi stage tám lớp và 64 bộ lọc. Mô hình M3 sử dụng Swin-Tiny [9] kết hợp Transformer thời gian ba lớp, kích thước biểu diễn 384 và sáu attention head. Số tham số ghi nhận tương ứng là 35,7 triệu, khoảng 11,2 triệu và 31,6 triệu.</w:t>
      </w:r>
    </w:p>
    <w:p>
      <w:pPr>
        <w:pStyle w:val="Heading2"/>
      </w:pPr>
      <w:r>
        <w:t>3. Huấn luyện, suy luận và chỉ số đánh giá</w:t>
      </w:r>
    </w:p>
    <w:p>
      <w:r>
        <w:t>Theo mã thực thi hiện tại, hàm mất mát cho giai đoạn là cross-entropy với label smoothing bằng 0,1. Khi bật nhánh dụng cụ, mất mát binary cross-entropy được cộng vào với trọng số 0,5. Việc kiểm tra mã còn cho thấy một hạng tử khuyến khích tính nhất quán thời gian giữa các dự đoán liên tiếp, với trọng số mặc định 0,1. Quá trình tối ưu sử dụng AdamW [10], mixed precision, cắt gradient và lịch learning rate cosine warm restart. Các mô hình chính được huấn luyện theo ba giai đoạn: đóng băng backbone trong 5 epoch đầu và 10 epoch tiếp theo, sau đó fine-tune toàn bộ mạng trong 10 epoch; checkpoint được chọn dựa trên macro-F1 của tập xác thực.</w:t>
      </w:r>
    </w:p>
    <w:p>
      <w:r>
        <w:t>Trong bước kiểm tra, dự đoán giai đoạn được lưu ở dạng thô và dạng đã làm trơn bằng bộ lọc median có cửa sổ 15. Accuracy đo tỷ lệ khung hình dự đoán đúng; macro-F1 tính F1 trung bình đều trên bảy lớp nên phù hợp hơn khi các lớp mất cân bằng; edit score đo mức độ đúng của thứ tự các đoạn giai đoạn và phạt việc chia vụn chuỗi dự đoán. Tất cả quá trình huấn luyện và đánh giá được thực hiện trên một GPU NVIDIA GeForce RTX 2050 laptop.</w:t>
      </w:r>
    </w:p>
    <w:p>
      <w:pPr>
        <w:pStyle w:val="Heading2"/>
      </w:pPr>
      <w:r>
        <w:t>4. Thí nghiệm bổ sung và kiểm soát chất lượng</w:t>
      </w:r>
    </w:p>
    <w:p>
      <w:r>
        <w:t>Một lần chạy thuộc họ M1 bỏ đầu ra dụng cụ nhằm khảo sát tín hiệu giám sát phụ. Ảnh hưởng của làm trơn được đo trực tiếp bằng cách so sánh dự đoán thô và dự đoán làm trơn từ cùng đầu ra M1. Thí nghiệm tăng độ dài chuỗi lên 16 đã được khởi chạy nhưng chưa có kết quả test tại thời điểm chuẩn bị báo cáo ngày 27/05/2026. Ngoài ra, đề tài dự kiến khảo sát trọng số lớp; tuy nhiên, khi rà soát mã nguồn, `Trainer` chưa truyền trọng số lớp từ cấu hình vào `SurgicalLoss`. Vì vậy, lần chạy hiện có không thể được dùng để kết luận về ảnh hưởng của trọng số lớp trước khi sửa mã và chạy lại.</w:t>
      </w:r>
    </w:p>
    <w:p>
      <w:pPr>
        <w:pStyle w:val="Heading1"/>
      </w:pPr>
      <w:r>
        <w:t>IV/ KẾT QUẢ VÀ THẢO LUẬN</w:t>
      </w:r>
    </w:p>
    <w:p>
      <w:pPr>
        <w:pStyle w:val="Heading2"/>
      </w:pPr>
      <w:r>
        <w:t>1. Kết quả</w:t>
      </w:r>
    </w:p>
    <w:p>
      <w:r>
        <w:t>Ba mô hình chính đã được đánh giá trên 20 video kiểm tra giữ riêng (video 61-80). Bảng 1 sử dụng trực tiếp số liệu lưu trong các file kết quả đánh giá. Sau bước làm trơn median, mô hình M3 gồm Swin-Tiny và Transformer thời gian đạt kết quả cao nhất ở cả ba chỉ số, với macro-F1 bằng 0,8153 và accuracy bằng 0,8623.</w:t>
      </w:r>
    </w:p>
    <w:p>
      <w:pPr>
        <w:spacing w:after="100"/>
        <w:ind w:firstLine="0"/>
        <w:jc w:val="center"/>
      </w:pPr>
      <w:r>
        <w:rPr>
          <w:rFonts w:ascii="Times New Roman" w:hAnsi="Times New Roman" w:eastAsia="Times New Roman"/>
          <w:b/>
          <w:sz w:val="22"/>
        </w:rPr>
        <w:t>Bảng 1. Kết quả của ba mô hình chính trên tập kiểm tra.</w:t>
      </w:r>
    </w:p>
    <w:tbl>
      <w:tblPr>
        <w:tblStyle w:val="TableGrid"/>
        <w:tblW w:type="auto" w:w="0"/>
        <w:jc w:val="center"/>
        <w:tblLook w:firstColumn="1" w:firstRow="1" w:lastColumn="0" w:lastRow="0" w:noHBand="0" w:noVBand="1" w:val="04A0"/>
      </w:tblPr>
      <w:tblGrid>
        <w:gridCol w:w="1320"/>
        <w:gridCol w:w="1320"/>
        <w:gridCol w:w="1320"/>
        <w:gridCol w:w="1320"/>
        <w:gridCol w:w="1320"/>
        <w:gridCol w:w="1320"/>
        <w:gridCol w:w="1320"/>
      </w:tblGrid>
      <w:tr>
        <w:tc>
          <w:tcPr>
            <w:tcW w:type="dxa" w:w="2268"/>
            <w:vAlign w:val="center"/>
            <w:shd w:fill="D9EAF7"/>
          </w:tcPr>
          <w:p>
            <w:pPr>
              <w:spacing w:after="0"/>
              <w:jc w:val="center"/>
            </w:pPr>
            <w:r/>
            <w:r>
              <w:rPr>
                <w:rFonts w:ascii="Times New Roman" w:hAnsi="Times New Roman" w:eastAsia="Times New Roman"/>
                <w:b/>
                <w:sz w:val="20"/>
              </w:rPr>
              <w:t>Mô hình</w:t>
            </w:r>
          </w:p>
        </w:tc>
        <w:tc>
          <w:tcPr>
            <w:tcW w:type="dxa" w:w="1134"/>
            <w:vAlign w:val="center"/>
            <w:shd w:fill="D9EAF7"/>
          </w:tcPr>
          <w:p>
            <w:pPr>
              <w:spacing w:after="0"/>
              <w:jc w:val="center"/>
            </w:pPr>
            <w:r/>
            <w:r>
              <w:rPr>
                <w:rFonts w:ascii="Times New Roman" w:hAnsi="Times New Roman" w:eastAsia="Times New Roman"/>
                <w:b/>
                <w:sz w:val="20"/>
              </w:rPr>
              <w:t>Acc. thô</w:t>
            </w:r>
          </w:p>
        </w:tc>
        <w:tc>
          <w:tcPr>
            <w:tcW w:type="dxa" w:w="1417"/>
            <w:vAlign w:val="center"/>
            <w:shd w:fill="D9EAF7"/>
          </w:tcPr>
          <w:p>
            <w:pPr>
              <w:spacing w:after="0"/>
              <w:jc w:val="center"/>
            </w:pPr>
            <w:r/>
            <w:r>
              <w:rPr>
                <w:rFonts w:ascii="Times New Roman" w:hAnsi="Times New Roman" w:eastAsia="Times New Roman"/>
                <w:b/>
                <w:sz w:val="20"/>
              </w:rPr>
              <w:t>Macro-F1 thô</w:t>
            </w:r>
          </w:p>
        </w:tc>
        <w:tc>
          <w:tcPr>
            <w:tcW w:type="dxa" w:w="1134"/>
            <w:vAlign w:val="center"/>
            <w:shd w:fill="D9EAF7"/>
          </w:tcPr>
          <w:p>
            <w:pPr>
              <w:spacing w:after="0"/>
              <w:jc w:val="center"/>
            </w:pPr>
            <w:r/>
            <w:r>
              <w:rPr>
                <w:rFonts w:ascii="Times New Roman" w:hAnsi="Times New Roman" w:eastAsia="Times New Roman"/>
                <w:b/>
                <w:sz w:val="20"/>
              </w:rPr>
              <w:t>Edit thô</w:t>
            </w:r>
          </w:p>
        </w:tc>
        <w:tc>
          <w:tcPr>
            <w:tcW w:type="dxa" w:w="1247"/>
            <w:vAlign w:val="center"/>
            <w:shd w:fill="D9EAF7"/>
          </w:tcPr>
          <w:p>
            <w:pPr>
              <w:spacing w:after="0"/>
              <w:jc w:val="center"/>
            </w:pPr>
            <w:r/>
            <w:r>
              <w:rPr>
                <w:rFonts w:ascii="Times New Roman" w:hAnsi="Times New Roman" w:eastAsia="Times New Roman"/>
                <w:b/>
                <w:sz w:val="20"/>
              </w:rPr>
              <w:t>Acc. làm trơn</w:t>
            </w:r>
          </w:p>
        </w:tc>
        <w:tc>
          <w:tcPr>
            <w:tcW w:type="dxa" w:w="1587"/>
            <w:vAlign w:val="center"/>
            <w:shd w:fill="D9EAF7"/>
          </w:tcPr>
          <w:p>
            <w:pPr>
              <w:spacing w:after="0"/>
              <w:jc w:val="center"/>
            </w:pPr>
            <w:r/>
            <w:r>
              <w:rPr>
                <w:rFonts w:ascii="Times New Roman" w:hAnsi="Times New Roman" w:eastAsia="Times New Roman"/>
                <w:b/>
                <w:sz w:val="20"/>
              </w:rPr>
              <w:t>Macro-F1 làm trơn</w:t>
            </w:r>
          </w:p>
        </w:tc>
        <w:tc>
          <w:tcPr>
            <w:tcW w:type="dxa" w:w="1247"/>
            <w:vAlign w:val="center"/>
            <w:shd w:fill="D9EAF7"/>
          </w:tcPr>
          <w:p>
            <w:pPr>
              <w:spacing w:after="0"/>
              <w:jc w:val="center"/>
            </w:pPr>
            <w:r/>
            <w:r>
              <w:rPr>
                <w:rFonts w:ascii="Times New Roman" w:hAnsi="Times New Roman" w:eastAsia="Times New Roman"/>
                <w:b/>
                <w:sz w:val="20"/>
              </w:rPr>
              <w:t>Edit làm trơn</w:t>
            </w:r>
          </w:p>
        </w:tc>
      </w:tr>
      <w:tr>
        <w:tc>
          <w:tcPr>
            <w:tcW w:type="dxa" w:w="2268"/>
            <w:vAlign w:val="center"/>
          </w:tcPr>
          <w:p>
            <w:pPr>
              <w:spacing w:after="0"/>
              <w:jc w:val="center"/>
            </w:pPr>
            <w:r/>
            <w:r>
              <w:rPr>
                <w:rFonts w:ascii="Times New Roman" w:hAnsi="Times New Roman" w:eastAsia="Times New Roman"/>
                <w:b w:val="0"/>
                <w:sz w:val="20"/>
              </w:rPr>
              <w:t>M1 ResNet-50 + BiLSTM</w:t>
            </w:r>
          </w:p>
        </w:tc>
        <w:tc>
          <w:tcPr>
            <w:tcW w:type="dxa" w:w="1134"/>
            <w:vAlign w:val="center"/>
          </w:tcPr>
          <w:p>
            <w:pPr>
              <w:spacing w:after="0"/>
              <w:jc w:val="center"/>
            </w:pPr>
            <w:r/>
            <w:r>
              <w:rPr>
                <w:rFonts w:ascii="Times New Roman" w:hAnsi="Times New Roman" w:eastAsia="Times New Roman"/>
                <w:b w:val="0"/>
                <w:sz w:val="20"/>
              </w:rPr>
              <w:t>0,8319</w:t>
            </w:r>
          </w:p>
        </w:tc>
        <w:tc>
          <w:tcPr>
            <w:tcW w:type="dxa" w:w="1417"/>
            <w:vAlign w:val="center"/>
          </w:tcPr>
          <w:p>
            <w:pPr>
              <w:spacing w:after="0"/>
              <w:jc w:val="center"/>
            </w:pPr>
            <w:r/>
            <w:r>
              <w:rPr>
                <w:rFonts w:ascii="Times New Roman" w:hAnsi="Times New Roman" w:eastAsia="Times New Roman"/>
                <w:b w:val="0"/>
                <w:sz w:val="20"/>
              </w:rPr>
              <w:t>0,7748</w:t>
            </w:r>
          </w:p>
        </w:tc>
        <w:tc>
          <w:tcPr>
            <w:tcW w:type="dxa" w:w="1134"/>
            <w:vAlign w:val="center"/>
          </w:tcPr>
          <w:p>
            <w:pPr>
              <w:spacing w:after="0"/>
              <w:jc w:val="center"/>
            </w:pPr>
            <w:r/>
            <w:r>
              <w:rPr>
                <w:rFonts w:ascii="Times New Roman" w:hAnsi="Times New Roman" w:eastAsia="Times New Roman"/>
                <w:b w:val="0"/>
                <w:sz w:val="20"/>
              </w:rPr>
              <w:t>0,1123</w:t>
            </w:r>
          </w:p>
        </w:tc>
        <w:tc>
          <w:tcPr>
            <w:tcW w:type="dxa" w:w="1247"/>
            <w:vAlign w:val="center"/>
          </w:tcPr>
          <w:p>
            <w:pPr>
              <w:spacing w:after="0"/>
              <w:jc w:val="center"/>
            </w:pPr>
            <w:r/>
            <w:r>
              <w:rPr>
                <w:rFonts w:ascii="Times New Roman" w:hAnsi="Times New Roman" w:eastAsia="Times New Roman"/>
                <w:b w:val="0"/>
                <w:sz w:val="20"/>
              </w:rPr>
              <w:t>0,8369</w:t>
            </w:r>
          </w:p>
        </w:tc>
        <w:tc>
          <w:tcPr>
            <w:tcW w:type="dxa" w:w="1587"/>
            <w:vAlign w:val="center"/>
          </w:tcPr>
          <w:p>
            <w:pPr>
              <w:spacing w:after="0"/>
              <w:jc w:val="center"/>
            </w:pPr>
            <w:r/>
            <w:r>
              <w:rPr>
                <w:rFonts w:ascii="Times New Roman" w:hAnsi="Times New Roman" w:eastAsia="Times New Roman"/>
                <w:b w:val="0"/>
                <w:sz w:val="20"/>
              </w:rPr>
              <w:t>0,7811</w:t>
            </w:r>
          </w:p>
        </w:tc>
        <w:tc>
          <w:tcPr>
            <w:tcW w:type="dxa" w:w="1247"/>
            <w:vAlign w:val="center"/>
          </w:tcPr>
          <w:p>
            <w:pPr>
              <w:spacing w:after="0"/>
              <w:jc w:val="center"/>
            </w:pPr>
            <w:r/>
            <w:r>
              <w:rPr>
                <w:rFonts w:ascii="Times New Roman" w:hAnsi="Times New Roman" w:eastAsia="Times New Roman"/>
                <w:b w:val="0"/>
                <w:sz w:val="20"/>
              </w:rPr>
              <w:t>0,1520</w:t>
            </w:r>
          </w:p>
        </w:tc>
      </w:tr>
      <w:tr>
        <w:tc>
          <w:tcPr>
            <w:tcW w:type="dxa" w:w="2268"/>
            <w:vAlign w:val="center"/>
          </w:tcPr>
          <w:p>
            <w:pPr>
              <w:spacing w:after="0"/>
              <w:jc w:val="center"/>
            </w:pPr>
            <w:r/>
            <w:r>
              <w:rPr>
                <w:rFonts w:ascii="Times New Roman" w:hAnsi="Times New Roman" w:eastAsia="Times New Roman"/>
                <w:b w:val="0"/>
                <w:sz w:val="20"/>
              </w:rPr>
              <w:t>M2 EfficientNet-B3 + TCN</w:t>
            </w:r>
          </w:p>
        </w:tc>
        <w:tc>
          <w:tcPr>
            <w:tcW w:type="dxa" w:w="1134"/>
            <w:vAlign w:val="center"/>
          </w:tcPr>
          <w:p>
            <w:pPr>
              <w:spacing w:after="0"/>
              <w:jc w:val="center"/>
            </w:pPr>
            <w:r/>
            <w:r>
              <w:rPr>
                <w:rFonts w:ascii="Times New Roman" w:hAnsi="Times New Roman" w:eastAsia="Times New Roman"/>
                <w:b w:val="0"/>
                <w:sz w:val="20"/>
              </w:rPr>
              <w:t>0,8182</w:t>
            </w:r>
          </w:p>
        </w:tc>
        <w:tc>
          <w:tcPr>
            <w:tcW w:type="dxa" w:w="1417"/>
            <w:vAlign w:val="center"/>
          </w:tcPr>
          <w:p>
            <w:pPr>
              <w:spacing w:after="0"/>
              <w:jc w:val="center"/>
            </w:pPr>
            <w:r/>
            <w:r>
              <w:rPr>
                <w:rFonts w:ascii="Times New Roman" w:hAnsi="Times New Roman" w:eastAsia="Times New Roman"/>
                <w:b w:val="0"/>
                <w:sz w:val="20"/>
              </w:rPr>
              <w:t>0,7394</w:t>
            </w:r>
          </w:p>
        </w:tc>
        <w:tc>
          <w:tcPr>
            <w:tcW w:type="dxa" w:w="1134"/>
            <w:vAlign w:val="center"/>
          </w:tcPr>
          <w:p>
            <w:pPr>
              <w:spacing w:after="0"/>
              <w:jc w:val="center"/>
            </w:pPr>
            <w:r/>
            <w:r>
              <w:rPr>
                <w:rFonts w:ascii="Times New Roman" w:hAnsi="Times New Roman" w:eastAsia="Times New Roman"/>
                <w:b w:val="0"/>
                <w:sz w:val="20"/>
              </w:rPr>
              <w:t>0,1010</w:t>
            </w:r>
          </w:p>
        </w:tc>
        <w:tc>
          <w:tcPr>
            <w:tcW w:type="dxa" w:w="1247"/>
            <w:vAlign w:val="center"/>
          </w:tcPr>
          <w:p>
            <w:pPr>
              <w:spacing w:after="0"/>
              <w:jc w:val="center"/>
            </w:pPr>
            <w:r/>
            <w:r>
              <w:rPr>
                <w:rFonts w:ascii="Times New Roman" w:hAnsi="Times New Roman" w:eastAsia="Times New Roman"/>
                <w:b w:val="0"/>
                <w:sz w:val="20"/>
              </w:rPr>
              <w:t>0,8237</w:t>
            </w:r>
          </w:p>
        </w:tc>
        <w:tc>
          <w:tcPr>
            <w:tcW w:type="dxa" w:w="1587"/>
            <w:vAlign w:val="center"/>
          </w:tcPr>
          <w:p>
            <w:pPr>
              <w:spacing w:after="0"/>
              <w:jc w:val="center"/>
            </w:pPr>
            <w:r/>
            <w:r>
              <w:rPr>
                <w:rFonts w:ascii="Times New Roman" w:hAnsi="Times New Roman" w:eastAsia="Times New Roman"/>
                <w:b w:val="0"/>
                <w:sz w:val="20"/>
              </w:rPr>
              <w:t>0,7482</w:t>
            </w:r>
          </w:p>
        </w:tc>
        <w:tc>
          <w:tcPr>
            <w:tcW w:type="dxa" w:w="1247"/>
            <w:vAlign w:val="center"/>
          </w:tcPr>
          <w:p>
            <w:pPr>
              <w:spacing w:after="0"/>
              <w:jc w:val="center"/>
            </w:pPr>
            <w:r/>
            <w:r>
              <w:rPr>
                <w:rFonts w:ascii="Times New Roman" w:hAnsi="Times New Roman" w:eastAsia="Times New Roman"/>
                <w:b w:val="0"/>
                <w:sz w:val="20"/>
              </w:rPr>
              <w:t>0,1406</w:t>
            </w:r>
          </w:p>
        </w:tc>
      </w:tr>
      <w:tr>
        <w:tc>
          <w:tcPr>
            <w:tcW w:type="dxa" w:w="2268"/>
            <w:vAlign w:val="center"/>
          </w:tcPr>
          <w:p>
            <w:pPr>
              <w:spacing w:after="0"/>
              <w:jc w:val="center"/>
            </w:pPr>
            <w:r/>
            <w:r>
              <w:rPr>
                <w:rFonts w:ascii="Times New Roman" w:hAnsi="Times New Roman" w:eastAsia="Times New Roman"/>
                <w:b w:val="0"/>
                <w:sz w:val="20"/>
              </w:rPr>
              <w:t>M3 Swin-Tiny + Transformer</w:t>
            </w:r>
          </w:p>
        </w:tc>
        <w:tc>
          <w:tcPr>
            <w:tcW w:type="dxa" w:w="1134"/>
            <w:vAlign w:val="center"/>
          </w:tcPr>
          <w:p>
            <w:pPr>
              <w:spacing w:after="0"/>
              <w:jc w:val="center"/>
            </w:pPr>
            <w:r/>
            <w:r>
              <w:rPr>
                <w:rFonts w:ascii="Times New Roman" w:hAnsi="Times New Roman" w:eastAsia="Times New Roman"/>
                <w:b w:val="0"/>
                <w:sz w:val="20"/>
              </w:rPr>
              <w:t>0,8573</w:t>
            </w:r>
          </w:p>
        </w:tc>
        <w:tc>
          <w:tcPr>
            <w:tcW w:type="dxa" w:w="1417"/>
            <w:vAlign w:val="center"/>
          </w:tcPr>
          <w:p>
            <w:pPr>
              <w:spacing w:after="0"/>
              <w:jc w:val="center"/>
            </w:pPr>
            <w:r/>
            <w:r>
              <w:rPr>
                <w:rFonts w:ascii="Times New Roman" w:hAnsi="Times New Roman" w:eastAsia="Times New Roman"/>
                <w:b w:val="0"/>
                <w:sz w:val="20"/>
              </w:rPr>
              <w:t>0,8065</w:t>
            </w:r>
          </w:p>
        </w:tc>
        <w:tc>
          <w:tcPr>
            <w:tcW w:type="dxa" w:w="1134"/>
            <w:vAlign w:val="center"/>
          </w:tcPr>
          <w:p>
            <w:pPr>
              <w:spacing w:after="0"/>
              <w:jc w:val="center"/>
            </w:pPr>
            <w:r/>
            <w:r>
              <w:rPr>
                <w:rFonts w:ascii="Times New Roman" w:hAnsi="Times New Roman" w:eastAsia="Times New Roman"/>
                <w:b w:val="0"/>
                <w:sz w:val="20"/>
              </w:rPr>
              <w:t>0,1393</w:t>
            </w:r>
          </w:p>
        </w:tc>
        <w:tc>
          <w:tcPr>
            <w:tcW w:type="dxa" w:w="1247"/>
            <w:vAlign w:val="center"/>
          </w:tcPr>
          <w:p>
            <w:pPr>
              <w:spacing w:after="0"/>
              <w:jc w:val="center"/>
            </w:pPr>
            <w:r/>
            <w:r>
              <w:rPr>
                <w:rFonts w:ascii="Times New Roman" w:hAnsi="Times New Roman" w:eastAsia="Times New Roman"/>
                <w:b w:val="0"/>
                <w:sz w:val="20"/>
              </w:rPr>
              <w:t>0,8623</w:t>
            </w:r>
          </w:p>
        </w:tc>
        <w:tc>
          <w:tcPr>
            <w:tcW w:type="dxa" w:w="1587"/>
            <w:vAlign w:val="center"/>
          </w:tcPr>
          <w:p>
            <w:pPr>
              <w:spacing w:after="0"/>
              <w:jc w:val="center"/>
            </w:pPr>
            <w:r/>
            <w:r>
              <w:rPr>
                <w:rFonts w:ascii="Times New Roman" w:hAnsi="Times New Roman" w:eastAsia="Times New Roman"/>
                <w:b w:val="0"/>
                <w:sz w:val="20"/>
              </w:rPr>
              <w:t>0,8153</w:t>
            </w:r>
          </w:p>
        </w:tc>
        <w:tc>
          <w:tcPr>
            <w:tcW w:type="dxa" w:w="1247"/>
            <w:vAlign w:val="center"/>
          </w:tcPr>
          <w:p>
            <w:pPr>
              <w:spacing w:after="0"/>
              <w:jc w:val="center"/>
            </w:pPr>
            <w:r/>
            <w:r>
              <w:rPr>
                <w:rFonts w:ascii="Times New Roman" w:hAnsi="Times New Roman" w:eastAsia="Times New Roman"/>
                <w:b w:val="0"/>
                <w:sz w:val="20"/>
              </w:rPr>
              <w:t>0,2006</w:t>
            </w:r>
          </w:p>
        </w:tc>
      </w:tr>
    </w:tbl>
    <w:p/>
    <w:p>
      <w:r>
        <w:t>Với M3, F1 sau làm trơn của từng giai đoạn lần lượt là: Preparation 0,825; Calot Triangle Dissection 0,890; Clipping and Cutting 0,814; Gallbladder Dissection 0,880; Gallbladder Packaging 0,825; Cleaning and Coagulation 0,712; và Gallbladder Retraction 0,760. Cleaning and Coagulation là lớp khó nhất trong kết quả này, cho thấy các khoảng làm sạch/cầm máu ngắn nằm gần giai đoạn bóc tách vẫn dễ bị nhầm.</w:t>
      </w:r>
    </w:p>
    <w:p>
      <w:pPr>
        <w:spacing w:after="100"/>
        <w:ind w:firstLine="0"/>
        <w:jc w:val="center"/>
      </w:pPr>
      <w:r>
        <w:rPr>
          <w:rFonts w:ascii="Times New Roman" w:hAnsi="Times New Roman" w:eastAsia="Times New Roman"/>
          <w:b/>
          <w:sz w:val="22"/>
        </w:rPr>
        <w:t>Bảng 2. Các phân tích bổ sung đã có tại thời điểm soạn báo cáo.</w:t>
      </w:r>
    </w:p>
    <w:tbl>
      <w:tblPr>
        <w:tblStyle w:val="TableGrid"/>
        <w:tblW w:type="auto" w:w="0"/>
        <w:jc w:val="center"/>
        <w:tblLook w:firstColumn="1" w:firstRow="1" w:lastColumn="0" w:lastRow="0" w:noHBand="0" w:noVBand="1" w:val="04A0"/>
      </w:tblPr>
      <w:tblGrid>
        <w:gridCol w:w="3081"/>
        <w:gridCol w:w="3081"/>
        <w:gridCol w:w="3081"/>
      </w:tblGrid>
      <w:tr>
        <w:tc>
          <w:tcPr>
            <w:tcW w:type="dxa" w:w="2948"/>
            <w:vAlign w:val="center"/>
            <w:shd w:fill="D9EAF7"/>
          </w:tcPr>
          <w:p>
            <w:pPr>
              <w:spacing w:after="0"/>
              <w:jc w:val="center"/>
            </w:pPr>
            <w:r/>
            <w:r>
              <w:rPr>
                <w:rFonts w:ascii="Times New Roman" w:hAnsi="Times New Roman" w:eastAsia="Times New Roman"/>
                <w:b/>
                <w:sz w:val="20"/>
              </w:rPr>
              <w:t>Thí nghiệm</w:t>
            </w:r>
          </w:p>
        </w:tc>
        <w:tc>
          <w:tcPr>
            <w:tcW w:type="dxa" w:w="1701"/>
            <w:vAlign w:val="center"/>
            <w:shd w:fill="D9EAF7"/>
          </w:tcPr>
          <w:p>
            <w:pPr>
              <w:spacing w:after="0"/>
              <w:jc w:val="center"/>
            </w:pPr>
            <w:r/>
            <w:r>
              <w:rPr>
                <w:rFonts w:ascii="Times New Roman" w:hAnsi="Times New Roman" w:eastAsia="Times New Roman"/>
                <w:b/>
                <w:sz w:val="20"/>
              </w:rPr>
              <w:t>Macro-F1 làm trơn</w:t>
            </w:r>
          </w:p>
        </w:tc>
        <w:tc>
          <w:tcPr>
            <w:tcW w:type="dxa" w:w="4706"/>
            <w:vAlign w:val="center"/>
            <w:shd w:fill="D9EAF7"/>
          </w:tcPr>
          <w:p>
            <w:pPr>
              <w:spacing w:after="0"/>
              <w:jc w:val="center"/>
            </w:pPr>
            <w:r/>
            <w:r>
              <w:rPr>
                <w:rFonts w:ascii="Times New Roman" w:hAnsi="Times New Roman" w:eastAsia="Times New Roman"/>
                <w:b/>
                <w:sz w:val="20"/>
              </w:rPr>
              <w:t>Trạng thái diễn giải</w:t>
            </w:r>
          </w:p>
        </w:tc>
      </w:tr>
      <w:tr>
        <w:tc>
          <w:tcPr>
            <w:tcW w:type="dxa" w:w="2948"/>
            <w:vAlign w:val="center"/>
          </w:tcPr>
          <w:p>
            <w:pPr>
              <w:spacing w:after="0"/>
              <w:jc w:val="center"/>
            </w:pPr>
            <w:r/>
            <w:r>
              <w:rPr>
                <w:rFonts w:ascii="Times New Roman" w:hAnsi="Times New Roman" w:eastAsia="Times New Roman"/>
                <w:b w:val="0"/>
                <w:sz w:val="20"/>
              </w:rPr>
              <w:t>Đầu ra chính M1</w:t>
            </w:r>
          </w:p>
        </w:tc>
        <w:tc>
          <w:tcPr>
            <w:tcW w:type="dxa" w:w="1701"/>
            <w:vAlign w:val="center"/>
          </w:tcPr>
          <w:p>
            <w:pPr>
              <w:spacing w:after="0"/>
              <w:jc w:val="center"/>
            </w:pPr>
            <w:r/>
            <w:r>
              <w:rPr>
                <w:rFonts w:ascii="Times New Roman" w:hAnsi="Times New Roman" w:eastAsia="Times New Roman"/>
                <w:b w:val="0"/>
                <w:sz w:val="20"/>
              </w:rPr>
              <w:t>0,7811</w:t>
            </w:r>
          </w:p>
        </w:tc>
        <w:tc>
          <w:tcPr>
            <w:tcW w:type="dxa" w:w="4706"/>
            <w:vAlign w:val="center"/>
          </w:tcPr>
          <w:p>
            <w:pPr>
              <w:spacing w:after="0"/>
              <w:jc w:val="center"/>
            </w:pPr>
            <w:r/>
            <w:r>
              <w:rPr>
                <w:rFonts w:ascii="Times New Roman" w:hAnsi="Times New Roman" w:eastAsia="Times New Roman"/>
                <w:b w:val="0"/>
                <w:sz w:val="20"/>
              </w:rPr>
              <w:t>Mốc tham chiếu</w:t>
            </w:r>
          </w:p>
        </w:tc>
      </w:tr>
      <w:tr>
        <w:tc>
          <w:tcPr>
            <w:tcW w:type="dxa" w:w="2948"/>
            <w:vAlign w:val="center"/>
          </w:tcPr>
          <w:p>
            <w:pPr>
              <w:spacing w:after="0"/>
              <w:jc w:val="center"/>
            </w:pPr>
            <w:r/>
            <w:r>
              <w:rPr>
                <w:rFonts w:ascii="Times New Roman" w:hAnsi="Times New Roman" w:eastAsia="Times New Roman"/>
                <w:b w:val="0"/>
                <w:sz w:val="20"/>
              </w:rPr>
              <w:t>M1 không dự đoán dụng cụ</w:t>
            </w:r>
          </w:p>
        </w:tc>
        <w:tc>
          <w:tcPr>
            <w:tcW w:type="dxa" w:w="1701"/>
            <w:vAlign w:val="center"/>
          </w:tcPr>
          <w:p>
            <w:pPr>
              <w:spacing w:after="0"/>
              <w:jc w:val="center"/>
            </w:pPr>
            <w:r/>
            <w:r>
              <w:rPr>
                <w:rFonts w:ascii="Times New Roman" w:hAnsi="Times New Roman" w:eastAsia="Times New Roman"/>
                <w:b w:val="0"/>
                <w:sz w:val="20"/>
              </w:rPr>
              <w:t>0,7651</w:t>
            </w:r>
          </w:p>
        </w:tc>
        <w:tc>
          <w:tcPr>
            <w:tcW w:type="dxa" w:w="4706"/>
            <w:vAlign w:val="center"/>
          </w:tcPr>
          <w:p>
            <w:pPr>
              <w:spacing w:after="0"/>
              <w:jc w:val="center"/>
            </w:pPr>
            <w:r/>
            <w:r>
              <w:rPr>
                <w:rFonts w:ascii="Times New Roman" w:hAnsi="Times New Roman" w:eastAsia="Times New Roman"/>
                <w:b w:val="0"/>
                <w:sz w:val="20"/>
              </w:rPr>
              <w:t>Gợi ý ban đầu; lịch train ngắn hơn</w:t>
            </w:r>
          </w:p>
        </w:tc>
      </w:tr>
      <w:tr>
        <w:tc>
          <w:tcPr>
            <w:tcW w:type="dxa" w:w="2948"/>
            <w:vAlign w:val="center"/>
          </w:tcPr>
          <w:p>
            <w:pPr>
              <w:spacing w:after="0"/>
              <w:jc w:val="center"/>
            </w:pPr>
            <w:r/>
            <w:r>
              <w:rPr>
                <w:rFonts w:ascii="Times New Roman" w:hAnsi="Times New Roman" w:eastAsia="Times New Roman"/>
                <w:b w:val="0"/>
                <w:sz w:val="20"/>
              </w:rPr>
              <w:t>M1 không làm trơn (raw)</w:t>
            </w:r>
          </w:p>
        </w:tc>
        <w:tc>
          <w:tcPr>
            <w:tcW w:type="dxa" w:w="1701"/>
            <w:vAlign w:val="center"/>
          </w:tcPr>
          <w:p>
            <w:pPr>
              <w:spacing w:after="0"/>
              <w:jc w:val="center"/>
            </w:pPr>
            <w:r/>
            <w:r>
              <w:rPr>
                <w:rFonts w:ascii="Times New Roman" w:hAnsi="Times New Roman" w:eastAsia="Times New Roman"/>
                <w:b w:val="0"/>
                <w:sz w:val="20"/>
              </w:rPr>
              <w:t>0,7748</w:t>
            </w:r>
          </w:p>
        </w:tc>
        <w:tc>
          <w:tcPr>
            <w:tcW w:type="dxa" w:w="4706"/>
            <w:vAlign w:val="center"/>
          </w:tcPr>
          <w:p>
            <w:pPr>
              <w:spacing w:after="0"/>
              <w:jc w:val="center"/>
            </w:pPr>
            <w:r/>
            <w:r>
              <w:rPr>
                <w:rFonts w:ascii="Times New Roman" w:hAnsi="Times New Roman" w:eastAsia="Times New Roman"/>
                <w:b w:val="0"/>
                <w:sz w:val="20"/>
              </w:rPr>
              <w:t>So sánh trực tiếp; edit score 0,1123</w:t>
            </w:r>
          </w:p>
        </w:tc>
      </w:tr>
      <w:tr>
        <w:tc>
          <w:tcPr>
            <w:tcW w:type="dxa" w:w="2948"/>
            <w:vAlign w:val="center"/>
          </w:tcPr>
          <w:p>
            <w:pPr>
              <w:spacing w:after="0"/>
              <w:jc w:val="center"/>
            </w:pPr>
            <w:r/>
            <w:r>
              <w:rPr>
                <w:rFonts w:ascii="Times New Roman" w:hAnsi="Times New Roman" w:eastAsia="Times New Roman"/>
                <w:b w:val="0"/>
                <w:sz w:val="20"/>
              </w:rPr>
              <w:t>M1 có làm trơn</w:t>
            </w:r>
          </w:p>
        </w:tc>
        <w:tc>
          <w:tcPr>
            <w:tcW w:type="dxa" w:w="1701"/>
            <w:vAlign w:val="center"/>
          </w:tcPr>
          <w:p>
            <w:pPr>
              <w:spacing w:after="0"/>
              <w:jc w:val="center"/>
            </w:pPr>
            <w:r/>
            <w:r>
              <w:rPr>
                <w:rFonts w:ascii="Times New Roman" w:hAnsi="Times New Roman" w:eastAsia="Times New Roman"/>
                <w:b w:val="0"/>
                <w:sz w:val="20"/>
              </w:rPr>
              <w:t>0,7811</w:t>
            </w:r>
          </w:p>
        </w:tc>
        <w:tc>
          <w:tcPr>
            <w:tcW w:type="dxa" w:w="4706"/>
            <w:vAlign w:val="center"/>
          </w:tcPr>
          <w:p>
            <w:pPr>
              <w:spacing w:after="0"/>
              <w:jc w:val="center"/>
            </w:pPr>
            <w:r/>
            <w:r>
              <w:rPr>
                <w:rFonts w:ascii="Times New Roman" w:hAnsi="Times New Roman" w:eastAsia="Times New Roman"/>
                <w:b w:val="0"/>
                <w:sz w:val="20"/>
              </w:rPr>
              <w:t>So sánh trực tiếp; edit score 0,1520</w:t>
            </w:r>
          </w:p>
        </w:tc>
      </w:tr>
      <w:tr>
        <w:tc>
          <w:tcPr>
            <w:tcW w:type="dxa" w:w="2948"/>
            <w:vAlign w:val="center"/>
          </w:tcPr>
          <w:p>
            <w:pPr>
              <w:spacing w:after="0"/>
              <w:jc w:val="center"/>
            </w:pPr>
            <w:r/>
            <w:r>
              <w:rPr>
                <w:rFonts w:ascii="Times New Roman" w:hAnsi="Times New Roman" w:eastAsia="Times New Roman"/>
                <w:b w:val="0"/>
                <w:sz w:val="20"/>
              </w:rPr>
              <w:t>Không dùng trọng số lớp</w:t>
            </w:r>
          </w:p>
        </w:tc>
        <w:tc>
          <w:tcPr>
            <w:tcW w:type="dxa" w:w="1701"/>
            <w:vAlign w:val="center"/>
          </w:tcPr>
          <w:p>
            <w:pPr>
              <w:spacing w:after="0"/>
              <w:jc w:val="center"/>
            </w:pPr>
            <w:r/>
            <w:r>
              <w:rPr>
                <w:rFonts w:ascii="Times New Roman" w:hAnsi="Times New Roman" w:eastAsia="Times New Roman"/>
                <w:b w:val="0"/>
                <w:sz w:val="20"/>
              </w:rPr>
              <w:t>0,7613</w:t>
            </w:r>
          </w:p>
        </w:tc>
        <w:tc>
          <w:tcPr>
            <w:tcW w:type="dxa" w:w="4706"/>
            <w:vAlign w:val="center"/>
          </w:tcPr>
          <w:p>
            <w:pPr>
              <w:spacing w:after="0"/>
              <w:jc w:val="center"/>
            </w:pPr>
            <w:r/>
            <w:r>
              <w:rPr>
                <w:rFonts w:ascii="Times New Roman" w:hAnsi="Times New Roman" w:eastAsia="Times New Roman"/>
                <w:b w:val="0"/>
                <w:sz w:val="20"/>
              </w:rPr>
              <w:t>Chưa kết luận: trọng số chưa nối vào loss</w:t>
            </w:r>
          </w:p>
        </w:tc>
      </w:tr>
      <w:tr>
        <w:tc>
          <w:tcPr>
            <w:tcW w:type="dxa" w:w="2948"/>
            <w:vAlign w:val="center"/>
          </w:tcPr>
          <w:p>
            <w:pPr>
              <w:spacing w:after="0"/>
              <w:jc w:val="center"/>
            </w:pPr>
            <w:r/>
            <w:r>
              <w:rPr>
                <w:rFonts w:ascii="Times New Roman" w:hAnsi="Times New Roman" w:eastAsia="Times New Roman"/>
                <w:b w:val="0"/>
                <w:sz w:val="20"/>
              </w:rPr>
              <w:t>Chuỗi 16 khung hình</w:t>
            </w:r>
          </w:p>
        </w:tc>
        <w:tc>
          <w:tcPr>
            <w:tcW w:type="dxa" w:w="1701"/>
            <w:vAlign w:val="center"/>
          </w:tcPr>
          <w:p>
            <w:pPr>
              <w:spacing w:after="0"/>
              <w:jc w:val="center"/>
            </w:pPr>
            <w:r/>
            <w:r>
              <w:rPr>
                <w:rFonts w:ascii="Times New Roman" w:hAnsi="Times New Roman" w:eastAsia="Times New Roman"/>
                <w:b w:val="0"/>
                <w:sz w:val="20"/>
              </w:rPr>
              <w:t>Chưa có</w:t>
            </w:r>
          </w:p>
        </w:tc>
        <w:tc>
          <w:tcPr>
            <w:tcW w:type="dxa" w:w="4706"/>
            <w:vAlign w:val="center"/>
          </w:tcPr>
          <w:p>
            <w:pPr>
              <w:spacing w:after="0"/>
              <w:jc w:val="center"/>
            </w:pPr>
            <w:r/>
            <w:r>
              <w:rPr>
                <w:rFonts w:ascii="Times New Roman" w:hAnsi="Times New Roman" w:eastAsia="Times New Roman"/>
                <w:b w:val="0"/>
                <w:sz w:val="20"/>
              </w:rPr>
              <w:t>Đang chờ hoàn tất đánh giá</w:t>
            </w:r>
          </w:p>
        </w:tc>
      </w:tr>
    </w:tbl>
    <w:p/>
    <w:p>
      <w:r>
        <w:t>Trong kết quả ensemble bổ sung, phép trung bình softmax có trọng số theo F1 của tập xác thực, sau đó làm trơn, đạt accuracy 0,8635, macro-F1 0,8094 và edit score 0,1888. Kết quả này cho thấy pipeline có thể thực hiện kết hợp mô hình. Tuy nhiên, kết luận chính thận trọng nhất vẫn là thứ hạng ba mô hình đánh giá riêng ở Bảng 1.</w:t>
      </w:r>
    </w:p>
    <w:p>
      <w:pPr>
        <w:pStyle w:val="Heading2"/>
      </w:pPr>
      <w:r>
        <w:t>2. Thảo luận</w:t>
      </w:r>
    </w:p>
    <w:p>
      <w:r>
        <w:t>Trong điều kiện cài đặt của đề tài, mô hình sử dụng attention theo thời gian đạt kết quả tốt nhất. Macro-F1 sau làm trơn của M3 cao hơn M1 là 0,0342 và cao hơn M2 là 0,0670. Quan sát này phù hợp với hướng nghiên cứu Transformer trong nhận diện quy trình phẫu thuật, tiêu biểu như Trans-SVNet [6]. Tuy nhiên, đây là bằng chứng trên một bộ dữ liệu và một giới hạn phần cứng cụ thể, không phải kết luận rằng Transformer luôn tốt hơn mọi kiến trúc khác.</w:t>
      </w:r>
    </w:p>
    <w:p>
      <w:r>
        <w:t>Làm trơn theo thời gian là phân tích đáng tin cậy nhất trong nhóm thử nghiệm bổ sung vì hai kết quả được tạo từ cùng một mô hình và cùng tập dự đoán. Bộ lọc median làm macro-F1 của M1 tăng từ 0,7748 lên 0,7811, đồng thời làm edit score tăng rõ hơn, từ 0,1123 lên 0,1520. Điều này hợp lý vì một dự đoán sai đơn lẻ ít ảnh hưởng đến accuracy nhưng lại tạo thêm một đoạn giai đoạn không hợp lý. Dù vậy, bộ lọc median sử dụng ngữ cảnh lân cận nên nếu phát triển hệ thống thời gian thực, cần thay bằng phương pháp nhân quả phù hợp hơn.</w:t>
      </w:r>
    </w:p>
    <w:p>
      <w:r>
        <w:t>Kết quả bỏ nhánh dụng cụ gợi ý rằng nhãn dụng cụ có thể hỗ trợ nhận diện giai đoạn, nhưng lần chạy này dùng lịch huấn luyện ngắn hơn mô hình M1 chính; vì vậy chưa nên quy toàn bộ chênh lệch cho học đa nhiệm. Quan trọng hơn, rà soát triển khai đã phát hiện thí nghiệm trọng số lớp hiện chưa hợp lệ: cấu hình có trường `class_weights`, nhưng đối tượng loss trong quá trình train chưa nhận giá trị đó. Việc nêu rõ lỗi này giúp tránh báo cáo một kết luận không được dữ liệu thực sự hỗ trợ, đồng thời đặt ra bước sửa mã và thực nghiệm lại rất cụ thể.</w:t>
      </w:r>
    </w:p>
    <w:p>
      <w:r>
        <w:t>Nghiên cứu còn một số giới hạn. Kết quả mới được kiểm tra trên một loại phẫu thuật và một bộ dữ liệu công khai, nên chưa thể khẳng định khả năng tổng quát hóa tới bệnh viện hoặc quy trình khác. Tốc độ lấy mẫu một ảnh mỗi giây và chuỗi chính chỉ gồm tám ảnh có thể bỏ qua các thao tác ngắn. Phần cứng giới hạn kích thước batch và mô hình. Cuối cùng, hệ thống chưa được đánh giá tiền cứu trong phòng mổ và không được xem là công cụ hỗ trợ ra quyết định lâm sàng.</w:t>
      </w:r>
    </w:p>
    <w:p>
      <w:pPr>
        <w:pStyle w:val="Heading1"/>
      </w:pPr>
      <w:r>
        <w:t>V/ KẾT LUẬN VÀ TRIỂN VỌNG</w:t>
      </w:r>
    </w:p>
    <w:p>
      <w:r>
        <w:t>Đề tài đã xây dựng và đánh giá ba hướng mô hình học sâu theo thời gian cho nhận diện bảy giai đoạn trong video cắt túi mật nội soi. Trên tập test Cholec80 giữ riêng, Swin-Tiny kết hợp Transformer thời gian cho kết quả mô hình đơn tốt nhất đã được xác nhận, với accuracy sau làm trơn 0,8623 và macro-F1 0,8153. Kết quả cũng cho thấy làm trơn median cải thiện đáng kể chất lượng chuỗi theo edit score, trong khi việc rà soát mã đã ngăn một ablation về trọng số lớp bị diễn giải sai.</w:t>
      </w:r>
    </w:p>
    <w:p>
      <w:r>
        <w:t>Các bước tiếp theo trực tiếp là nối đúng trọng số lớp vào hàm mất mát và chạy lại thí nghiệm, hoàn tất đánh giá chuỗi 16 khung hình, đồng thời lặp lại so sánh có/không có nhánh dụng cụ với cùng lịch huấn luyện. Về dài hạn, đề tài có thể mở rộng sang ước lượng độ tin cậy của dự đoán, mô hình làm trơn nhân quả phục vụ suy luận online và kiểm định trên bộ dữ liệu phẫu thuật khác. Những bước này là cần thiết trước khi xem xét bất kỳ khả năng ứng dụng nào trong thực hành lâm sàng.</w:t>
      </w:r>
    </w:p>
    <w:p>
      <w:pPr>
        <w:pStyle w:val="Heading1"/>
      </w:pPr>
      <w:r>
        <w:t>TÀI LIỆU THAM KHẢO</w:t>
      </w:r>
    </w:p>
    <w:p>
      <w:pPr>
        <w:ind w:hanging="340" w:left="340"/>
      </w:pPr>
      <w:r>
        <w:t>[1] Maier-Hein, L. et al. (2017). Surgical data science for next-generation interventions. Nature Biomedical Engineering, 1, 691-696.</w:t>
      </w:r>
    </w:p>
    <w:p>
      <w:pPr>
        <w:ind w:hanging="340" w:left="340"/>
      </w:pPr>
      <w:r>
        <w:t>[2] Vedula, S. S., Ishii, M., &amp; Hager, G. D. (2017). Objective assessment of surgical technical skill and competency in the operating room. Annual Review of Biomedical Engineering, 19, 301-325.</w:t>
      </w:r>
    </w:p>
    <w:p>
      <w:pPr>
        <w:ind w:hanging="340" w:left="340"/>
      </w:pPr>
      <w:r>
        <w:t>[3] Twinanda, A. P. et al. (2017). EndoNet: A deep architecture for recognition tasks on laparoscopic videos. IEEE Transactions on Medical Imaging, 36(1), 86-97. https://doi.org/10.1109/TMI.2016.2593957</w:t>
      </w:r>
    </w:p>
    <w:p>
      <w:pPr>
        <w:ind w:hanging="340" w:left="340"/>
      </w:pPr>
      <w:r>
        <w:t>[4] Jin, Y. et al. (2018). SV-RCNet: Workflow recognition from surgical videos using recurrent convolutional network. IEEE Transactions on Medical Imaging, 37(5), 1114-1126.</w:t>
      </w:r>
    </w:p>
    <w:p>
      <w:pPr>
        <w:ind w:hanging="340" w:left="340"/>
      </w:pPr>
      <w:r>
        <w:t>[5] Czempiel, T. et al. (2020). TeCNO: Surgical phase recognition with multi-stage temporal convolutional networks. In MICCAI 2020, 343-352.</w:t>
      </w:r>
    </w:p>
    <w:p>
      <w:pPr>
        <w:ind w:hanging="340" w:left="340"/>
      </w:pPr>
      <w:r>
        <w:t>[6] Gao, X., Jin, Y., Long, Y., Dou, Q., &amp; Heng, P.-A. (2021). Trans-SVNet: Accurate phase recognition from surgical videos via hybrid embedding aggregation Transformer. In MICCAI 2021, 593-603. https://doi.org/10.1007/978-3-030-87202-1_57</w:t>
      </w:r>
    </w:p>
    <w:p>
      <w:pPr>
        <w:ind w:hanging="340" w:left="340"/>
      </w:pPr>
      <w:r>
        <w:t>[7] He, K., Zhang, X., Ren, S., &amp; Sun, J. (2016). Deep residual learning for image recognition. In CVPR, 770-778.</w:t>
      </w:r>
    </w:p>
    <w:p>
      <w:pPr>
        <w:ind w:hanging="340" w:left="340"/>
      </w:pPr>
      <w:r>
        <w:t>[8] Tan, M., &amp; Le, Q. V. (2019). EfficientNet: Rethinking model scaling for convolutional neural networks. In ICML, 6105-6114.</w:t>
      </w:r>
    </w:p>
    <w:p>
      <w:pPr>
        <w:ind w:hanging="340" w:left="340"/>
      </w:pPr>
      <w:r>
        <w:t>[9] Liu, Z. et al. (2021). Swin Transformer: Hierarchical vision Transformer using shifted windows. In ICCV, 10012-10022.</w:t>
      </w:r>
    </w:p>
    <w:p>
      <w:pPr>
        <w:ind w:hanging="340" w:left="340"/>
      </w:pPr>
      <w:r>
        <w:t>[10] Loshchilov, I., &amp; Hutter, F. (2019). Decoupled weight decay regularization. In ICLR.</w:t>
      </w:r>
    </w:p>
    <w:sectPr w:rsidR="00FC693F" w:rsidRPr="0006063C" w:rsidSect="00034616">
      <w:footerReference w:type="default" r:id="rId9"/>
      <w:pgSz w:w="11906" w:h="16838"/>
      <w:pgMar w:top="1247" w:right="1247" w:bottom="124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ind w:firstLine="454"/>
      <w:jc w:val="both"/>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ind w:firstLine="0"/>
      <w:outlineLvl w:val="0"/>
    </w:pPr>
    <w:rPr>
      <w:rFonts w:asciiTheme="majorHAnsi" w:eastAsiaTheme="majorEastAsia" w:hAnsiTheme="majorHAnsi" w:cstheme="majorBidi" w:ascii="Times New Roman" w:hAnsi="Times New Roman" w:eastAsia="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120"/>
      <w:ind w:firstLine="0"/>
      <w:outlineLvl w:val="1"/>
    </w:pPr>
    <w:rPr>
      <w:rFonts w:asciiTheme="majorHAnsi" w:eastAsiaTheme="majorEastAsia" w:hAnsiTheme="majorHAnsi" w:cstheme="majorBidi" w:ascii="Times New Roman" w:hAnsi="Times New Roman" w:eastAsia="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120"/>
      <w:ind w:firstLine="0"/>
      <w:outlineLvl w:val="2"/>
    </w:pPr>
    <w:rPr>
      <w:rFonts w:asciiTheme="majorHAnsi" w:eastAsiaTheme="majorEastAsia" w:hAnsiTheme="majorHAnsi" w:cstheme="majorBidi" w:ascii="Times New Roman" w:hAnsi="Times New Roman" w:eastAsia="Times New Roman"/>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