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b/>
          <w:sz w:val="26"/>
        </w:rPr>
        <w:t>VIETNAM ACADEMY OF SCIENCE AND TECHNOLOGY</w:t>
      </w:r>
    </w:p>
    <w:p>
      <w:pPr>
        <w:spacing w:after="0"/>
        <w:ind w:firstLine="0"/>
        <w:jc w:val="center"/>
      </w:pPr>
      <w:r>
        <w:rPr>
          <w:rFonts w:ascii="Times New Roman" w:hAnsi="Times New Roman" w:eastAsia="Times New Roman"/>
          <w:b/>
          <w:sz w:val="26"/>
        </w:rPr>
        <w:t>UNIVERSITY OF SCIENCE AND TECHNOLOGY OF HANOI</w:t>
      </w:r>
    </w:p>
    <w:p/>
    <w:p/>
    <w:p/>
    <w:p/>
    <w:p/>
    <w:p>
      <w:pPr>
        <w:spacing w:after="200"/>
        <w:ind w:firstLine="0"/>
        <w:jc w:val="center"/>
      </w:pPr>
      <w:r>
        <w:rPr>
          <w:rFonts w:ascii="Times New Roman" w:hAnsi="Times New Roman" w:eastAsia="Times New Roman"/>
          <w:b/>
          <w:sz w:val="32"/>
        </w:rPr>
        <w:t>REPORT</w:t>
      </w:r>
    </w:p>
    <w:p>
      <w:pPr>
        <w:spacing w:after="0"/>
        <w:ind w:firstLine="0"/>
        <w:jc w:val="center"/>
      </w:pPr>
      <w:r>
        <w:rPr>
          <w:rFonts w:ascii="Times New Roman" w:hAnsi="Times New Roman" w:eastAsia="Times New Roman"/>
          <w:b/>
          <w:sz w:val="28"/>
        </w:rPr>
        <w:t>CONTEST</w:t>
      </w:r>
    </w:p>
    <w:p>
      <w:pPr>
        <w:spacing w:after="0"/>
        <w:ind w:firstLine="0"/>
        <w:jc w:val="center"/>
      </w:pPr>
      <w:r>
        <w:rPr>
          <w:rFonts w:ascii="Times New Roman" w:hAnsi="Times New Roman" w:eastAsia="Times New Roman"/>
          <w:b/>
          <w:sz w:val="28"/>
        </w:rPr>
        <w:t>"USTH SCIENTIFIC RESEARCH FOR STUDENTS 2026"</w:t>
      </w:r>
    </w:p>
    <w:p/>
    <w:p/>
    <w:p/>
    <w:p>
      <w:pPr>
        <w:spacing w:after="0"/>
        <w:ind w:firstLine="0"/>
        <w:jc w:val="center"/>
      </w:pPr>
      <w:r>
        <w:rPr>
          <w:rFonts w:ascii="Times New Roman" w:hAnsi="Times New Roman" w:eastAsia="Times New Roman"/>
          <w:b/>
          <w:sz w:val="28"/>
        </w:rPr>
        <w:t>A CONTROLLED COMPARISON OF TEMPORAL DEEP LEARNING ARCHITECTURES FOR SURGICAL PHASE RECOGNITION ON CHOLEC80</w:t>
      </w:r>
    </w:p>
    <w:p/>
    <w:p/>
    <w:p/>
    <w:p>
      <w:pPr>
        <w:ind w:firstLine="0"/>
      </w:pPr>
      <w:r>
        <w:t>Subcommittee:</w:t>
      </w:r>
      <w:r>
        <w:t xml:space="preserve"> _______________________________________________________</w:t>
      </w:r>
    </w:p>
    <w:p>
      <w:pPr>
        <w:ind w:firstLine="0"/>
      </w:pPr>
      <w:r>
        <w:t>Student's name:</w:t>
      </w:r>
      <w:r>
        <w:t xml:space="preserve"> _______________________________________________________</w:t>
      </w:r>
    </w:p>
    <w:p>
      <w:pPr>
        <w:ind w:firstLine="0"/>
      </w:pPr>
      <w:r>
        <w:t>Student's ID:</w:t>
      </w:r>
      <w:r>
        <w:t xml:space="preserve"> _______________________________________________________</w:t>
      </w:r>
    </w:p>
    <w:p>
      <w:pPr>
        <w:ind w:firstLine="0"/>
      </w:pPr>
      <w:r>
        <w:t>Department:</w:t>
      </w:r>
      <w:r>
        <w:t xml:space="preserve"> _______________________________________________________</w:t>
      </w:r>
    </w:p>
    <w:p>
      <w:pPr>
        <w:ind w:firstLine="0"/>
      </w:pPr>
      <w:r>
        <w:t>Major:</w:t>
      </w:r>
      <w:r>
        <w:t xml:space="preserve"> _______________________________________________________</w:t>
      </w:r>
    </w:p>
    <w:p>
      <w:pPr>
        <w:ind w:firstLine="0"/>
      </w:pPr>
      <w:r>
        <w:t>Supervisor:</w:t>
      </w:r>
      <w:r>
        <w:t xml:space="preserve"> _______________________________________________________</w:t>
      </w:r>
    </w:p>
    <w:p/>
    <w:p/>
    <w:p/>
    <w:p>
      <w:pPr>
        <w:spacing w:after="0"/>
        <w:ind w:firstLine="0"/>
        <w:jc w:val="center"/>
      </w:pPr>
      <w:r>
        <w:rPr>
          <w:rFonts w:ascii="Times New Roman" w:hAnsi="Times New Roman" w:eastAsia="Times New Roman"/>
          <w:b w:val="0"/>
          <w:sz w:val="24"/>
        </w:rPr>
        <w:t>Hanoi, 2026</w:t>
      </w:r>
    </w:p>
    <w:p>
      <w:r>
        <w:br w:type="page"/>
      </w:r>
    </w:p>
    <w:p>
      <w:pPr>
        <w:spacing w:after="0"/>
        <w:ind w:firstLine="0"/>
        <w:jc w:val="center"/>
      </w:pPr>
      <w:r>
        <w:rPr>
          <w:rFonts w:ascii="Times New Roman" w:hAnsi="Times New Roman" w:eastAsia="Times New Roman"/>
          <w:b/>
          <w:sz w:val="24"/>
        </w:rPr>
        <w:t>UNIVERSITY OF SCIENCE &amp; TECHNOLOGY OF HANOI</w:t>
      </w:r>
    </w:p>
    <w:p>
      <w:pPr>
        <w:spacing w:after="0"/>
        <w:ind w:firstLine="0"/>
        <w:jc w:val="center"/>
      </w:pPr>
      <w:r>
        <w:rPr>
          <w:rFonts w:ascii="Times New Roman" w:hAnsi="Times New Roman" w:eastAsia="Times New Roman"/>
          <w:b/>
          <w:sz w:val="24"/>
        </w:rPr>
        <w:t>TRƯỜNG ĐẠI HỌC KHOA HỌC &amp; CÔNG NGHỆ HÀ NỘI</w:t>
      </w:r>
    </w:p>
    <w:p/>
    <w:p>
      <w:r>
        <w:t>Comments from the supervisor on the scientific contributions of the report (This part is recorded by the instructor):</w:t>
      </w:r>
    </w:p>
    <w:p>
      <w:r/>
    </w:p>
    <w:p>
      <w:r/>
    </w:p>
    <w:p>
      <w:r/>
    </w:p>
    <w:p>
      <w:r/>
    </w:p>
    <w:p>
      <w:r/>
    </w:p>
    <w:p>
      <w:r/>
    </w:p>
    <w:p>
      <w:r/>
    </w:p>
    <w:p>
      <w:r/>
    </w:p>
    <w:p>
      <w:r/>
    </w:p>
    <w:p>
      <w:r/>
    </w:p>
    <w:p>
      <w:r/>
    </w:p>
    <w:p>
      <w:r/>
    </w:p>
    <w:p>
      <w:r/>
    </w:p>
    <w:p>
      <w:r/>
    </w:p>
    <w:p>
      <w:r/>
    </w:p>
    <w:p>
      <w:pPr>
        <w:spacing w:after="0"/>
        <w:ind w:firstLine="0"/>
        <w:jc w:val="center"/>
      </w:pPr>
      <w:r>
        <w:rPr>
          <w:rFonts w:ascii="Times New Roman" w:hAnsi="Times New Roman" w:eastAsia="Times New Roman"/>
          <w:b w:val="0"/>
          <w:sz w:val="24"/>
        </w:rPr>
        <w:t>Hanoi,                  2026</w:t>
      </w:r>
    </w:p>
    <w:p>
      <w:pPr>
        <w:spacing w:after="0"/>
        <w:ind w:firstLine="0"/>
        <w:jc w:val="center"/>
      </w:pPr>
      <w:r>
        <w:rPr>
          <w:rFonts w:ascii="Times New Roman" w:hAnsi="Times New Roman" w:eastAsia="Times New Roman"/>
          <w:b w:val="0"/>
          <w:sz w:val="24"/>
        </w:rPr>
        <w:t>Supervisor</w:t>
      </w:r>
    </w:p>
    <w:p>
      <w:pPr>
        <w:spacing w:after="0"/>
        <w:ind w:firstLine="0"/>
        <w:jc w:val="center"/>
      </w:pPr>
      <w:r>
        <w:rPr>
          <w:rFonts w:ascii="Times New Roman" w:hAnsi="Times New Roman" w:eastAsia="Times New Roman"/>
          <w:b w:val="0"/>
          <w:sz w:val="24"/>
        </w:rPr>
        <w:t>(Signature and full name)</w:t>
      </w:r>
    </w:p>
    <w:p>
      <w:r>
        <w:br w:type="page"/>
      </w:r>
    </w:p>
    <w:p>
      <w:pPr>
        <w:pStyle w:val="Heading1"/>
      </w:pPr>
      <w:r>
        <w:t>ABSTRACT</w:t>
      </w:r>
    </w:p>
    <w:p>
      <w:r>
        <w:t>Automatic surgical phase recognition can turn laparoscopic video into structured workflow information, but it is difficult when phases are visually similar and unevenly represented. This study compares three temporal deep-learning models on Cholec80, a dataset of 80 laparoscopic cholecystectomy videos labelled with seven phases and seven instruments. Frames were sampled at 1 fps and separated by video into 40 training, 20 validation and 20 test cases. Three models were implemented: ResNet-50 with bidirectional LSTM, EfficientNet-B3 with temporal convolutional network, and Swin-Tiny with a Transformer temporal encoder. They use eight-frame inputs, auxiliary tool prediction, staged training, mixed precision, and median filtering at inference. On the held-out test set, the smoothed macro-F1 scores were 0.7811, 0.7482 and 0.8153, respectively; the Swin-Transformer also achieved accuracy 0.8623 and edit score 0.2006. Removing the tool-prediction task in a shorter ablation run reduced macro-F1 to 0.7651, while removing smoothing reduced the baseline edit score from 0.1520 to 0.1123. Code review identified that the configured class-weighting option was not connected to the implemented loss, so its planned ablation is reported as inconclusive. The results support further study of attention-based temporal models, with corrected ablations and validation on additional datasets before any clinical use.</w:t>
      </w:r>
    </w:p>
    <w:p>
      <w:pPr>
        <w:ind w:firstLine="0"/>
      </w:pPr>
      <w:r>
        <w:rPr>
          <w:b/>
        </w:rPr>
        <w:t xml:space="preserve">Keywords: </w:t>
      </w:r>
      <w:r>
        <w:t>surgical phase recognition; Cholec80; laparoscopic cholecystectomy; temporal modelling; Transformer; multi-task learning</w:t>
      </w:r>
    </w:p>
    <w:p>
      <w:pPr>
        <w:pStyle w:val="Heading1"/>
      </w:pPr>
      <w:r>
        <w:t>I/ INTRODUCTION</w:t>
      </w:r>
    </w:p>
    <w:p>
      <w:pPr>
        <w:pStyle w:val="Heading2"/>
      </w:pPr>
      <w:r>
        <w:t>1. Scientific and clinical context</w:t>
      </w:r>
    </w:p>
    <w:p>
      <w:r>
        <w:t>Minimally invasive surgery produces video that contains a detailed record of an operation, yet this information is difficult to search or analyse manually. In a laparoscopic cholecystectomy, removal of the gallbladder follows recognisable steps: preparation, dissection around Calot's triangle, clipping and cutting, dissection of the gallbladder, packaging, cleaning/coagulation, and retraction. Recognising the current step automatically is known as surgical phase recognition. It is a basic building block for retrospective quality analysis, teaching support, case indexing, and future context-aware operating-room systems [1], [2]. This study concerns workflow recognition only; it does not propose an autonomous clinical decision system.</w:t>
      </w:r>
    </w:p>
    <w:p>
      <w:r>
        <w:t>The public Cholec80 dataset introduced with EndoNet provides a practical benchmark for this question. It contains 80 laparoscopic cholecystectomy videos with frame-level phase labels and instrument-presence annotations [3]. The dataset is valuable because the instrument labels make it possible to test whether learning tools and phases jointly improves phase recognition. It is also challenging. In the prepared training data used in this project, Calot triangle dissection accounts for 40.9% of labelled frames, whereas gallbladder retraction accounts for 3.7%. A classifier can therefore obtain deceptively good overall accuracy by favouring common phases, while performing poorly on brief but clinically meaningful steps.</w:t>
      </w:r>
    </w:p>
    <w:p>
      <w:pPr>
        <w:pStyle w:val="Heading2"/>
      </w:pPr>
      <w:r>
        <w:t>2. Scientific problem</w:t>
      </w:r>
    </w:p>
    <w:p>
      <w:r>
        <w:t>A single laparoscopic image is often insufficient to identify a phase. The same tool and similar tissue appearance may occur just before and after a transition, and the exact transition time is partly subjective even for an annotator. A useful model must combine spatial evidence from each frame with temporal evidence from neighbouring frames. It must also avoid rapid, implausible jumps between phases. These requirements motivate a comparison of temporal model families rather than a comparison of image backbones alone.</w:t>
      </w:r>
    </w:p>
    <w:p>
      <w:r>
        <w:t>This project was developed on a laptop equipped with an NVIDIA GeForce RTX 2050 GPU with 4 GB of video memory. The limitation is relevant rather than incidental: it constrains input sequence length and batch size and encourages methods that are reproducible for students and small research groups. The study therefore asks a concrete question: under one compact implementation and realistic local hardware, which temporal architecture gives the strongest phase recognition performance, and which supporting design choices deserve further controlled testing?</w:t>
      </w:r>
    </w:p>
    <w:p>
      <w:pPr>
        <w:pStyle w:val="Heading2"/>
      </w:pPr>
      <w:r>
        <w:t>3. Related work and research gap</w:t>
      </w:r>
    </w:p>
    <w:p>
      <w:r>
        <w:t>EndoNet established Cholec80 and demonstrated that instrument prediction can be learned together with surgical phase recognition [3]. Subsequent work placed more emphasis on time. SV-RCNet joined a convolutional feature extractor to a recurrent network, allowing predictions to depend on preceding visual context [4]. TeCNO used multi-stage temporal convolutional networks to refine phase sequences and reduce over-segmentation [5]. Trans-SVNet later applied a Transformer-based aggregation scheme to surgical video features and showed that attention can be effective for phase recognition [6]. These works establish three relevant model families: recurrent, temporal convolutional, and attention-based.</w:t>
      </w:r>
    </w:p>
    <w:p>
      <w:r>
        <w:t>Published results are not a clean architectural experiment because preprocessing, sampling rate, temporal window, post-processing and computing budgets vary across studies. This project does not seek to claim a new state of the art. Its narrower contribution is an internally comparable implementation of three representative families using the same dataset split, phase labels, core evaluation metrics and resource envelope. The study also performs implementation auditing: a proposed ablation is only treated as evidence when the corresponding configuration change is demonstrably used in the loss or inference code.</w:t>
      </w:r>
    </w:p>
    <w:p>
      <w:pPr>
        <w:pStyle w:val="Heading2"/>
      </w:pPr>
      <w:r>
        <w:t>4. Research questions</w:t>
      </w:r>
    </w:p>
    <w:p>
      <w:pPr>
        <w:pStyle w:val="ListBullet"/>
        <w:ind w:firstLine="0" w:left="454"/>
      </w:pPr>
      <w:r>
        <w:t>RQ1. Which of the implemented LSTM, TCN and Transformer temporal architectures performs best on the held-out Cholec80 test videos?</w:t>
      </w:r>
    </w:p>
    <w:p>
      <w:pPr>
        <w:pStyle w:val="ListBullet"/>
        <w:ind w:firstLine="0" w:left="454"/>
      </w:pPr>
      <w:r>
        <w:t>RQ2. What is the observed contribution of auxiliary tool supervision and temporal smoothing within the implemented pipeline?</w:t>
      </w:r>
    </w:p>
    <w:p>
      <w:pPr>
        <w:pStyle w:val="ListBullet"/>
        <w:ind w:firstLine="0" w:left="454"/>
      </w:pPr>
      <w:r>
        <w:t>RQ3. Which experiments remain inconclusive because of implementation or completion status, and how should they be corrected?</w:t>
      </w:r>
    </w:p>
    <w:p>
      <w:pPr>
        <w:pStyle w:val="ListBullet"/>
        <w:ind w:firstLine="0" w:left="454"/>
      </w:pPr>
      <w:r>
        <w:t>RQ4. Can combining separately trained models provide a useful supplementary ensemble result under the same dataset setting?</w:t>
      </w:r>
    </w:p>
    <w:p>
      <w:pPr>
        <w:pStyle w:val="Heading1"/>
      </w:pPr>
      <w:r>
        <w:t>II/ OBJECTIVES</w:t>
      </w:r>
    </w:p>
    <w:p>
      <w:r>
        <w:t>The scientific objective is to evaluate compact temporal deep-learning architectures for recognising the seven phases of laparoscopic cholecystectomy from Cholec80 videos on consumer hardware. The strategy is to implement recurrent, temporal-convolutional and attention-based models in a common pipeline, then assess them with accuracy, macro-F1 and edit score on held-out videos. Controlled follow-up experiments test tool supervision, temporal smoothing and longer context, while implementation auditing is used to identify any ablation that requires correction.</w:t>
      </w:r>
    </w:p>
    <w:p>
      <w:pPr>
        <w:pStyle w:val="Heading1"/>
      </w:pPr>
      <w:r>
        <w:t>III/ MATERIALS AND METHODS</w:t>
      </w:r>
    </w:p>
    <w:p>
      <w:pPr>
        <w:pStyle w:val="Heading2"/>
      </w:pPr>
      <w:r>
        <w:t>1. Dataset and preprocessing</w:t>
      </w:r>
    </w:p>
    <w:p>
      <w:r>
        <w:t>The study uses Cholec80, comprising 80 videos of laparoscopic cholecystectomy with seven phase labels and seven binary tool-presence labels [3]. The project prepares all 80 videos and samples frames at one frame per second. Videos 1-40 form the training set, videos 41-60 the validation set, and videos 61-80 the held-out test set; no video occurs in more than one split. Each image is resized and cropped to 224 x 224 pixels and normalised using ImageNet mean and standard deviation. During training, random crop, horizontal flip, colour jitter and rotation up to 10 degrees are applied per frame; validation and test images receive deterministic resize and centre-crop transforms.</w:t>
      </w:r>
    </w:p>
    <w:p>
      <w:r>
        <w:t>The main experiments use sequences of eight consecutive sampled frames. Training windows use stride four, yielding 21,531 sequences; validation and test windows use non-overlapping stride eight, yielding 6,315 and 5,947 sequences respectively for the main configuration. The longer-context experiment uses sixteen frames and stride eight during training, with non-overlapping evaluation windows.</w:t>
      </w:r>
    </w:p>
    <w:p>
      <w:pPr>
        <w:pStyle w:val="Heading2"/>
      </w:pPr>
      <w:r>
        <w:t>2. Models</w:t>
      </w:r>
    </w:p>
    <w:p>
      <w:r>
        <w:t>All models first extract visual features for each frame, pass the ordered feature sequence through a temporal component, and use a shared prediction module for seven-way phase classification and, when enabled, seven-label instrument prediction. Model M1 uses an ImageNet-pretrained ResNet-50 backbone [7] followed by a two-layer bidirectional LSTM with hidden dimension 512. Model M2 uses an EfficientNet-B3 backbone [8] followed by a two-stage temporal convolutional network with eight layers per stage and 64 filters. Model M3 uses a Swin-Tiny backbone [9] followed by a three-layer temporal Transformer with model dimension 384 and six attention heads. The recorded parameter counts are 35.7 million for M1, approximately 11.2 million for M2, and 31.6 million for M3.</w:t>
      </w:r>
    </w:p>
    <w:p>
      <w:pPr>
        <w:pStyle w:val="Heading2"/>
      </w:pPr>
      <w:r>
        <w:t>3. Optimisation and inference</w:t>
      </w:r>
    </w:p>
    <w:p>
      <w:r>
        <w:t>The implemented phase loss is cross-entropy with label smoothing of 0.1. When the tool head is active, binary cross-entropy for tool presence is added with weight 0.5. Inspection of the implemented loss also shows a temporal consistency penalty on adjacent phase probabilities with default weight 0.1. Optimisation uses AdamW [10], mixed-precision computation, gradient clipping and a cosine warm-restart scheduler. Main models are trained in three stages: the visual backbone is frozen while the temporal component and heads are trained for 5 and then 10 epochs, followed by 10 epochs of end-to-end fine-tuning. Validation macro-F1 is used to select the checkpoint. Training and evaluation were executed on one NVIDIA GeForce RTX 2050 laptop GPU.</w:t>
      </w:r>
    </w:p>
    <w:p>
      <w:r>
        <w:t>For evaluation, phase predictions are obtained at frame level and are additionally post-processed with a median filter of window size 15. Accuracy measures the fraction of correctly labelled frames; macro-F1 gives equal importance to all seven phases; edit score evaluates the ordering of phase segments and penalises fragmented sequences. Both raw and smoothed results are retained so that the effect of post-processing is visible.</w:t>
      </w:r>
    </w:p>
    <w:p>
      <w:pPr>
        <w:pStyle w:val="Heading2"/>
      </w:pPr>
      <w:r>
        <w:t>4. Additional experiments and quality control</w:t>
      </w:r>
    </w:p>
    <w:p>
      <w:r>
        <w:t>A no-tool-head experiment was run with the M1 model family to examine auxiliary instrument supervision. Removing temporal smoothing is evaluated directly by comparing raw and smoothed predictions from the same M1 test output. A sixteen-frame context experiment was launched but its test evaluation was not available when this report was prepared on 27 May 2026. A planned class-weight ablation was also trained; however, code audit found that the current Trainer constructs the loss without passing the configured class weights. Consequently that run cannot support a conclusion about class weighting until the implementation is corrected and the experiment is repeated.</w:t>
      </w:r>
    </w:p>
    <w:p>
      <w:pPr>
        <w:pStyle w:val="Heading1"/>
      </w:pPr>
      <w:r>
        <w:t>IV/ RESULTS AND DISCUSSION</w:t>
      </w:r>
    </w:p>
    <w:p>
      <w:pPr>
        <w:pStyle w:val="Heading2"/>
      </w:pPr>
      <w:r>
        <w:t>1. Results</w:t>
      </w:r>
    </w:p>
    <w:p>
      <w:r>
        <w:t>All three principal model outputs were evaluated on the held-out videos 61-80. Table 1 reports metrics taken directly from each saved evaluation result. After median smoothing, M3 (Swin-Tiny with temporal Transformer) obtains the strongest score on all three reported metrics, reaching macro-F1 0.8153 and accuracy 0.8623.</w:t>
      </w:r>
    </w:p>
    <w:p>
      <w:pPr>
        <w:spacing w:after="100"/>
        <w:ind w:firstLine="0"/>
        <w:jc w:val="center"/>
      </w:pPr>
      <w:r>
        <w:rPr>
          <w:rFonts w:ascii="Times New Roman" w:hAnsi="Times New Roman" w:eastAsia="Times New Roman"/>
          <w:b/>
          <w:sz w:val="22"/>
        </w:rPr>
        <w:t>Table 1. Performance of the three main models on the held-out test set.</w:t>
      </w:r>
    </w:p>
    <w:tbl>
      <w:tblPr>
        <w:tblStyle w:val="TableGrid"/>
        <w:tblW w:type="auto" w:w="0"/>
        <w:jc w:val="center"/>
        <w:tblLook w:firstColumn="1" w:firstRow="1" w:lastColumn="0" w:lastRow="0" w:noHBand="0" w:noVBand="1" w:val="04A0"/>
      </w:tblPr>
      <w:tblGrid>
        <w:gridCol w:w="1320"/>
        <w:gridCol w:w="1320"/>
        <w:gridCol w:w="1320"/>
        <w:gridCol w:w="1320"/>
        <w:gridCol w:w="1320"/>
        <w:gridCol w:w="1320"/>
        <w:gridCol w:w="1320"/>
      </w:tblGrid>
      <w:tr>
        <w:tc>
          <w:tcPr>
            <w:tcW w:type="dxa" w:w="2268"/>
            <w:vAlign w:val="center"/>
            <w:shd w:fill="D9EAF7"/>
          </w:tcPr>
          <w:p>
            <w:pPr>
              <w:spacing w:after="0"/>
              <w:jc w:val="center"/>
            </w:pPr>
            <w:r/>
            <w:r>
              <w:rPr>
                <w:rFonts w:ascii="Times New Roman" w:hAnsi="Times New Roman" w:eastAsia="Times New Roman"/>
                <w:b/>
                <w:sz w:val="20"/>
              </w:rPr>
              <w:t>Model</w:t>
            </w:r>
          </w:p>
        </w:tc>
        <w:tc>
          <w:tcPr>
            <w:tcW w:type="dxa" w:w="1134"/>
            <w:vAlign w:val="center"/>
            <w:shd w:fill="D9EAF7"/>
          </w:tcPr>
          <w:p>
            <w:pPr>
              <w:spacing w:after="0"/>
              <w:jc w:val="center"/>
            </w:pPr>
            <w:r/>
            <w:r>
              <w:rPr>
                <w:rFonts w:ascii="Times New Roman" w:hAnsi="Times New Roman" w:eastAsia="Times New Roman"/>
                <w:b/>
                <w:sz w:val="20"/>
              </w:rPr>
              <w:t>Raw Acc.</w:t>
            </w:r>
          </w:p>
        </w:tc>
        <w:tc>
          <w:tcPr>
            <w:tcW w:type="dxa" w:w="1417"/>
            <w:vAlign w:val="center"/>
            <w:shd w:fill="D9EAF7"/>
          </w:tcPr>
          <w:p>
            <w:pPr>
              <w:spacing w:after="0"/>
              <w:jc w:val="center"/>
            </w:pPr>
            <w:r/>
            <w:r>
              <w:rPr>
                <w:rFonts w:ascii="Times New Roman" w:hAnsi="Times New Roman" w:eastAsia="Times New Roman"/>
                <w:b/>
                <w:sz w:val="20"/>
              </w:rPr>
              <w:t>Raw Macro-F1</w:t>
            </w:r>
          </w:p>
        </w:tc>
        <w:tc>
          <w:tcPr>
            <w:tcW w:type="dxa" w:w="1134"/>
            <w:vAlign w:val="center"/>
            <w:shd w:fill="D9EAF7"/>
          </w:tcPr>
          <w:p>
            <w:pPr>
              <w:spacing w:after="0"/>
              <w:jc w:val="center"/>
            </w:pPr>
            <w:r/>
            <w:r>
              <w:rPr>
                <w:rFonts w:ascii="Times New Roman" w:hAnsi="Times New Roman" w:eastAsia="Times New Roman"/>
                <w:b/>
                <w:sz w:val="20"/>
              </w:rPr>
              <w:t>Raw Edit</w:t>
            </w:r>
          </w:p>
        </w:tc>
        <w:tc>
          <w:tcPr>
            <w:tcW w:type="dxa" w:w="1247"/>
            <w:vAlign w:val="center"/>
            <w:shd w:fill="D9EAF7"/>
          </w:tcPr>
          <w:p>
            <w:pPr>
              <w:spacing w:after="0"/>
              <w:jc w:val="center"/>
            </w:pPr>
            <w:r/>
            <w:r>
              <w:rPr>
                <w:rFonts w:ascii="Times New Roman" w:hAnsi="Times New Roman" w:eastAsia="Times New Roman"/>
                <w:b/>
                <w:sz w:val="20"/>
              </w:rPr>
              <w:t>Smooth Acc.</w:t>
            </w:r>
          </w:p>
        </w:tc>
        <w:tc>
          <w:tcPr>
            <w:tcW w:type="dxa" w:w="1587"/>
            <w:vAlign w:val="center"/>
            <w:shd w:fill="D9EAF7"/>
          </w:tcPr>
          <w:p>
            <w:pPr>
              <w:spacing w:after="0"/>
              <w:jc w:val="center"/>
            </w:pPr>
            <w:r/>
            <w:r>
              <w:rPr>
                <w:rFonts w:ascii="Times New Roman" w:hAnsi="Times New Roman" w:eastAsia="Times New Roman"/>
                <w:b/>
                <w:sz w:val="20"/>
              </w:rPr>
              <w:t>Smooth Macro-F1</w:t>
            </w:r>
          </w:p>
        </w:tc>
        <w:tc>
          <w:tcPr>
            <w:tcW w:type="dxa" w:w="1247"/>
            <w:vAlign w:val="center"/>
            <w:shd w:fill="D9EAF7"/>
          </w:tcPr>
          <w:p>
            <w:pPr>
              <w:spacing w:after="0"/>
              <w:jc w:val="center"/>
            </w:pPr>
            <w:r/>
            <w:r>
              <w:rPr>
                <w:rFonts w:ascii="Times New Roman" w:hAnsi="Times New Roman" w:eastAsia="Times New Roman"/>
                <w:b/>
                <w:sz w:val="20"/>
              </w:rPr>
              <w:t>Smooth Edit</w:t>
            </w:r>
          </w:p>
        </w:tc>
      </w:tr>
      <w:tr>
        <w:tc>
          <w:tcPr>
            <w:tcW w:type="dxa" w:w="2268"/>
            <w:vAlign w:val="center"/>
          </w:tcPr>
          <w:p>
            <w:pPr>
              <w:spacing w:after="0"/>
              <w:jc w:val="center"/>
            </w:pPr>
            <w:r/>
            <w:r>
              <w:rPr>
                <w:rFonts w:ascii="Times New Roman" w:hAnsi="Times New Roman" w:eastAsia="Times New Roman"/>
                <w:b w:val="0"/>
                <w:sz w:val="20"/>
              </w:rPr>
              <w:t>M1 ResNet-50 + BiLSTM</w:t>
            </w:r>
          </w:p>
        </w:tc>
        <w:tc>
          <w:tcPr>
            <w:tcW w:type="dxa" w:w="1134"/>
            <w:vAlign w:val="center"/>
          </w:tcPr>
          <w:p>
            <w:pPr>
              <w:spacing w:after="0"/>
              <w:jc w:val="center"/>
            </w:pPr>
            <w:r/>
            <w:r>
              <w:rPr>
                <w:rFonts w:ascii="Times New Roman" w:hAnsi="Times New Roman" w:eastAsia="Times New Roman"/>
                <w:b w:val="0"/>
                <w:sz w:val="20"/>
              </w:rPr>
              <w:t>0.8319</w:t>
            </w:r>
          </w:p>
        </w:tc>
        <w:tc>
          <w:tcPr>
            <w:tcW w:type="dxa" w:w="1417"/>
            <w:vAlign w:val="center"/>
          </w:tcPr>
          <w:p>
            <w:pPr>
              <w:spacing w:after="0"/>
              <w:jc w:val="center"/>
            </w:pPr>
            <w:r/>
            <w:r>
              <w:rPr>
                <w:rFonts w:ascii="Times New Roman" w:hAnsi="Times New Roman" w:eastAsia="Times New Roman"/>
                <w:b w:val="0"/>
                <w:sz w:val="20"/>
              </w:rPr>
              <w:t>0.7748</w:t>
            </w:r>
          </w:p>
        </w:tc>
        <w:tc>
          <w:tcPr>
            <w:tcW w:type="dxa" w:w="1134"/>
            <w:vAlign w:val="center"/>
          </w:tcPr>
          <w:p>
            <w:pPr>
              <w:spacing w:after="0"/>
              <w:jc w:val="center"/>
            </w:pPr>
            <w:r/>
            <w:r>
              <w:rPr>
                <w:rFonts w:ascii="Times New Roman" w:hAnsi="Times New Roman" w:eastAsia="Times New Roman"/>
                <w:b w:val="0"/>
                <w:sz w:val="20"/>
              </w:rPr>
              <w:t>0.1123</w:t>
            </w:r>
          </w:p>
        </w:tc>
        <w:tc>
          <w:tcPr>
            <w:tcW w:type="dxa" w:w="1247"/>
            <w:vAlign w:val="center"/>
          </w:tcPr>
          <w:p>
            <w:pPr>
              <w:spacing w:after="0"/>
              <w:jc w:val="center"/>
            </w:pPr>
            <w:r/>
            <w:r>
              <w:rPr>
                <w:rFonts w:ascii="Times New Roman" w:hAnsi="Times New Roman" w:eastAsia="Times New Roman"/>
                <w:b w:val="0"/>
                <w:sz w:val="20"/>
              </w:rPr>
              <w:t>0.8369</w:t>
            </w:r>
          </w:p>
        </w:tc>
        <w:tc>
          <w:tcPr>
            <w:tcW w:type="dxa" w:w="1587"/>
            <w:vAlign w:val="center"/>
          </w:tcPr>
          <w:p>
            <w:pPr>
              <w:spacing w:after="0"/>
              <w:jc w:val="center"/>
            </w:pPr>
            <w:r/>
            <w:r>
              <w:rPr>
                <w:rFonts w:ascii="Times New Roman" w:hAnsi="Times New Roman" w:eastAsia="Times New Roman"/>
                <w:b w:val="0"/>
                <w:sz w:val="20"/>
              </w:rPr>
              <w:t>0.7811</w:t>
            </w:r>
          </w:p>
        </w:tc>
        <w:tc>
          <w:tcPr>
            <w:tcW w:type="dxa" w:w="1247"/>
            <w:vAlign w:val="center"/>
          </w:tcPr>
          <w:p>
            <w:pPr>
              <w:spacing w:after="0"/>
              <w:jc w:val="center"/>
            </w:pPr>
            <w:r/>
            <w:r>
              <w:rPr>
                <w:rFonts w:ascii="Times New Roman" w:hAnsi="Times New Roman" w:eastAsia="Times New Roman"/>
                <w:b w:val="0"/>
                <w:sz w:val="20"/>
              </w:rPr>
              <w:t>0.1520</w:t>
            </w:r>
          </w:p>
        </w:tc>
      </w:tr>
      <w:tr>
        <w:tc>
          <w:tcPr>
            <w:tcW w:type="dxa" w:w="2268"/>
            <w:vAlign w:val="center"/>
          </w:tcPr>
          <w:p>
            <w:pPr>
              <w:spacing w:after="0"/>
              <w:jc w:val="center"/>
            </w:pPr>
            <w:r/>
            <w:r>
              <w:rPr>
                <w:rFonts w:ascii="Times New Roman" w:hAnsi="Times New Roman" w:eastAsia="Times New Roman"/>
                <w:b w:val="0"/>
                <w:sz w:val="20"/>
              </w:rPr>
              <w:t>M2 EfficientNet-B3 + TCN</w:t>
            </w:r>
          </w:p>
        </w:tc>
        <w:tc>
          <w:tcPr>
            <w:tcW w:type="dxa" w:w="1134"/>
            <w:vAlign w:val="center"/>
          </w:tcPr>
          <w:p>
            <w:pPr>
              <w:spacing w:after="0"/>
              <w:jc w:val="center"/>
            </w:pPr>
            <w:r/>
            <w:r>
              <w:rPr>
                <w:rFonts w:ascii="Times New Roman" w:hAnsi="Times New Roman" w:eastAsia="Times New Roman"/>
                <w:b w:val="0"/>
                <w:sz w:val="20"/>
              </w:rPr>
              <w:t>0.8182</w:t>
            </w:r>
          </w:p>
        </w:tc>
        <w:tc>
          <w:tcPr>
            <w:tcW w:type="dxa" w:w="1417"/>
            <w:vAlign w:val="center"/>
          </w:tcPr>
          <w:p>
            <w:pPr>
              <w:spacing w:after="0"/>
              <w:jc w:val="center"/>
            </w:pPr>
            <w:r/>
            <w:r>
              <w:rPr>
                <w:rFonts w:ascii="Times New Roman" w:hAnsi="Times New Roman" w:eastAsia="Times New Roman"/>
                <w:b w:val="0"/>
                <w:sz w:val="20"/>
              </w:rPr>
              <w:t>0.7394</w:t>
            </w:r>
          </w:p>
        </w:tc>
        <w:tc>
          <w:tcPr>
            <w:tcW w:type="dxa" w:w="1134"/>
            <w:vAlign w:val="center"/>
          </w:tcPr>
          <w:p>
            <w:pPr>
              <w:spacing w:after="0"/>
              <w:jc w:val="center"/>
            </w:pPr>
            <w:r/>
            <w:r>
              <w:rPr>
                <w:rFonts w:ascii="Times New Roman" w:hAnsi="Times New Roman" w:eastAsia="Times New Roman"/>
                <w:b w:val="0"/>
                <w:sz w:val="20"/>
              </w:rPr>
              <w:t>0.1010</w:t>
            </w:r>
          </w:p>
        </w:tc>
        <w:tc>
          <w:tcPr>
            <w:tcW w:type="dxa" w:w="1247"/>
            <w:vAlign w:val="center"/>
          </w:tcPr>
          <w:p>
            <w:pPr>
              <w:spacing w:after="0"/>
              <w:jc w:val="center"/>
            </w:pPr>
            <w:r/>
            <w:r>
              <w:rPr>
                <w:rFonts w:ascii="Times New Roman" w:hAnsi="Times New Roman" w:eastAsia="Times New Roman"/>
                <w:b w:val="0"/>
                <w:sz w:val="20"/>
              </w:rPr>
              <w:t>0.8237</w:t>
            </w:r>
          </w:p>
        </w:tc>
        <w:tc>
          <w:tcPr>
            <w:tcW w:type="dxa" w:w="1587"/>
            <w:vAlign w:val="center"/>
          </w:tcPr>
          <w:p>
            <w:pPr>
              <w:spacing w:after="0"/>
              <w:jc w:val="center"/>
            </w:pPr>
            <w:r/>
            <w:r>
              <w:rPr>
                <w:rFonts w:ascii="Times New Roman" w:hAnsi="Times New Roman" w:eastAsia="Times New Roman"/>
                <w:b w:val="0"/>
                <w:sz w:val="20"/>
              </w:rPr>
              <w:t>0.7482</w:t>
            </w:r>
          </w:p>
        </w:tc>
        <w:tc>
          <w:tcPr>
            <w:tcW w:type="dxa" w:w="1247"/>
            <w:vAlign w:val="center"/>
          </w:tcPr>
          <w:p>
            <w:pPr>
              <w:spacing w:after="0"/>
              <w:jc w:val="center"/>
            </w:pPr>
            <w:r/>
            <w:r>
              <w:rPr>
                <w:rFonts w:ascii="Times New Roman" w:hAnsi="Times New Roman" w:eastAsia="Times New Roman"/>
                <w:b w:val="0"/>
                <w:sz w:val="20"/>
              </w:rPr>
              <w:t>0.1406</w:t>
            </w:r>
          </w:p>
        </w:tc>
      </w:tr>
      <w:tr>
        <w:tc>
          <w:tcPr>
            <w:tcW w:type="dxa" w:w="2268"/>
            <w:vAlign w:val="center"/>
          </w:tcPr>
          <w:p>
            <w:pPr>
              <w:spacing w:after="0"/>
              <w:jc w:val="center"/>
            </w:pPr>
            <w:r/>
            <w:r>
              <w:rPr>
                <w:rFonts w:ascii="Times New Roman" w:hAnsi="Times New Roman" w:eastAsia="Times New Roman"/>
                <w:b w:val="0"/>
                <w:sz w:val="20"/>
              </w:rPr>
              <w:t>M3 Swin-Tiny + Transformer</w:t>
            </w:r>
          </w:p>
        </w:tc>
        <w:tc>
          <w:tcPr>
            <w:tcW w:type="dxa" w:w="1134"/>
            <w:vAlign w:val="center"/>
          </w:tcPr>
          <w:p>
            <w:pPr>
              <w:spacing w:after="0"/>
              <w:jc w:val="center"/>
            </w:pPr>
            <w:r/>
            <w:r>
              <w:rPr>
                <w:rFonts w:ascii="Times New Roman" w:hAnsi="Times New Roman" w:eastAsia="Times New Roman"/>
                <w:b w:val="0"/>
                <w:sz w:val="20"/>
              </w:rPr>
              <w:t>0.8573</w:t>
            </w:r>
          </w:p>
        </w:tc>
        <w:tc>
          <w:tcPr>
            <w:tcW w:type="dxa" w:w="1417"/>
            <w:vAlign w:val="center"/>
          </w:tcPr>
          <w:p>
            <w:pPr>
              <w:spacing w:after="0"/>
              <w:jc w:val="center"/>
            </w:pPr>
            <w:r/>
            <w:r>
              <w:rPr>
                <w:rFonts w:ascii="Times New Roman" w:hAnsi="Times New Roman" w:eastAsia="Times New Roman"/>
                <w:b w:val="0"/>
                <w:sz w:val="20"/>
              </w:rPr>
              <w:t>0.8065</w:t>
            </w:r>
          </w:p>
        </w:tc>
        <w:tc>
          <w:tcPr>
            <w:tcW w:type="dxa" w:w="1134"/>
            <w:vAlign w:val="center"/>
          </w:tcPr>
          <w:p>
            <w:pPr>
              <w:spacing w:after="0"/>
              <w:jc w:val="center"/>
            </w:pPr>
            <w:r/>
            <w:r>
              <w:rPr>
                <w:rFonts w:ascii="Times New Roman" w:hAnsi="Times New Roman" w:eastAsia="Times New Roman"/>
                <w:b w:val="0"/>
                <w:sz w:val="20"/>
              </w:rPr>
              <w:t>0.1393</w:t>
            </w:r>
          </w:p>
        </w:tc>
        <w:tc>
          <w:tcPr>
            <w:tcW w:type="dxa" w:w="1247"/>
            <w:vAlign w:val="center"/>
          </w:tcPr>
          <w:p>
            <w:pPr>
              <w:spacing w:after="0"/>
              <w:jc w:val="center"/>
            </w:pPr>
            <w:r/>
            <w:r>
              <w:rPr>
                <w:rFonts w:ascii="Times New Roman" w:hAnsi="Times New Roman" w:eastAsia="Times New Roman"/>
                <w:b w:val="0"/>
                <w:sz w:val="20"/>
              </w:rPr>
              <w:t>0.8623</w:t>
            </w:r>
          </w:p>
        </w:tc>
        <w:tc>
          <w:tcPr>
            <w:tcW w:type="dxa" w:w="1587"/>
            <w:vAlign w:val="center"/>
          </w:tcPr>
          <w:p>
            <w:pPr>
              <w:spacing w:after="0"/>
              <w:jc w:val="center"/>
            </w:pPr>
            <w:r/>
            <w:r>
              <w:rPr>
                <w:rFonts w:ascii="Times New Roman" w:hAnsi="Times New Roman" w:eastAsia="Times New Roman"/>
                <w:b w:val="0"/>
                <w:sz w:val="20"/>
              </w:rPr>
              <w:t>0.8153</w:t>
            </w:r>
          </w:p>
        </w:tc>
        <w:tc>
          <w:tcPr>
            <w:tcW w:type="dxa" w:w="1247"/>
            <w:vAlign w:val="center"/>
          </w:tcPr>
          <w:p>
            <w:pPr>
              <w:spacing w:after="0"/>
              <w:jc w:val="center"/>
            </w:pPr>
            <w:r/>
            <w:r>
              <w:rPr>
                <w:rFonts w:ascii="Times New Roman" w:hAnsi="Times New Roman" w:eastAsia="Times New Roman"/>
                <w:b w:val="0"/>
                <w:sz w:val="20"/>
              </w:rPr>
              <w:t>0.2006</w:t>
            </w:r>
          </w:p>
        </w:tc>
      </w:tr>
    </w:tbl>
    <w:p/>
    <w:p>
      <w:r>
        <w:t>For the best model M3, smoothed per-class F1 values are 0.825 for Preparation, 0.890 for Calot Triangle Dissection, 0.814 for Clipping and Cutting, 0.880 for Gallbladder Dissection, 0.825 for Gallbladder Packaging, 0.712 for Cleaning and Coagulation, and 0.760 for Gallbladder Retraction. Cleaning and coagulation is the most difficult class in this output, suggesting that short episodes near adjacent dissection activity remain difficult to separate.</w:t>
      </w:r>
    </w:p>
    <w:p>
      <w:pPr>
        <w:spacing w:after="100"/>
        <w:ind w:firstLine="0"/>
        <w:jc w:val="center"/>
      </w:pPr>
      <w:r>
        <w:rPr>
          <w:rFonts w:ascii="Times New Roman" w:hAnsi="Times New Roman" w:eastAsia="Times New Roman"/>
          <w:b/>
          <w:sz w:val="22"/>
        </w:rPr>
        <w:t>Table 2. Additional experiments available at report preparation time.</w:t>
      </w:r>
    </w:p>
    <w:tbl>
      <w:tblPr>
        <w:tblStyle w:val="TableGrid"/>
        <w:tblW w:type="auto" w:w="0"/>
        <w:jc w:val="center"/>
        <w:tblLook w:firstColumn="1" w:firstRow="1" w:lastColumn="0" w:lastRow="0" w:noHBand="0" w:noVBand="1" w:val="04A0"/>
      </w:tblPr>
      <w:tblGrid>
        <w:gridCol w:w="3081"/>
        <w:gridCol w:w="3081"/>
        <w:gridCol w:w="3081"/>
      </w:tblGrid>
      <w:tr>
        <w:tc>
          <w:tcPr>
            <w:tcW w:type="dxa" w:w="2835"/>
            <w:vAlign w:val="center"/>
            <w:shd w:fill="D9EAF7"/>
          </w:tcPr>
          <w:p>
            <w:pPr>
              <w:spacing w:after="0"/>
              <w:jc w:val="center"/>
            </w:pPr>
            <w:r/>
            <w:r>
              <w:rPr>
                <w:rFonts w:ascii="Times New Roman" w:hAnsi="Times New Roman" w:eastAsia="Times New Roman"/>
                <w:b/>
                <w:sz w:val="20"/>
              </w:rPr>
              <w:t>Experiment</w:t>
            </w:r>
          </w:p>
        </w:tc>
        <w:tc>
          <w:tcPr>
            <w:tcW w:type="dxa" w:w="1701"/>
            <w:vAlign w:val="center"/>
            <w:shd w:fill="D9EAF7"/>
          </w:tcPr>
          <w:p>
            <w:pPr>
              <w:spacing w:after="0"/>
              <w:jc w:val="center"/>
            </w:pPr>
            <w:r/>
            <w:r>
              <w:rPr>
                <w:rFonts w:ascii="Times New Roman" w:hAnsi="Times New Roman" w:eastAsia="Times New Roman"/>
                <w:b/>
                <w:sz w:val="20"/>
              </w:rPr>
              <w:t>Smoothed Macro-F1</w:t>
            </w:r>
          </w:p>
        </w:tc>
        <w:tc>
          <w:tcPr>
            <w:tcW w:type="dxa" w:w="4819"/>
            <w:vAlign w:val="center"/>
            <w:shd w:fill="D9EAF7"/>
          </w:tcPr>
          <w:p>
            <w:pPr>
              <w:spacing w:after="0"/>
              <w:jc w:val="center"/>
            </w:pPr>
            <w:r/>
            <w:r>
              <w:rPr>
                <w:rFonts w:ascii="Times New Roman" w:hAnsi="Times New Roman" w:eastAsia="Times New Roman"/>
                <w:b/>
                <w:sz w:val="20"/>
              </w:rPr>
              <w:t>Interpretation status</w:t>
            </w:r>
          </w:p>
        </w:tc>
      </w:tr>
      <w:tr>
        <w:tc>
          <w:tcPr>
            <w:tcW w:type="dxa" w:w="2835"/>
            <w:vAlign w:val="center"/>
          </w:tcPr>
          <w:p>
            <w:pPr>
              <w:spacing w:after="0"/>
              <w:jc w:val="center"/>
            </w:pPr>
            <w:r/>
            <w:r>
              <w:rPr>
                <w:rFonts w:ascii="Times New Roman" w:hAnsi="Times New Roman" w:eastAsia="Times New Roman"/>
                <w:b w:val="0"/>
                <w:sz w:val="20"/>
              </w:rPr>
              <w:t>M1 main output</w:t>
            </w:r>
          </w:p>
        </w:tc>
        <w:tc>
          <w:tcPr>
            <w:tcW w:type="dxa" w:w="1701"/>
            <w:vAlign w:val="center"/>
          </w:tcPr>
          <w:p>
            <w:pPr>
              <w:spacing w:after="0"/>
              <w:jc w:val="center"/>
            </w:pPr>
            <w:r/>
            <w:r>
              <w:rPr>
                <w:rFonts w:ascii="Times New Roman" w:hAnsi="Times New Roman" w:eastAsia="Times New Roman"/>
                <w:b w:val="0"/>
                <w:sz w:val="20"/>
              </w:rPr>
              <w:t>0.7811</w:t>
            </w:r>
          </w:p>
        </w:tc>
        <w:tc>
          <w:tcPr>
            <w:tcW w:type="dxa" w:w="4819"/>
            <w:vAlign w:val="center"/>
          </w:tcPr>
          <w:p>
            <w:pPr>
              <w:spacing w:after="0"/>
              <w:jc w:val="center"/>
            </w:pPr>
            <w:r/>
            <w:r>
              <w:rPr>
                <w:rFonts w:ascii="Times New Roman" w:hAnsi="Times New Roman" w:eastAsia="Times New Roman"/>
                <w:b w:val="0"/>
                <w:sz w:val="20"/>
              </w:rPr>
              <w:t>Reference output</w:t>
            </w:r>
          </w:p>
        </w:tc>
      </w:tr>
      <w:tr>
        <w:tc>
          <w:tcPr>
            <w:tcW w:type="dxa" w:w="2835"/>
            <w:vAlign w:val="center"/>
          </w:tcPr>
          <w:p>
            <w:pPr>
              <w:spacing w:after="0"/>
              <w:jc w:val="center"/>
            </w:pPr>
            <w:r/>
            <w:r>
              <w:rPr>
                <w:rFonts w:ascii="Times New Roman" w:hAnsi="Times New Roman" w:eastAsia="Times New Roman"/>
                <w:b w:val="0"/>
                <w:sz w:val="20"/>
              </w:rPr>
              <w:t>M1 without tool head</w:t>
            </w:r>
          </w:p>
        </w:tc>
        <w:tc>
          <w:tcPr>
            <w:tcW w:type="dxa" w:w="1701"/>
            <w:vAlign w:val="center"/>
          </w:tcPr>
          <w:p>
            <w:pPr>
              <w:spacing w:after="0"/>
              <w:jc w:val="center"/>
            </w:pPr>
            <w:r/>
            <w:r>
              <w:rPr>
                <w:rFonts w:ascii="Times New Roman" w:hAnsi="Times New Roman" w:eastAsia="Times New Roman"/>
                <w:b w:val="0"/>
                <w:sz w:val="20"/>
              </w:rPr>
              <w:t>0.7651</w:t>
            </w:r>
          </w:p>
        </w:tc>
        <w:tc>
          <w:tcPr>
            <w:tcW w:type="dxa" w:w="4819"/>
            <w:vAlign w:val="center"/>
          </w:tcPr>
          <w:p>
            <w:pPr>
              <w:spacing w:after="0"/>
              <w:jc w:val="center"/>
            </w:pPr>
            <w:r/>
            <w:r>
              <w:rPr>
                <w:rFonts w:ascii="Times New Roman" w:hAnsi="Times New Roman" w:eastAsia="Times New Roman"/>
                <w:b w:val="0"/>
                <w:sz w:val="20"/>
              </w:rPr>
              <w:t>Indicative; shorter training schedule</w:t>
            </w:r>
          </w:p>
        </w:tc>
      </w:tr>
      <w:tr>
        <w:tc>
          <w:tcPr>
            <w:tcW w:type="dxa" w:w="2835"/>
            <w:vAlign w:val="center"/>
          </w:tcPr>
          <w:p>
            <w:pPr>
              <w:spacing w:after="0"/>
              <w:jc w:val="center"/>
            </w:pPr>
            <w:r/>
            <w:r>
              <w:rPr>
                <w:rFonts w:ascii="Times New Roman" w:hAnsi="Times New Roman" w:eastAsia="Times New Roman"/>
                <w:b w:val="0"/>
                <w:sz w:val="20"/>
              </w:rPr>
              <w:t>M1 raw (no smoothing)</w:t>
            </w:r>
          </w:p>
        </w:tc>
        <w:tc>
          <w:tcPr>
            <w:tcW w:type="dxa" w:w="1701"/>
            <w:vAlign w:val="center"/>
          </w:tcPr>
          <w:p>
            <w:pPr>
              <w:spacing w:after="0"/>
              <w:jc w:val="center"/>
            </w:pPr>
            <w:r/>
            <w:r>
              <w:rPr>
                <w:rFonts w:ascii="Times New Roman" w:hAnsi="Times New Roman" w:eastAsia="Times New Roman"/>
                <w:b w:val="0"/>
                <w:sz w:val="20"/>
              </w:rPr>
              <w:t>0.7748</w:t>
            </w:r>
          </w:p>
        </w:tc>
        <w:tc>
          <w:tcPr>
            <w:tcW w:type="dxa" w:w="4819"/>
            <w:vAlign w:val="center"/>
          </w:tcPr>
          <w:p>
            <w:pPr>
              <w:spacing w:after="0"/>
              <w:jc w:val="center"/>
            </w:pPr>
            <w:r/>
            <w:r>
              <w:rPr>
                <w:rFonts w:ascii="Times New Roman" w:hAnsi="Times New Roman" w:eastAsia="Times New Roman"/>
                <w:b w:val="0"/>
                <w:sz w:val="20"/>
              </w:rPr>
              <w:t>Direct comparison; edit score 0.1123</w:t>
            </w:r>
          </w:p>
        </w:tc>
      </w:tr>
      <w:tr>
        <w:tc>
          <w:tcPr>
            <w:tcW w:type="dxa" w:w="2835"/>
            <w:vAlign w:val="center"/>
          </w:tcPr>
          <w:p>
            <w:pPr>
              <w:spacing w:after="0"/>
              <w:jc w:val="center"/>
            </w:pPr>
            <w:r/>
            <w:r>
              <w:rPr>
                <w:rFonts w:ascii="Times New Roman" w:hAnsi="Times New Roman" w:eastAsia="Times New Roman"/>
                <w:b w:val="0"/>
                <w:sz w:val="20"/>
              </w:rPr>
              <w:t>M1 with smoothing</w:t>
            </w:r>
          </w:p>
        </w:tc>
        <w:tc>
          <w:tcPr>
            <w:tcW w:type="dxa" w:w="1701"/>
            <w:vAlign w:val="center"/>
          </w:tcPr>
          <w:p>
            <w:pPr>
              <w:spacing w:after="0"/>
              <w:jc w:val="center"/>
            </w:pPr>
            <w:r/>
            <w:r>
              <w:rPr>
                <w:rFonts w:ascii="Times New Roman" w:hAnsi="Times New Roman" w:eastAsia="Times New Roman"/>
                <w:b w:val="0"/>
                <w:sz w:val="20"/>
              </w:rPr>
              <w:t>0.7811</w:t>
            </w:r>
          </w:p>
        </w:tc>
        <w:tc>
          <w:tcPr>
            <w:tcW w:type="dxa" w:w="4819"/>
            <w:vAlign w:val="center"/>
          </w:tcPr>
          <w:p>
            <w:pPr>
              <w:spacing w:after="0"/>
              <w:jc w:val="center"/>
            </w:pPr>
            <w:r/>
            <w:r>
              <w:rPr>
                <w:rFonts w:ascii="Times New Roman" w:hAnsi="Times New Roman" w:eastAsia="Times New Roman"/>
                <w:b w:val="0"/>
                <w:sz w:val="20"/>
              </w:rPr>
              <w:t>Direct comparison; edit score 0.1520</w:t>
            </w:r>
          </w:p>
        </w:tc>
      </w:tr>
      <w:tr>
        <w:tc>
          <w:tcPr>
            <w:tcW w:type="dxa" w:w="2835"/>
            <w:vAlign w:val="center"/>
          </w:tcPr>
          <w:p>
            <w:pPr>
              <w:spacing w:after="0"/>
              <w:jc w:val="center"/>
            </w:pPr>
            <w:r/>
            <w:r>
              <w:rPr>
                <w:rFonts w:ascii="Times New Roman" w:hAnsi="Times New Roman" w:eastAsia="Times New Roman"/>
                <w:b w:val="0"/>
                <w:sz w:val="20"/>
              </w:rPr>
              <w:t>No class weighting</w:t>
            </w:r>
          </w:p>
        </w:tc>
        <w:tc>
          <w:tcPr>
            <w:tcW w:type="dxa" w:w="1701"/>
            <w:vAlign w:val="center"/>
          </w:tcPr>
          <w:p>
            <w:pPr>
              <w:spacing w:after="0"/>
              <w:jc w:val="center"/>
            </w:pPr>
            <w:r/>
            <w:r>
              <w:rPr>
                <w:rFonts w:ascii="Times New Roman" w:hAnsi="Times New Roman" w:eastAsia="Times New Roman"/>
                <w:b w:val="0"/>
                <w:sz w:val="20"/>
              </w:rPr>
              <w:t>0.7613</w:t>
            </w:r>
          </w:p>
        </w:tc>
        <w:tc>
          <w:tcPr>
            <w:tcW w:type="dxa" w:w="4819"/>
            <w:vAlign w:val="center"/>
          </w:tcPr>
          <w:p>
            <w:pPr>
              <w:spacing w:after="0"/>
              <w:jc w:val="center"/>
            </w:pPr>
            <w:r/>
            <w:r>
              <w:rPr>
                <w:rFonts w:ascii="Times New Roman" w:hAnsi="Times New Roman" w:eastAsia="Times New Roman"/>
                <w:b w:val="0"/>
                <w:sz w:val="20"/>
              </w:rPr>
              <w:t>Inconclusive: weight not wired into loss</w:t>
            </w:r>
          </w:p>
        </w:tc>
      </w:tr>
      <w:tr>
        <w:tc>
          <w:tcPr>
            <w:tcW w:type="dxa" w:w="2835"/>
            <w:vAlign w:val="center"/>
          </w:tcPr>
          <w:p>
            <w:pPr>
              <w:spacing w:after="0"/>
              <w:jc w:val="center"/>
            </w:pPr>
            <w:r/>
            <w:r>
              <w:rPr>
                <w:rFonts w:ascii="Times New Roman" w:hAnsi="Times New Roman" w:eastAsia="Times New Roman"/>
                <w:b w:val="0"/>
                <w:sz w:val="20"/>
              </w:rPr>
              <w:t>Sequence length 16</w:t>
            </w:r>
          </w:p>
        </w:tc>
        <w:tc>
          <w:tcPr>
            <w:tcW w:type="dxa" w:w="1701"/>
            <w:vAlign w:val="center"/>
          </w:tcPr>
          <w:p>
            <w:pPr>
              <w:spacing w:after="0"/>
              <w:jc w:val="center"/>
            </w:pPr>
            <w:r/>
            <w:r>
              <w:rPr>
                <w:rFonts w:ascii="Times New Roman" w:hAnsi="Times New Roman" w:eastAsia="Times New Roman"/>
                <w:b w:val="0"/>
                <w:sz w:val="20"/>
              </w:rPr>
              <w:t>Not yet available</w:t>
            </w:r>
          </w:p>
        </w:tc>
        <w:tc>
          <w:tcPr>
            <w:tcW w:type="dxa" w:w="4819"/>
            <w:vAlign w:val="center"/>
          </w:tcPr>
          <w:p>
            <w:pPr>
              <w:spacing w:after="0"/>
              <w:jc w:val="center"/>
            </w:pPr>
            <w:r/>
            <w:r>
              <w:rPr>
                <w:rFonts w:ascii="Times New Roman" w:hAnsi="Times New Roman" w:eastAsia="Times New Roman"/>
                <w:b w:val="0"/>
                <w:sz w:val="20"/>
              </w:rPr>
              <w:t>Training/evaluation pending</w:t>
            </w:r>
          </w:p>
        </w:tc>
      </w:tr>
    </w:tbl>
    <w:p/>
    <w:p>
      <w:r>
        <w:t>In a supplementary ensemble output, validation-F1-weighted softmax averaging followed by smoothing produced accuracy 0.8635, macro-F1 0.8094 and edit score 0.1888. This confirms that ensembling is feasible in the pipeline. Because this output was generated as a separate evaluation artefact, the most defensible main conclusion remains the ranking of the individually evaluated models in Table 1.</w:t>
      </w:r>
    </w:p>
    <w:p>
      <w:pPr>
        <w:pStyle w:val="Heading2"/>
      </w:pPr>
      <w:r>
        <w:t>2. Discussion</w:t>
      </w:r>
    </w:p>
    <w:p>
      <w:r>
        <w:t>Within the implemented setting, the attention-based temporal model is the most successful of the three tested alternatives. Its macro-F1 exceeds the recurrent baseline by 0.0342 and the temporal convolutional model by 0.0670 after smoothing. This observation is consistent with the motivation of Transformer-based surgical workflow work such as Trans-SVNet [6], but it should be interpreted as evidence for this dataset and resource budget, not as proof that one architecture is universally superior.</w:t>
      </w:r>
    </w:p>
    <w:p>
      <w:r>
        <w:t>Temporal smoothing has a clear and reproducible effect because it compares two post-processing choices applied to the same M1 predictions. It raises macro-F1 from 0.7748 to 0.7811, while the larger relative change is in edit score, from 0.1123 to 0.1520. This pattern is reasonable for surgical workflows: isolated one-frame label changes may not strongly alter frame accuracy, but they create implausible extra segments. A median filter is therefore a useful baseline, although a causal smoothing method would be required for real-time use.</w:t>
      </w:r>
    </w:p>
    <w:p>
      <w:r>
        <w:t>The tool-head run suggests a possible benefit from auxiliary instrument learning, but the result must be phrased carefully. The no-tool run was trained with the shorter ablation schedule, whereas the main M1 result used the full schedule. A matched-duration rerun is required before assigning the full difference to tool supervision. More importantly, implementation review invalidated the intended class-weight experiment: although a utility function and configuration option exist, the loss created in the training code does not receive those weights. Reporting this fault is part of the scientific result, because it prevents an incorrect conclusion from being presented as experimental evidence.</w:t>
      </w:r>
    </w:p>
    <w:p>
      <w:r>
        <w:t>The study has further limitations. It assesses one operation type and one public dataset, so generalisation to other hospitals or procedures is unknown. It samples at one frame per second and uses eight-frame context for the main comparison, which may miss short actions. Hardware restrictions limit batch size and model scale. Finally, the system has not been evaluated prospectively in an operating room and must not be regarded as a clinical decision-support tool.</w:t>
      </w:r>
    </w:p>
    <w:p>
      <w:pPr>
        <w:pStyle w:val="Heading1"/>
      </w:pPr>
      <w:r>
        <w:t>V/ CONCLUSION &amp; PERSPECTIVE</w:t>
      </w:r>
    </w:p>
    <w:p>
      <w:r>
        <w:t>This study implemented and evaluated three temporal deep-learning approaches for seven-phase recognition in laparoscopic cholecystectomy videos. On the Cholec80 held-out test set, Swin-Tiny with a temporal Transformer achieved the best verified individual-model result, with smoothed accuracy 0.8623 and macro-F1 0.8153. The results also show that simple median smoothing substantially improves sequence edit quality, while code audit prevented an invalid class-weight ablation from being over-interpreted.</w:t>
      </w:r>
    </w:p>
    <w:p>
      <w:r>
        <w:t>The immediate next steps are to connect computed class weights correctly to the loss and repeat that ablation, complete and evaluate the sixteen-frame context run, and rerun tool-head comparisons with matched training schedules. Later work should test calibration and uncertainty reporting, causal temporal refinement suitable for online inference, and external validation on additional surgical-video datasets. These steps are necessary before considering any clinical application.</w:t>
      </w:r>
    </w:p>
    <w:p>
      <w:pPr>
        <w:pStyle w:val="Heading1"/>
      </w:pPr>
      <w:r>
        <w:t>REFERENCES</w:t>
      </w:r>
    </w:p>
    <w:p>
      <w:pPr>
        <w:ind w:hanging="340" w:left="340"/>
      </w:pPr>
      <w:r>
        <w:t>[1] Maier-Hein, L. et al. (2017). Surgical data science for next-generation interventions. Nature Biomedical Engineering, 1, 691-696.</w:t>
      </w:r>
    </w:p>
    <w:p>
      <w:pPr>
        <w:ind w:hanging="340" w:left="340"/>
      </w:pPr>
      <w:r>
        <w:t>[2] Vedula, S. S., Ishii, M., &amp; Hager, G. D. (2017). Objective assessment of surgical technical skill and competency in the operating room. Annual Review of Biomedical Engineering, 19, 301-325.</w:t>
      </w:r>
    </w:p>
    <w:p>
      <w:pPr>
        <w:ind w:hanging="340" w:left="340"/>
      </w:pPr>
      <w:r>
        <w:t>[3] Twinanda, A. P. et al. (2017). EndoNet: A deep architecture for recognition tasks on laparoscopic videos. IEEE Transactions on Medical Imaging, 36(1), 86-97. https://doi.org/10.1109/TMI.2016.2593957</w:t>
      </w:r>
    </w:p>
    <w:p>
      <w:pPr>
        <w:ind w:hanging="340" w:left="340"/>
      </w:pPr>
      <w:r>
        <w:t>[4] Jin, Y. et al. (2018). SV-RCNet: Workflow recognition from surgical videos using recurrent convolutional network. IEEE Transactions on Medical Imaging, 37(5), 1114-1126.</w:t>
      </w:r>
    </w:p>
    <w:p>
      <w:pPr>
        <w:ind w:hanging="340" w:left="340"/>
      </w:pPr>
      <w:r>
        <w:t>[5] Czempiel, T. et al. (2020). TeCNO: Surgical phase recognition with multi-stage temporal convolutional networks. In MICCAI 2020, 343-352.</w:t>
      </w:r>
    </w:p>
    <w:p>
      <w:pPr>
        <w:ind w:hanging="340" w:left="340"/>
      </w:pPr>
      <w:r>
        <w:t>[6] Gao, X., Jin, Y., Long, Y., Dou, Q., &amp; Heng, P.-A. (2021). Trans-SVNet: Accurate phase recognition from surgical videos via hybrid embedding aggregation Transformer. In MICCAI 2021, 593-603. https://doi.org/10.1007/978-3-030-87202-1_57</w:t>
      </w:r>
    </w:p>
    <w:p>
      <w:pPr>
        <w:ind w:hanging="340" w:left="340"/>
      </w:pPr>
      <w:r>
        <w:t>[7] He, K., Zhang, X., Ren, S., &amp; Sun, J. (2016). Deep residual learning for image recognition. In CVPR, 770-778.</w:t>
      </w:r>
    </w:p>
    <w:p>
      <w:pPr>
        <w:ind w:hanging="340" w:left="340"/>
      </w:pPr>
      <w:r>
        <w:t>[8] Tan, M., &amp; Le, Q. V. (2019). EfficientNet: Rethinking model scaling for convolutional neural networks. In ICML, 6105-6114.</w:t>
      </w:r>
    </w:p>
    <w:p>
      <w:pPr>
        <w:ind w:hanging="340" w:left="340"/>
      </w:pPr>
      <w:r>
        <w:t>[9] Liu, Z. et al. (2021). Swin Transformer: Hierarchical vision Transformer using shifted windows. In ICCV, 10012-10022.</w:t>
      </w:r>
    </w:p>
    <w:p>
      <w:pPr>
        <w:ind w:hanging="340" w:left="340"/>
      </w:pPr>
      <w:r>
        <w:t>[10] Loshchilov, I., &amp; Hutter, F. (2019). Decoupled weight decay regularization. In ICLR.</w:t>
      </w:r>
    </w:p>
    <w:sectPr w:rsidR="00FC693F" w:rsidRPr="0006063C" w:rsidSect="00034616">
      <w:footerReference w:type="default" r:id="rId9"/>
      <w:pgSz w:w="11906" w:h="16838"/>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454"/>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