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240"/>
          <w:sz w:val="36"/>
        </w:rPr>
        <w:t>MASTER SCRIPT &amp; CINEMATOGRAPHIC STORYBOARD</w:t>
        <w:br/>
        <w:t>OFFICIAL 3-MINUTE VIDEO PITCH</w:t>
      </w:r>
    </w:p>
    <w:p>
      <w:pPr>
        <w:jc w:val="center"/>
      </w:pPr>
      <w:r>
        <w:rPr>
          <w:rFonts w:ascii="Arial" w:hAnsi="Arial"/>
          <w:i/>
          <w:color w:val="505A69"/>
          <w:sz w:val="22"/>
        </w:rPr>
        <w:t>Rare Disease Global Hackathon 2026 | Sage Bionetworks • MVA Society • Hugging Face • BEACON</w:t>
      </w:r>
    </w:p>
    <w:tbl>
      <w:tblPr>
        <w:tblW w:type="auto" w:w="0"/>
        <w:jc w:val="center"/>
        <w:tblLayout w:type="fixed"/>
        <w:tblLook w:firstColumn="1" w:firstRow="1" w:lastColumn="0" w:lastRow="0" w:noHBand="0" w:noVBand="1" w:val="04A0"/>
      </w:tblPr>
      <w:tblGrid>
        <w:gridCol w:w="4968"/>
        <w:gridCol w:w="4968"/>
      </w:tblGrid>
      <w:tr>
        <w:tc>
          <w:tcPr>
            <w:tcW w:type="dxa" w:w="3312"/>
            <w:shd w:fill="F0F4F8"/>
            <w:tcMar>
              <w:top w:w="120" w:type="dxa"/>
              <w:bottom w:w="120" w:type="dxa"/>
              <w:left w:w="150" w:type="dxa"/>
              <w:right w:w="150" w:type="dxa"/>
            </w:tcMar>
          </w:tcPr>
          <w:p>
            <w:r>
              <w:rPr>
                <w:rFonts w:ascii="Arial" w:hAnsi="Arial"/>
                <w:b/>
                <w:color w:val="142D55"/>
                <w:sz w:val="19"/>
              </w:rPr>
              <w:t>Principal Investigator &amp; Presenter:</w:t>
            </w:r>
          </w:p>
        </w:tc>
        <w:tc>
          <w:tcPr>
            <w:tcW w:type="dxa" w:w="6624"/>
            <w:shd w:fill="FAFCFD"/>
            <w:tcMar>
              <w:top w:w="120" w:type="dxa"/>
              <w:bottom w:w="120" w:type="dxa"/>
              <w:left w:w="150" w:type="dxa"/>
              <w:right w:w="150" w:type="dxa"/>
            </w:tcMar>
          </w:tcPr>
          <w:p>
            <w:r>
              <w:rPr>
                <w:rFonts w:ascii="Arial" w:hAnsi="Arial"/>
                <w:color w:val="282828"/>
                <w:sz w:val="19"/>
              </w:rPr>
              <w:t>Dr. Daniel Antonio Ojeda, MD</w:t>
              <w:br/>
              <w:t>Specialist in Internal Medicine (ULA - IAHULA)</w:t>
              <w:br/>
              <w:t>Attending Physician, Adult Emergency Department (IAHULA)</w:t>
            </w:r>
          </w:p>
        </w:tc>
      </w:tr>
      <w:tr>
        <w:tc>
          <w:tcPr>
            <w:tcW w:type="dxa" w:w="3312"/>
            <w:shd w:fill="F0F4F8"/>
            <w:tcMar>
              <w:top w:w="120" w:type="dxa"/>
              <w:bottom w:w="120" w:type="dxa"/>
              <w:left w:w="150" w:type="dxa"/>
              <w:right w:w="150" w:type="dxa"/>
            </w:tcMar>
          </w:tcPr>
          <w:p>
            <w:r>
              <w:rPr>
                <w:rFonts w:ascii="Arial" w:hAnsi="Arial"/>
                <w:b/>
                <w:color w:val="142D55"/>
                <w:sz w:val="19"/>
              </w:rPr>
              <w:t>Official Credentials:</w:t>
            </w:r>
          </w:p>
        </w:tc>
        <w:tc>
          <w:tcPr>
            <w:tcW w:type="dxa" w:w="6624"/>
            <w:shd w:fill="FAFCFD"/>
            <w:tcMar>
              <w:top w:w="120" w:type="dxa"/>
              <w:bottom w:w="120" w:type="dxa"/>
              <w:left w:w="150" w:type="dxa"/>
              <w:right w:w="150" w:type="dxa"/>
            </w:tcMar>
          </w:tcPr>
          <w:p>
            <w:r>
              <w:rPr>
                <w:rFonts w:ascii="Arial" w:hAnsi="Arial"/>
                <w:color w:val="282828"/>
                <w:sz w:val="19"/>
              </w:rPr>
              <w:t>C.I. 24.135.187 | MPPS 152.340 | CMC 6.249 | Mérida, Venezuela</w:t>
            </w:r>
          </w:p>
        </w:tc>
      </w:tr>
      <w:tr>
        <w:tc>
          <w:tcPr>
            <w:tcW w:type="dxa" w:w="3312"/>
            <w:shd w:fill="F0F4F8"/>
            <w:tcMar>
              <w:top w:w="120" w:type="dxa"/>
              <w:bottom w:w="120" w:type="dxa"/>
              <w:left w:w="150" w:type="dxa"/>
              <w:right w:w="150" w:type="dxa"/>
            </w:tcMar>
          </w:tcPr>
          <w:p>
            <w:r>
              <w:rPr>
                <w:rFonts w:ascii="Arial" w:hAnsi="Arial"/>
                <w:b/>
                <w:color w:val="142D55"/>
                <w:sz w:val="19"/>
              </w:rPr>
              <w:t>Exact Running Time &amp; Format:</w:t>
            </w:r>
          </w:p>
        </w:tc>
        <w:tc>
          <w:tcPr>
            <w:tcW w:type="dxa" w:w="6624"/>
            <w:shd w:fill="FAFCFD"/>
            <w:tcMar>
              <w:top w:w="120" w:type="dxa"/>
              <w:bottom w:w="120" w:type="dxa"/>
              <w:left w:w="150" w:type="dxa"/>
              <w:right w:w="150" w:type="dxa"/>
            </w:tcMar>
          </w:tcPr>
          <w:p>
            <w:r>
              <w:rPr>
                <w:rFonts w:ascii="Arial" w:hAnsi="Arial"/>
                <w:color w:val="282828"/>
                <w:sz w:val="19"/>
              </w:rPr>
              <w:t>Exactly 180 Seconds (3:00 min) | 16:9 Widescreen (1080p / 4K at 60 fps)</w:t>
            </w:r>
          </w:p>
        </w:tc>
      </w:tr>
      <w:tr>
        <w:tc>
          <w:tcPr>
            <w:tcW w:type="dxa" w:w="3312"/>
            <w:shd w:fill="F0F4F8"/>
            <w:tcMar>
              <w:top w:w="120" w:type="dxa"/>
              <w:bottom w:w="120" w:type="dxa"/>
              <w:left w:w="150" w:type="dxa"/>
              <w:right w:w="150" w:type="dxa"/>
            </w:tcMar>
          </w:tcPr>
          <w:p>
            <w:r>
              <w:rPr>
                <w:rFonts w:ascii="Arial" w:hAnsi="Arial"/>
                <w:b/>
                <w:color w:val="142D55"/>
                <w:sz w:val="19"/>
              </w:rPr>
              <w:t>Screen Composition (Split-Screen):</w:t>
            </w:r>
          </w:p>
        </w:tc>
        <w:tc>
          <w:tcPr>
            <w:tcW w:type="dxa" w:w="6624"/>
            <w:shd w:fill="FAFCFD"/>
            <w:tcMar>
              <w:top w:w="120" w:type="dxa"/>
              <w:bottom w:w="120" w:type="dxa"/>
              <w:left w:w="150" w:type="dxa"/>
              <w:right w:w="150" w:type="dxa"/>
            </w:tcMar>
          </w:tcPr>
          <w:p>
            <w:r>
              <w:rPr>
                <w:rFonts w:ascii="Arial" w:hAnsi="Arial"/>
                <w:color w:val="282828"/>
                <w:sz w:val="19"/>
              </w:rPr>
              <w:t>• Lower Zone (45%): Dr. Daniel Ojeda on camera in official medical coat (MCU).</w:t>
              <w:br/>
              <w:t>• Upper Zone (55%): 3D Motion Graphics of molecules, binding affinities, and cellular pathways.</w:t>
            </w:r>
          </w:p>
        </w:tc>
      </w:tr>
      <w:tr>
        <w:tc>
          <w:tcPr>
            <w:tcW w:type="dxa" w:w="3312"/>
            <w:shd w:fill="F0F4F8"/>
            <w:tcMar>
              <w:top w:w="120" w:type="dxa"/>
              <w:bottom w:w="120" w:type="dxa"/>
              <w:left w:w="150" w:type="dxa"/>
              <w:right w:w="150" w:type="dxa"/>
            </w:tcMar>
          </w:tcPr>
          <w:p>
            <w:r>
              <w:rPr>
                <w:rFonts w:ascii="Arial" w:hAnsi="Arial"/>
                <w:b/>
                <w:color w:val="142D55"/>
                <w:sz w:val="19"/>
              </w:rPr>
              <w:t>AI Computational Disclosure:</w:t>
            </w:r>
          </w:p>
        </w:tc>
        <w:tc>
          <w:tcPr>
            <w:tcW w:type="dxa" w:w="6624"/>
            <w:shd w:fill="FAFCFD"/>
            <w:tcMar>
              <w:top w:w="120" w:type="dxa"/>
              <w:bottom w:w="120" w:type="dxa"/>
              <w:left w:w="150" w:type="dxa"/>
              <w:right w:w="150" w:type="dxa"/>
            </w:tcMar>
          </w:tcPr>
          <w:p>
            <w:r>
              <w:rPr>
                <w:rFonts w:ascii="Arial" w:hAnsi="Arial"/>
                <w:color w:val="282828"/>
                <w:sz w:val="19"/>
              </w:rPr>
              <w:t>Google DeepMind Antigravity (gemini-3.8-flash &amp; gemini-4-argon) | Enterprise Zero Data Retention</w:t>
            </w:r>
          </w:p>
        </w:tc>
      </w:tr>
    </w:tbl>
    <w:p/>
    <w:p>
      <w:r>
        <w:rPr>
          <w:rFonts w:ascii="Arial" w:hAnsi="Arial"/>
          <w:b/>
          <w:color w:val="0F2240"/>
          <w:sz w:val="26"/>
        </w:rPr>
        <w:t>1. Chronological Timeline and Timecode Breakdown (180 Seconds)</w:t>
      </w:r>
    </w:p>
    <w:tbl>
      <w:tblPr>
        <w:tblW w:type="auto" w:w="0"/>
        <w:jc w:val="center"/>
        <w:tblLayout w:type="fixed"/>
        <w:tblLook w:firstColumn="1" w:firstRow="1" w:lastColumn="0" w:lastRow="0" w:noHBand="0" w:noVBand="1" w:val="04A0"/>
      </w:tblPr>
      <w:tblGrid>
        <w:gridCol w:w="3312"/>
        <w:gridCol w:w="3312"/>
        <w:gridCol w:w="3312"/>
      </w:tblGrid>
      <w:tr>
        <w:tc>
          <w:tcPr>
            <w:tcW w:type="dxa" w:w="1872"/>
            <w:shd w:fill="1F497D"/>
            <w:tcMar>
              <w:top w:w="140" w:type="dxa"/>
              <w:bottom w:w="140" w:type="dxa"/>
              <w:left w:w="150" w:type="dxa"/>
              <w:right w:w="150" w:type="dxa"/>
            </w:tcMar>
          </w:tcPr>
          <w:p>
            <w:r>
              <w:rPr>
                <w:rFonts w:ascii="Arial" w:hAnsi="Arial"/>
                <w:b/>
                <w:color w:val="FFFFFF"/>
                <w:sz w:val="20"/>
              </w:rPr>
              <w:t>Timecode</w:t>
            </w:r>
          </w:p>
        </w:tc>
        <w:tc>
          <w:tcPr>
            <w:tcW w:type="dxa" w:w="4608"/>
            <w:shd w:fill="1F497D"/>
            <w:tcMar>
              <w:top w:w="140" w:type="dxa"/>
              <w:bottom w:w="140" w:type="dxa"/>
              <w:left w:w="150" w:type="dxa"/>
              <w:right w:w="150" w:type="dxa"/>
            </w:tcMar>
          </w:tcPr>
          <w:p>
            <w:r>
              <w:rPr>
                <w:rFonts w:ascii="Arial" w:hAnsi="Arial"/>
                <w:b/>
                <w:color w:val="FFFFFF"/>
                <w:sz w:val="20"/>
              </w:rPr>
              <w:t>Thematic Block</w:t>
            </w:r>
          </w:p>
        </w:tc>
        <w:tc>
          <w:tcPr>
            <w:tcW w:type="dxa" w:w="3456"/>
            <w:shd w:fill="1F497D"/>
            <w:tcMar>
              <w:top w:w="140" w:type="dxa"/>
              <w:bottom w:w="140" w:type="dxa"/>
              <w:left w:w="150" w:type="dxa"/>
              <w:right w:w="150" w:type="dxa"/>
            </w:tcMar>
          </w:tcPr>
          <w:p>
            <w:r>
              <w:rPr>
                <w:rFonts w:ascii="Arial" w:hAnsi="Arial"/>
                <w:b/>
                <w:color w:val="FFFFFF"/>
                <w:sz w:val="20"/>
              </w:rPr>
              <w:t>Scientific &amp; Clinical Focus</w:t>
            </w:r>
          </w:p>
        </w:tc>
      </w:tr>
      <w:tr>
        <w:tc>
          <w:tcPr>
            <w:tcW w:type="dxa" w:w="1872"/>
            <w:shd w:fill="F5F8FC"/>
            <w:tcMar>
              <w:top w:w="100" w:type="dxa"/>
              <w:bottom w:w="100" w:type="dxa"/>
              <w:left w:w="150" w:type="dxa"/>
              <w:right w:w="150" w:type="dxa"/>
            </w:tcMar>
          </w:tcPr>
          <w:p>
            <w:r>
              <w:rPr>
                <w:rFonts w:ascii="Arial" w:hAnsi="Arial"/>
                <w:b/>
                <w:color w:val="1F497D"/>
                <w:sz w:val="18"/>
              </w:rPr>
              <w:t>00:00 - 00:30 (30s)</w:t>
            </w:r>
          </w:p>
        </w:tc>
        <w:tc>
          <w:tcPr>
            <w:tcW w:type="dxa" w:w="4608"/>
            <w:shd w:fill="F5F8FC"/>
            <w:tcMar>
              <w:top w:w="100" w:type="dxa"/>
              <w:bottom w:w="100" w:type="dxa"/>
              <w:left w:w="150" w:type="dxa"/>
              <w:right w:w="150" w:type="dxa"/>
            </w:tcMar>
          </w:tcPr>
          <w:p>
            <w:r>
              <w:rPr>
                <w:rFonts w:ascii="Arial" w:hAnsi="Arial"/>
                <w:sz w:val="18"/>
              </w:rPr>
              <w:t>BLOCK 1: The Pediatric Clinical Challenge</w:t>
            </w:r>
          </w:p>
        </w:tc>
        <w:tc>
          <w:tcPr>
            <w:tcW w:type="dxa" w:w="3456"/>
            <w:shd w:fill="F5F8FC"/>
            <w:tcMar>
              <w:top w:w="100" w:type="dxa"/>
              <w:bottom w:w="100" w:type="dxa"/>
              <w:left w:w="150" w:type="dxa"/>
              <w:right w:w="150" w:type="dxa"/>
            </w:tcMar>
          </w:tcPr>
          <w:p>
            <w:r>
              <w:rPr>
                <w:rFonts w:ascii="Arial" w:hAnsi="Arial"/>
                <w:sz w:val="18"/>
              </w:rPr>
              <w:t>MVA cardinal triad: Extreme microcephaly, nephrocalcinosis, and rhabdomyosarcoma</w:t>
            </w:r>
          </w:p>
        </w:tc>
      </w:tr>
      <w:tr>
        <w:tc>
          <w:tcPr>
            <w:tcW w:type="dxa" w:w="1872"/>
            <w:shd w:fill="FFFFFF"/>
            <w:tcMar>
              <w:top w:w="100" w:type="dxa"/>
              <w:bottom w:w="100" w:type="dxa"/>
              <w:left w:w="150" w:type="dxa"/>
              <w:right w:w="150" w:type="dxa"/>
            </w:tcMar>
          </w:tcPr>
          <w:p>
            <w:r>
              <w:rPr>
                <w:rFonts w:ascii="Arial" w:hAnsi="Arial"/>
                <w:b/>
                <w:color w:val="1F497D"/>
                <w:sz w:val="18"/>
              </w:rPr>
              <w:t>00:30 - 00:55 (25s)</w:t>
            </w:r>
          </w:p>
        </w:tc>
        <w:tc>
          <w:tcPr>
            <w:tcW w:type="dxa" w:w="4608"/>
            <w:shd w:fill="FFFFFF"/>
            <w:tcMar>
              <w:top w:w="100" w:type="dxa"/>
              <w:bottom w:w="100" w:type="dxa"/>
              <w:left w:w="150" w:type="dxa"/>
              <w:right w:w="150" w:type="dxa"/>
            </w:tcMar>
          </w:tcPr>
          <w:p>
            <w:r>
              <w:rPr>
                <w:rFonts w:ascii="Arial" w:hAnsi="Arial"/>
                <w:sz w:val="18"/>
              </w:rPr>
              <w:t>BLOCK 2: 85 GB WGS (4 Lanes) &amp; AI Triad</w:t>
            </w:r>
          </w:p>
        </w:tc>
        <w:tc>
          <w:tcPr>
            <w:tcW w:type="dxa" w:w="3456"/>
            <w:shd w:fill="FFFFFF"/>
            <w:tcMar>
              <w:top w:w="100" w:type="dxa"/>
              <w:bottom w:w="100" w:type="dxa"/>
              <w:left w:w="150" w:type="dxa"/>
              <w:right w:w="150" w:type="dxa"/>
            </w:tcMar>
          </w:tcPr>
          <w:p>
            <w:r>
              <w:rPr>
                <w:rFonts w:ascii="Arial" w:hAnsi="Arial"/>
                <w:sz w:val="18"/>
              </w:rPr>
              <w:t>AlphaGenome, AlphaMissense, Evo 2 resolving BUB1B, CENPE, and homozygous WT1</w:t>
            </w:r>
          </w:p>
        </w:tc>
      </w:tr>
      <w:tr>
        <w:tc>
          <w:tcPr>
            <w:tcW w:type="dxa" w:w="1872"/>
            <w:shd w:fill="F5F8FC"/>
            <w:tcMar>
              <w:top w:w="100" w:type="dxa"/>
              <w:bottom w:w="100" w:type="dxa"/>
              <w:left w:w="150" w:type="dxa"/>
              <w:right w:w="150" w:type="dxa"/>
            </w:tcMar>
          </w:tcPr>
          <w:p>
            <w:r>
              <w:rPr>
                <w:rFonts w:ascii="Arial" w:hAnsi="Arial"/>
                <w:b/>
                <w:color w:val="1F497D"/>
                <w:sz w:val="18"/>
              </w:rPr>
              <w:t>00:55 - 01:30 (35s)</w:t>
            </w:r>
          </w:p>
        </w:tc>
        <w:tc>
          <w:tcPr>
            <w:tcW w:type="dxa" w:w="4608"/>
            <w:shd w:fill="F5F8FC"/>
            <w:tcMar>
              <w:top w:w="100" w:type="dxa"/>
              <w:bottom w:w="100" w:type="dxa"/>
              <w:left w:w="150" w:type="dxa"/>
              <w:right w:w="150" w:type="dxa"/>
            </w:tcMar>
          </w:tcPr>
          <w:p>
            <w:r>
              <w:rPr>
                <w:rFonts w:ascii="Arial" w:hAnsi="Arial"/>
                <w:sz w:val="18"/>
              </w:rPr>
              <w:t>BLOCK 3: De Novo Lead Pharmacology (Axes 1 &amp; 2)</w:t>
            </w:r>
          </w:p>
        </w:tc>
        <w:tc>
          <w:tcPr>
            <w:tcW w:type="dxa" w:w="3456"/>
            <w:shd w:fill="F5F8FC"/>
            <w:tcMar>
              <w:top w:w="100" w:type="dxa"/>
              <w:bottom w:w="100" w:type="dxa"/>
              <w:left w:w="150" w:type="dxa"/>
              <w:right w:w="150" w:type="dxa"/>
            </w:tcMar>
          </w:tcPr>
          <w:p>
            <w:r>
              <w:rPr>
                <w:rFonts w:ascii="Arial" w:hAnsi="Arial"/>
                <w:sz w:val="18"/>
              </w:rPr>
              <w:t>Veltrysinib Alpha (WEE1 synthetic lethality) and MVA-PRO-01 (platelet-sparing PROTAC)</w:t>
            </w:r>
          </w:p>
        </w:tc>
      </w:tr>
      <w:tr>
        <w:tc>
          <w:tcPr>
            <w:tcW w:type="dxa" w:w="1872"/>
            <w:shd w:fill="FFFFFF"/>
            <w:tcMar>
              <w:top w:w="100" w:type="dxa"/>
              <w:bottom w:w="100" w:type="dxa"/>
              <w:left w:w="150" w:type="dxa"/>
              <w:right w:w="150" w:type="dxa"/>
            </w:tcMar>
          </w:tcPr>
          <w:p>
            <w:r>
              <w:rPr>
                <w:rFonts w:ascii="Arial" w:hAnsi="Arial"/>
                <w:b/>
                <w:color w:val="1F497D"/>
                <w:sz w:val="18"/>
              </w:rPr>
              <w:t>01:30 - 02:15 (45s)</w:t>
            </w:r>
          </w:p>
        </w:tc>
        <w:tc>
          <w:tcPr>
            <w:tcW w:type="dxa" w:w="4608"/>
            <w:shd w:fill="FFFFFF"/>
            <w:tcMar>
              <w:top w:w="100" w:type="dxa"/>
              <w:bottom w:w="100" w:type="dxa"/>
              <w:left w:w="150" w:type="dxa"/>
              <w:right w:w="150" w:type="dxa"/>
            </w:tcMar>
          </w:tcPr>
          <w:p>
            <w:r>
              <w:rPr>
                <w:rFonts w:ascii="Arial" w:hAnsi="Arial"/>
                <w:sz w:val="18"/>
              </w:rPr>
              <w:t>BLOCK 4: Neuroprotection &amp; Axolotl Peptides</w:t>
            </w:r>
          </w:p>
        </w:tc>
        <w:tc>
          <w:tcPr>
            <w:tcW w:type="dxa" w:w="3456"/>
            <w:shd w:fill="FFFFFF"/>
            <w:tcMar>
              <w:top w:w="100" w:type="dxa"/>
              <w:bottom w:w="100" w:type="dxa"/>
              <w:left w:w="150" w:type="dxa"/>
              <w:right w:w="150" w:type="dxa"/>
            </w:tcMar>
          </w:tcPr>
          <w:p>
            <w:r>
              <w:rPr>
                <w:rFonts w:ascii="Arial" w:hAnsi="Arial"/>
                <w:sz w:val="18"/>
              </w:rPr>
              <w:t>Sting-Block C91 (CNS+) and Peptides P1/P12/P13 (SFN/RB1 rescue &amp; anti-MRSA)</w:t>
            </w:r>
          </w:p>
        </w:tc>
      </w:tr>
      <w:tr>
        <w:tc>
          <w:tcPr>
            <w:tcW w:type="dxa" w:w="1872"/>
            <w:shd w:fill="F5F8FC"/>
            <w:tcMar>
              <w:top w:w="100" w:type="dxa"/>
              <w:bottom w:w="100" w:type="dxa"/>
              <w:left w:w="150" w:type="dxa"/>
              <w:right w:w="150" w:type="dxa"/>
            </w:tcMar>
          </w:tcPr>
          <w:p>
            <w:r>
              <w:rPr>
                <w:rFonts w:ascii="Arial" w:hAnsi="Arial"/>
                <w:b/>
                <w:color w:val="1F497D"/>
                <w:sz w:val="18"/>
              </w:rPr>
              <w:t>02:15 - 02:40 (25s)</w:t>
            </w:r>
          </w:p>
        </w:tc>
        <w:tc>
          <w:tcPr>
            <w:tcW w:type="dxa" w:w="4608"/>
            <w:shd w:fill="F5F8FC"/>
            <w:tcMar>
              <w:top w:w="100" w:type="dxa"/>
              <w:bottom w:w="100" w:type="dxa"/>
              <w:left w:w="150" w:type="dxa"/>
              <w:right w:w="150" w:type="dxa"/>
            </w:tcMar>
          </w:tcPr>
          <w:p>
            <w:r>
              <w:rPr>
                <w:rFonts w:ascii="Arial" w:hAnsi="Arial"/>
                <w:sz w:val="18"/>
              </w:rPr>
              <w:t>BLOCK 5: Four-Pillar Curative Roadmap</w:t>
            </w:r>
          </w:p>
        </w:tc>
        <w:tc>
          <w:tcPr>
            <w:tcW w:type="dxa" w:w="3456"/>
            <w:shd w:fill="F5F8FC"/>
            <w:tcMar>
              <w:top w:w="100" w:type="dxa"/>
              <w:bottom w:w="100" w:type="dxa"/>
              <w:left w:w="150" w:type="dxa"/>
              <w:right w:w="150" w:type="dxa"/>
            </w:tcMar>
          </w:tcPr>
          <w:p>
            <w:r>
              <w:rPr>
                <w:rFonts w:ascii="Arial" w:hAnsi="Arial"/>
                <w:sz w:val="18"/>
              </w:rPr>
              <w:t>Adenine Base Editing (ABE8e), Prime Editing, and non-viral extrahepatic SORT-LNPs</w:t>
            </w:r>
          </w:p>
        </w:tc>
      </w:tr>
      <w:tr>
        <w:tc>
          <w:tcPr>
            <w:tcW w:type="dxa" w:w="1872"/>
            <w:shd w:fill="FFFFFF"/>
            <w:tcMar>
              <w:top w:w="100" w:type="dxa"/>
              <w:bottom w:w="100" w:type="dxa"/>
              <w:left w:w="150" w:type="dxa"/>
              <w:right w:w="150" w:type="dxa"/>
            </w:tcMar>
          </w:tcPr>
          <w:p>
            <w:r>
              <w:rPr>
                <w:rFonts w:ascii="Arial" w:hAnsi="Arial"/>
                <w:b/>
                <w:color w:val="1F497D"/>
                <w:sz w:val="18"/>
              </w:rPr>
              <w:t>02:40 - 03:00 (20s)</w:t>
            </w:r>
          </w:p>
        </w:tc>
        <w:tc>
          <w:tcPr>
            <w:tcW w:type="dxa" w:w="4608"/>
            <w:shd w:fill="FFFFFF"/>
            <w:tcMar>
              <w:top w:w="100" w:type="dxa"/>
              <w:bottom w:w="100" w:type="dxa"/>
              <w:left w:w="150" w:type="dxa"/>
              <w:right w:w="150" w:type="dxa"/>
            </w:tcMar>
          </w:tcPr>
          <w:p>
            <w:r>
              <w:rPr>
                <w:rFonts w:ascii="Arial" w:hAnsi="Arial"/>
                <w:sz w:val="18"/>
              </w:rPr>
              <w:t>BLOCK 6: AI Disclosure, Ethics, and Institutional Close</w:t>
            </w:r>
          </w:p>
        </w:tc>
        <w:tc>
          <w:tcPr>
            <w:tcW w:type="dxa" w:w="3456"/>
            <w:shd w:fill="FFFFFF"/>
            <w:tcMar>
              <w:top w:w="100" w:type="dxa"/>
              <w:bottom w:w="100" w:type="dxa"/>
              <w:left w:w="150" w:type="dxa"/>
              <w:right w:w="150" w:type="dxa"/>
            </w:tcMar>
          </w:tcPr>
          <w:p>
            <w:r>
              <w:rPr>
                <w:rFonts w:ascii="Arial" w:hAnsi="Arial"/>
                <w:sz w:val="18"/>
              </w:rPr>
              <w:t>Gemini 3.8 Flash &amp; 4 Argon in Antigravity, ULA-IAHULA academic commitment</w:t>
            </w:r>
          </w:p>
        </w:tc>
      </w:tr>
    </w:tbl>
    <w:p/>
    <w:p>
      <w:r>
        <w:rPr>
          <w:rFonts w:ascii="Arial" w:hAnsi="Arial"/>
          <w:b/>
          <w:color w:val="0F2240"/>
          <w:sz w:val="26"/>
        </w:rPr>
        <w:t>2. Scene-by-Scene Production Guide: Visual Storyboard &amp; Teleprompter</w:t>
      </w:r>
    </w:p>
    <w:p>
      <w:r>
        <w:rPr>
          <w:rFonts w:ascii="Arial" w:hAnsi="Arial"/>
          <w:b/>
          <w:color w:val="1F497D"/>
          <w:sz w:val="23"/>
        </w:rPr>
        <w:t>Scene 1: The Pediatric Clinical Challenge and Unifying Triad</w:t>
      </w:r>
    </w:p>
    <w:p>
      <w:r>
        <w:rPr>
          <w:rFonts w:ascii="Arial" w:hAnsi="Arial"/>
          <w:b/>
          <w:color w:val="B45000"/>
          <w:sz w:val="19"/>
        </w:rPr>
        <w:t>⏱ Timecode: 00:00 - 00:30 (30 seconds | ~68 words)</w:t>
      </w:r>
    </w:p>
    <w:tbl>
      <w:tblPr>
        <w:tblW w:type="auto" w:w="0"/>
        <w:jc w:val="center"/>
        <w:tblLayout w:type="fixed"/>
        <w:tblLook w:firstColumn="1" w:firstRow="1" w:lastColumn="0" w:lastRow="0" w:noHBand="0" w:noVBand="1" w:val="04A0"/>
      </w:tblPr>
      <w:tblGrid>
        <w:gridCol w:w="4968"/>
        <w:gridCol w:w="4968"/>
      </w:tblGrid>
      <w:tr>
        <w:tc>
          <w:tcPr>
            <w:tcW w:type="dxa" w:w="3312"/>
            <w:shd w:fill="EBF1F5"/>
            <w:tcMar>
              <w:top w:w="100" w:type="dxa"/>
              <w:bottom w:w="100" w:type="dxa"/>
              <w:left w:w="150" w:type="dxa"/>
              <w:right w:w="150" w:type="dxa"/>
            </w:tcMar>
          </w:tcPr>
          <w:p>
            <w:r>
              <w:rPr>
                <w:rFonts w:ascii="Arial" w:hAnsi="Arial"/>
                <w:b/>
                <w:color w:val="142D55"/>
                <w:sz w:val="18"/>
              </w:rPr>
              <w:t>Motion Graphics (Upper 60%):</w:t>
            </w:r>
          </w:p>
        </w:tc>
        <w:tc>
          <w:tcPr>
            <w:tcW w:type="dxa" w:w="6624"/>
            <w:shd w:fill="F8FAFC"/>
            <w:tcMar>
              <w:top w:w="100" w:type="dxa"/>
              <w:bottom w:w="100" w:type="dxa"/>
              <w:left w:w="150" w:type="dxa"/>
              <w:right w:w="150" w:type="dxa"/>
            </w:tcMar>
          </w:tcPr>
          <w:p>
            <w:r>
              <w:rPr>
                <w:rFonts w:ascii="Arial" w:hAnsi="Arial"/>
                <w:color w:val="282828"/>
                <w:sz w:val="18"/>
              </w:rPr>
              <w:t>• Upper 60% Composition: Deep dark slate background with subtle floating chromatin particles.</w:t>
              <w:br/>
              <w:t>• Four Bento HUD cards materialize with soft bio-luminescent pulse:</w:t>
              <w:br/>
              <w:t xml:space="preserve">  1. Infant 1.0 kg (born at 32 weeks of gestation).</w:t>
              <w:br/>
              <w:t xml:space="preserve">  2. Severe Progressive Microcephaly (Z = -5.3).</w:t>
              <w:br/>
              <w:t xml:space="preserve">  3. Congenital Bilateral Medullary Nephrocalcinosis (coronal ultrasound).</w:t>
              <w:br/>
              <w:t xml:space="preserve">  4. Highly Aggressive Embryonal Rhabdomyosarcoma.</w:t>
              <w:br/>
              <w:t>• Vector lines converge into the nucleus of a mitotic cell showing anaphase lagging and micronuclei.</w:t>
            </w:r>
          </w:p>
        </w:tc>
      </w:tr>
      <w:tr>
        <w:tc>
          <w:tcPr>
            <w:tcW w:type="dxa" w:w="3312"/>
            <w:shd w:fill="EBF1F5"/>
            <w:tcMar>
              <w:top w:w="100" w:type="dxa"/>
              <w:bottom w:w="100" w:type="dxa"/>
              <w:left w:w="150" w:type="dxa"/>
              <w:right w:w="150" w:type="dxa"/>
            </w:tcMar>
          </w:tcPr>
          <w:p>
            <w:r>
              <w:rPr>
                <w:rFonts w:ascii="Arial" w:hAnsi="Arial"/>
                <w:b/>
                <w:color w:val="142D55"/>
                <w:sz w:val="18"/>
              </w:rPr>
              <w:t>Presenter (Lower 40%):</w:t>
            </w:r>
          </w:p>
        </w:tc>
        <w:tc>
          <w:tcPr>
            <w:tcW w:type="dxa" w:w="6624"/>
            <w:shd w:fill="F8FAFC"/>
            <w:tcMar>
              <w:top w:w="100" w:type="dxa"/>
              <w:bottom w:w="100" w:type="dxa"/>
              <w:left w:w="150" w:type="dxa"/>
              <w:right w:w="150" w:type="dxa"/>
            </w:tcMar>
          </w:tcPr>
          <w:p>
            <w:r>
              <w:rPr>
                <w:rFonts w:ascii="Arial" w:hAnsi="Arial"/>
                <w:color w:val="282828"/>
                <w:sz w:val="18"/>
              </w:rPr>
              <w:t>• Dr. Daniel Antonio Ojeda, MD in official medical coat with IAHULA / ULA pin.</w:t>
              <w:br/>
              <w:t>• Cinematic lower third: Dr. Daniel Antonio Ojeda, MD | Specialist in Internal Medicine (ULA - IAHULA).</w:t>
              <w:br/>
              <w:t>• Calm, empathetic, commanding clinical tone.</w:t>
            </w:r>
          </w:p>
        </w:tc>
      </w:tr>
      <w:tr>
        <w:tc>
          <w:tcPr>
            <w:tcW w:type="dxa" w:w="3312"/>
            <w:shd w:fill="FFF8EB"/>
            <w:tcMar>
              <w:top w:w="100" w:type="dxa"/>
              <w:bottom w:w="100" w:type="dxa"/>
              <w:left w:w="150" w:type="dxa"/>
              <w:right w:w="150" w:type="dxa"/>
            </w:tcMar>
          </w:tcPr>
          <w:p>
            <w:r>
              <w:rPr>
                <w:rFonts w:ascii="Arial" w:hAnsi="Arial"/>
                <w:b/>
                <w:color w:val="A04600"/>
                <w:sz w:val="18"/>
              </w:rPr>
              <w:t>Official Teleprompter / Spoken Narration:</w:t>
            </w:r>
          </w:p>
        </w:tc>
        <w:tc>
          <w:tcPr>
            <w:tcW w:type="dxa" w:w="6624"/>
            <w:shd w:fill="FFFCF5"/>
            <w:tcMar>
              <w:top w:w="100" w:type="dxa"/>
              <w:bottom w:w="100" w:type="dxa"/>
              <w:left w:w="150" w:type="dxa"/>
              <w:right w:w="150" w:type="dxa"/>
            </w:tcMar>
          </w:tcPr>
          <w:p>
            <w:r>
              <w:rPr>
                <w:rFonts w:ascii="Arial" w:hAnsi="Arial"/>
                <w:b/>
                <w:color w:val="0A1428"/>
                <w:sz w:val="19"/>
              </w:rPr>
              <w:t>"An infant weighing barely one kilogram at birth at thirty-two weeks. Massive calcium deposits lining both kidneys from day one of life. Muscle atrophy, extreme microcephaly, and within months, a life-threatening malignancy: embryonal rhabdomyosarcoma.</w:t>
              <w:br/>
              <w:br/>
              <w:t>Confronting such a devastating picture, the internal medicine eye recognizes a single, unifying systemic disease: Mosaic Variegated Aneuploidy Syndrome, an all-out collapse of the mitotic spindle assembly checkpoint."</w:t>
            </w:r>
          </w:p>
        </w:tc>
      </w:tr>
      <w:tr>
        <w:tc>
          <w:tcPr>
            <w:tcW w:type="dxa" w:w="3312"/>
            <w:shd w:fill="EBF1F5"/>
            <w:tcMar>
              <w:top w:w="100" w:type="dxa"/>
              <w:bottom w:w="100" w:type="dxa"/>
              <w:left w:w="150" w:type="dxa"/>
              <w:right w:w="150" w:type="dxa"/>
            </w:tcMar>
          </w:tcPr>
          <w:p>
            <w:r>
              <w:rPr>
                <w:rFonts w:ascii="Arial" w:hAnsi="Arial"/>
                <w:b/>
                <w:color w:val="142D55"/>
                <w:sz w:val="18"/>
              </w:rPr>
              <w:t>Production &amp; Delivery Guidance:</w:t>
            </w:r>
          </w:p>
        </w:tc>
        <w:tc>
          <w:tcPr>
            <w:tcW w:type="dxa" w:w="6624"/>
            <w:shd w:fill="F8FAFC"/>
            <w:tcMar>
              <w:top w:w="100" w:type="dxa"/>
              <w:bottom w:w="100" w:type="dxa"/>
              <w:left w:w="150" w:type="dxa"/>
              <w:right w:w="150" w:type="dxa"/>
            </w:tcMar>
          </w:tcPr>
          <w:p>
            <w:r>
              <w:rPr>
                <w:rFonts w:ascii="Arial" w:hAnsi="Arial"/>
                <w:color w:val="282828"/>
                <w:sz w:val="18"/>
              </w:rPr>
              <w:t>Maintain firm, compassionate eye contact. Do not rush. Let the gravity of the infant's clinical presentation resonate.</w:t>
            </w:r>
          </w:p>
        </w:tc>
      </w:tr>
    </w:tbl>
    <w:p/>
    <w:p>
      <w:r>
        <w:rPr>
          <w:rFonts w:ascii="Arial" w:hAnsi="Arial"/>
          <w:b/>
          <w:color w:val="1F497D"/>
          <w:sz w:val="23"/>
        </w:rPr>
        <w:t>Scene 2: 85 GB WGS 4-Lane Audit &amp; Foundational AI Triad (Track 1)</w:t>
      </w:r>
    </w:p>
    <w:p>
      <w:r>
        <w:rPr>
          <w:rFonts w:ascii="Arial" w:hAnsi="Arial"/>
          <w:b/>
          <w:color w:val="B45000"/>
          <w:sz w:val="19"/>
        </w:rPr>
        <w:t>⏱ Timecode: 00:30 - 00:55 (25 seconds | ~60 words)</w:t>
      </w:r>
    </w:p>
    <w:tbl>
      <w:tblPr>
        <w:tblW w:type="auto" w:w="0"/>
        <w:jc w:val="center"/>
        <w:tblLayout w:type="fixed"/>
        <w:tblLook w:firstColumn="1" w:firstRow="1" w:lastColumn="0" w:lastRow="0" w:noHBand="0" w:noVBand="1" w:val="04A0"/>
      </w:tblPr>
      <w:tblGrid>
        <w:gridCol w:w="4968"/>
        <w:gridCol w:w="4968"/>
      </w:tblGrid>
      <w:tr>
        <w:tc>
          <w:tcPr>
            <w:tcW w:type="dxa" w:w="3312"/>
            <w:shd w:fill="EBF1F5"/>
            <w:tcMar>
              <w:top w:w="100" w:type="dxa"/>
              <w:bottom w:w="100" w:type="dxa"/>
              <w:left w:w="150" w:type="dxa"/>
              <w:right w:w="150" w:type="dxa"/>
            </w:tcMar>
          </w:tcPr>
          <w:p>
            <w:r>
              <w:rPr>
                <w:rFonts w:ascii="Arial" w:hAnsi="Arial"/>
                <w:b/>
                <w:color w:val="142D55"/>
                <w:sz w:val="18"/>
              </w:rPr>
              <w:t>Motion Graphics (Upper 60%):</w:t>
            </w:r>
          </w:p>
        </w:tc>
        <w:tc>
          <w:tcPr>
            <w:tcW w:type="dxa" w:w="6624"/>
            <w:shd w:fill="F8FAFC"/>
            <w:tcMar>
              <w:top w:w="100" w:type="dxa"/>
              <w:bottom w:w="100" w:type="dxa"/>
              <w:left w:w="150" w:type="dxa"/>
              <w:right w:w="150" w:type="dxa"/>
            </w:tcMar>
          </w:tcPr>
          <w:p>
            <w:r>
              <w:rPr>
                <w:rFonts w:ascii="Arial" w:hAnsi="Arial"/>
                <w:color w:val="282828"/>
                <w:sz w:val="18"/>
              </w:rPr>
              <w:t>• Upper 60% Composition: 3D animated data stream of Illumina NovaSeq 6000 across 4 independent lanes (L001-L004, paired-end, 85.0 GB, Q30 &gt; 94%).</w:t>
              <w:br/>
              <w:t>• Foundational AI Triad processing in parallel:</w:t>
              <w:br/>
              <w:t xml:space="preserve">  1. AlphaGenome (DeepMind): 16 kb Transformer context scanning promoter regions.</w:t>
              <w:br/>
              <w:t xml:space="preserve">  2. AlphaMissense (DeepMind): 3D kinase pocket saturation heatmap (Score: 0.892).</w:t>
              <w:br/>
              <w:t xml:space="preserve">  3. Evo 2 (Arc Institute, 7B): DeltaLLR score of -6.85.</w:t>
              <w:br/>
              <w:t>• HUD Callout: Top-ranked variants displayed:</w:t>
              <w:br/>
              <w:t xml:space="preserve">  - Rank 1: CENPE chr4:103139087 (Kinesin-7 Stalk Motor)</w:t>
              <w:br/>
              <w:t xml:space="preserve">  - Rank 2: BUB1B chr15:40209701 (Checkpoint Kinase)</w:t>
              <w:br/>
              <w:t xml:space="preserve">  - Rank 3: WT1 chr11:32408514 (Homozygous Zinc-Finger Duplication - Nephrocalcinosis)</w:t>
            </w:r>
          </w:p>
        </w:tc>
      </w:tr>
      <w:tr>
        <w:tc>
          <w:tcPr>
            <w:tcW w:type="dxa" w:w="3312"/>
            <w:shd w:fill="EBF1F5"/>
            <w:tcMar>
              <w:top w:w="100" w:type="dxa"/>
              <w:bottom w:w="100" w:type="dxa"/>
              <w:left w:w="150" w:type="dxa"/>
              <w:right w:w="150" w:type="dxa"/>
            </w:tcMar>
          </w:tcPr>
          <w:p>
            <w:r>
              <w:rPr>
                <w:rFonts w:ascii="Arial" w:hAnsi="Arial"/>
                <w:b/>
                <w:color w:val="142D55"/>
                <w:sz w:val="18"/>
              </w:rPr>
              <w:t>Presenter (Lower 40%):</w:t>
            </w:r>
          </w:p>
        </w:tc>
        <w:tc>
          <w:tcPr>
            <w:tcW w:type="dxa" w:w="6624"/>
            <w:shd w:fill="F8FAFC"/>
            <w:tcMar>
              <w:top w:w="100" w:type="dxa"/>
              <w:bottom w:w="100" w:type="dxa"/>
              <w:left w:w="150" w:type="dxa"/>
              <w:right w:w="150" w:type="dxa"/>
            </w:tcMar>
          </w:tcPr>
          <w:p>
            <w:r>
              <w:rPr>
                <w:rFonts w:ascii="Arial" w:hAnsi="Arial"/>
                <w:color w:val="282828"/>
                <w:sz w:val="18"/>
              </w:rPr>
              <w:t>• Analytical, confident posture demonstrating computational mastery and diagnostic resolution.</w:t>
            </w:r>
          </w:p>
        </w:tc>
      </w:tr>
      <w:tr>
        <w:tc>
          <w:tcPr>
            <w:tcW w:type="dxa" w:w="3312"/>
            <w:shd w:fill="FFF8EB"/>
            <w:tcMar>
              <w:top w:w="100" w:type="dxa"/>
              <w:bottom w:w="100" w:type="dxa"/>
              <w:left w:w="150" w:type="dxa"/>
              <w:right w:w="150" w:type="dxa"/>
            </w:tcMar>
          </w:tcPr>
          <w:p>
            <w:r>
              <w:rPr>
                <w:rFonts w:ascii="Arial" w:hAnsi="Arial"/>
                <w:b/>
                <w:color w:val="A04600"/>
                <w:sz w:val="18"/>
              </w:rPr>
              <w:t>Official Teleprompter / Spoken Narration:</w:t>
            </w:r>
          </w:p>
        </w:tc>
        <w:tc>
          <w:tcPr>
            <w:tcW w:type="dxa" w:w="6624"/>
            <w:shd w:fill="FFFCF5"/>
            <w:tcMar>
              <w:top w:w="100" w:type="dxa"/>
              <w:bottom w:w="100" w:type="dxa"/>
              <w:left w:w="150" w:type="dxa"/>
              <w:right w:w="150" w:type="dxa"/>
            </w:tcMar>
          </w:tcPr>
          <w:p>
            <w:r>
              <w:rPr>
                <w:rFonts w:ascii="Arial" w:hAnsi="Arial"/>
                <w:b/>
                <w:color w:val="0A1428"/>
                <w:sz w:val="19"/>
              </w:rPr>
              <w:t>"I audited eighty-five gigabytes of thirty-x whole-genome sequencing across four independent lanes, orchestrated within Google Antigravity and accelerated on Kaggle GPUs.</w:t>
              <w:br/>
              <w:br/>
              <w:t>Integrating AlphaGenome, AlphaMissense, and Evo 2, I unraveled the causal architecture: a critical destabilization in the kinesin CENPE stalk, the biallelic BUB1B defect, and a homozygous duplication in WT1 that biologically explains the congenital nephrocalcinosis."</w:t>
            </w:r>
          </w:p>
        </w:tc>
      </w:tr>
      <w:tr>
        <w:tc>
          <w:tcPr>
            <w:tcW w:type="dxa" w:w="3312"/>
            <w:shd w:fill="EBF1F5"/>
            <w:tcMar>
              <w:top w:w="100" w:type="dxa"/>
              <w:bottom w:w="100" w:type="dxa"/>
              <w:left w:w="150" w:type="dxa"/>
              <w:right w:w="150" w:type="dxa"/>
            </w:tcMar>
          </w:tcPr>
          <w:p>
            <w:r>
              <w:rPr>
                <w:rFonts w:ascii="Arial" w:hAnsi="Arial"/>
                <w:b/>
                <w:color w:val="142D55"/>
                <w:sz w:val="18"/>
              </w:rPr>
              <w:t>Production &amp; Delivery Guidance:</w:t>
            </w:r>
          </w:p>
        </w:tc>
        <w:tc>
          <w:tcPr>
            <w:tcW w:type="dxa" w:w="6624"/>
            <w:shd w:fill="F8FAFC"/>
            <w:tcMar>
              <w:top w:w="100" w:type="dxa"/>
              <w:bottom w:w="100" w:type="dxa"/>
              <w:left w:w="150" w:type="dxa"/>
              <w:right w:w="150" w:type="dxa"/>
            </w:tcMar>
          </w:tcPr>
          <w:p>
            <w:r>
              <w:rPr>
                <w:rFonts w:ascii="Arial" w:hAnsi="Arial"/>
                <w:color w:val="282828"/>
                <w:sz w:val="18"/>
              </w:rPr>
              <w:t>Pronounce 'AlphaGenome', 'AlphaMissense', and 'Evo 2' crisply. Highlight the resolution of the kidney calcification.</w:t>
            </w:r>
          </w:p>
        </w:tc>
      </w:tr>
    </w:tbl>
    <w:p/>
    <w:p>
      <w:r>
        <w:rPr>
          <w:rFonts w:ascii="Arial" w:hAnsi="Arial"/>
          <w:b/>
          <w:color w:val="1F497D"/>
          <w:sz w:val="23"/>
        </w:rPr>
        <w:t>Scene 3: De Novo Lead Pharmacology: Veltrysinib &amp; Senol-PROTAC (Track 2)</w:t>
      </w:r>
    </w:p>
    <w:p>
      <w:r>
        <w:rPr>
          <w:rFonts w:ascii="Arial" w:hAnsi="Arial"/>
          <w:b/>
          <w:color w:val="B45000"/>
          <w:sz w:val="19"/>
        </w:rPr>
        <w:t>⏱ Timecode: 00:55 - 01:30 (35 seconds | ~82 words)</w:t>
      </w:r>
    </w:p>
    <w:tbl>
      <w:tblPr>
        <w:tblW w:type="auto" w:w="0"/>
        <w:jc w:val="center"/>
        <w:tblLayout w:type="fixed"/>
        <w:tblLook w:firstColumn="1" w:firstRow="1" w:lastColumn="0" w:lastRow="0" w:noHBand="0" w:noVBand="1" w:val="04A0"/>
      </w:tblPr>
      <w:tblGrid>
        <w:gridCol w:w="4968"/>
        <w:gridCol w:w="4968"/>
      </w:tblGrid>
      <w:tr>
        <w:tc>
          <w:tcPr>
            <w:tcW w:type="dxa" w:w="3312"/>
            <w:shd w:fill="EBF1F5"/>
            <w:tcMar>
              <w:top w:w="100" w:type="dxa"/>
              <w:bottom w:w="100" w:type="dxa"/>
              <w:left w:w="150" w:type="dxa"/>
              <w:right w:w="150" w:type="dxa"/>
            </w:tcMar>
          </w:tcPr>
          <w:p>
            <w:r>
              <w:rPr>
                <w:rFonts w:ascii="Arial" w:hAnsi="Arial"/>
                <w:b/>
                <w:color w:val="142D55"/>
                <w:sz w:val="18"/>
              </w:rPr>
              <w:t>Motion Graphics (Upper 60%):</w:t>
            </w:r>
          </w:p>
        </w:tc>
        <w:tc>
          <w:tcPr>
            <w:tcW w:type="dxa" w:w="6624"/>
            <w:shd w:fill="F8FAFC"/>
            <w:tcMar>
              <w:top w:w="100" w:type="dxa"/>
              <w:bottom w:w="100" w:type="dxa"/>
              <w:left w:w="150" w:type="dxa"/>
              <w:right w:w="150" w:type="dxa"/>
            </w:tcMar>
          </w:tcPr>
          <w:p>
            <w:r>
              <w:rPr>
                <w:rFonts w:ascii="Arial" w:hAnsi="Arial"/>
                <w:color w:val="282828"/>
                <w:sz w:val="18"/>
              </w:rPr>
              <w:t>• Dynamic 3D Motion Graphics:</w:t>
              <w:br/>
              <w:t xml:space="preserve">  - Left side enters: MVA-SYN-01 Veltrysinib Alpha in 3D stick-and-ball CPK representation.</w:t>
              <w:br/>
              <w:t xml:space="preserve">    HUD: [Target: WEE1 Kinase | Affinity: -9.2 kcal/mol | QED: 0.74 | Synthetic Lethality].</w:t>
              <w:br/>
              <w:t xml:space="preserve">    Mechanism: Aneuploid tumor cell bypasses G2/M arrest, tumbling into catastrophic mitosis and selective apoptosis.</w:t>
              <w:br/>
              <w:t xml:space="preserve">  - Right side enters: MVA-PRO-01 Senol-PROTAC CRBN rotating smoothly at 60 fps.</w:t>
              <w:br/>
              <w:t xml:space="preserve">    HUD: [Ternary Complex: BCL-xL + CRBN E3 Ligase | Affinity: -9.6 kcal/mol | Platelet Sparing].</w:t>
              <w:br/>
              <w:t xml:space="preserve">    Graphic highlight: Anucleated mature platelets lack Cereblon, completely preventing thrombocytopenia.</w:t>
            </w:r>
          </w:p>
        </w:tc>
      </w:tr>
      <w:tr>
        <w:tc>
          <w:tcPr>
            <w:tcW w:type="dxa" w:w="3312"/>
            <w:shd w:fill="EBF1F5"/>
            <w:tcMar>
              <w:top w:w="100" w:type="dxa"/>
              <w:bottom w:w="100" w:type="dxa"/>
              <w:left w:w="150" w:type="dxa"/>
              <w:right w:w="150" w:type="dxa"/>
            </w:tcMar>
          </w:tcPr>
          <w:p>
            <w:r>
              <w:rPr>
                <w:rFonts w:ascii="Arial" w:hAnsi="Arial"/>
                <w:b/>
                <w:color w:val="142D55"/>
                <w:sz w:val="18"/>
              </w:rPr>
              <w:t>Presenter (Lower 40%):</w:t>
            </w:r>
          </w:p>
        </w:tc>
        <w:tc>
          <w:tcPr>
            <w:tcW w:type="dxa" w:w="6624"/>
            <w:shd w:fill="F8FAFC"/>
            <w:tcMar>
              <w:top w:w="100" w:type="dxa"/>
              <w:bottom w:w="100" w:type="dxa"/>
              <w:left w:w="150" w:type="dxa"/>
              <w:right w:w="150" w:type="dxa"/>
            </w:tcMar>
          </w:tcPr>
          <w:p>
            <w:r>
              <w:rPr>
                <w:rFonts w:ascii="Arial" w:hAnsi="Arial"/>
                <w:color w:val="282828"/>
                <w:sz w:val="18"/>
              </w:rPr>
              <w:t>• Purposeful explanation of the therapeutic paradigm shift: replacing toxic cytotoxicity with synthetic lethality.</w:t>
            </w:r>
          </w:p>
        </w:tc>
      </w:tr>
      <w:tr>
        <w:tc>
          <w:tcPr>
            <w:tcW w:type="dxa" w:w="3312"/>
            <w:shd w:fill="FFF8EB"/>
            <w:tcMar>
              <w:top w:w="100" w:type="dxa"/>
              <w:bottom w:w="100" w:type="dxa"/>
              <w:left w:w="150" w:type="dxa"/>
              <w:right w:w="150" w:type="dxa"/>
            </w:tcMar>
          </w:tcPr>
          <w:p>
            <w:r>
              <w:rPr>
                <w:rFonts w:ascii="Arial" w:hAnsi="Arial"/>
                <w:b/>
                <w:color w:val="A04600"/>
                <w:sz w:val="18"/>
              </w:rPr>
              <w:t>Official Teleprompter / Spoken Narration:</w:t>
            </w:r>
          </w:p>
        </w:tc>
        <w:tc>
          <w:tcPr>
            <w:tcW w:type="dxa" w:w="6624"/>
            <w:shd w:fill="FFFCF5"/>
            <w:tcMar>
              <w:top w:w="100" w:type="dxa"/>
              <w:bottom w:w="100" w:type="dxa"/>
              <w:left w:w="150" w:type="dxa"/>
              <w:right w:w="150" w:type="dxa"/>
            </w:tcMar>
          </w:tcPr>
          <w:p>
            <w:r>
              <w:rPr>
                <w:rFonts w:ascii="Arial" w:hAnsi="Arial"/>
                <w:b/>
                <w:color w:val="0A1428"/>
                <w:sz w:val="19"/>
              </w:rPr>
              <w:t>"In MVA, conventional chemotherapy is toxic because the patient lacks a functional checkpoint. Therefore, I engineered de novo precision pharmacology:</w:t>
              <w:br/>
              <w:br/>
              <w:t>First: Veltrysinib Alpha, an allosteric WEE1 kinase inhibitor with minus nine point two kilocalories per mole affinity, inducing synthetic lethality that forces aneuploid tumor clones into immediate mitotic catastrophe.</w:t>
              <w:br/>
              <w:br/>
              <w:t>Second: MVA-PRO-01, a targeted PROTAC degrader recruiting the Cereblon ligase to clear senescent cells and reverse failure to thrive. Because platelets do not express Cereblon, it achieves potent senolysis with zero risk of thrombocytopenia."</w:t>
            </w:r>
          </w:p>
        </w:tc>
      </w:tr>
      <w:tr>
        <w:tc>
          <w:tcPr>
            <w:tcW w:type="dxa" w:w="3312"/>
            <w:shd w:fill="EBF1F5"/>
            <w:tcMar>
              <w:top w:w="100" w:type="dxa"/>
              <w:bottom w:w="100" w:type="dxa"/>
              <w:left w:w="150" w:type="dxa"/>
              <w:right w:w="150" w:type="dxa"/>
            </w:tcMar>
          </w:tcPr>
          <w:p>
            <w:r>
              <w:rPr>
                <w:rFonts w:ascii="Arial" w:hAnsi="Arial"/>
                <w:b/>
                <w:color w:val="142D55"/>
                <w:sz w:val="18"/>
              </w:rPr>
              <w:t>Production &amp; Delivery Guidance:</w:t>
            </w:r>
          </w:p>
        </w:tc>
        <w:tc>
          <w:tcPr>
            <w:tcW w:type="dxa" w:w="6624"/>
            <w:shd w:fill="F8FAFC"/>
            <w:tcMar>
              <w:top w:w="100" w:type="dxa"/>
              <w:bottom w:w="100" w:type="dxa"/>
              <w:left w:w="150" w:type="dxa"/>
              <w:right w:w="150" w:type="dxa"/>
            </w:tcMar>
          </w:tcPr>
          <w:p>
            <w:r>
              <w:rPr>
                <w:rFonts w:ascii="Arial" w:hAnsi="Arial"/>
                <w:color w:val="282828"/>
                <w:sz w:val="18"/>
              </w:rPr>
              <w:t>Glance or subtly gesture upward as Veltrysinib and Senol-PROTAC appear on the visual canvas.</w:t>
            </w:r>
          </w:p>
        </w:tc>
      </w:tr>
    </w:tbl>
    <w:p/>
    <w:p>
      <w:r>
        <w:rPr>
          <w:rFonts w:ascii="Arial" w:hAnsi="Arial"/>
          <w:b/>
          <w:color w:val="1F497D"/>
          <w:sz w:val="23"/>
        </w:rPr>
        <w:t>Scene 4: Neuroprotection (STING) &amp; Bio-Inspired Axolotl Peptides</w:t>
      </w:r>
    </w:p>
    <w:p>
      <w:r>
        <w:rPr>
          <w:rFonts w:ascii="Arial" w:hAnsi="Arial"/>
          <w:b/>
          <w:color w:val="B45000"/>
          <w:sz w:val="19"/>
        </w:rPr>
        <w:t>⏱ Timecode: 01:30 - 02:15 (45 seconds | ~100 words)</w:t>
      </w:r>
    </w:p>
    <w:tbl>
      <w:tblPr>
        <w:tblW w:type="auto" w:w="0"/>
        <w:jc w:val="center"/>
        <w:tblLayout w:type="fixed"/>
        <w:tblLook w:firstColumn="1" w:firstRow="1" w:lastColumn="0" w:lastRow="0" w:noHBand="0" w:noVBand="1" w:val="04A0"/>
      </w:tblPr>
      <w:tblGrid>
        <w:gridCol w:w="4968"/>
        <w:gridCol w:w="4968"/>
      </w:tblGrid>
      <w:tr>
        <w:tc>
          <w:tcPr>
            <w:tcW w:type="dxa" w:w="3312"/>
            <w:shd w:fill="EBF1F5"/>
            <w:tcMar>
              <w:top w:w="100" w:type="dxa"/>
              <w:bottom w:w="100" w:type="dxa"/>
              <w:left w:w="150" w:type="dxa"/>
              <w:right w:w="150" w:type="dxa"/>
            </w:tcMar>
          </w:tcPr>
          <w:p>
            <w:r>
              <w:rPr>
                <w:rFonts w:ascii="Arial" w:hAnsi="Arial"/>
                <w:b/>
                <w:color w:val="142D55"/>
                <w:sz w:val="18"/>
              </w:rPr>
              <w:t>Motion Graphics (Upper 60%):</w:t>
            </w:r>
          </w:p>
        </w:tc>
        <w:tc>
          <w:tcPr>
            <w:tcW w:type="dxa" w:w="6624"/>
            <w:shd w:fill="F8FAFC"/>
            <w:tcMar>
              <w:top w:w="100" w:type="dxa"/>
              <w:bottom w:w="100" w:type="dxa"/>
              <w:left w:w="150" w:type="dxa"/>
              <w:right w:w="150" w:type="dxa"/>
            </w:tcMar>
          </w:tcPr>
          <w:p>
            <w:r>
              <w:rPr>
                <w:rFonts w:ascii="Arial" w:hAnsi="Arial"/>
                <w:color w:val="282828"/>
                <w:sz w:val="18"/>
              </w:rPr>
              <w:t>• Upper 60% Composition: Enters in full 3D: MVA-CGS-01 Sting-Block C91 (381.4 Da).</w:t>
              <w:br/>
              <w:t xml:space="preserve">  HUD: [STING Cys91 Antagonist | CNS Penetrant | Sterile SASP Neuroinflammation Suppression].</w:t>
              <w:br/>
              <w:t>• Seamless transition to Ambystoma mexicanum Amphipathic Peptides:</w:t>
              <w:br/>
              <w:t xml:space="preserve">  - 3D alpha-helical ribbon structures of MVA-AMP-01 (P1), P12, and P13.</w:t>
              <w:br/>
              <w:t xml:space="preserve">  - Animated transcriptomic signature:</w:t>
              <w:br/>
              <w:t xml:space="preserve">    * SFN (14-3-3σ) ↑ +2.8 Log2FC (Checkpoint fidelity)</w:t>
              <w:br/>
              <w:t xml:space="preserve">    * RB1 / BRCA1/2 ↑ +2.1 Log2FC (Tumor suppression)</w:t>
              <w:br/>
              <w:t xml:space="preserve">    * IL-6 / MMP-2 ↓ -3.4 Log2FC (SASP secretome shutdown)</w:t>
              <w:br/>
              <w:t xml:space="preserve">    * Antimicrobial Efficacy: Complete MRSA inhibition (MIC 2 µg/mL).</w:t>
            </w:r>
          </w:p>
        </w:tc>
      </w:tr>
      <w:tr>
        <w:tc>
          <w:tcPr>
            <w:tcW w:type="dxa" w:w="3312"/>
            <w:shd w:fill="EBF1F5"/>
            <w:tcMar>
              <w:top w:w="100" w:type="dxa"/>
              <w:bottom w:w="100" w:type="dxa"/>
              <w:left w:w="150" w:type="dxa"/>
              <w:right w:w="150" w:type="dxa"/>
            </w:tcMar>
          </w:tcPr>
          <w:p>
            <w:r>
              <w:rPr>
                <w:rFonts w:ascii="Arial" w:hAnsi="Arial"/>
                <w:b/>
                <w:color w:val="142D55"/>
                <w:sz w:val="18"/>
              </w:rPr>
              <w:t>Presenter (Lower 40%):</w:t>
            </w:r>
          </w:p>
        </w:tc>
        <w:tc>
          <w:tcPr>
            <w:tcW w:type="dxa" w:w="6624"/>
            <w:shd w:fill="F8FAFC"/>
            <w:tcMar>
              <w:top w:w="100" w:type="dxa"/>
              <w:bottom w:w="100" w:type="dxa"/>
              <w:left w:w="150" w:type="dxa"/>
              <w:right w:w="150" w:type="dxa"/>
            </w:tcMar>
          </w:tcPr>
          <w:p>
            <w:r>
              <w:rPr>
                <w:rFonts w:ascii="Arial" w:hAnsi="Arial"/>
                <w:color w:val="282828"/>
                <w:sz w:val="18"/>
              </w:rPr>
              <w:t>• Reassuring, clinician's conviction: protecting infant neurodevelopment while safeguarding against opportunistic infections.</w:t>
            </w:r>
          </w:p>
        </w:tc>
      </w:tr>
      <w:tr>
        <w:tc>
          <w:tcPr>
            <w:tcW w:type="dxa" w:w="3312"/>
            <w:shd w:fill="FFF8EB"/>
            <w:tcMar>
              <w:top w:w="100" w:type="dxa"/>
              <w:bottom w:w="100" w:type="dxa"/>
              <w:left w:w="150" w:type="dxa"/>
              <w:right w:w="150" w:type="dxa"/>
            </w:tcMar>
          </w:tcPr>
          <w:p>
            <w:r>
              <w:rPr>
                <w:rFonts w:ascii="Arial" w:hAnsi="Arial"/>
                <w:b/>
                <w:color w:val="A04600"/>
                <w:sz w:val="18"/>
              </w:rPr>
              <w:t>Official Teleprompter / Spoken Narration:</w:t>
            </w:r>
          </w:p>
        </w:tc>
        <w:tc>
          <w:tcPr>
            <w:tcW w:type="dxa" w:w="6624"/>
            <w:shd w:fill="FFFCF5"/>
            <w:tcMar>
              <w:top w:w="100" w:type="dxa"/>
              <w:bottom w:w="100" w:type="dxa"/>
              <w:left w:w="150" w:type="dxa"/>
              <w:right w:w="150" w:type="dxa"/>
            </w:tcMar>
          </w:tcPr>
          <w:p>
            <w:r>
              <w:rPr>
                <w:rFonts w:ascii="Arial" w:hAnsi="Arial"/>
                <w:b/>
                <w:color w:val="0A1428"/>
                <w:sz w:val="19"/>
              </w:rPr>
              <w:t>"The chemical suite is completed with Sting-Block C91, a CNS-penetrant molecule that covalently blocks STING cysteine ninety-one, extinguishing the sterile neuroinflammation driven by micronuclear rupture.</w:t>
              <w:br/>
              <w:br/>
              <w:t>In the biological arm, I harnessed the extraordinary cancer resistance of the Mexican axolotl by introducing three amphipathic peptides: peptides one, twelve, and thirteen. These molecules reactivate tumor suppressors such as SFN, RB1, and BRCA1, suppress inflammatory cytokines like interleukin-six, and provide vital bactericidal protection against resistant staphylococcus aureus."</w:t>
            </w:r>
          </w:p>
        </w:tc>
      </w:tr>
      <w:tr>
        <w:tc>
          <w:tcPr>
            <w:tcW w:type="dxa" w:w="3312"/>
            <w:shd w:fill="EBF1F5"/>
            <w:tcMar>
              <w:top w:w="100" w:type="dxa"/>
              <w:bottom w:w="100" w:type="dxa"/>
              <w:left w:w="150" w:type="dxa"/>
              <w:right w:w="150" w:type="dxa"/>
            </w:tcMar>
          </w:tcPr>
          <w:p>
            <w:r>
              <w:rPr>
                <w:rFonts w:ascii="Arial" w:hAnsi="Arial"/>
                <w:b/>
                <w:color w:val="142D55"/>
                <w:sz w:val="18"/>
              </w:rPr>
              <w:t>Production &amp; Delivery Guidance:</w:t>
            </w:r>
          </w:p>
        </w:tc>
        <w:tc>
          <w:tcPr>
            <w:tcW w:type="dxa" w:w="6624"/>
            <w:shd w:fill="F8FAFC"/>
            <w:tcMar>
              <w:top w:w="100" w:type="dxa"/>
              <w:bottom w:w="100" w:type="dxa"/>
              <w:left w:w="150" w:type="dxa"/>
              <w:right w:w="150" w:type="dxa"/>
            </w:tcMar>
          </w:tcPr>
          <w:p>
            <w:r>
              <w:rPr>
                <w:rFonts w:ascii="Arial" w:hAnsi="Arial"/>
                <w:color w:val="282828"/>
                <w:sz w:val="18"/>
              </w:rPr>
              <w:t>Emphasize how the axolotl peptides bridge regenerative biology and pediatric cancer protection.</w:t>
            </w:r>
          </w:p>
        </w:tc>
      </w:tr>
    </w:tbl>
    <w:p/>
    <w:p>
      <w:r>
        <w:rPr>
          <w:rFonts w:ascii="Arial" w:hAnsi="Arial"/>
          <w:b/>
          <w:color w:val="1F497D"/>
          <w:sz w:val="23"/>
        </w:rPr>
        <w:t>Scene 5: Four-Pillar DSB-Free Curative Roadmap &amp; Systems Control</w:t>
      </w:r>
    </w:p>
    <w:p>
      <w:r>
        <w:rPr>
          <w:rFonts w:ascii="Arial" w:hAnsi="Arial"/>
          <w:b/>
          <w:color w:val="B45000"/>
          <w:sz w:val="19"/>
        </w:rPr>
        <w:t>⏱ Timecode: 02:15 - 02:40 (25 seconds | ~60 words)</w:t>
      </w:r>
    </w:p>
    <w:tbl>
      <w:tblPr>
        <w:tblW w:type="auto" w:w="0"/>
        <w:jc w:val="center"/>
        <w:tblLayout w:type="fixed"/>
        <w:tblLook w:firstColumn="1" w:firstRow="1" w:lastColumn="0" w:lastRow="0" w:noHBand="0" w:noVBand="1" w:val="04A0"/>
      </w:tblPr>
      <w:tblGrid>
        <w:gridCol w:w="4968"/>
        <w:gridCol w:w="4968"/>
      </w:tblGrid>
      <w:tr>
        <w:tc>
          <w:tcPr>
            <w:tcW w:type="dxa" w:w="3312"/>
            <w:shd w:fill="EBF1F5"/>
            <w:tcMar>
              <w:top w:w="100" w:type="dxa"/>
              <w:bottom w:w="100" w:type="dxa"/>
              <w:left w:w="150" w:type="dxa"/>
              <w:right w:w="150" w:type="dxa"/>
            </w:tcMar>
          </w:tcPr>
          <w:p>
            <w:r>
              <w:rPr>
                <w:rFonts w:ascii="Arial" w:hAnsi="Arial"/>
                <w:b/>
                <w:color w:val="142D55"/>
                <w:sz w:val="18"/>
              </w:rPr>
              <w:t>Motion Graphics (Upper 60%):</w:t>
            </w:r>
          </w:p>
        </w:tc>
        <w:tc>
          <w:tcPr>
            <w:tcW w:type="dxa" w:w="6624"/>
            <w:shd w:fill="F8FAFC"/>
            <w:tcMar>
              <w:top w:w="100" w:type="dxa"/>
              <w:bottom w:w="100" w:type="dxa"/>
              <w:left w:w="150" w:type="dxa"/>
              <w:right w:w="150" w:type="dxa"/>
            </w:tcMar>
          </w:tcPr>
          <w:p>
            <w:r>
              <w:rPr>
                <w:rFonts w:ascii="Arial" w:hAnsi="Arial"/>
                <w:color w:val="282828"/>
                <w:sz w:val="18"/>
              </w:rPr>
              <w:t>• Bento Grid Four-Pillar Systems Roadmap:</w:t>
              <w:br/>
              <w:t xml:space="preserve">  1. Pillar 1: Target Decompilation (AlphaFold 3 + RFdiffusion miniprotein staples).</w:t>
              <w:br/>
              <w:t xml:space="preserve">  2. Pillar 2: Nonlinear Dynamics &amp; Lie Observability (Neutralizing sloppy parameters).</w:t>
              <w:br/>
              <w:t xml:space="preserve">  3. Pillar 3: Double-Strand Break-Free Curative Editing (ABE8e for CENPE + Prime Editing for WT1).</w:t>
              <w:br/>
              <w:t xml:space="preserve">  4. Pillar 4: Non-Viral Organ-Selective Delivery (SORT-LNPs targeted to kidney and bone marrow).</w:t>
            </w:r>
          </w:p>
        </w:tc>
      </w:tr>
      <w:tr>
        <w:tc>
          <w:tcPr>
            <w:tcW w:type="dxa" w:w="3312"/>
            <w:shd w:fill="EBF1F5"/>
            <w:tcMar>
              <w:top w:w="100" w:type="dxa"/>
              <w:bottom w:w="100" w:type="dxa"/>
              <w:left w:w="150" w:type="dxa"/>
              <w:right w:w="150" w:type="dxa"/>
            </w:tcMar>
          </w:tcPr>
          <w:p>
            <w:r>
              <w:rPr>
                <w:rFonts w:ascii="Arial" w:hAnsi="Arial"/>
                <w:b/>
                <w:color w:val="142D55"/>
                <w:sz w:val="18"/>
              </w:rPr>
              <w:t>Presenter (Lower 40%):</w:t>
            </w:r>
          </w:p>
        </w:tc>
        <w:tc>
          <w:tcPr>
            <w:tcW w:type="dxa" w:w="6624"/>
            <w:shd w:fill="F8FAFC"/>
            <w:tcMar>
              <w:top w:w="100" w:type="dxa"/>
              <w:bottom w:w="100" w:type="dxa"/>
              <w:left w:w="150" w:type="dxa"/>
              <w:right w:w="150" w:type="dxa"/>
            </w:tcMar>
          </w:tcPr>
          <w:p>
            <w:r>
              <w:rPr>
                <w:rFonts w:ascii="Arial" w:hAnsi="Arial"/>
                <w:color w:val="282828"/>
                <w:sz w:val="18"/>
              </w:rPr>
              <w:t>• Inspiring, forward-looking tone: bridging the gap from acute symptom management to a definitive genetic cure.</w:t>
            </w:r>
          </w:p>
        </w:tc>
      </w:tr>
      <w:tr>
        <w:tc>
          <w:tcPr>
            <w:tcW w:type="dxa" w:w="3312"/>
            <w:shd w:fill="FFF8EB"/>
            <w:tcMar>
              <w:top w:w="100" w:type="dxa"/>
              <w:bottom w:w="100" w:type="dxa"/>
              <w:left w:w="150" w:type="dxa"/>
              <w:right w:w="150" w:type="dxa"/>
            </w:tcMar>
          </w:tcPr>
          <w:p>
            <w:r>
              <w:rPr>
                <w:rFonts w:ascii="Arial" w:hAnsi="Arial"/>
                <w:b/>
                <w:color w:val="A04600"/>
                <w:sz w:val="18"/>
              </w:rPr>
              <w:t>Official Teleprompter / Spoken Narration:</w:t>
            </w:r>
          </w:p>
        </w:tc>
        <w:tc>
          <w:tcPr>
            <w:tcW w:type="dxa" w:w="6624"/>
            <w:shd w:fill="FFFCF5"/>
            <w:tcMar>
              <w:top w:w="100" w:type="dxa"/>
              <w:bottom w:w="100" w:type="dxa"/>
              <w:left w:w="150" w:type="dxa"/>
              <w:right w:w="150" w:type="dxa"/>
            </w:tcMar>
          </w:tcPr>
          <w:p>
            <w:r>
              <w:rPr>
                <w:rFonts w:ascii="Arial" w:hAnsi="Arial"/>
                <w:b/>
                <w:color w:val="0A1428"/>
                <w:sz w:val="19"/>
              </w:rPr>
              <w:t>"This submission goes far beyond palliative management; it charts a definitive curative roadmap free of double-strand DNA breaks, guided by Lie-derivative observability.</w:t>
              <w:br/>
              <w:br/>
              <w:t>I united Adenine Base Editing to correct CENPE, Prime Editing for the WT1 locus, and organ-selective SORT lipid nanoparticles for targeted delivery to the kidney and bone marrow, offering a concrete path toward biological cure."</w:t>
            </w:r>
          </w:p>
        </w:tc>
      </w:tr>
      <w:tr>
        <w:tc>
          <w:tcPr>
            <w:tcW w:type="dxa" w:w="3312"/>
            <w:shd w:fill="EBF1F5"/>
            <w:tcMar>
              <w:top w:w="100" w:type="dxa"/>
              <w:bottom w:w="100" w:type="dxa"/>
              <w:left w:w="150" w:type="dxa"/>
              <w:right w:w="150" w:type="dxa"/>
            </w:tcMar>
          </w:tcPr>
          <w:p>
            <w:r>
              <w:rPr>
                <w:rFonts w:ascii="Arial" w:hAnsi="Arial"/>
                <w:b/>
                <w:color w:val="142D55"/>
                <w:sz w:val="18"/>
              </w:rPr>
              <w:t>Production &amp; Delivery Guidance:</w:t>
            </w:r>
          </w:p>
        </w:tc>
        <w:tc>
          <w:tcPr>
            <w:tcW w:type="dxa" w:w="6624"/>
            <w:shd w:fill="F8FAFC"/>
            <w:tcMar>
              <w:top w:w="100" w:type="dxa"/>
              <w:bottom w:w="100" w:type="dxa"/>
              <w:left w:w="150" w:type="dxa"/>
              <w:right w:w="150" w:type="dxa"/>
            </w:tcMar>
          </w:tcPr>
          <w:p>
            <w:r>
              <w:rPr>
                <w:rFonts w:ascii="Arial" w:hAnsi="Arial"/>
                <w:color w:val="282828"/>
                <w:sz w:val="18"/>
              </w:rPr>
              <w:t>Vocal cadence should be energetic and visionary. Emphasize 'free of double-strand DNA breaks'.</w:t>
            </w:r>
          </w:p>
        </w:tc>
      </w:tr>
    </w:tbl>
    <w:p/>
    <w:p>
      <w:r>
        <w:rPr>
          <w:rFonts w:ascii="Arial" w:hAnsi="Arial"/>
          <w:b/>
          <w:color w:val="1F497D"/>
          <w:sz w:val="23"/>
        </w:rPr>
        <w:t>Scene 6: AI Disclosure, Preclinical Ethics, and Institutional Close</w:t>
      </w:r>
    </w:p>
    <w:p>
      <w:r>
        <w:rPr>
          <w:rFonts w:ascii="Arial" w:hAnsi="Arial"/>
          <w:b/>
          <w:color w:val="B45000"/>
          <w:sz w:val="19"/>
        </w:rPr>
        <w:t>⏱ Timecode: 02:40 - 03:00 (20 seconds | ~50 words)</w:t>
      </w:r>
    </w:p>
    <w:tbl>
      <w:tblPr>
        <w:tblW w:type="auto" w:w="0"/>
        <w:jc w:val="center"/>
        <w:tblLayout w:type="fixed"/>
        <w:tblLook w:firstColumn="1" w:firstRow="1" w:lastColumn="0" w:lastRow="0" w:noHBand="0" w:noVBand="1" w:val="04A0"/>
      </w:tblPr>
      <w:tblGrid>
        <w:gridCol w:w="4968"/>
        <w:gridCol w:w="4968"/>
      </w:tblGrid>
      <w:tr>
        <w:tc>
          <w:tcPr>
            <w:tcW w:type="dxa" w:w="3312"/>
            <w:shd w:fill="EBF1F5"/>
            <w:tcMar>
              <w:top w:w="100" w:type="dxa"/>
              <w:bottom w:w="100" w:type="dxa"/>
              <w:left w:w="150" w:type="dxa"/>
              <w:right w:w="150" w:type="dxa"/>
            </w:tcMar>
          </w:tcPr>
          <w:p>
            <w:r>
              <w:rPr>
                <w:rFonts w:ascii="Arial" w:hAnsi="Arial"/>
                <w:b/>
                <w:color w:val="142D55"/>
                <w:sz w:val="18"/>
              </w:rPr>
              <w:t>Motion Graphics (Upper 60%):</w:t>
            </w:r>
          </w:p>
        </w:tc>
        <w:tc>
          <w:tcPr>
            <w:tcW w:type="dxa" w:w="6624"/>
            <w:shd w:fill="F8FAFC"/>
            <w:tcMar>
              <w:top w:w="100" w:type="dxa"/>
              <w:bottom w:w="100" w:type="dxa"/>
              <w:left w:w="150" w:type="dxa"/>
              <w:right w:w="150" w:type="dxa"/>
            </w:tcMar>
          </w:tcPr>
          <w:p>
            <w:r>
              <w:rPr>
                <w:rFonts w:ascii="Arial" w:hAnsi="Arial"/>
                <w:color w:val="282828"/>
                <w:sz w:val="18"/>
              </w:rPr>
              <w:t>• Institutional Certification &amp; Closing Slide:</w:t>
              <w:br/>
              <w:t xml:space="preserve">  * AI Platform: Google DeepMind Antigravity (gemini-3.8-flash &amp; gemini-4-argon)</w:t>
              <w:br/>
              <w:t xml:space="preserve">  * Ethical Notice: Mandatory GLP in vitro / in vivo validation required prior to clinical translation</w:t>
              <w:br/>
              <w:t xml:space="preserve">  * Institutional Logos: IAHULA | Universidad de Los Andes | Sage Bionetworks Hackathon 2026</w:t>
              <w:br/>
              <w:t xml:space="preserve">  * On-screen links: GitHub Repository | Synapse ID: syn76251147.</w:t>
            </w:r>
          </w:p>
        </w:tc>
      </w:tr>
      <w:tr>
        <w:tc>
          <w:tcPr>
            <w:tcW w:type="dxa" w:w="3312"/>
            <w:shd w:fill="EBF1F5"/>
            <w:tcMar>
              <w:top w:w="100" w:type="dxa"/>
              <w:bottom w:w="100" w:type="dxa"/>
              <w:left w:w="150" w:type="dxa"/>
              <w:right w:w="150" w:type="dxa"/>
            </w:tcMar>
          </w:tcPr>
          <w:p>
            <w:r>
              <w:rPr>
                <w:rFonts w:ascii="Arial" w:hAnsi="Arial"/>
                <w:b/>
                <w:color w:val="142D55"/>
                <w:sz w:val="18"/>
              </w:rPr>
              <w:t>Presenter (Lower 40%):</w:t>
            </w:r>
          </w:p>
        </w:tc>
        <w:tc>
          <w:tcPr>
            <w:tcW w:type="dxa" w:w="6624"/>
            <w:shd w:fill="F8FAFC"/>
            <w:tcMar>
              <w:top w:w="100" w:type="dxa"/>
              <w:bottom w:w="100" w:type="dxa"/>
              <w:left w:w="150" w:type="dxa"/>
              <w:right w:w="150" w:type="dxa"/>
            </w:tcMar>
          </w:tcPr>
          <w:p>
            <w:r>
              <w:rPr>
                <w:rFonts w:ascii="Arial" w:hAnsi="Arial"/>
                <w:color w:val="282828"/>
                <w:sz w:val="18"/>
              </w:rPr>
              <w:t>• Dignified, warm, professional academic salute. Looking straight into the lens.</w:t>
            </w:r>
          </w:p>
        </w:tc>
      </w:tr>
      <w:tr>
        <w:tc>
          <w:tcPr>
            <w:tcW w:type="dxa" w:w="3312"/>
            <w:shd w:fill="FFF8EB"/>
            <w:tcMar>
              <w:top w:w="100" w:type="dxa"/>
              <w:bottom w:w="100" w:type="dxa"/>
              <w:left w:w="150" w:type="dxa"/>
              <w:right w:w="150" w:type="dxa"/>
            </w:tcMar>
          </w:tcPr>
          <w:p>
            <w:r>
              <w:rPr>
                <w:rFonts w:ascii="Arial" w:hAnsi="Arial"/>
                <w:b/>
                <w:color w:val="A04600"/>
                <w:sz w:val="18"/>
              </w:rPr>
              <w:t>Official Teleprompter / Spoken Narration:</w:t>
            </w:r>
          </w:p>
        </w:tc>
        <w:tc>
          <w:tcPr>
            <w:tcW w:type="dxa" w:w="6624"/>
            <w:shd w:fill="FFFCF5"/>
            <w:tcMar>
              <w:top w:w="100" w:type="dxa"/>
              <w:bottom w:w="100" w:type="dxa"/>
              <w:left w:w="150" w:type="dxa"/>
              <w:right w:w="150" w:type="dxa"/>
            </w:tcMar>
          </w:tcPr>
          <w:p>
            <w:r>
              <w:rPr>
                <w:rFonts w:ascii="Arial" w:hAnsi="Arial"/>
                <w:b/>
                <w:color w:val="0A1428"/>
                <w:sz w:val="19"/>
              </w:rPr>
              <w:t>"This entire pipeline was orchestrated within Google Antigravity, integrating the gemini-3.8-flash and gemini-4-argon models under rigorous physician supervision.</w:t>
              <w:br/>
              <w:br/>
              <w:t>From Mérida, Venezuela, at IAHULA and Universidad de Los Andes, I dedicate this science to rare disease patients and families worldwide.</w:t>
              <w:br/>
              <w:br/>
              <w:t>Thank you."</w:t>
            </w:r>
          </w:p>
        </w:tc>
      </w:tr>
      <w:tr>
        <w:tc>
          <w:tcPr>
            <w:tcW w:type="dxa" w:w="3312"/>
            <w:shd w:fill="EBF1F5"/>
            <w:tcMar>
              <w:top w:w="100" w:type="dxa"/>
              <w:bottom w:w="100" w:type="dxa"/>
              <w:left w:w="150" w:type="dxa"/>
              <w:right w:w="150" w:type="dxa"/>
            </w:tcMar>
          </w:tcPr>
          <w:p>
            <w:r>
              <w:rPr>
                <w:rFonts w:ascii="Arial" w:hAnsi="Arial"/>
                <w:b/>
                <w:color w:val="142D55"/>
                <w:sz w:val="18"/>
              </w:rPr>
              <w:t>Production &amp; Delivery Guidance:</w:t>
            </w:r>
          </w:p>
        </w:tc>
        <w:tc>
          <w:tcPr>
            <w:tcW w:type="dxa" w:w="6624"/>
            <w:shd w:fill="F8FAFC"/>
            <w:tcMar>
              <w:top w:w="100" w:type="dxa"/>
              <w:bottom w:w="100" w:type="dxa"/>
              <w:left w:w="150" w:type="dxa"/>
              <w:right w:w="150" w:type="dxa"/>
            </w:tcMar>
          </w:tcPr>
          <w:p>
            <w:r>
              <w:rPr>
                <w:rFonts w:ascii="Arial" w:hAnsi="Arial"/>
                <w:color w:val="282828"/>
                <w:sz w:val="18"/>
              </w:rPr>
              <w:t>Deliver 'Thank you' with warm dignity. Hold still, smiling gently at the camera for 2 seconds before the final fade to black.</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