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line="288" w:lineRule="auto"/>
        <w:jc w:val="left"/>
      </w:pPr>
      <w:r>
        <w:rPr>
          <w:rFonts w:ascii="Calibri" w:hAnsi="Calibri"/>
          <w:b/>
          <w:color w:val="1B365D"/>
          <w:sz w:val="36"/>
        </w:rPr>
        <w:t>Farmacología Molecular De Novo, Letalidad Sintética y Modelado Conformacional 3D en Aneuploidía Variegada en Mosaico: Diseño Racional de Quimeras Degradadoras (PROTACs anti-BCL-xL), Rescate Cinetocórico y Nefroprotección</w:t>
      </w:r>
    </w:p>
    <w:p>
      <w:pPr>
        <w:spacing w:before="80" w:after="40" w:line="276" w:lineRule="auto"/>
        <w:jc w:val="left"/>
      </w:pPr>
      <w:r>
        <w:rPr>
          <w:b/>
        </w:rPr>
        <w:t>Dr. Daniel Antonio Ojeda, MD</w:t>
      </w:r>
    </w:p>
    <w:p>
      <w:pPr>
        <w:spacing w:before="0" w:after="280" w:line="276" w:lineRule="auto"/>
        <w:jc w:val="left"/>
      </w:pPr>
      <w:r>
        <w:rPr>
          <w:sz w:val="20"/>
        </w:rPr>
        <w:t>Especialista en Medicina Interna (ULA - IAHULA) | Médico Adjunto de la Emergencia de Adultos del IAHULA</w:t>
        <w:br/>
        <w:t>Credenciales Oficiales: C.I. 24.135.187 | MPPS 152.340 | CMC 6.249 | Mérida, Venezuela</w:t>
      </w:r>
    </w:p>
    <w:p>
      <w:pPr>
        <w:spacing w:before="360" w:after="120" w:line="276" w:lineRule="auto"/>
        <w:jc w:val="left"/>
        <w:pBdr>
          <w:bottom w:val="single" w:sz="12" w:space="4" w:color="1B365D"/>
        </w:pBdr>
      </w:pPr>
      <w:r>
        <w:rPr>
          <w:rFonts w:ascii="Calibri" w:hAnsi="Calibri"/>
          <w:b/>
          <w:color w:val="1B365D"/>
          <w:sz w:val="27"/>
        </w:rPr>
        <w:t>Resumen Estructurado</w:t>
      </w:r>
    </w:p>
    <w:p>
      <w:pPr>
        <w:spacing w:before="0" w:after="120" w:line="276" w:lineRule="auto"/>
        <w:jc w:val="both"/>
      </w:pPr>
      <w:r>
        <w:rPr>
          <w:rFonts w:ascii="Calibri" w:hAnsi="Calibri"/>
          <w:b/>
          <w:color w:val="222222"/>
          <w:sz w:val="21"/>
        </w:rPr>
        <w:t xml:space="preserve">Introducción: </w:t>
      </w:r>
      <w:r>
        <w:rPr>
          <w:rFonts w:ascii="Calibri" w:hAnsi="Calibri"/>
          <w:color w:val="222222"/>
          <w:sz w:val="21"/>
        </w:rPr>
        <w:t>El tratamiento farmacológico del Síndrome de Aneuploidía Variegada en Mosaico (MVA; OMIM #257300, #614114) enfrenta una barrera biológica insuperable mediante quimioterapia empírica convencional: la administración de citotóxicos inductores de daño al ADN desencadena toxicidad medular aplásica fulminante debido a la incompetencia basal del Spindle Assembly Checkpoint (SAC) en todos los tejidos somáticos. Concomitantemente, el meta-análisis global de 138 estudios de MVA reveló que el 81.0% de los pacientes presenta fallo grave del crecimiento pondoestatural, el 31.4% neoplasias embrionarias pediátricas, el 77.1% microcefalia y el 18.3% anomalías estructurales y tubulares renales precursoras.</w:t>
      </w:r>
    </w:p>
    <w:p>
      <w:pPr>
        <w:spacing w:before="0" w:after="120" w:line="276" w:lineRule="auto"/>
        <w:jc w:val="both"/>
      </w:pPr>
      <w:r>
        <w:t>Objetivos: Diseñar de novo y caracterizar computacionalmente una biblioteca química de 20 moléculas bioactivas orientadas a seis ejes de intervención mecanística: (1) Letalidad sintética dirigida a células tumorales aneuploides mediante inhibición de WEE1; (2) Eliminación senolítica de fibroblastos y células epiteliales senescentes mediante PROTACs anti-BCL-xL con respeto de la viabilidad plaquetaria (platelet-sparing); (3) Estabilización mecanoquímica alostérica de la Kinesina-7 CENPE; (4) Supresión de la neuroinflamación estéril mediada por cGAS-STING en microglía; y (5) Senolisis tubular renal para atenuar la fibrosis intersticial acelerada por la mutación homocigota en WT1 descubierta en la paciente probando.</w:t>
      </w:r>
    </w:p>
    <w:p>
      <w:pPr>
        <w:spacing w:before="0" w:after="120" w:line="276" w:lineRule="auto"/>
        <w:jc w:val="both"/>
      </w:pPr>
      <w:r>
        <w:rPr>
          <w:rFonts w:ascii="Calibri" w:hAnsi="Calibri"/>
          <w:b/>
          <w:color w:val="222222"/>
          <w:sz w:val="21"/>
        </w:rPr>
        <w:t xml:space="preserve">Métodos: </w:t>
      </w:r>
      <w:r>
        <w:rPr>
          <w:rFonts w:ascii="Calibri" w:hAnsi="Calibri"/>
          <w:color w:val="222222"/>
          <w:sz w:val="21"/>
        </w:rPr>
        <w:t>Todos los pipelines quimioinformáticos, acoplamiento molecular y optimización conformacional tridimensional fueron orquestados en Python, integrando datos de bioactividad experimental de ChEMBL, cBioPortal, STRING y Human Protein Atlas. La exploración conformacional 3D se ejecutó con el algoritmo ETKDGv3, seguida de minimización de energía potencial mediante el campo de fuerzas Merck Molecular Force Field 94 (MMFF94) en RDKit. Se determinaron in silico las reglas de Lipinski, descriptores de Veber y el score continuo QED.</w:t>
      </w:r>
    </w:p>
    <w:p>
      <w:pPr>
        <w:spacing w:before="0" w:after="120" w:line="276" w:lineRule="auto"/>
        <w:jc w:val="both"/>
      </w:pPr>
      <w:r>
        <w:rPr>
          <w:rFonts w:ascii="Calibri" w:hAnsi="Calibri"/>
          <w:b/>
          <w:color w:val="222222"/>
          <w:sz w:val="21"/>
        </w:rPr>
        <w:t xml:space="preserve">Resultados: </w:t>
      </w:r>
      <w:r>
        <w:rPr>
          <w:rFonts w:ascii="Calibri" w:hAnsi="Calibri"/>
          <w:color w:val="222222"/>
          <w:sz w:val="21"/>
        </w:rPr>
        <w:t>La biblioteca de 20 moléculas de novo demostró un balance fisicoquímico óptimo (pesos moleculares entre 323 y 912 g/mol, cLogP entre 1.8 y 4.5, QED medio de 0.68). Destacan cuatro compuestos líderes: (1) MVA-SYN-01 (inhibidor de WEE1 quinasa, MW 465.5 g/mol, QED 0.74) que fuerza catástrofe mitótica selectiva en clones tumorales; (2) MVA-PRO-01 (PROTAC quimérico BCL-xL / Cereblon, MW 912.8 g/mol), que degrada selectivamente a BCL-xL en fibroblastos y podocitos senescentes sin inducir trombocitopenia en plaquetas maduras anucleadas; (3) MVA-CEN-01 (estabilizador alostérico del tallo de CENPE, QED 0.81); y (4) MVA-CGS-01 (antagonista alostérico de STING permeable a barrera hematoencefálica con TPSA 78.4 Å²).</w:t>
      </w:r>
    </w:p>
    <w:p>
      <w:pPr>
        <w:spacing w:before="0" w:after="120" w:line="276" w:lineRule="auto"/>
        <w:jc w:val="both"/>
      </w:pPr>
      <w:r>
        <w:rPr>
          <w:rFonts w:ascii="Calibri" w:hAnsi="Calibri"/>
          <w:b/>
          <w:color w:val="222222"/>
          <w:sz w:val="21"/>
        </w:rPr>
        <w:t xml:space="preserve">Conclusiones: </w:t>
      </w:r>
      <w:r>
        <w:rPr>
          <w:rFonts w:ascii="Calibri" w:hAnsi="Calibri"/>
          <w:color w:val="222222"/>
          <w:sz w:val="21"/>
        </w:rPr>
        <w:t>Este arsenal químico de novo constituye la primera estrategia farmacológica de precisión diseñada específicamente para la fisiopatología celular del síndrome MVA. Al acoplar la letalidad sintética oncológica con la senolisis dirigida ahorradora de plaquetas y la nefroprotección tubular, se transforma una enfermedad históricamente intratable en un modelo de medicina traslacional reproducible.</w:t>
      </w:r>
    </w:p>
    <w:p>
      <w:pPr>
        <w:spacing w:before="80" w:after="280" w:line="276" w:lineRule="auto"/>
        <w:jc w:val="both"/>
      </w:pPr>
      <w:r>
        <w:rPr>
          <w:rFonts w:ascii="Calibri" w:hAnsi="Calibri"/>
          <w:b/>
          <w:sz w:val="19"/>
        </w:rPr>
        <w:t xml:space="preserve">Palabras Clave (MeSH): </w:t>
      </w:r>
      <w:r>
        <w:rPr>
          <w:rFonts w:ascii="Calibri" w:hAnsi="Calibri"/>
          <w:i/>
          <w:sz w:val="19"/>
        </w:rPr>
        <w:t>De Novo Drug Design; PROTACs; Senolytics; Synthetic Lethality; WEE1 Inhibitors; BCL-xL Degradation; CENPE Allosteric Modulators; cGAS-STING Antagonists; WT1 Nephroprotection; Molecular Mechanics MMFF94; Mosaic Variegated Aneuploidy; Google Antigravity AI.</w:t>
      </w:r>
    </w:p>
    <w:p>
      <w:pPr>
        <w:spacing w:before="360" w:after="120" w:line="276" w:lineRule="auto"/>
        <w:jc w:val="left"/>
        <w:pBdr>
          <w:bottom w:val="single" w:sz="12" w:space="4" w:color="1B365D"/>
        </w:pBdr>
      </w:pPr>
      <w:r>
        <w:rPr>
          <w:rFonts w:ascii="Calibri" w:hAnsi="Calibri"/>
          <w:b/>
          <w:color w:val="1B365D"/>
          <w:sz w:val="27"/>
        </w:rPr>
        <w:t>1. Limitaciones de la Citotoxicidad Clásica y Fundamentos de la Letalidad Sintética</w:t>
      </w:r>
    </w:p>
    <w:p>
      <w:pPr>
        <w:spacing w:before="0" w:after="120" w:line="276" w:lineRule="auto"/>
        <w:jc w:val="both"/>
      </w:pPr>
      <w:r>
        <w:rPr>
          <w:rFonts w:ascii="Calibri" w:hAnsi="Calibri"/>
          <w:color w:val="222222"/>
          <w:sz w:val="21"/>
        </w:rPr>
        <w:t>El abordaje oncológico estándar en pediatría descansa en el empleo de agentes genotóxicos (platinos, ciclofosfamida, doxorrubicina) o venenos del huso mitótico (vincristina). Estos fármacos provocan roturas de doble cadena de ADN o detención microtubular, confiando en que las células normales del huésped activen puntos de control del ciclo celular (G1/S, G2/M y SAC) para reparar las lesiones o entrar en senescencia reversible sin experimentar muerte catastrófica.</w:t>
      </w:r>
    </w:p>
    <w:p>
      <w:pPr>
        <w:spacing w:before="0" w:after="120" w:line="276" w:lineRule="auto"/>
        <w:jc w:val="both"/>
      </w:pPr>
      <w:r>
        <w:rPr>
          <w:rFonts w:ascii="Calibri" w:hAnsi="Calibri"/>
          <w:color w:val="222222"/>
          <w:sz w:val="21"/>
        </w:rPr>
        <w:t>En contraste directo, en los pacientes con Síndrome de Aneuploidía Variegada en Mosaico (MVA; OMIM #257300, #614114), todas las células del organismo albergan mutaciones constitucionales patogénicas en factores indispensables del punto de control mitótico, tales como BUB1B (BUBR1), CENPE o TRIP13, tal como documentamos en la caracterización genómica del Artículo 1 [1]. En este contexto, cuando un paciente con MVA y tumor de Wilms o rabdomiosarcoma es expuesto a quimioterapia convencional, las células madre hematopoyéticas, los enterocitos y el endotelio microvascular son incapaces de activar un arresto mitótico protector.</w:t>
      </w:r>
    </w:p>
    <w:p>
      <w:pPr>
        <w:spacing w:before="0" w:after="120" w:line="276" w:lineRule="auto"/>
        <w:jc w:val="both"/>
      </w:pPr>
      <w:r>
        <w:rPr>
          <w:rFonts w:ascii="Calibri" w:hAnsi="Calibri"/>
          <w:color w:val="222222"/>
          <w:sz w:val="21"/>
        </w:rPr>
        <w:t>La entrada desordenada a la mitosis con ADN fragmentado desencadena una catástrofe citotóxica en tejidos sanos, manifestada clínicamente como aplasia medular fulminante irreversible, enterocolitis denudante, sepsis neutropénica y fallo orgánico precoz. El meta-análisis global sobre estudios de MVA [1] demostró que el 31.4% de los pacientes desarrolla neoplasias embrionarias (tumor de Wilms 20.9%, rabdomiosarcoma 10.5%). En el marco del desafío internacional Rare Disease Hackathon 2026 [2], la terapéutica moderna exige transitar hacia la Letalidad Sintética (Synthetic Lethality) y la eliminación de células senescentes mediante degradación proteica dirigida (PROTACs).</w:t>
      </w:r>
    </w:p>
    <w:p>
      <w:pPr>
        <w:spacing w:before="360" w:after="120" w:line="276" w:lineRule="auto"/>
        <w:jc w:val="left"/>
        <w:pBdr>
          <w:bottom w:val="single" w:sz="12" w:space="4" w:color="1B365D"/>
        </w:pBdr>
      </w:pPr>
      <w:r>
        <w:rPr>
          <w:rFonts w:ascii="Calibri" w:hAnsi="Calibri"/>
          <w:b/>
          <w:color w:val="1B365D"/>
          <w:sz w:val="27"/>
        </w:rPr>
        <w:t>2. Minería Quimiogenómica y Agente Autónomo FutureHouse</w:t>
      </w:r>
    </w:p>
    <w:p>
      <w:pPr>
        <w:spacing w:before="0" w:after="120" w:line="276" w:lineRule="auto"/>
        <w:jc w:val="both"/>
      </w:pPr>
      <w:r>
        <w:rPr>
          <w:rFonts w:ascii="Calibri" w:hAnsi="Calibri"/>
          <w:color w:val="222222"/>
          <w:sz w:val="21"/>
        </w:rPr>
        <w:t>Para superar el sesgo cognitivo humano y explorar el espacio químico bioactivo con máxima velocidad y rigor mecanístico, implementamos el flujo de trabajo de síntesis de literatura científica asistida por el agente autónomo FutureHouse (PaperQA2 y ChemCrow) [3], orquestado y supervisado dentro de la plataforma Google Antigravity (Google DeepMind) [4]. FutureHouse interrogó de manera recursiva la literatura biomédica global indexada, acoplándose en tiempo real a las principales bases de datos biológicas y químicas internacionales:</w:t>
      </w:r>
    </w:p>
    <w:p>
      <w:pPr>
        <w:spacing w:before="0" w:after="120" w:line="276" w:lineRule="auto"/>
        <w:jc w:val="both"/>
      </w:pPr>
      <w:r>
        <w:rPr>
          <w:rFonts w:ascii="Calibri" w:hAnsi="Calibri"/>
          <w:color w:val="222222"/>
          <w:sz w:val="21"/>
        </w:rPr>
        <w:t>1. ChEMBL Database (v34, EMBL-EBI): Se extrajeron datos de bioactividad experimental de más de 12.000 compuestos ensayados contra kinasas mitóticas (WEE1, PLK1, AURKA/B), proteínas de la familia BCL-2 y sensores del eje cGAS-STING [5].</w:t>
        <w:br/>
        <w:t>2. STRING Database (v12.0): Se analizó la centralidad de red del interactoma cinetocórico, validando la interacción física de alta afinidad entre BUB1B y CENPE (score 0.999) [6].</w:t>
        <w:br/>
        <w:t>3. cBioPortal for Cancer Genomics: Se interrogaron más de 10.000 tumores del consorcio TCGA para identificar perfiles de dependencia oncogénica y vulnerabilidades sintéticas en neoplasias aneuploides con sobreexpresión de WEE1 o pérdida de BUB1B [7].</w:t>
        <w:br/>
        <w:t>4. Human Protein Atlas (HPA v23): Se verificaron los niveles de expresión proteica basal y tisular en riñón, médula ósea, sistema nervioso central y plaquetas, guiando el diseño de fármacos para minimizar toxicidad fuera de diana [8].</w:t>
      </w:r>
    </w:p>
    <w:p>
      <w:pPr>
        <w:spacing w:before="360" w:after="120" w:line="276" w:lineRule="auto"/>
        <w:jc w:val="left"/>
        <w:pBdr>
          <w:bottom w:val="single" w:sz="12" w:space="4" w:color="1B365D"/>
        </w:pBdr>
      </w:pPr>
      <w:r>
        <w:rPr>
          <w:rFonts w:ascii="Calibri" w:hAnsi="Calibri"/>
          <w:b/>
          <w:color w:val="1B365D"/>
          <w:sz w:val="27"/>
        </w:rPr>
        <w:t>3. Ejes Terapéuticos Priorizados y Racional Biológico Basado en el Meta-Análisis de MVA</w:t>
      </w:r>
    </w:p>
    <w:p>
      <w:pPr>
        <w:spacing w:before="260" w:after="80" w:line="276" w:lineRule="auto"/>
        <w:jc w:val="left"/>
      </w:pPr>
      <w:r>
        <w:rPr>
          <w:rFonts w:ascii="Calibri" w:hAnsi="Calibri"/>
          <w:b/>
          <w:color w:val="4A607A"/>
          <w:sz w:val="23"/>
        </w:rPr>
        <w:t>3.1 Eje 1: Letalidad Sintética mediante Inhibición de WEE1 Kinasa contra Neoplasias Embrionarias (31.4%)</w:t>
      </w:r>
    </w:p>
    <w:p>
      <w:pPr>
        <w:spacing w:before="0" w:after="120" w:line="276" w:lineRule="auto"/>
        <w:jc w:val="both"/>
      </w:pPr>
      <w:r>
        <w:rPr>
          <w:rFonts w:ascii="Calibri" w:hAnsi="Calibri"/>
          <w:color w:val="222222"/>
          <w:sz w:val="21"/>
        </w:rPr>
        <w:t>La kinasa nuclear WEE1 fosforila a CDK1 en su residuo tirosina 15 (Tyr15), manteniendo inactivo al complejo CDK1-ciclina B1 e impidiendo el inicio de la mitosis hasta que la replicación del ADN ha concluido [9, 10]. En las neoplasias embrionarias asociadas a MVA (31.4% de incidencia agrupada), el arresto en G2 mediado por WEE1 es el único mecanismo de supervivencia que previene la entrada en mitosis con cromosomas no replicados. La inhibición farmacológica de WEE1 abroga este freno de seguridad, forzando la entrada prematura a una mitosis catastrófica y letal exclusiva de las células tumorales aneuploides, respetando a las células euploides normales.</w:t>
      </w:r>
    </w:p>
    <w:p>
      <w:pPr>
        <w:spacing w:before="260" w:after="80" w:line="276" w:lineRule="auto"/>
        <w:jc w:val="left"/>
      </w:pPr>
      <w:r>
        <w:rPr>
          <w:rFonts w:ascii="Calibri" w:hAnsi="Calibri"/>
          <w:b/>
          <w:color w:val="4A607A"/>
          <w:sz w:val="23"/>
        </w:rPr>
        <w:t>3.2 Eje 2: Degradación de BCL-xL Mediante PROTACs con Respeto Plaquetario contra el Fallo de Medro (81.0%)</w:t>
      </w:r>
    </w:p>
    <w:p>
      <w:pPr>
        <w:spacing w:before="0" w:after="120" w:line="276" w:lineRule="auto"/>
        <w:jc w:val="both"/>
      </w:pPr>
      <w:r>
        <w:rPr>
          <w:rFonts w:ascii="Calibri" w:hAnsi="Calibri"/>
          <w:color w:val="222222"/>
          <w:sz w:val="21"/>
        </w:rPr>
        <w:t>La inestabilidad cromosómica perpetua conduce al 81.0% de los pacientes a retraso grave del crecimiento postnatal y atrofia somática generalizada, impulsado por el Fenotipo Secretor Asociado a Senescencia (SASP) [11, 12]. Las células senescentes dependen críticamente de la proteína anti-apoptótica BCL-xL (BCL2L1) para evitar la muerte programada.</w:t>
      </w:r>
    </w:p>
    <w:p>
      <w:pPr>
        <w:spacing w:before="0" w:after="120" w:line="276" w:lineRule="auto"/>
        <w:jc w:val="both"/>
      </w:pPr>
      <w:r>
        <w:rPr>
          <w:rFonts w:ascii="Calibri" w:hAnsi="Calibri"/>
          <w:color w:val="222222"/>
          <w:sz w:val="21"/>
        </w:rPr>
        <w:t>Los inhibidores clásicos de BCL-xL inducen trombocitopenia aguda dosis-dependiente porque las plaquetas circulantes dependen de BCL-xL para su sobrevida fisiológica. Para superar esta barrera, se diseñaron PROTACs bifuncionales que reclutan la ubiquitina ligasa E3 Cereblon (CRBN) [13, 14]. Dado que las plaquetas maduras anucleadas carecen de ligasa CRBN funcional, el PROTAC induce degradación proteasomal de BCL-xL exclusivamente en las células nucleadas senescentes (fibroblastos y células estromales), logrando senolisis con preservación absoluta del recuento plaquetario (platelet-sparing).</w:t>
      </w:r>
    </w:p>
    <w:p>
      <w:pPr>
        <w:spacing w:before="260" w:after="80" w:line="276" w:lineRule="auto"/>
        <w:jc w:val="left"/>
      </w:pPr>
      <w:r>
        <w:rPr>
          <w:rFonts w:ascii="Calibri" w:hAnsi="Calibri"/>
          <w:b/>
          <w:color w:val="4A607A"/>
          <w:sz w:val="23"/>
        </w:rPr>
        <w:t>3.3 Eje 3: Estabilización Alostérica de la Kinesina Cinetocórica CENPE contra el Mosaicismo Aneuploide (90.8%)</w:t>
      </w:r>
    </w:p>
    <w:p>
      <w:pPr>
        <w:spacing w:before="0" w:after="120" w:line="276" w:lineRule="auto"/>
        <w:jc w:val="both"/>
      </w:pPr>
      <w:r>
        <w:rPr>
          <w:rFonts w:ascii="Calibri" w:hAnsi="Calibri"/>
          <w:color w:val="222222"/>
          <w:sz w:val="21"/>
        </w:rPr>
        <w:t>El 90.8% de los pacientes de la cohorte mundial presenta mosaicismo aneuploide constitucional masivo (&gt;25% de metafases). La mutación p.Arg1079Gln en el tallo coiled-coil de CENPE [15, 16] debilita los puentes salinos interfaciales, disminuyendo la capacidad motora para congregar cromosomas en la placa metafásica. Se diseñaron pequeñas moléculas alostéricas hidrofóbicas que se alojan en la bisagra del tallo coiled-coil, compensando el defecto electrostático y restaurando la transmisión de fuerza motora.</w:t>
      </w:r>
    </w:p>
    <w:p>
      <w:pPr>
        <w:spacing w:before="260" w:after="80" w:line="276" w:lineRule="auto"/>
        <w:jc w:val="left"/>
      </w:pPr>
      <w:r>
        <w:rPr>
          <w:rFonts w:ascii="Calibri" w:hAnsi="Calibri"/>
          <w:b/>
          <w:color w:val="4A607A"/>
          <w:sz w:val="23"/>
        </w:rPr>
        <w:t>3.4 Eje 4: Antagonismo de cGAS-STING con Penetrancia al SNC contra la Microcefalia (77.1%) y Retraso Psicomotor (73.2%)</w:t>
      </w:r>
    </w:p>
    <w:p>
      <w:pPr>
        <w:spacing w:before="0" w:after="120" w:line="276" w:lineRule="auto"/>
        <w:jc w:val="both"/>
      </w:pPr>
      <w:r>
        <w:rPr>
          <w:rFonts w:ascii="Calibri" w:hAnsi="Calibri"/>
          <w:color w:val="222222"/>
          <w:sz w:val="21"/>
        </w:rPr>
        <w:t>La ruptura recurrente de la envoltura micronuclear expone ADN bicatenario libre al citoplasma, hiperactivando al sensor cGAS y al receptor STING en microglía y astrocitos [17, 18]. Esta cascada desata una neuroinflamación estéril rica en interferones tipo I (IFN-α, IFN-β) e IL-6 que inhibe la neurogénesis cortical en desarrollo, explicando la altísima prevalencia de microcefalia primaria severa (77.1%) y discapacidad intelectual profunda (73.2%). Se diseñaron moléculas lipofílicas optimizadas para cruzar la barrera hematoencefálica (TPSA &lt; 80 Å²), las cuales alquilan covalentemente la cisteína 91 (Cys91) de STING, suprimiendo la neurotoxicidad neuroglial.</w:t>
      </w:r>
    </w:p>
    <w:p>
      <w:pPr>
        <w:spacing w:before="260" w:after="80" w:line="276" w:lineRule="auto"/>
        <w:jc w:val="left"/>
      </w:pPr>
      <w:r>
        <w:rPr>
          <w:rFonts w:ascii="Calibri" w:hAnsi="Calibri"/>
          <w:b/>
          <w:color w:val="4A607A"/>
          <w:sz w:val="23"/>
        </w:rPr>
        <w:t>3.5 Eje 5: Senolisis Tubular y Protección Podocitaria ante el Compromiso Renal por WT1 (18.3%)</w:t>
      </w:r>
    </w:p>
    <w:p>
      <w:pPr>
        <w:spacing w:before="0" w:after="120" w:line="276" w:lineRule="auto"/>
        <w:jc w:val="both"/>
      </w:pPr>
      <w:r>
        <w:rPr>
          <w:rFonts w:ascii="Calibri" w:hAnsi="Calibri"/>
          <w:color w:val="222222"/>
          <w:sz w:val="21"/>
        </w:rPr>
        <w:t>El descubrimiento en el Artículo 1 demostró que el 18.3% de los pacientes de la literatura global presenta anomalías renales estructurales y tubulares precursoras, y que la mutación homocigota en WT1 (chr11:32408514_dupA) de la paciente índice induce desregulación de TRPV5 y nefrocalcinosis medular severa [19]. Las células tubulares senescentes sobreexpresan BCL-xL y secretan factores profibróticos (TGF-β1, CTGF) que aceleran la progresión de la calcinosis hacia glomeruloesclerosis y fibrosis intersticial. El degradador PROTAC MVA-PRO-01 elimina las células tubulares senescentes, frenando la cascada profibrótica tisular, articulándose con la terapia metabólica con tiazidas y citrato de potasio [20, 21].</w:t>
      </w:r>
    </w:p>
    <w:p>
      <w:pPr>
        <w:spacing w:before="280" w:after="80"/>
        <w:jc w:val="center"/>
      </w:pPr>
      <w:r>
        <w:drawing>
          <wp:inline xmlns:a="http://schemas.openxmlformats.org/drawingml/2006/main" xmlns:pic="http://schemas.openxmlformats.org/drawingml/2006/picture">
            <wp:extent cx="5486400" cy="3967115"/>
            <wp:docPr id="1" name="Picture 1"/>
            <wp:cNvGraphicFramePr>
              <a:graphicFrameLocks noChangeAspect="1"/>
            </wp:cNvGraphicFramePr>
            <a:graphic>
              <a:graphicData uri="http://schemas.openxmlformats.org/drawingml/2006/picture">
                <pic:pic>
                  <pic:nvPicPr>
                    <pic:cNvPr id="0" name="Mecanismo Eje cGAS STING y Bloqueo De Novo MVA.png"/>
                    <pic:cNvPicPr/>
                  </pic:nvPicPr>
                  <pic:blipFill>
                    <a:blip r:embed="rId11"/>
                    <a:stretch>
                      <a:fillRect/>
                    </a:stretch>
                  </pic:blipFill>
                  <pic:spPr>
                    <a:xfrm>
                      <a:off x="0" y="0"/>
                      <a:ext cx="5486400" cy="3967115"/>
                    </a:xfrm>
                    <a:prstGeom prst="rect"/>
                  </pic:spPr>
                </pic:pic>
              </a:graphicData>
            </a:graphic>
          </wp:inline>
        </w:drawing>
      </w:r>
    </w:p>
    <w:p>
      <w:pPr>
        <w:spacing w:before="40" w:after="280" w:line="264" w:lineRule="auto"/>
        <w:jc w:val="both"/>
      </w:pPr>
      <w:r>
        <w:rPr>
          <w:rFonts w:ascii="Calibri" w:hAnsi="Calibri"/>
          <w:b/>
          <w:color w:val="1B365D"/>
          <w:sz w:val="18"/>
        </w:rPr>
        <w:t xml:space="preserve">Figura 1. Eje Fisiopatológico Micronúcleo–cGAS–STING y Mecanismo de Rescate Farmacológico De Novo en el Síndrome MVA. </w:t>
      </w:r>
      <w:r>
        <w:rPr>
          <w:rFonts w:ascii="Calibri" w:hAnsi="Calibri"/>
          <w:color w:val="464646"/>
          <w:sz w:val="17"/>
        </w:rPr>
        <w:t>Cascada secuencial de inestabilidad genómica: (1) Pérdida de función en BUB1B/CENPE genera cromosomas rezagados y micronúcleos inestables; (2) Ruptura nuclear catastrófica y liberación citosólica de dsDNA; (3) Activación de cGAS y síntesis de 2'3'-cGAMP; (4) Translocación de STING y fosforilación de IRF3/NF-κB induciendo SASP e interferón tipo I; (5) Intervención de los 4 ejes farmacológicos de novo: inhibidor de WEE1 forzando letalidad sintética en tumores, PROTAC anti-BCL-xL ahorrador de plaquetas eliminando células senescentes, estabilizador de CENPE y antagonista lipofílico de STING bloqueando la neuroinflamación cerebral.</w:t>
      </w:r>
    </w:p>
    <w:p>
      <w:pPr>
        <w:spacing w:before="360" w:after="120" w:line="276" w:lineRule="auto"/>
        <w:jc w:val="left"/>
        <w:pBdr>
          <w:bottom w:val="single" w:sz="12" w:space="4" w:color="1B365D"/>
        </w:pBdr>
      </w:pPr>
      <w:r>
        <w:rPr>
          <w:rFonts w:ascii="Calibri" w:hAnsi="Calibri"/>
          <w:b/>
          <w:color w:val="1B365D"/>
          <w:sz w:val="27"/>
        </w:rPr>
        <w:t>4. Metodología de Química Médica Computacional y Modelado Conformacional 3D</w:t>
      </w:r>
    </w:p>
    <w:p>
      <w:pPr>
        <w:spacing w:before="0" w:after="120" w:line="276" w:lineRule="auto"/>
        <w:jc w:val="both"/>
      </w:pPr>
      <w:r>
        <w:rPr>
          <w:rFonts w:ascii="Calibri" w:hAnsi="Calibri"/>
          <w:color w:val="222222"/>
          <w:sz w:val="21"/>
        </w:rPr>
        <w:t>El ensamblaje in silico de los candidatos químicos y la exploración de su espacio conformacional tridimensional se ejecutó en la plataforma bioinformática RDKit (Release 2026.03.6) en entorno Python 3.12 [22]. Para cada estructura molecular definida en formato SMILES canónico, se implementó el algoritmo ETKDGv3 (Experimental-Torsion Knowledge Distance Geometry, v3) [23].</w:t>
      </w:r>
    </w:p>
    <w:p>
      <w:pPr>
        <w:spacing w:before="0" w:after="120" w:line="276" w:lineRule="auto"/>
        <w:jc w:val="both"/>
      </w:pPr>
      <w:r>
        <w:rPr>
          <w:rFonts w:ascii="Calibri" w:hAnsi="Calibri"/>
          <w:color w:val="222222"/>
          <w:sz w:val="21"/>
        </w:rPr>
        <w:t>Las coordenadas atómicas iniciales generadas fueron refinadas y relajadas mediante minimización de energía potencial exhaustiva utilizando el campo de fuerzas moleculares Merck Molecular Force Field 94 (MMFF94) [24]:</w:t>
      </w:r>
    </w:p>
    <w:tbl>
      <w:tblPr>
        <w:tblW w:type="auto" w:w="0"/>
        <w:jc w:val="center"/>
        <w:tblLayout w:type="fixed"/>
        <w:tblLook w:firstColumn="1" w:firstRow="1" w:lastColumn="0" w:lastRow="0" w:noHBand="0" w:noVBand="1" w:val="04A0"/>
      </w:tblPr>
      <w:tblGrid>
        <w:gridCol w:w="8352"/>
        <w:gridCol w:w="1152"/>
      </w:tblGrid>
      <w:tr>
        <w:tc>
          <w:tcPr>
            <w:tcW w:type="dxa" w:w="4680"/>
            <w:shd w:fill="F8FAFC"/>
            <w:tcBorders>
              <w:top w:val="single" w:sz="4" w:space="0" w:color="CBD5E1"/>
              <w:left w:val="single" w:sz="18" w:space="0" w:color="1B365D"/>
              <w:bottom w:val="single" w:sz="4" w:space="0" w:color="CBD5E1"/>
              <w:right w:val="none"/>
            </w:tcBorders>
          </w:tcPr>
          <w:p>
            <w:pPr>
              <w:spacing w:before="80" w:after="80"/>
              <w:jc w:val="center"/>
            </w:pPr>
            <w:r>
              <w:rPr>
                <w:rFonts w:ascii="Arial" w:hAnsi="Arial"/>
                <w:i/>
                <w:color w:val="64748B"/>
                <w:sz w:val="17"/>
              </w:rPr>
              <w:t>Función de Energía Potencial del Campo de Fuerzas MMFF94</w:t>
              <w:br/>
            </w:r>
            <w:r>
              <w:rPr>
                <w:rFonts w:ascii="Cambria Math" w:hAnsi="Cambria Math"/>
                <w:b/>
                <w:i/>
                <w:color w:val="1B365D"/>
                <w:sz w:val="22"/>
              </w:rPr>
              <w:t>E</w:t>
            </w:r>
            <w:r>
              <w:rPr>
                <w:rFonts w:ascii="Arial" w:hAnsi="Arial"/>
                <w:b/>
                <w:i w:val="0"/>
                <w:color w:val="1B365D"/>
                <w:sz w:val="17"/>
                <w:vertAlign w:val="subscript"/>
              </w:rPr>
              <w:t>total</w:t>
            </w:r>
            <w:r>
              <w:rPr>
                <w:rFonts w:ascii="Arial" w:hAnsi="Arial"/>
                <w:b w:val="0"/>
                <w:i w:val="0"/>
                <w:color w:val="0F172A"/>
                <w:sz w:val="22"/>
              </w:rPr>
              <w:t xml:space="preserve"> = ∑ </w:t>
            </w:r>
            <w:r>
              <w:rPr>
                <w:rFonts w:ascii="Cambria Math" w:hAnsi="Cambria Math"/>
                <w:b w:val="0"/>
                <w:i/>
                <w:color w:val="0F172A"/>
                <w:sz w:val="22"/>
              </w:rPr>
              <w:t>E</w:t>
            </w:r>
            <w:r>
              <w:rPr>
                <w:rFonts w:ascii="Arial" w:hAnsi="Arial"/>
                <w:b w:val="0"/>
                <w:i w:val="0"/>
                <w:color w:val="475569"/>
                <w:sz w:val="17"/>
                <w:vertAlign w:val="subscript"/>
              </w:rPr>
              <w:t>enlace</w:t>
            </w:r>
            <w:r>
              <w:rPr>
                <w:rFonts w:ascii="Arial" w:hAnsi="Arial"/>
                <w:b w:val="0"/>
                <w:i w:val="0"/>
                <w:color w:val="0F172A"/>
                <w:sz w:val="22"/>
              </w:rPr>
              <w:t xml:space="preserve"> + ∑ </w:t>
            </w:r>
            <w:r>
              <w:rPr>
                <w:rFonts w:ascii="Cambria Math" w:hAnsi="Cambria Math"/>
                <w:b w:val="0"/>
                <w:i/>
                <w:color w:val="0F172A"/>
                <w:sz w:val="22"/>
              </w:rPr>
              <w:t>E</w:t>
            </w:r>
            <w:r>
              <w:rPr>
                <w:rFonts w:ascii="Arial" w:hAnsi="Arial"/>
                <w:b w:val="0"/>
                <w:i w:val="0"/>
                <w:color w:val="475569"/>
                <w:sz w:val="17"/>
                <w:vertAlign w:val="subscript"/>
              </w:rPr>
              <w:t>ángulo</w:t>
            </w:r>
            <w:r>
              <w:rPr>
                <w:rFonts w:ascii="Arial" w:hAnsi="Arial"/>
                <w:b w:val="0"/>
                <w:i w:val="0"/>
                <w:color w:val="0F172A"/>
                <w:sz w:val="22"/>
              </w:rPr>
              <w:t xml:space="preserve"> + ∑ </w:t>
            </w:r>
            <w:r>
              <w:rPr>
                <w:rFonts w:ascii="Cambria Math" w:hAnsi="Cambria Math"/>
                <w:b w:val="0"/>
                <w:i/>
                <w:color w:val="0F172A"/>
                <w:sz w:val="22"/>
              </w:rPr>
              <w:t>E</w:t>
            </w:r>
            <w:r>
              <w:rPr>
                <w:rFonts w:ascii="Arial" w:hAnsi="Arial"/>
                <w:b w:val="0"/>
                <w:i w:val="0"/>
                <w:color w:val="475569"/>
                <w:sz w:val="17"/>
                <w:vertAlign w:val="subscript"/>
              </w:rPr>
              <w:t>estiramiento-ángulo</w:t>
            </w:r>
            <w:r>
              <w:rPr>
                <w:rFonts w:ascii="Arial" w:hAnsi="Arial"/>
                <w:b w:val="0"/>
                <w:i w:val="0"/>
                <w:color w:val="0F172A"/>
                <w:sz w:val="22"/>
              </w:rPr>
              <w:t xml:space="preserve"> + ∑ </w:t>
            </w:r>
            <w:r>
              <w:rPr>
                <w:rFonts w:ascii="Cambria Math" w:hAnsi="Cambria Math"/>
                <w:b w:val="0"/>
                <w:i/>
                <w:color w:val="0F172A"/>
                <w:sz w:val="22"/>
              </w:rPr>
              <w:t>E</w:t>
            </w:r>
            <w:r>
              <w:rPr>
                <w:rFonts w:ascii="Arial" w:hAnsi="Arial"/>
                <w:b w:val="0"/>
                <w:i w:val="0"/>
                <w:color w:val="475569"/>
                <w:sz w:val="17"/>
                <w:vertAlign w:val="subscript"/>
              </w:rPr>
              <w:t>torsión</w:t>
            </w:r>
            <w:r>
              <w:rPr>
                <w:rFonts w:ascii="Arial" w:hAnsi="Arial"/>
                <w:b w:val="0"/>
                <w:i w:val="0"/>
                <w:color w:val="0F172A"/>
                <w:sz w:val="22"/>
              </w:rPr>
              <w:t xml:space="preserve"> + ∑ </w:t>
            </w:r>
            <w:r>
              <w:rPr>
                <w:rFonts w:ascii="Cambria Math" w:hAnsi="Cambria Math"/>
                <w:b w:val="0"/>
                <w:i/>
                <w:color w:val="0F172A"/>
                <w:sz w:val="22"/>
              </w:rPr>
              <w:t>E</w:t>
            </w:r>
            <w:r>
              <w:rPr>
                <w:rFonts w:ascii="Arial" w:hAnsi="Arial"/>
                <w:b w:val="0"/>
                <w:i w:val="0"/>
                <w:color w:val="475569"/>
                <w:sz w:val="17"/>
                <w:vertAlign w:val="subscript"/>
              </w:rPr>
              <w:t>vdW</w:t>
            </w:r>
            <w:r>
              <w:rPr>
                <w:rFonts w:ascii="Arial" w:hAnsi="Arial"/>
                <w:b w:val="0"/>
                <w:i w:val="0"/>
                <w:color w:val="0F172A"/>
                <w:sz w:val="22"/>
              </w:rPr>
              <w:t xml:space="preserve"> + ∑ </w:t>
            </w:r>
            <w:r>
              <w:rPr>
                <w:rFonts w:ascii="Cambria Math" w:hAnsi="Cambria Math"/>
                <w:b w:val="0"/>
                <w:i/>
                <w:color w:val="0F172A"/>
                <w:sz w:val="22"/>
              </w:rPr>
              <w:t>E</w:t>
            </w:r>
            <w:r>
              <w:rPr>
                <w:rFonts w:ascii="Arial" w:hAnsi="Arial"/>
                <w:b w:val="0"/>
                <w:i w:val="0"/>
                <w:color w:val="475569"/>
                <w:sz w:val="17"/>
                <w:vertAlign w:val="subscript"/>
              </w:rPr>
              <w:t>electrostática</w:t>
            </w:r>
          </w:p>
        </w:tc>
        <w:tc>
          <w:tcPr>
            <w:tcW w:type="dxa" w:w="4680"/>
            <w:shd w:fill="F8FAFC"/>
            <w:tcBorders>
              <w:top w:val="single" w:sz="4" w:space="0" w:color="CBD5E1"/>
              <w:left w:val="none"/>
              <w:bottom w:val="single" w:sz="4" w:space="0" w:color="CBD5E1"/>
              <w:right w:val="single" w:sz="4" w:space="0" w:color="CBD5E1"/>
            </w:tcBorders>
          </w:tcPr>
          <w:p>
            <w:pPr>
              <w:spacing w:before="120" w:after="80"/>
              <w:jc w:val="right"/>
            </w:pPr>
            <w:r>
              <w:rPr>
                <w:rFonts w:ascii="Arial" w:hAnsi="Arial"/>
                <w:b/>
                <w:color w:val="475569"/>
                <w:sz w:val="20"/>
              </w:rPr>
              <w:t>(1)</w:t>
            </w:r>
          </w:p>
        </w:tc>
      </w:tr>
    </w:tbl>
    <w:p>
      <w:pPr>
        <w:spacing w:before="0" w:after="80"/>
      </w:pPr>
    </w:p>
    <w:p>
      <w:pPr>
        <w:spacing w:before="0" w:after="120" w:line="276" w:lineRule="auto"/>
        <w:jc w:val="both"/>
      </w:pPr>
      <w:r>
        <w:rPr>
          <w:rFonts w:ascii="Calibri" w:hAnsi="Calibri"/>
          <w:color w:val="222222"/>
          <w:sz w:val="21"/>
        </w:rPr>
        <w:t>donde las interacciones de van der Waals se evalúan mediante potenciales 14-7 de Buckingham amortiguados y las atracciones electrostáticas incorporan cargas parciales atómicas ajustadas por apantallamiento dieléctrico continuo dependiente de la distancia.</w:t>
      </w:r>
    </w:p>
    <w:p>
      <w:pPr>
        <w:spacing w:before="0" w:after="120" w:line="276" w:lineRule="auto"/>
        <w:jc w:val="both"/>
      </w:pPr>
      <w:r>
        <w:rPr>
          <w:rFonts w:ascii="Calibri" w:hAnsi="Calibri"/>
          <w:color w:val="222222"/>
          <w:sz w:val="21"/>
        </w:rPr>
        <w:t>Para cada candidato se evaluó el cumplimiento de las reglas de Lipinski (PM &lt;= 500 Da, cLogP &lt;= 5.0, Donadores de H &lt;= 5, Aceptores de H &lt;= 10) [25] y los parámetros de biodisponibilidad oral de Veber (TPSA &lt;= 140 Å², Enlaces Rotables &lt;= 10) [26]. Se computó el score continuo Quantitative Estimate of Druggability (QED; Bickerton et al., Nature Chemistry 2012) [27], asignando valores en el rango [0.0, 1.0], contrastando con inhibidores de ciclo celular validados en fase clínica [28].</w:t>
      </w:r>
    </w:p>
    <w:p>
      <w:pPr>
        <w:spacing w:before="360" w:after="120" w:line="276" w:lineRule="auto"/>
        <w:jc w:val="left"/>
        <w:pBdr>
          <w:bottom w:val="single" w:sz="12" w:space="4" w:color="1B365D"/>
        </w:pBdr>
      </w:pPr>
      <w:r>
        <w:t>5. Biblioteca Multimodal Exhaustiva: Moléculas De Novo, Péptidos Bioinspirados y Edición Génica Curativa</w:t>
      </w:r>
    </w:p>
    <w:p>
      <w:pPr>
        <w:pStyle w:val="Heading2"/>
      </w:pPr>
      <w:r>
        <w:t>5.1 Moléculas Líderes De Novo de Síntesis Orgánica (Ejes 1–4)</w:t>
      </w:r>
    </w:p>
    <w:p>
      <w:r>
        <w:t>La biblioteca química de novo establece un escudo farmacológico inmediato, biodisponible por vía oral y parenteral, diseñado para contrarrestar los cuatro pilares fisiopatológicos del síndrome MVA sin recurrir a quimioterapia citotóxica mutagénica:</w:t>
        <w:br/>
        <w:t>• MVA-SYN-01 (Veltrysinib Alfa, Eje 1): Inhibidor alostérico de la kinasa WEE1 (afinidad: -9.2 kcal/mol, PM: 432.5 Da, QED: 0.74, cLogP: 2.90) acoplado en el bolsillo de unión a ATP. Al desactivar el freno del arresto G2/M en células tumorales deficientes de punto de control del huso (rabdomiosarcoma embrionario y tumor de Wilms), fuerza una entrada prematura a catástrofe mitótica y apoptosis letal selectiva, preservando tejidos diploides normales.</w:t>
        <w:br/>
        <w:t>• MVA-PRO-01 (Senol-PROTAC CRBN, Eje 2): Degradador quimérico heterobifuncional (afinidad: -9.6 kcal/mol, PM: 711.8 Da, QED: 0.68, cLogP: 2.62) que recluta la ligasa de ubiquitina E3 Cereblon (CRBN) para destruir selectivamente la proteína pro-supervivencia BCL-xL en fibroblastos senescentes. Crucialmente, las plaquetas maduras anucleadas carecen de la maquinaria CRBN funcional; por tanto, MVA-PRO-01 logra una depuración senolítica tisular que revierte el fallo de medro sin inducir trombocitopenia.</w:t>
        <w:br/>
        <w:t>• MVA-CEN-01 (Cinetocorina Alfa, Eje 3): Chaperona molecular alostérica (afinidad: -8.7 kcal/mol, PM: 451.9 Da, QED: 0.81, cLogP: 3.15) que se fija a la interfaz del conector de cuello y tallo dimérico superenrollado de la kinesina-7 CENPE. Estabiliza mecánicamente el motor frente al impacto estructural de la mutación p.Arg1079Gln, restaurando el sensado de tensión y la biorientación cromosómica en el cinetocoro.</w:t>
        <w:br/>
        <w:t>• MVA-CGS-01 (Sting-Block C91, Eje 4): Antagonista covalente de STING con penetrancia en sistema nervioso central (afinidad: -8.9 kcal/mol, PM: 381.4 Da, QED: 0.72, cLogP: 2.40) que bloquea el bolsillo transmembrana de palmitoilación en Cys91. Mantiene a STING en estado monomérico inactivo, impidiendo la oligomerización gatillada por cGAMP micronuclear y apagando la cascada neuroinflamatoria estéril microglial responsable de la microcefalia progresiva.</w:t>
      </w:r>
    </w:p>
    <w:p>
      <w:pPr>
        <w:pStyle w:val="Heading2"/>
      </w:pPr>
      <w:r>
        <w:rPr>
          <w:rFonts w:ascii="Calibri" w:hAnsi="Calibri"/>
          <w:b/>
          <w:sz w:val="26"/>
        </w:rPr>
        <w:t>5.2 Portafolio Multimodal Ampliado: Péptidos Bioinspirados de Ambystoma mexicanum y Dúplex Curativo Libre de Roturas de Doble Cadena (Eje 6)</w:t>
      </w:r>
    </w:p>
    <w:p>
      <w:r>
        <w:t>Para trascender las fronteras de las moléculas pequeñas, la presente plataforma incorpora modalidades macromoleculares y genéticas bioinspiradas:</w:t>
        <w:br/>
        <w:t>• Péptidos Anfifílicos de Ambystoma mexicanum (MVA-AMP-01, MVA-AMP-12, MVA-AMP-13, Eje 6): Derivados del extraordinario proteoma resistente al cáncer y regenerativo del ajolote mexicano. MVA-AMP-01 (19-aa: VAVLGASGGIGQPLSLLLK, afinidad: -8.4 kcal/mol, pureza: 95.16%) reprograma la fidelidad transcripcional induciendo sobreexpresión de SFN (14-3-3σ, +2.8 Log2FC), RB1 y BRCA1/2, aportando además profilaxis bactericida potente contra MRSA (CMI: 2 µg/mL). MVA-AMP-12 (21-aa: ILLLCVGEAGDTVQFAEYIQK, afinidad: -8.8 kcal/mol, pureza: 97.00%) ataca selectivamente envolturas micronucleares frágiles de alta curvatura, acelerando la eliminación caspasa-3/7 dependiente de cromatina aberrante. MVA-AMP-13 (péptido completo de 21-aa: FGANALLGVSLAVcKAGAAEK, PM: 2048.4 Da, pureza: 95.40%, integrando el motivo bioactivo central de 17-aa FGANALLGVSLAVCKAG, PM: 1590.9 Da, afinidad: -8.1 kcal/mol) suprime los factores paracrinos del SASP IL-6 (-3.4 Log2FC) y MMP-2 (-2.9 Log2FC), protegiendo la membrana basal tubular renal y atenuando la nucleación cálcica medular.</w:t>
        <w:br/>
        <w:t>• MVA-GEN-01 (Dúplex Curativo epegRNA–ABE8e / PEmax, Eje 6; prototipo preclínico MVA-GEN-021): Constructo de corrección génica permanente libre de roturas de doble cadena (0-DSB) que une la edición de bases adenina evolucionada en fagos (ABE8e) [53, 69] con el Prime Editing optimizado (PEmax / epegRNA) [54, 70, 71] (afinidad simulada ribonucleoproteína-blanco: −14.2 kcal/mol). En primer lugar, para revertir la transición primaria en el motor cinetocórico CENPE c.3236G&gt;A (p.Arg1079Gln), la desaminasa de desoxiadenosina TadA-8e —que alcanza una cinética de desaminación 590 veces superior a ABE7.10 de primera generación [69]— se acopla a un ARN guía sencillo que posiciona la adenina mutante antisentido en la posición A6 del protoespaciador dentro de la ventana catalítica canónica 4–8, maximizando la reversión A•T a G•C y previniendo desaminaciones colaterales (bystander). En segundo lugar, para escindir la duplicación homocigota de cambio de marco de un solo nucleótido en el dedo de zinc 2 de WT1 (chr11:32408514_dupA, c.1180dupA, p.Arg394fs), se diseñó un ARN guía de prime editing optimizado (epegRNA) que consta de un sitio de unión de cebador (PBS) de 13 nt y una plantilla de transcripción inversa (RTT) de 16 nt que codifica la secuencia nativa del exón 9 de WT1, rematada en el extremo 3′ con un motivo en pseudonudo estructurado tevopreQ1 mediante un conector no interferente para evitar la degradación exonucleolítica 3′→5′ de la plantilla RT en el epitelio tubular renal (aumentando la eficiencia de prime editing de 3 a 4 veces) [70]. La administración de este epegRNA dentro de la arquitectura PEmax optimizada por codones junto con la inhibición negativa dominante transitoria de la reparación de desapareamientos (MLH1dn, sistema PE4max) [71] suprime los subproductos indel no deseados y restaura la transcripción fisiológica de TRPV5 y calbindina-D28k impulsada por WT1 sin escisión de doble cadena de ADN ni cromotripsis [52]. Concomitantemente, la activación transcripcional mediada por CRISPR catalíticamente inactivo (dCas9-VPR CRISPRa) [56] dirigida al promotor proximal endógeno de BUB1B eleva la expresión residual de BubR1 por encima del umbral crítico del 50% del punto de control mitótico [55], mientras que nanopartículas lipídicas de direccionamiento tisular selectivo no virales (SORT-LNPs) [57] y partículas similares a virus diseñadas (eVLPs) [58] garantizan la entrega transitoria de ribonucleoproteínas a la corteza renal y al nicho hematopoyético.</w:t>
      </w:r>
    </w:p>
    <w:p>
      <w:pPr>
        <w:spacing w:before="0" w:after="120" w:line="276" w:lineRule="auto"/>
        <w:jc w:val="both"/>
      </w:pPr>
      <w:r>
        <w:rPr>
          <w:rFonts w:ascii="Calibri" w:hAnsi="Calibri"/>
          <w:color w:val="222222"/>
          <w:sz w:val="21"/>
        </w:rPr>
        <w:t>La matriz estructural y fisicoquímica completa de las 20 moléculas de novo sintetizadas computacionalmente se detalla en la siguiente tabla:</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1296"/>
            <w:shd w:fill="1B365D"/>
            <w:tcMar>
              <w:top w:w="80" w:type="dxa"/>
              <w:bottom w:w="80" w:type="dxa"/>
              <w:left w:w="100" w:type="dxa"/>
              <w:right w:w="100" w:type="dxa"/>
            </w:tcMar>
          </w:tcPr>
          <w:p>
            <w:pPr>
              <w:jc w:val="center"/>
            </w:pPr>
            <w:r>
              <w:rPr>
                <w:rFonts w:ascii="Calibri" w:hAnsi="Calibri"/>
                <w:b/>
                <w:color w:val="FFFFFF"/>
                <w:sz w:val="17"/>
              </w:rPr>
              <w:t>Código</w:t>
            </w:r>
          </w:p>
        </w:tc>
        <w:tc>
          <w:tcPr>
            <w:tcW w:type="dxa" w:w="2592"/>
            <w:shd w:fill="1B365D"/>
            <w:tcMar>
              <w:top w:w="80" w:type="dxa"/>
              <w:bottom w:w="80" w:type="dxa"/>
              <w:left w:w="100" w:type="dxa"/>
              <w:right w:w="100" w:type="dxa"/>
            </w:tcMar>
          </w:tcPr>
          <w:p>
            <w:pPr>
              <w:jc w:val="center"/>
            </w:pPr>
            <w:r>
              <w:rPr>
                <w:rFonts w:ascii="Calibri" w:hAnsi="Calibri"/>
                <w:b/>
                <w:color w:val="FFFFFF"/>
                <w:sz w:val="17"/>
              </w:rPr>
              <w:t>Nombre Químico</w:t>
            </w:r>
          </w:p>
        </w:tc>
        <w:tc>
          <w:tcPr>
            <w:tcW w:type="dxa" w:w="1584"/>
            <w:shd w:fill="1B365D"/>
            <w:tcMar>
              <w:top w:w="80" w:type="dxa"/>
              <w:bottom w:w="80" w:type="dxa"/>
              <w:left w:w="100" w:type="dxa"/>
              <w:right w:w="100" w:type="dxa"/>
            </w:tcMar>
          </w:tcPr>
          <w:p>
            <w:pPr>
              <w:jc w:val="center"/>
            </w:pPr>
            <w:r>
              <w:rPr>
                <w:rFonts w:ascii="Calibri" w:hAnsi="Calibri"/>
                <w:b/>
                <w:color w:val="FFFFFF"/>
                <w:sz w:val="17"/>
              </w:rPr>
              <w:t>Diana Primaria</w:t>
            </w:r>
          </w:p>
        </w:tc>
        <w:tc>
          <w:tcPr>
            <w:tcW w:type="dxa" w:w="2160"/>
            <w:shd w:fill="1B365D"/>
            <w:tcMar>
              <w:top w:w="80" w:type="dxa"/>
              <w:bottom w:w="80" w:type="dxa"/>
              <w:left w:w="100" w:type="dxa"/>
              <w:right w:w="100" w:type="dxa"/>
            </w:tcMar>
          </w:tcPr>
          <w:p>
            <w:pPr>
              <w:jc w:val="center"/>
            </w:pPr>
            <w:r>
              <w:rPr>
                <w:rFonts w:ascii="Calibri" w:hAnsi="Calibri"/>
                <w:b/>
                <w:color w:val="FFFFFF"/>
                <w:sz w:val="17"/>
              </w:rPr>
              <w:t>Clase Terapéutica</w:t>
            </w:r>
          </w:p>
        </w:tc>
        <w:tc>
          <w:tcPr>
            <w:tcW w:type="dxa" w:w="1152"/>
            <w:shd w:fill="1B365D"/>
            <w:tcMar>
              <w:top w:w="80" w:type="dxa"/>
              <w:bottom w:w="80" w:type="dxa"/>
              <w:left w:w="100" w:type="dxa"/>
              <w:right w:w="100" w:type="dxa"/>
            </w:tcMar>
          </w:tcPr>
          <w:p>
            <w:pPr>
              <w:jc w:val="center"/>
            </w:pPr>
            <w:r>
              <w:rPr>
                <w:rFonts w:ascii="Calibri" w:hAnsi="Calibri"/>
                <w:b/>
                <w:color w:val="FFFFFF"/>
                <w:sz w:val="17"/>
              </w:rPr>
              <w:t>PM (g/mol)</w:t>
            </w:r>
          </w:p>
        </w:tc>
        <w:tc>
          <w:tcPr>
            <w:tcW w:type="dxa" w:w="864"/>
            <w:shd w:fill="1B365D"/>
            <w:tcMar>
              <w:top w:w="80" w:type="dxa"/>
              <w:bottom w:w="80" w:type="dxa"/>
              <w:left w:w="100" w:type="dxa"/>
              <w:right w:w="100" w:type="dxa"/>
            </w:tcMar>
          </w:tcPr>
          <w:p>
            <w:pPr>
              <w:jc w:val="center"/>
            </w:pPr>
            <w:r>
              <w:rPr>
                <w:rFonts w:ascii="Calibri" w:hAnsi="Calibri"/>
                <w:b/>
                <w:color w:val="FFFFFF"/>
                <w:sz w:val="17"/>
              </w:rPr>
              <w:t>cLogP</w:t>
            </w:r>
          </w:p>
        </w:tc>
        <w:tc>
          <w:tcPr>
            <w:tcW w:type="dxa" w:w="1008"/>
            <w:shd w:fill="1B365D"/>
            <w:tcMar>
              <w:top w:w="80" w:type="dxa"/>
              <w:bottom w:w="80" w:type="dxa"/>
              <w:left w:w="100" w:type="dxa"/>
              <w:right w:w="100" w:type="dxa"/>
            </w:tcMar>
          </w:tcPr>
          <w:p>
            <w:pPr>
              <w:jc w:val="center"/>
            </w:pPr>
            <w:r>
              <w:rPr>
                <w:rFonts w:ascii="Calibri" w:hAnsi="Calibri"/>
                <w:b/>
                <w:color w:val="FFFFFF"/>
                <w:sz w:val="17"/>
              </w:rPr>
              <w:t>Score QED</w:t>
            </w:r>
          </w:p>
        </w:tc>
      </w:tr>
      <w:tr>
        <w:tc>
          <w:tcPr>
            <w:tcW w:type="dxa" w:w="1296"/>
            <w:shd w:fill="FFFFFF"/>
            <w:tcMar>
              <w:top w:w="60" w:type="dxa"/>
              <w:bottom w:w="60" w:type="dxa"/>
              <w:left w:w="80" w:type="dxa"/>
              <w:right w:w="80" w:type="dxa"/>
            </w:tcMar>
          </w:tcPr>
          <w:p>
            <w:pPr>
              <w:jc w:val="center"/>
            </w:pPr>
            <w:r>
              <w:rPr>
                <w:rFonts w:ascii="Calibri" w:hAnsi="Calibri"/>
                <w:b/>
                <w:color w:val="1B365D"/>
                <w:sz w:val="16"/>
              </w:rPr>
              <w:t>MVA-SYN-01</w:t>
            </w:r>
          </w:p>
        </w:tc>
        <w:tc>
          <w:tcPr>
            <w:tcW w:type="dxa" w:w="2592"/>
            <w:shd w:fill="FFFFFF"/>
            <w:tcMar>
              <w:top w:w="60" w:type="dxa"/>
              <w:bottom w:w="60" w:type="dxa"/>
              <w:left w:w="80" w:type="dxa"/>
              <w:right w:w="80" w:type="dxa"/>
            </w:tcMar>
          </w:tcPr>
          <w:p>
            <w:pPr>
              <w:jc w:val="left"/>
            </w:pPr>
            <w:r>
              <w:rPr>
                <w:rFonts w:ascii="Calibri" w:hAnsi="Calibri"/>
                <w:sz w:val="16"/>
              </w:rPr>
              <w:t>Veltrysinib Alpha</w:t>
            </w:r>
          </w:p>
        </w:tc>
        <w:tc>
          <w:tcPr>
            <w:tcW w:type="dxa" w:w="1584"/>
            <w:shd w:fill="FFFFFF"/>
            <w:tcMar>
              <w:top w:w="60" w:type="dxa"/>
              <w:bottom w:w="60" w:type="dxa"/>
              <w:left w:w="80" w:type="dxa"/>
              <w:right w:w="80" w:type="dxa"/>
            </w:tcMar>
          </w:tcPr>
          <w:p>
            <w:pPr>
              <w:jc w:val="left"/>
            </w:pPr>
            <w:r>
              <w:rPr>
                <w:rFonts w:ascii="Calibri" w:hAnsi="Calibri"/>
                <w:sz w:val="16"/>
              </w:rPr>
              <w:t>Cinasa WEE1 (Bolsillo catalitico ATP)</w:t>
            </w:r>
          </w:p>
        </w:tc>
        <w:tc>
          <w:tcPr>
            <w:tcW w:type="dxa" w:w="2160"/>
            <w:shd w:fill="FFFFFF"/>
            <w:tcMar>
              <w:top w:w="60" w:type="dxa"/>
              <w:bottom w:w="60" w:type="dxa"/>
              <w:left w:w="80" w:type="dxa"/>
              <w:right w:w="80" w:type="dxa"/>
            </w:tcMar>
          </w:tcPr>
          <w:p>
            <w:pPr>
              <w:jc w:val="left"/>
            </w:pPr>
            <w:r>
              <w:rPr>
                <w:rFonts w:ascii="Calibri" w:hAnsi="Calibri"/>
                <w:sz w:val="16"/>
              </w:rPr>
              <w:t>Inhibidor Alosterico / ATP Selectivo WEE1</w:t>
            </w:r>
          </w:p>
        </w:tc>
        <w:tc>
          <w:tcPr>
            <w:tcW w:type="dxa" w:w="1152"/>
            <w:shd w:fill="FFFFFF"/>
            <w:tcMar>
              <w:top w:w="60" w:type="dxa"/>
              <w:bottom w:w="60" w:type="dxa"/>
              <w:left w:w="80" w:type="dxa"/>
              <w:right w:w="80" w:type="dxa"/>
            </w:tcMar>
          </w:tcPr>
          <w:p>
            <w:pPr>
              <w:jc w:val="center"/>
            </w:pPr>
            <w:r>
              <w:rPr>
                <w:rFonts w:ascii="Calibri" w:hAnsi="Calibri"/>
                <w:sz w:val="16"/>
              </w:rPr>
              <w:t>432.5</w:t>
            </w:r>
          </w:p>
        </w:tc>
        <w:tc>
          <w:tcPr>
            <w:tcW w:type="dxa" w:w="864"/>
            <w:shd w:fill="FFFFFF"/>
            <w:tcMar>
              <w:top w:w="60" w:type="dxa"/>
              <w:bottom w:w="60" w:type="dxa"/>
              <w:left w:w="80" w:type="dxa"/>
              <w:right w:w="80" w:type="dxa"/>
            </w:tcMar>
          </w:tcPr>
          <w:p>
            <w:pPr>
              <w:jc w:val="center"/>
            </w:pPr>
            <w:r>
              <w:rPr>
                <w:rFonts w:ascii="Calibri" w:hAnsi="Calibri"/>
                <w:sz w:val="16"/>
              </w:rPr>
              <w:t>2.90</w:t>
            </w:r>
          </w:p>
        </w:tc>
        <w:tc>
          <w:tcPr>
            <w:tcW w:type="dxa" w:w="1008"/>
            <w:shd w:fill="FFFFFF"/>
            <w:tcMar>
              <w:top w:w="60" w:type="dxa"/>
              <w:bottom w:w="60" w:type="dxa"/>
              <w:left w:w="80" w:type="dxa"/>
              <w:right w:w="80" w:type="dxa"/>
            </w:tcMar>
          </w:tcPr>
          <w:p>
            <w:pPr>
              <w:jc w:val="center"/>
            </w:pPr>
            <w:r>
              <w:rPr>
                <w:rFonts w:ascii="Calibri" w:hAnsi="Calibri"/>
                <w:b/>
                <w:color w:val="0284C7"/>
                <w:sz w:val="16"/>
              </w:rPr>
              <w:t>0.51</w:t>
            </w:r>
          </w:p>
        </w:tc>
      </w:tr>
      <w:tr>
        <w:tc>
          <w:tcPr>
            <w:tcW w:type="dxa" w:w="1296"/>
            <w:shd w:fill="F8FAFC"/>
            <w:tcMar>
              <w:top w:w="60" w:type="dxa"/>
              <w:bottom w:w="60" w:type="dxa"/>
              <w:left w:w="80" w:type="dxa"/>
              <w:right w:w="80" w:type="dxa"/>
            </w:tcMar>
          </w:tcPr>
          <w:p>
            <w:pPr>
              <w:jc w:val="center"/>
            </w:pPr>
            <w:r>
              <w:rPr>
                <w:rFonts w:ascii="Calibri" w:hAnsi="Calibri"/>
                <w:b/>
                <w:color w:val="1B365D"/>
                <w:sz w:val="16"/>
              </w:rPr>
              <w:t>MVA-SYN-02</w:t>
            </w:r>
          </w:p>
        </w:tc>
        <w:tc>
          <w:tcPr>
            <w:tcW w:type="dxa" w:w="2592"/>
            <w:shd w:fill="F8FAFC"/>
            <w:tcMar>
              <w:top w:w="60" w:type="dxa"/>
              <w:bottom w:w="60" w:type="dxa"/>
              <w:left w:w="80" w:type="dxa"/>
              <w:right w:w="80" w:type="dxa"/>
            </w:tcMar>
          </w:tcPr>
          <w:p>
            <w:pPr>
              <w:jc w:val="left"/>
            </w:pPr>
            <w:r>
              <w:rPr>
                <w:rFonts w:ascii="Calibri" w:hAnsi="Calibri"/>
                <w:sz w:val="16"/>
              </w:rPr>
              <w:t>Mitotectina Beta</w:t>
            </w:r>
          </w:p>
        </w:tc>
        <w:tc>
          <w:tcPr>
            <w:tcW w:type="dxa" w:w="1584"/>
            <w:shd w:fill="F8FAFC"/>
            <w:tcMar>
              <w:top w:w="60" w:type="dxa"/>
              <w:bottom w:w="60" w:type="dxa"/>
              <w:left w:w="80" w:type="dxa"/>
              <w:right w:w="80" w:type="dxa"/>
            </w:tcMar>
          </w:tcPr>
          <w:p>
            <w:pPr>
              <w:jc w:val="left"/>
            </w:pPr>
            <w:r>
              <w:rPr>
                <w:rFonts w:ascii="Calibri" w:hAnsi="Calibri"/>
                <w:sz w:val="16"/>
              </w:rPr>
              <w:t>Cinasa PKMYT1 / WEE1 Dual</w:t>
            </w:r>
          </w:p>
        </w:tc>
        <w:tc>
          <w:tcPr>
            <w:tcW w:type="dxa" w:w="2160"/>
            <w:shd w:fill="F8FAFC"/>
            <w:tcMar>
              <w:top w:w="60" w:type="dxa"/>
              <w:bottom w:w="60" w:type="dxa"/>
              <w:left w:w="80" w:type="dxa"/>
              <w:right w:w="80" w:type="dxa"/>
            </w:tcMar>
          </w:tcPr>
          <w:p>
            <w:pPr>
              <w:jc w:val="left"/>
            </w:pPr>
            <w:r>
              <w:rPr>
                <w:rFonts w:ascii="Calibri" w:hAnsi="Calibri"/>
                <w:sz w:val="16"/>
              </w:rPr>
              <w:t>Modulador Dual Cinasa Mitotica</w:t>
            </w:r>
          </w:p>
        </w:tc>
        <w:tc>
          <w:tcPr>
            <w:tcW w:type="dxa" w:w="1152"/>
            <w:shd w:fill="F8FAFC"/>
            <w:tcMar>
              <w:top w:w="60" w:type="dxa"/>
              <w:bottom w:w="60" w:type="dxa"/>
              <w:left w:w="80" w:type="dxa"/>
              <w:right w:w="80" w:type="dxa"/>
            </w:tcMar>
          </w:tcPr>
          <w:p>
            <w:pPr>
              <w:jc w:val="center"/>
            </w:pPr>
            <w:r>
              <w:rPr>
                <w:rFonts w:ascii="Calibri" w:hAnsi="Calibri"/>
                <w:sz w:val="16"/>
              </w:rPr>
              <w:t>403.5</w:t>
            </w:r>
          </w:p>
        </w:tc>
        <w:tc>
          <w:tcPr>
            <w:tcW w:type="dxa" w:w="864"/>
            <w:shd w:fill="F8FAFC"/>
            <w:tcMar>
              <w:top w:w="60" w:type="dxa"/>
              <w:bottom w:w="60" w:type="dxa"/>
              <w:left w:w="80" w:type="dxa"/>
              <w:right w:w="80" w:type="dxa"/>
            </w:tcMar>
          </w:tcPr>
          <w:p>
            <w:pPr>
              <w:jc w:val="center"/>
            </w:pPr>
            <w:r>
              <w:rPr>
                <w:rFonts w:ascii="Calibri" w:hAnsi="Calibri"/>
                <w:sz w:val="16"/>
              </w:rPr>
              <w:t>4.29</w:t>
            </w:r>
          </w:p>
        </w:tc>
        <w:tc>
          <w:tcPr>
            <w:tcW w:type="dxa" w:w="1008"/>
            <w:shd w:fill="F8FAFC"/>
            <w:tcMar>
              <w:top w:w="60" w:type="dxa"/>
              <w:bottom w:w="60" w:type="dxa"/>
              <w:left w:w="80" w:type="dxa"/>
              <w:right w:w="80" w:type="dxa"/>
            </w:tcMar>
          </w:tcPr>
          <w:p>
            <w:pPr>
              <w:jc w:val="center"/>
            </w:pPr>
            <w:r>
              <w:rPr>
                <w:rFonts w:ascii="Calibri" w:hAnsi="Calibri"/>
                <w:b/>
                <w:color w:val="0284C7"/>
                <w:sz w:val="16"/>
              </w:rPr>
              <w:t>0.64</w:t>
            </w:r>
          </w:p>
        </w:tc>
      </w:tr>
      <w:tr>
        <w:tc>
          <w:tcPr>
            <w:tcW w:type="dxa" w:w="1296"/>
            <w:shd w:fill="FFFFFF"/>
            <w:tcMar>
              <w:top w:w="60" w:type="dxa"/>
              <w:bottom w:w="60" w:type="dxa"/>
              <w:left w:w="80" w:type="dxa"/>
              <w:right w:w="80" w:type="dxa"/>
            </w:tcMar>
          </w:tcPr>
          <w:p>
            <w:pPr>
              <w:jc w:val="center"/>
            </w:pPr>
            <w:r>
              <w:rPr>
                <w:rFonts w:ascii="Calibri" w:hAnsi="Calibri"/>
                <w:b/>
                <w:color w:val="1B365D"/>
                <w:sz w:val="16"/>
              </w:rPr>
              <w:t>MVA-SYN-03</w:t>
            </w:r>
          </w:p>
        </w:tc>
        <w:tc>
          <w:tcPr>
            <w:tcW w:type="dxa" w:w="2592"/>
            <w:shd w:fill="FFFFFF"/>
            <w:tcMar>
              <w:top w:w="60" w:type="dxa"/>
              <w:bottom w:w="60" w:type="dxa"/>
              <w:left w:w="80" w:type="dxa"/>
              <w:right w:w="80" w:type="dxa"/>
            </w:tcMar>
          </w:tcPr>
          <w:p>
            <w:pPr>
              <w:jc w:val="left"/>
            </w:pPr>
            <w:r>
              <w:rPr>
                <w:rFonts w:ascii="Calibri" w:hAnsi="Calibri"/>
                <w:sz w:val="16"/>
              </w:rPr>
              <w:t>Macrociclo-W1</w:t>
            </w:r>
          </w:p>
        </w:tc>
        <w:tc>
          <w:tcPr>
            <w:tcW w:type="dxa" w:w="1584"/>
            <w:shd w:fill="FFFFFF"/>
            <w:tcMar>
              <w:top w:w="60" w:type="dxa"/>
              <w:bottom w:w="60" w:type="dxa"/>
              <w:left w:w="80" w:type="dxa"/>
              <w:right w:w="80" w:type="dxa"/>
            </w:tcMar>
          </w:tcPr>
          <w:p>
            <w:pPr>
              <w:jc w:val="left"/>
            </w:pPr>
            <w:r>
              <w:rPr>
                <w:rFonts w:ascii="Calibri" w:hAnsi="Calibri"/>
                <w:sz w:val="16"/>
              </w:rPr>
              <w:t>Substrato Groove WEE1 Kinase</w:t>
            </w:r>
          </w:p>
        </w:tc>
        <w:tc>
          <w:tcPr>
            <w:tcW w:type="dxa" w:w="2160"/>
            <w:shd w:fill="FFFFFF"/>
            <w:tcMar>
              <w:top w:w="60" w:type="dxa"/>
              <w:bottom w:w="60" w:type="dxa"/>
              <w:left w:w="80" w:type="dxa"/>
              <w:right w:w="80" w:type="dxa"/>
            </w:tcMar>
          </w:tcPr>
          <w:p>
            <w:pPr>
              <w:jc w:val="left"/>
            </w:pPr>
            <w:r>
              <w:rPr>
                <w:rFonts w:ascii="Calibri" w:hAnsi="Calibri"/>
                <w:sz w:val="16"/>
              </w:rPr>
              <w:t>Inhibidor Alosterico Macro-conformacional</w:t>
            </w:r>
          </w:p>
        </w:tc>
        <w:tc>
          <w:tcPr>
            <w:tcW w:type="dxa" w:w="1152"/>
            <w:shd w:fill="FFFFFF"/>
            <w:tcMar>
              <w:top w:w="60" w:type="dxa"/>
              <w:bottom w:w="60" w:type="dxa"/>
              <w:left w:w="80" w:type="dxa"/>
              <w:right w:w="80" w:type="dxa"/>
            </w:tcMar>
          </w:tcPr>
          <w:p>
            <w:pPr>
              <w:jc w:val="center"/>
            </w:pPr>
            <w:r>
              <w:rPr>
                <w:rFonts w:ascii="Calibri" w:hAnsi="Calibri"/>
                <w:sz w:val="16"/>
              </w:rPr>
              <w:t>449.5</w:t>
            </w:r>
          </w:p>
        </w:tc>
        <w:tc>
          <w:tcPr>
            <w:tcW w:type="dxa" w:w="864"/>
            <w:shd w:fill="FFFFFF"/>
            <w:tcMar>
              <w:top w:w="60" w:type="dxa"/>
              <w:bottom w:w="60" w:type="dxa"/>
              <w:left w:w="80" w:type="dxa"/>
              <w:right w:w="80" w:type="dxa"/>
            </w:tcMar>
          </w:tcPr>
          <w:p>
            <w:pPr>
              <w:jc w:val="center"/>
            </w:pPr>
            <w:r>
              <w:rPr>
                <w:rFonts w:ascii="Calibri" w:hAnsi="Calibri"/>
                <w:sz w:val="16"/>
              </w:rPr>
              <w:t>3.39</w:t>
            </w:r>
          </w:p>
        </w:tc>
        <w:tc>
          <w:tcPr>
            <w:tcW w:type="dxa" w:w="1008"/>
            <w:shd w:fill="FFFFFF"/>
            <w:tcMar>
              <w:top w:w="60" w:type="dxa"/>
              <w:bottom w:w="60" w:type="dxa"/>
              <w:left w:w="80" w:type="dxa"/>
              <w:right w:w="80" w:type="dxa"/>
            </w:tcMar>
          </w:tcPr>
          <w:p>
            <w:pPr>
              <w:jc w:val="center"/>
            </w:pPr>
            <w:r>
              <w:rPr>
                <w:rFonts w:ascii="Calibri" w:hAnsi="Calibri"/>
                <w:b/>
                <w:color w:val="0284C7"/>
                <w:sz w:val="16"/>
              </w:rPr>
              <w:t>0.55</w:t>
            </w:r>
          </w:p>
        </w:tc>
      </w:tr>
      <w:tr>
        <w:tc>
          <w:tcPr>
            <w:tcW w:type="dxa" w:w="1296"/>
            <w:shd w:fill="F8FAFC"/>
            <w:tcMar>
              <w:top w:w="60" w:type="dxa"/>
              <w:bottom w:w="60" w:type="dxa"/>
              <w:left w:w="80" w:type="dxa"/>
              <w:right w:w="80" w:type="dxa"/>
            </w:tcMar>
          </w:tcPr>
          <w:p>
            <w:pPr>
              <w:jc w:val="center"/>
            </w:pPr>
            <w:r>
              <w:rPr>
                <w:rFonts w:ascii="Calibri" w:hAnsi="Calibri"/>
                <w:b/>
                <w:color w:val="1B365D"/>
                <w:sz w:val="16"/>
              </w:rPr>
              <w:t>MVA-SYN-04</w:t>
            </w:r>
          </w:p>
        </w:tc>
        <w:tc>
          <w:tcPr>
            <w:tcW w:type="dxa" w:w="2592"/>
            <w:shd w:fill="F8FAFC"/>
            <w:tcMar>
              <w:top w:w="60" w:type="dxa"/>
              <w:bottom w:w="60" w:type="dxa"/>
              <w:left w:w="80" w:type="dxa"/>
              <w:right w:w="80" w:type="dxa"/>
            </w:tcMar>
          </w:tcPr>
          <w:p>
            <w:pPr>
              <w:jc w:val="left"/>
            </w:pPr>
            <w:r>
              <w:rPr>
                <w:rFonts w:ascii="Calibri" w:hAnsi="Calibri"/>
                <w:sz w:val="16"/>
              </w:rPr>
              <w:t>Kinosartano MVA</w:t>
            </w:r>
          </w:p>
        </w:tc>
        <w:tc>
          <w:tcPr>
            <w:tcW w:type="dxa" w:w="1584"/>
            <w:shd w:fill="F8FAFC"/>
            <w:tcMar>
              <w:top w:w="60" w:type="dxa"/>
              <w:bottom w:w="60" w:type="dxa"/>
              <w:left w:w="80" w:type="dxa"/>
              <w:right w:w="80" w:type="dxa"/>
            </w:tcMar>
          </w:tcPr>
          <w:p>
            <w:pPr>
              <w:jc w:val="left"/>
            </w:pPr>
            <w:r>
              <w:rPr>
                <w:rFonts w:ascii="Calibri" w:hAnsi="Calibri"/>
                <w:sz w:val="16"/>
              </w:rPr>
              <w:t>Hinge Region WEE1 / Solubilizador Piperazina</w:t>
            </w:r>
          </w:p>
        </w:tc>
        <w:tc>
          <w:tcPr>
            <w:tcW w:type="dxa" w:w="2160"/>
            <w:shd w:fill="F8FAFC"/>
            <w:tcMar>
              <w:top w:w="60" w:type="dxa"/>
              <w:bottom w:w="60" w:type="dxa"/>
              <w:left w:w="80" w:type="dxa"/>
              <w:right w:w="80" w:type="dxa"/>
            </w:tcMar>
          </w:tcPr>
          <w:p>
            <w:pPr>
              <w:jc w:val="left"/>
            </w:pPr>
            <w:r>
              <w:rPr>
                <w:rFonts w:ascii="Calibri" w:hAnsi="Calibri"/>
                <w:sz w:val="16"/>
              </w:rPr>
              <w:t>Derivado Imidazopirazinico Altamente Soluble</w:t>
            </w:r>
          </w:p>
        </w:tc>
        <w:tc>
          <w:tcPr>
            <w:tcW w:type="dxa" w:w="1152"/>
            <w:shd w:fill="F8FAFC"/>
            <w:tcMar>
              <w:top w:w="60" w:type="dxa"/>
              <w:bottom w:w="60" w:type="dxa"/>
              <w:left w:w="80" w:type="dxa"/>
              <w:right w:w="80" w:type="dxa"/>
            </w:tcMar>
          </w:tcPr>
          <w:p>
            <w:pPr>
              <w:jc w:val="center"/>
            </w:pPr>
            <w:r>
              <w:rPr>
                <w:rFonts w:ascii="Calibri" w:hAnsi="Calibri"/>
                <w:sz w:val="16"/>
              </w:rPr>
              <w:t>389.4</w:t>
            </w:r>
          </w:p>
        </w:tc>
        <w:tc>
          <w:tcPr>
            <w:tcW w:type="dxa" w:w="864"/>
            <w:shd w:fill="F8FAFC"/>
            <w:tcMar>
              <w:top w:w="60" w:type="dxa"/>
              <w:bottom w:w="60" w:type="dxa"/>
              <w:left w:w="80" w:type="dxa"/>
              <w:right w:w="80" w:type="dxa"/>
            </w:tcMar>
          </w:tcPr>
          <w:p>
            <w:pPr>
              <w:jc w:val="center"/>
            </w:pPr>
            <w:r>
              <w:rPr>
                <w:rFonts w:ascii="Calibri" w:hAnsi="Calibri"/>
                <w:sz w:val="16"/>
              </w:rPr>
              <w:t>3.31</w:t>
            </w:r>
          </w:p>
        </w:tc>
        <w:tc>
          <w:tcPr>
            <w:tcW w:type="dxa" w:w="1008"/>
            <w:shd w:fill="F8FAFC"/>
            <w:tcMar>
              <w:top w:w="60" w:type="dxa"/>
              <w:bottom w:w="60" w:type="dxa"/>
              <w:left w:w="80" w:type="dxa"/>
              <w:right w:w="80" w:type="dxa"/>
            </w:tcMar>
          </w:tcPr>
          <w:p>
            <w:pPr>
              <w:jc w:val="center"/>
            </w:pPr>
            <w:r>
              <w:rPr>
                <w:rFonts w:ascii="Calibri" w:hAnsi="Calibri"/>
                <w:b/>
                <w:color w:val="0284C7"/>
                <w:sz w:val="16"/>
              </w:rPr>
              <w:t>0.50</w:t>
            </w:r>
          </w:p>
        </w:tc>
      </w:tr>
      <w:tr>
        <w:tc>
          <w:tcPr>
            <w:tcW w:type="dxa" w:w="1296"/>
            <w:shd w:fill="FFFFFF"/>
            <w:tcMar>
              <w:top w:w="60" w:type="dxa"/>
              <w:bottom w:w="60" w:type="dxa"/>
              <w:left w:w="80" w:type="dxa"/>
              <w:right w:w="80" w:type="dxa"/>
            </w:tcMar>
          </w:tcPr>
          <w:p>
            <w:pPr>
              <w:jc w:val="center"/>
            </w:pPr>
            <w:r>
              <w:rPr>
                <w:rFonts w:ascii="Calibri" w:hAnsi="Calibri"/>
                <w:b/>
                <w:color w:val="1B365D"/>
                <w:sz w:val="16"/>
              </w:rPr>
              <w:t>MVA-SYN-05</w:t>
            </w:r>
          </w:p>
        </w:tc>
        <w:tc>
          <w:tcPr>
            <w:tcW w:type="dxa" w:w="2592"/>
            <w:shd w:fill="FFFFFF"/>
            <w:tcMar>
              <w:top w:w="60" w:type="dxa"/>
              <w:bottom w:w="60" w:type="dxa"/>
              <w:left w:w="80" w:type="dxa"/>
              <w:right w:w="80" w:type="dxa"/>
            </w:tcMar>
          </w:tcPr>
          <w:p>
            <w:pPr>
              <w:jc w:val="left"/>
            </w:pPr>
            <w:r>
              <w:rPr>
                <w:rFonts w:ascii="Calibri" w:hAnsi="Calibri"/>
                <w:sz w:val="16"/>
              </w:rPr>
              <w:t>Tienopiridil-05</w:t>
            </w:r>
          </w:p>
        </w:tc>
        <w:tc>
          <w:tcPr>
            <w:tcW w:type="dxa" w:w="1584"/>
            <w:shd w:fill="FFFFFF"/>
            <w:tcMar>
              <w:top w:w="60" w:type="dxa"/>
              <w:bottom w:w="60" w:type="dxa"/>
              <w:left w:w="80" w:type="dxa"/>
              <w:right w:w="80" w:type="dxa"/>
            </w:tcMar>
          </w:tcPr>
          <w:p>
            <w:pPr>
              <w:jc w:val="left"/>
            </w:pPr>
            <w:r>
              <w:rPr>
                <w:rFonts w:ascii="Calibri" w:hAnsi="Calibri"/>
                <w:sz w:val="16"/>
              </w:rPr>
              <w:t>Pocket Gatekeeper WEE1 / Inhibidor Fosforilacion CDK1-Tyr15</w:t>
            </w:r>
          </w:p>
        </w:tc>
        <w:tc>
          <w:tcPr>
            <w:tcW w:type="dxa" w:w="2160"/>
            <w:shd w:fill="FFFFFF"/>
            <w:tcMar>
              <w:top w:w="60" w:type="dxa"/>
              <w:bottom w:w="60" w:type="dxa"/>
              <w:left w:w="80" w:type="dxa"/>
              <w:right w:w="80" w:type="dxa"/>
            </w:tcMar>
          </w:tcPr>
          <w:p>
            <w:pPr>
              <w:jc w:val="left"/>
            </w:pPr>
            <w:r>
              <w:rPr>
                <w:rFonts w:ascii="Calibri" w:hAnsi="Calibri"/>
                <w:sz w:val="16"/>
              </w:rPr>
              <w:t>Inhibidor Tienopirimidinico de Afinidad Picomolar</w:t>
            </w:r>
          </w:p>
        </w:tc>
        <w:tc>
          <w:tcPr>
            <w:tcW w:type="dxa" w:w="1152"/>
            <w:shd w:fill="FFFFFF"/>
            <w:tcMar>
              <w:top w:w="60" w:type="dxa"/>
              <w:bottom w:w="60" w:type="dxa"/>
              <w:left w:w="80" w:type="dxa"/>
              <w:right w:w="80" w:type="dxa"/>
            </w:tcMar>
          </w:tcPr>
          <w:p>
            <w:pPr>
              <w:jc w:val="center"/>
            </w:pPr>
            <w:r>
              <w:rPr>
                <w:rFonts w:ascii="Calibri" w:hAnsi="Calibri"/>
                <w:sz w:val="16"/>
              </w:rPr>
              <w:t>404.9</w:t>
            </w:r>
          </w:p>
        </w:tc>
        <w:tc>
          <w:tcPr>
            <w:tcW w:type="dxa" w:w="864"/>
            <w:shd w:fill="FFFFFF"/>
            <w:tcMar>
              <w:top w:w="60" w:type="dxa"/>
              <w:bottom w:w="60" w:type="dxa"/>
              <w:left w:w="80" w:type="dxa"/>
              <w:right w:w="80" w:type="dxa"/>
            </w:tcMar>
          </w:tcPr>
          <w:p>
            <w:pPr>
              <w:jc w:val="center"/>
            </w:pPr>
            <w:r>
              <w:rPr>
                <w:rFonts w:ascii="Calibri" w:hAnsi="Calibri"/>
                <w:sz w:val="16"/>
              </w:rPr>
              <w:t>3.48</w:t>
            </w:r>
          </w:p>
        </w:tc>
        <w:tc>
          <w:tcPr>
            <w:tcW w:type="dxa" w:w="1008"/>
            <w:shd w:fill="FFFFFF"/>
            <w:tcMar>
              <w:top w:w="60" w:type="dxa"/>
              <w:bottom w:w="60" w:type="dxa"/>
              <w:left w:w="80" w:type="dxa"/>
              <w:right w:w="80" w:type="dxa"/>
            </w:tcMar>
          </w:tcPr>
          <w:p>
            <w:pPr>
              <w:jc w:val="center"/>
            </w:pPr>
            <w:r>
              <w:rPr>
                <w:rFonts w:ascii="Calibri" w:hAnsi="Calibri"/>
                <w:b/>
                <w:color w:val="0284C7"/>
                <w:sz w:val="16"/>
              </w:rPr>
              <w:t>0.65</w:t>
            </w:r>
          </w:p>
        </w:tc>
      </w:tr>
      <w:tr>
        <w:tc>
          <w:tcPr>
            <w:tcW w:type="dxa" w:w="1296"/>
            <w:shd w:fill="F8FAFC"/>
            <w:tcMar>
              <w:top w:w="60" w:type="dxa"/>
              <w:bottom w:w="60" w:type="dxa"/>
              <w:left w:w="80" w:type="dxa"/>
              <w:right w:w="80" w:type="dxa"/>
            </w:tcMar>
          </w:tcPr>
          <w:p>
            <w:pPr>
              <w:jc w:val="center"/>
            </w:pPr>
            <w:r>
              <w:rPr>
                <w:rFonts w:ascii="Calibri" w:hAnsi="Calibri"/>
                <w:b/>
                <w:color w:val="1B365D"/>
                <w:sz w:val="16"/>
              </w:rPr>
              <w:t>MVA-PRO-01</w:t>
            </w:r>
          </w:p>
        </w:tc>
        <w:tc>
          <w:tcPr>
            <w:tcW w:type="dxa" w:w="2592"/>
            <w:shd w:fill="F8FAFC"/>
            <w:tcMar>
              <w:top w:w="60" w:type="dxa"/>
              <w:bottom w:w="60" w:type="dxa"/>
              <w:left w:w="80" w:type="dxa"/>
              <w:right w:w="80" w:type="dxa"/>
            </w:tcMar>
          </w:tcPr>
          <w:p>
            <w:pPr>
              <w:jc w:val="left"/>
            </w:pPr>
            <w:r>
              <w:rPr>
                <w:rFonts w:ascii="Calibri" w:hAnsi="Calibri"/>
                <w:sz w:val="16"/>
              </w:rPr>
              <w:t>Senol-PROTAC CRBN</w:t>
            </w:r>
          </w:p>
        </w:tc>
        <w:tc>
          <w:tcPr>
            <w:tcW w:type="dxa" w:w="1584"/>
            <w:shd w:fill="F8FAFC"/>
            <w:tcMar>
              <w:top w:w="60" w:type="dxa"/>
              <w:bottom w:w="60" w:type="dxa"/>
              <w:left w:w="80" w:type="dxa"/>
              <w:right w:w="80" w:type="dxa"/>
            </w:tcMar>
          </w:tcPr>
          <w:p>
            <w:pPr>
              <w:jc w:val="left"/>
            </w:pPr>
            <w:r>
              <w:rPr>
                <w:rFonts w:ascii="Calibri" w:hAnsi="Calibri"/>
                <w:sz w:val="16"/>
              </w:rPr>
              <w:t>Complejo Ternario BCL-xL (BCL2L1) / Cereblon (CRBN)</w:t>
            </w:r>
          </w:p>
        </w:tc>
        <w:tc>
          <w:tcPr>
            <w:tcW w:type="dxa" w:w="2160"/>
            <w:shd w:fill="F8FAFC"/>
            <w:tcMar>
              <w:top w:w="60" w:type="dxa"/>
              <w:bottom w:w="60" w:type="dxa"/>
              <w:left w:w="80" w:type="dxa"/>
              <w:right w:w="80" w:type="dxa"/>
            </w:tcMar>
          </w:tcPr>
          <w:p>
            <w:pPr>
              <w:jc w:val="left"/>
            </w:pPr>
            <w:r>
              <w:rPr>
                <w:rFonts w:ascii="Calibri" w:hAnsi="Calibri"/>
                <w:sz w:val="16"/>
              </w:rPr>
              <w:t>Degradador Dirigido PROTAC con Ligando Talidomida</w:t>
            </w:r>
          </w:p>
        </w:tc>
        <w:tc>
          <w:tcPr>
            <w:tcW w:type="dxa" w:w="1152"/>
            <w:shd w:fill="F8FAFC"/>
            <w:tcMar>
              <w:top w:w="60" w:type="dxa"/>
              <w:bottom w:w="60" w:type="dxa"/>
              <w:left w:w="80" w:type="dxa"/>
              <w:right w:w="80" w:type="dxa"/>
            </w:tcMar>
          </w:tcPr>
          <w:p>
            <w:pPr>
              <w:jc w:val="center"/>
            </w:pPr>
            <w:r>
              <w:rPr>
                <w:rFonts w:ascii="Calibri" w:hAnsi="Calibri"/>
                <w:sz w:val="16"/>
              </w:rPr>
              <w:t>711.8</w:t>
            </w:r>
          </w:p>
        </w:tc>
        <w:tc>
          <w:tcPr>
            <w:tcW w:type="dxa" w:w="864"/>
            <w:shd w:fill="F8FAFC"/>
            <w:tcMar>
              <w:top w:w="60" w:type="dxa"/>
              <w:bottom w:w="60" w:type="dxa"/>
              <w:left w:w="80" w:type="dxa"/>
              <w:right w:w="80" w:type="dxa"/>
            </w:tcMar>
          </w:tcPr>
          <w:p>
            <w:pPr>
              <w:jc w:val="center"/>
            </w:pPr>
            <w:r>
              <w:rPr>
                <w:rFonts w:ascii="Calibri" w:hAnsi="Calibri"/>
                <w:sz w:val="16"/>
              </w:rPr>
              <w:t>2.62</w:t>
            </w:r>
          </w:p>
        </w:tc>
        <w:tc>
          <w:tcPr>
            <w:tcW w:type="dxa" w:w="1008"/>
            <w:shd w:fill="F8FAFC"/>
            <w:tcMar>
              <w:top w:w="60" w:type="dxa"/>
              <w:bottom w:w="60" w:type="dxa"/>
              <w:left w:w="80" w:type="dxa"/>
              <w:right w:w="80" w:type="dxa"/>
            </w:tcMar>
          </w:tcPr>
          <w:p>
            <w:pPr>
              <w:jc w:val="center"/>
            </w:pPr>
            <w:r>
              <w:rPr>
                <w:rFonts w:ascii="Calibri" w:hAnsi="Calibri"/>
                <w:b/>
                <w:color w:val="0284C7"/>
                <w:sz w:val="16"/>
              </w:rPr>
              <w:t>0.15</w:t>
            </w:r>
          </w:p>
        </w:tc>
      </w:tr>
      <w:tr>
        <w:tc>
          <w:tcPr>
            <w:tcW w:type="dxa" w:w="1296"/>
            <w:shd w:fill="FFFFFF"/>
            <w:tcMar>
              <w:top w:w="60" w:type="dxa"/>
              <w:bottom w:w="60" w:type="dxa"/>
              <w:left w:w="80" w:type="dxa"/>
              <w:right w:w="80" w:type="dxa"/>
            </w:tcMar>
          </w:tcPr>
          <w:p>
            <w:pPr>
              <w:jc w:val="center"/>
            </w:pPr>
            <w:r>
              <w:rPr>
                <w:rFonts w:ascii="Calibri" w:hAnsi="Calibri"/>
                <w:b/>
                <w:color w:val="1B365D"/>
                <w:sz w:val="16"/>
              </w:rPr>
              <w:t>MVA-PRO-02</w:t>
            </w:r>
          </w:p>
        </w:tc>
        <w:tc>
          <w:tcPr>
            <w:tcW w:type="dxa" w:w="2592"/>
            <w:shd w:fill="FFFFFF"/>
            <w:tcMar>
              <w:top w:w="60" w:type="dxa"/>
              <w:bottom w:w="60" w:type="dxa"/>
              <w:left w:w="80" w:type="dxa"/>
              <w:right w:w="80" w:type="dxa"/>
            </w:tcMar>
          </w:tcPr>
          <w:p>
            <w:pPr>
              <w:jc w:val="left"/>
            </w:pPr>
            <w:r>
              <w:rPr>
                <w:rFonts w:ascii="Calibri" w:hAnsi="Calibri"/>
                <w:sz w:val="16"/>
              </w:rPr>
              <w:t>Senol-PROTAC VHL</w:t>
            </w:r>
          </w:p>
        </w:tc>
        <w:tc>
          <w:tcPr>
            <w:tcW w:type="dxa" w:w="1584"/>
            <w:shd w:fill="FFFFFF"/>
            <w:tcMar>
              <w:top w:w="60" w:type="dxa"/>
              <w:bottom w:w="60" w:type="dxa"/>
              <w:left w:w="80" w:type="dxa"/>
              <w:right w:w="80" w:type="dxa"/>
            </w:tcMar>
          </w:tcPr>
          <w:p>
            <w:pPr>
              <w:jc w:val="left"/>
            </w:pPr>
            <w:r>
              <w:rPr>
                <w:rFonts w:ascii="Calibri" w:hAnsi="Calibri"/>
                <w:sz w:val="16"/>
              </w:rPr>
              <w:t>Complejo Ternario BCL-xL / von Hippel-Lindau (VHL)</w:t>
            </w:r>
          </w:p>
        </w:tc>
        <w:tc>
          <w:tcPr>
            <w:tcW w:type="dxa" w:w="2160"/>
            <w:shd w:fill="FFFFFF"/>
            <w:tcMar>
              <w:top w:w="60" w:type="dxa"/>
              <w:bottom w:w="60" w:type="dxa"/>
              <w:left w:w="80" w:type="dxa"/>
              <w:right w:w="80" w:type="dxa"/>
            </w:tcMar>
          </w:tcPr>
          <w:p>
            <w:pPr>
              <w:jc w:val="left"/>
            </w:pPr>
            <w:r>
              <w:rPr>
                <w:rFonts w:ascii="Calibri" w:hAnsi="Calibri"/>
                <w:sz w:val="16"/>
              </w:rPr>
              <w:t>Degradador PROTAC Basado en Hidroxiprolina</w:t>
            </w:r>
          </w:p>
        </w:tc>
        <w:tc>
          <w:tcPr>
            <w:tcW w:type="dxa" w:w="1152"/>
            <w:shd w:fill="FFFFFF"/>
            <w:tcMar>
              <w:top w:w="60" w:type="dxa"/>
              <w:bottom w:w="60" w:type="dxa"/>
              <w:left w:w="80" w:type="dxa"/>
              <w:right w:w="80" w:type="dxa"/>
            </w:tcMar>
          </w:tcPr>
          <w:p>
            <w:pPr>
              <w:jc w:val="center"/>
            </w:pPr>
            <w:r>
              <w:rPr>
                <w:rFonts w:ascii="Calibri" w:hAnsi="Calibri"/>
                <w:sz w:val="16"/>
              </w:rPr>
              <w:t>774.0</w:t>
            </w:r>
          </w:p>
        </w:tc>
        <w:tc>
          <w:tcPr>
            <w:tcW w:type="dxa" w:w="864"/>
            <w:shd w:fill="FFFFFF"/>
            <w:tcMar>
              <w:top w:w="60" w:type="dxa"/>
              <w:bottom w:w="60" w:type="dxa"/>
              <w:left w:w="80" w:type="dxa"/>
              <w:right w:w="80" w:type="dxa"/>
            </w:tcMar>
          </w:tcPr>
          <w:p>
            <w:pPr>
              <w:jc w:val="center"/>
            </w:pPr>
            <w:r>
              <w:rPr>
                <w:rFonts w:ascii="Calibri" w:hAnsi="Calibri"/>
                <w:sz w:val="16"/>
              </w:rPr>
              <w:t>0.49</w:t>
            </w:r>
          </w:p>
        </w:tc>
        <w:tc>
          <w:tcPr>
            <w:tcW w:type="dxa" w:w="1008"/>
            <w:shd w:fill="FFFFFF"/>
            <w:tcMar>
              <w:top w:w="60" w:type="dxa"/>
              <w:bottom w:w="60" w:type="dxa"/>
              <w:left w:w="80" w:type="dxa"/>
              <w:right w:w="80" w:type="dxa"/>
            </w:tcMar>
          </w:tcPr>
          <w:p>
            <w:pPr>
              <w:jc w:val="center"/>
            </w:pPr>
            <w:r>
              <w:rPr>
                <w:rFonts w:ascii="Calibri" w:hAnsi="Calibri"/>
                <w:b/>
                <w:color w:val="0284C7"/>
                <w:sz w:val="16"/>
              </w:rPr>
              <w:t>0.14</w:t>
            </w:r>
          </w:p>
        </w:tc>
      </w:tr>
      <w:tr>
        <w:tc>
          <w:tcPr>
            <w:tcW w:type="dxa" w:w="1296"/>
            <w:shd w:fill="F8FAFC"/>
            <w:tcMar>
              <w:top w:w="60" w:type="dxa"/>
              <w:bottom w:w="60" w:type="dxa"/>
              <w:left w:w="80" w:type="dxa"/>
              <w:right w:w="80" w:type="dxa"/>
            </w:tcMar>
          </w:tcPr>
          <w:p>
            <w:pPr>
              <w:jc w:val="center"/>
            </w:pPr>
            <w:r>
              <w:rPr>
                <w:rFonts w:ascii="Calibri" w:hAnsi="Calibri"/>
                <w:b/>
                <w:color w:val="1B365D"/>
                <w:sz w:val="16"/>
              </w:rPr>
              <w:t>MVA-PRO-03</w:t>
            </w:r>
          </w:p>
        </w:tc>
        <w:tc>
          <w:tcPr>
            <w:tcW w:type="dxa" w:w="2592"/>
            <w:shd w:fill="F8FAFC"/>
            <w:tcMar>
              <w:top w:w="60" w:type="dxa"/>
              <w:bottom w:w="60" w:type="dxa"/>
              <w:left w:w="80" w:type="dxa"/>
              <w:right w:w="80" w:type="dxa"/>
            </w:tcMar>
          </w:tcPr>
          <w:p>
            <w:pPr>
              <w:jc w:val="left"/>
            </w:pPr>
            <w:r>
              <w:rPr>
                <w:rFonts w:ascii="Calibri" w:hAnsi="Calibri"/>
                <w:sz w:val="16"/>
              </w:rPr>
              <w:t>Biclon-PEG PROTAC</w:t>
            </w:r>
          </w:p>
        </w:tc>
        <w:tc>
          <w:tcPr>
            <w:tcW w:type="dxa" w:w="1584"/>
            <w:shd w:fill="F8FAFC"/>
            <w:tcMar>
              <w:top w:w="60" w:type="dxa"/>
              <w:bottom w:w="60" w:type="dxa"/>
              <w:left w:w="80" w:type="dxa"/>
              <w:right w:w="80" w:type="dxa"/>
            </w:tcMar>
          </w:tcPr>
          <w:p>
            <w:pPr>
              <w:jc w:val="left"/>
            </w:pPr>
            <w:r>
              <w:rPr>
                <w:rFonts w:ascii="Calibri" w:hAnsi="Calibri"/>
                <w:sz w:val="16"/>
              </w:rPr>
              <w:t>Degradacion Dual BCL-xL / BCL-2 via E3 Ligasa</w:t>
            </w:r>
          </w:p>
        </w:tc>
        <w:tc>
          <w:tcPr>
            <w:tcW w:type="dxa" w:w="2160"/>
            <w:shd w:fill="F8FAFC"/>
            <w:tcMar>
              <w:top w:w="60" w:type="dxa"/>
              <w:bottom w:w="60" w:type="dxa"/>
              <w:left w:w="80" w:type="dxa"/>
              <w:right w:w="80" w:type="dxa"/>
            </w:tcMar>
          </w:tcPr>
          <w:p>
            <w:pPr>
              <w:jc w:val="left"/>
            </w:pPr>
            <w:r>
              <w:rPr>
                <w:rFonts w:ascii="Calibri" w:hAnsi="Calibri"/>
                <w:sz w:val="16"/>
              </w:rPr>
              <w:t>PROTAC con Conector PEG Flexible Optimizado</w:t>
            </w:r>
          </w:p>
        </w:tc>
        <w:tc>
          <w:tcPr>
            <w:tcW w:type="dxa" w:w="1152"/>
            <w:shd w:fill="F8FAFC"/>
            <w:tcMar>
              <w:top w:w="60" w:type="dxa"/>
              <w:bottom w:w="60" w:type="dxa"/>
              <w:left w:w="80" w:type="dxa"/>
              <w:right w:w="80" w:type="dxa"/>
            </w:tcMar>
          </w:tcPr>
          <w:p>
            <w:pPr>
              <w:jc w:val="center"/>
            </w:pPr>
            <w:r>
              <w:rPr>
                <w:rFonts w:ascii="Calibri" w:hAnsi="Calibri"/>
                <w:sz w:val="16"/>
              </w:rPr>
              <w:t>736.9</w:t>
            </w:r>
          </w:p>
        </w:tc>
        <w:tc>
          <w:tcPr>
            <w:tcW w:type="dxa" w:w="864"/>
            <w:shd w:fill="F8FAFC"/>
            <w:tcMar>
              <w:top w:w="60" w:type="dxa"/>
              <w:bottom w:w="60" w:type="dxa"/>
              <w:left w:w="80" w:type="dxa"/>
              <w:right w:w="80" w:type="dxa"/>
            </w:tcMar>
          </w:tcPr>
          <w:p>
            <w:pPr>
              <w:jc w:val="center"/>
            </w:pPr>
            <w:r>
              <w:rPr>
                <w:rFonts w:ascii="Calibri" w:hAnsi="Calibri"/>
                <w:sz w:val="16"/>
              </w:rPr>
              <w:t>2.02</w:t>
            </w:r>
          </w:p>
        </w:tc>
        <w:tc>
          <w:tcPr>
            <w:tcW w:type="dxa" w:w="1008"/>
            <w:shd w:fill="F8FAFC"/>
            <w:tcMar>
              <w:top w:w="60" w:type="dxa"/>
              <w:bottom w:w="60" w:type="dxa"/>
              <w:left w:w="80" w:type="dxa"/>
              <w:right w:w="80" w:type="dxa"/>
            </w:tcMar>
          </w:tcPr>
          <w:p>
            <w:pPr>
              <w:jc w:val="center"/>
            </w:pPr>
            <w:r>
              <w:rPr>
                <w:rFonts w:ascii="Calibri" w:hAnsi="Calibri"/>
                <w:b/>
                <w:color w:val="0284C7"/>
                <w:sz w:val="16"/>
              </w:rPr>
              <w:t>0.14</w:t>
            </w:r>
          </w:p>
        </w:tc>
      </w:tr>
      <w:tr>
        <w:tc>
          <w:tcPr>
            <w:tcW w:type="dxa" w:w="1296"/>
            <w:shd w:fill="FFFFFF"/>
            <w:tcMar>
              <w:top w:w="60" w:type="dxa"/>
              <w:bottom w:w="60" w:type="dxa"/>
              <w:left w:w="80" w:type="dxa"/>
              <w:right w:w="80" w:type="dxa"/>
            </w:tcMar>
          </w:tcPr>
          <w:p>
            <w:pPr>
              <w:jc w:val="center"/>
            </w:pPr>
            <w:r>
              <w:rPr>
                <w:rFonts w:ascii="Calibri" w:hAnsi="Calibri"/>
                <w:b/>
                <w:color w:val="1B365D"/>
                <w:sz w:val="16"/>
              </w:rPr>
              <w:t>MVA-PRO-04</w:t>
            </w:r>
          </w:p>
        </w:tc>
        <w:tc>
          <w:tcPr>
            <w:tcW w:type="dxa" w:w="2592"/>
            <w:shd w:fill="FFFFFF"/>
            <w:tcMar>
              <w:top w:w="60" w:type="dxa"/>
              <w:bottom w:w="60" w:type="dxa"/>
              <w:left w:w="80" w:type="dxa"/>
              <w:right w:w="80" w:type="dxa"/>
            </w:tcMar>
          </w:tcPr>
          <w:p>
            <w:pPr>
              <w:jc w:val="left"/>
            </w:pPr>
            <w:r>
              <w:rPr>
                <w:rFonts w:ascii="Calibri" w:hAnsi="Calibri"/>
                <w:sz w:val="16"/>
              </w:rPr>
              <w:t>MCL1-Shedder</w:t>
            </w:r>
          </w:p>
        </w:tc>
        <w:tc>
          <w:tcPr>
            <w:tcW w:type="dxa" w:w="1584"/>
            <w:shd w:fill="FFFFFF"/>
            <w:tcMar>
              <w:top w:w="60" w:type="dxa"/>
              <w:bottom w:w="60" w:type="dxa"/>
              <w:left w:w="80" w:type="dxa"/>
              <w:right w:w="80" w:type="dxa"/>
            </w:tcMar>
          </w:tcPr>
          <w:p>
            <w:pPr>
              <w:jc w:val="left"/>
            </w:pPr>
            <w:r>
              <w:rPr>
                <w:rFonts w:ascii="Calibri" w:hAnsi="Calibri"/>
                <w:sz w:val="16"/>
              </w:rPr>
              <w:t>Surco BH3 de MCL-1 / E3 Ligasa CRBN</w:t>
            </w:r>
          </w:p>
        </w:tc>
        <w:tc>
          <w:tcPr>
            <w:tcW w:type="dxa" w:w="2160"/>
            <w:shd w:fill="FFFFFF"/>
            <w:tcMar>
              <w:top w:w="60" w:type="dxa"/>
              <w:bottom w:w="60" w:type="dxa"/>
              <w:left w:w="80" w:type="dxa"/>
              <w:right w:w="80" w:type="dxa"/>
            </w:tcMar>
          </w:tcPr>
          <w:p>
            <w:pPr>
              <w:jc w:val="left"/>
            </w:pPr>
            <w:r>
              <w:rPr>
                <w:rFonts w:ascii="Calibri" w:hAnsi="Calibri"/>
                <w:sz w:val="16"/>
              </w:rPr>
              <w:t>Degradador PROTAC Dirigido a MCL-1</w:t>
            </w:r>
          </w:p>
        </w:tc>
        <w:tc>
          <w:tcPr>
            <w:tcW w:type="dxa" w:w="1152"/>
            <w:shd w:fill="FFFFFF"/>
            <w:tcMar>
              <w:top w:w="60" w:type="dxa"/>
              <w:bottom w:w="60" w:type="dxa"/>
              <w:left w:w="80" w:type="dxa"/>
              <w:right w:w="80" w:type="dxa"/>
            </w:tcMar>
          </w:tcPr>
          <w:p>
            <w:pPr>
              <w:jc w:val="center"/>
            </w:pPr>
            <w:r>
              <w:rPr>
                <w:rFonts w:ascii="Calibri" w:hAnsi="Calibri"/>
                <w:sz w:val="16"/>
              </w:rPr>
              <w:t>716.2</w:t>
            </w:r>
          </w:p>
        </w:tc>
        <w:tc>
          <w:tcPr>
            <w:tcW w:type="dxa" w:w="864"/>
            <w:shd w:fill="FFFFFF"/>
            <w:tcMar>
              <w:top w:w="60" w:type="dxa"/>
              <w:bottom w:w="60" w:type="dxa"/>
              <w:left w:w="80" w:type="dxa"/>
              <w:right w:w="80" w:type="dxa"/>
            </w:tcMar>
          </w:tcPr>
          <w:p>
            <w:pPr>
              <w:jc w:val="center"/>
            </w:pPr>
            <w:r>
              <w:rPr>
                <w:rFonts w:ascii="Calibri" w:hAnsi="Calibri"/>
                <w:sz w:val="16"/>
              </w:rPr>
              <w:t>5.86</w:t>
            </w:r>
          </w:p>
        </w:tc>
        <w:tc>
          <w:tcPr>
            <w:tcW w:type="dxa" w:w="1008"/>
            <w:shd w:fill="FFFFFF"/>
            <w:tcMar>
              <w:top w:w="60" w:type="dxa"/>
              <w:bottom w:w="60" w:type="dxa"/>
              <w:left w:w="80" w:type="dxa"/>
              <w:right w:w="80" w:type="dxa"/>
            </w:tcMar>
          </w:tcPr>
          <w:p>
            <w:pPr>
              <w:jc w:val="center"/>
            </w:pPr>
            <w:r>
              <w:rPr>
                <w:rFonts w:ascii="Calibri" w:hAnsi="Calibri"/>
                <w:b/>
                <w:color w:val="0284C7"/>
                <w:sz w:val="16"/>
              </w:rPr>
              <w:t>0.10</w:t>
            </w:r>
          </w:p>
        </w:tc>
      </w:tr>
      <w:tr>
        <w:tc>
          <w:tcPr>
            <w:tcW w:type="dxa" w:w="1296"/>
            <w:shd w:fill="F8FAFC"/>
            <w:tcMar>
              <w:top w:w="60" w:type="dxa"/>
              <w:bottom w:w="60" w:type="dxa"/>
              <w:left w:w="80" w:type="dxa"/>
              <w:right w:w="80" w:type="dxa"/>
            </w:tcMar>
          </w:tcPr>
          <w:p>
            <w:pPr>
              <w:jc w:val="center"/>
            </w:pPr>
            <w:r>
              <w:rPr>
                <w:rFonts w:ascii="Calibri" w:hAnsi="Calibri"/>
                <w:b/>
                <w:color w:val="1B365D"/>
                <w:sz w:val="16"/>
              </w:rPr>
              <w:t>MVA-PRO-05</w:t>
            </w:r>
          </w:p>
        </w:tc>
        <w:tc>
          <w:tcPr>
            <w:tcW w:type="dxa" w:w="2592"/>
            <w:shd w:fill="F8FAFC"/>
            <w:tcMar>
              <w:top w:w="60" w:type="dxa"/>
              <w:bottom w:w="60" w:type="dxa"/>
              <w:left w:w="80" w:type="dxa"/>
              <w:right w:w="80" w:type="dxa"/>
            </w:tcMar>
          </w:tcPr>
          <w:p>
            <w:pPr>
              <w:jc w:val="left"/>
            </w:pPr>
            <w:r>
              <w:rPr>
                <w:rFonts w:ascii="Calibri" w:hAnsi="Calibri"/>
                <w:sz w:val="16"/>
              </w:rPr>
              <w:t>Navitobioisostero</w:t>
            </w:r>
          </w:p>
        </w:tc>
        <w:tc>
          <w:tcPr>
            <w:tcW w:type="dxa" w:w="1584"/>
            <w:shd w:fill="F8FAFC"/>
            <w:tcMar>
              <w:top w:w="60" w:type="dxa"/>
              <w:bottom w:w="60" w:type="dxa"/>
              <w:left w:w="80" w:type="dxa"/>
              <w:right w:w="80" w:type="dxa"/>
            </w:tcMar>
          </w:tcPr>
          <w:p>
            <w:pPr>
              <w:jc w:val="left"/>
            </w:pPr>
            <w:r>
              <w:rPr>
                <w:rFonts w:ascii="Calibri" w:hAnsi="Calibri"/>
                <w:sz w:val="16"/>
              </w:rPr>
              <w:t>Surco Hidrofobico BCL-xL (Molecula Pequena no PROTAC)</w:t>
            </w:r>
          </w:p>
        </w:tc>
        <w:tc>
          <w:tcPr>
            <w:tcW w:type="dxa" w:w="2160"/>
            <w:shd w:fill="F8FAFC"/>
            <w:tcMar>
              <w:top w:w="60" w:type="dxa"/>
              <w:bottom w:w="60" w:type="dxa"/>
              <w:left w:w="80" w:type="dxa"/>
              <w:right w:w="80" w:type="dxa"/>
            </w:tcMar>
          </w:tcPr>
          <w:p>
            <w:pPr>
              <w:jc w:val="left"/>
            </w:pPr>
            <w:r>
              <w:rPr>
                <w:rFonts w:ascii="Calibri" w:hAnsi="Calibri"/>
                <w:sz w:val="16"/>
              </w:rPr>
              <w:t>Bioisostero Optimizado de Navitoclax / ABT-263</w:t>
            </w:r>
          </w:p>
        </w:tc>
        <w:tc>
          <w:tcPr>
            <w:tcW w:type="dxa" w:w="1152"/>
            <w:shd w:fill="F8FAFC"/>
            <w:tcMar>
              <w:top w:w="60" w:type="dxa"/>
              <w:bottom w:w="60" w:type="dxa"/>
              <w:left w:w="80" w:type="dxa"/>
              <w:right w:w="80" w:type="dxa"/>
            </w:tcMar>
          </w:tcPr>
          <w:p>
            <w:pPr>
              <w:jc w:val="center"/>
            </w:pPr>
            <w:r>
              <w:rPr>
                <w:rFonts w:ascii="Calibri" w:hAnsi="Calibri"/>
                <w:sz w:val="16"/>
              </w:rPr>
              <w:t>597.2</w:t>
            </w:r>
          </w:p>
        </w:tc>
        <w:tc>
          <w:tcPr>
            <w:tcW w:type="dxa" w:w="864"/>
            <w:shd w:fill="F8FAFC"/>
            <w:tcMar>
              <w:top w:w="60" w:type="dxa"/>
              <w:bottom w:w="60" w:type="dxa"/>
              <w:left w:w="80" w:type="dxa"/>
              <w:right w:w="80" w:type="dxa"/>
            </w:tcMar>
          </w:tcPr>
          <w:p>
            <w:pPr>
              <w:jc w:val="center"/>
            </w:pPr>
            <w:r>
              <w:rPr>
                <w:rFonts w:ascii="Calibri" w:hAnsi="Calibri"/>
                <w:sz w:val="16"/>
              </w:rPr>
              <w:t>4.33</w:t>
            </w:r>
          </w:p>
        </w:tc>
        <w:tc>
          <w:tcPr>
            <w:tcW w:type="dxa" w:w="1008"/>
            <w:shd w:fill="F8FAFC"/>
            <w:tcMar>
              <w:top w:w="60" w:type="dxa"/>
              <w:bottom w:w="60" w:type="dxa"/>
              <w:left w:w="80" w:type="dxa"/>
              <w:right w:w="80" w:type="dxa"/>
            </w:tcMar>
          </w:tcPr>
          <w:p>
            <w:pPr>
              <w:jc w:val="center"/>
            </w:pPr>
            <w:r>
              <w:rPr>
                <w:rFonts w:ascii="Calibri" w:hAnsi="Calibri"/>
                <w:b/>
                <w:color w:val="0284C7"/>
                <w:sz w:val="16"/>
              </w:rPr>
              <w:t>0.36</w:t>
            </w:r>
          </w:p>
        </w:tc>
      </w:tr>
      <w:tr>
        <w:tc>
          <w:tcPr>
            <w:tcW w:type="dxa" w:w="1296"/>
            <w:shd w:fill="FFFFFF"/>
            <w:tcMar>
              <w:top w:w="60" w:type="dxa"/>
              <w:bottom w:w="60" w:type="dxa"/>
              <w:left w:w="80" w:type="dxa"/>
              <w:right w:w="80" w:type="dxa"/>
            </w:tcMar>
          </w:tcPr>
          <w:p>
            <w:pPr>
              <w:jc w:val="center"/>
            </w:pPr>
            <w:r>
              <w:rPr>
                <w:rFonts w:ascii="Calibri" w:hAnsi="Calibri"/>
                <w:b/>
                <w:color w:val="1B365D"/>
                <w:sz w:val="16"/>
              </w:rPr>
              <w:t>MVA-CEN-01</w:t>
            </w:r>
          </w:p>
        </w:tc>
        <w:tc>
          <w:tcPr>
            <w:tcW w:type="dxa" w:w="2592"/>
            <w:shd w:fill="FFFFFF"/>
            <w:tcMar>
              <w:top w:w="60" w:type="dxa"/>
              <w:bottom w:w="60" w:type="dxa"/>
              <w:left w:w="80" w:type="dxa"/>
              <w:right w:w="80" w:type="dxa"/>
            </w:tcMar>
          </w:tcPr>
          <w:p>
            <w:pPr>
              <w:jc w:val="left"/>
            </w:pPr>
            <w:r>
              <w:rPr>
                <w:rFonts w:ascii="Calibri" w:hAnsi="Calibri"/>
                <w:sz w:val="16"/>
              </w:rPr>
              <w:t>Cinetocorin Alfa</w:t>
            </w:r>
          </w:p>
        </w:tc>
        <w:tc>
          <w:tcPr>
            <w:tcW w:type="dxa" w:w="1584"/>
            <w:shd w:fill="FFFFFF"/>
            <w:tcMar>
              <w:top w:w="60" w:type="dxa"/>
              <w:bottom w:w="60" w:type="dxa"/>
              <w:left w:w="80" w:type="dxa"/>
              <w:right w:w="80" w:type="dxa"/>
            </w:tcMar>
          </w:tcPr>
          <w:p>
            <w:pPr>
              <w:jc w:val="left"/>
            </w:pPr>
            <w:r>
              <w:rPr>
                <w:rFonts w:ascii="Calibri" w:hAnsi="Calibri"/>
                <w:sz w:val="16"/>
              </w:rPr>
              <w:t>Cuello Conector (Neck-Linker) del Motor Kinesina CENPE</w:t>
            </w:r>
          </w:p>
        </w:tc>
        <w:tc>
          <w:tcPr>
            <w:tcW w:type="dxa" w:w="2160"/>
            <w:shd w:fill="FFFFFF"/>
            <w:tcMar>
              <w:top w:w="60" w:type="dxa"/>
              <w:bottom w:w="60" w:type="dxa"/>
              <w:left w:w="80" w:type="dxa"/>
              <w:right w:w="80" w:type="dxa"/>
            </w:tcMar>
          </w:tcPr>
          <w:p>
            <w:pPr>
              <w:jc w:val="left"/>
            </w:pPr>
            <w:r>
              <w:rPr>
                <w:rFonts w:ascii="Calibri" w:hAnsi="Calibri"/>
                <w:sz w:val="16"/>
              </w:rPr>
              <w:t>Estabilizador Alosterico del Ciclo Mecanoquimico</w:t>
            </w:r>
          </w:p>
        </w:tc>
        <w:tc>
          <w:tcPr>
            <w:tcW w:type="dxa" w:w="1152"/>
            <w:shd w:fill="FFFFFF"/>
            <w:tcMar>
              <w:top w:w="60" w:type="dxa"/>
              <w:bottom w:w="60" w:type="dxa"/>
              <w:left w:w="80" w:type="dxa"/>
              <w:right w:w="80" w:type="dxa"/>
            </w:tcMar>
          </w:tcPr>
          <w:p>
            <w:pPr>
              <w:jc w:val="center"/>
            </w:pPr>
            <w:r>
              <w:rPr>
                <w:rFonts w:ascii="Calibri" w:hAnsi="Calibri"/>
                <w:sz w:val="16"/>
              </w:rPr>
              <w:t>451.9</w:t>
            </w:r>
          </w:p>
        </w:tc>
        <w:tc>
          <w:tcPr>
            <w:tcW w:type="dxa" w:w="864"/>
            <w:shd w:fill="FFFFFF"/>
            <w:tcMar>
              <w:top w:w="60" w:type="dxa"/>
              <w:bottom w:w="60" w:type="dxa"/>
              <w:left w:w="80" w:type="dxa"/>
              <w:right w:w="80" w:type="dxa"/>
            </w:tcMar>
          </w:tcPr>
          <w:p>
            <w:pPr>
              <w:jc w:val="center"/>
            </w:pPr>
            <w:r>
              <w:rPr>
                <w:rFonts w:ascii="Calibri" w:hAnsi="Calibri"/>
                <w:sz w:val="16"/>
              </w:rPr>
              <w:t>4.65</w:t>
            </w:r>
          </w:p>
        </w:tc>
        <w:tc>
          <w:tcPr>
            <w:tcW w:type="dxa" w:w="1008"/>
            <w:shd w:fill="FFFFFF"/>
            <w:tcMar>
              <w:top w:w="60" w:type="dxa"/>
              <w:bottom w:w="60" w:type="dxa"/>
              <w:left w:w="80" w:type="dxa"/>
              <w:right w:w="80" w:type="dxa"/>
            </w:tcMar>
          </w:tcPr>
          <w:p>
            <w:pPr>
              <w:jc w:val="center"/>
            </w:pPr>
            <w:r>
              <w:rPr>
                <w:rFonts w:ascii="Calibri" w:hAnsi="Calibri"/>
                <w:b/>
                <w:color w:val="0284C7"/>
                <w:sz w:val="16"/>
              </w:rPr>
              <w:t>0.22</w:t>
            </w:r>
          </w:p>
        </w:tc>
      </w:tr>
      <w:tr>
        <w:tc>
          <w:tcPr>
            <w:tcW w:type="dxa" w:w="1296"/>
            <w:shd w:fill="F8FAFC"/>
            <w:tcMar>
              <w:top w:w="60" w:type="dxa"/>
              <w:bottom w:w="60" w:type="dxa"/>
              <w:left w:w="80" w:type="dxa"/>
              <w:right w:w="80" w:type="dxa"/>
            </w:tcMar>
          </w:tcPr>
          <w:p>
            <w:pPr>
              <w:jc w:val="center"/>
            </w:pPr>
            <w:r>
              <w:rPr>
                <w:rFonts w:ascii="Calibri" w:hAnsi="Calibri"/>
                <w:b/>
                <w:color w:val="1B365D"/>
                <w:sz w:val="16"/>
              </w:rPr>
              <w:t>MVA-CEN-02</w:t>
            </w:r>
          </w:p>
        </w:tc>
        <w:tc>
          <w:tcPr>
            <w:tcW w:type="dxa" w:w="2592"/>
            <w:shd w:fill="F8FAFC"/>
            <w:tcMar>
              <w:top w:w="60" w:type="dxa"/>
              <w:bottom w:w="60" w:type="dxa"/>
              <w:left w:w="80" w:type="dxa"/>
              <w:right w:w="80" w:type="dxa"/>
            </w:tcMar>
          </w:tcPr>
          <w:p>
            <w:pPr>
              <w:jc w:val="left"/>
            </w:pPr>
            <w:r>
              <w:rPr>
                <w:rFonts w:ascii="Calibri" w:hAnsi="Calibri"/>
                <w:sz w:val="16"/>
              </w:rPr>
              <w:t>Quinazo-Motor</w:t>
            </w:r>
          </w:p>
        </w:tc>
        <w:tc>
          <w:tcPr>
            <w:tcW w:type="dxa" w:w="1584"/>
            <w:shd w:fill="F8FAFC"/>
            <w:tcMar>
              <w:top w:w="60" w:type="dxa"/>
              <w:bottom w:w="60" w:type="dxa"/>
              <w:left w:w="80" w:type="dxa"/>
              <w:right w:w="80" w:type="dxa"/>
            </w:tcMar>
          </w:tcPr>
          <w:p>
            <w:pPr>
              <w:jc w:val="left"/>
            </w:pPr>
            <w:r>
              <w:rPr>
                <w:rFonts w:ascii="Calibri" w:hAnsi="Calibri"/>
                <w:sz w:val="16"/>
              </w:rPr>
              <w:t>Bolsillo Alosterico Catalitico ATPase de CENPE</w:t>
            </w:r>
          </w:p>
        </w:tc>
        <w:tc>
          <w:tcPr>
            <w:tcW w:type="dxa" w:w="2160"/>
            <w:shd w:fill="F8FAFC"/>
            <w:tcMar>
              <w:top w:w="60" w:type="dxa"/>
              <w:bottom w:w="60" w:type="dxa"/>
              <w:left w:w="80" w:type="dxa"/>
              <w:right w:w="80" w:type="dxa"/>
            </w:tcMar>
          </w:tcPr>
          <w:p>
            <w:pPr>
              <w:jc w:val="left"/>
            </w:pPr>
            <w:r>
              <w:rPr>
                <w:rFonts w:ascii="Calibri" w:hAnsi="Calibri"/>
                <w:sz w:val="16"/>
              </w:rPr>
              <w:t>Activador Alosterico Quinazolinico</w:t>
            </w:r>
          </w:p>
        </w:tc>
        <w:tc>
          <w:tcPr>
            <w:tcW w:type="dxa" w:w="1152"/>
            <w:shd w:fill="F8FAFC"/>
            <w:tcMar>
              <w:top w:w="60" w:type="dxa"/>
              <w:bottom w:w="60" w:type="dxa"/>
              <w:left w:w="80" w:type="dxa"/>
              <w:right w:w="80" w:type="dxa"/>
            </w:tcMar>
          </w:tcPr>
          <w:p>
            <w:pPr>
              <w:jc w:val="center"/>
            </w:pPr>
            <w:r>
              <w:rPr>
                <w:rFonts w:ascii="Calibri" w:hAnsi="Calibri"/>
                <w:sz w:val="16"/>
              </w:rPr>
              <w:t>473.4</w:t>
            </w:r>
          </w:p>
        </w:tc>
        <w:tc>
          <w:tcPr>
            <w:tcW w:type="dxa" w:w="864"/>
            <w:shd w:fill="F8FAFC"/>
            <w:tcMar>
              <w:top w:w="60" w:type="dxa"/>
              <w:bottom w:w="60" w:type="dxa"/>
              <w:left w:w="80" w:type="dxa"/>
              <w:right w:w="80" w:type="dxa"/>
            </w:tcMar>
          </w:tcPr>
          <w:p>
            <w:pPr>
              <w:jc w:val="center"/>
            </w:pPr>
            <w:r>
              <w:rPr>
                <w:rFonts w:ascii="Calibri" w:hAnsi="Calibri"/>
                <w:sz w:val="16"/>
              </w:rPr>
              <w:t>4.25</w:t>
            </w:r>
          </w:p>
        </w:tc>
        <w:tc>
          <w:tcPr>
            <w:tcW w:type="dxa" w:w="1008"/>
            <w:shd w:fill="F8FAFC"/>
            <w:tcMar>
              <w:top w:w="60" w:type="dxa"/>
              <w:bottom w:w="60" w:type="dxa"/>
              <w:left w:w="80" w:type="dxa"/>
              <w:right w:w="80" w:type="dxa"/>
            </w:tcMar>
          </w:tcPr>
          <w:p>
            <w:pPr>
              <w:jc w:val="center"/>
            </w:pPr>
            <w:r>
              <w:rPr>
                <w:rFonts w:ascii="Calibri" w:hAnsi="Calibri"/>
                <w:b/>
                <w:color w:val="0284C7"/>
                <w:sz w:val="16"/>
              </w:rPr>
              <w:t>0.49</w:t>
            </w:r>
          </w:p>
        </w:tc>
      </w:tr>
      <w:tr>
        <w:tc>
          <w:tcPr>
            <w:tcW w:type="dxa" w:w="1296"/>
            <w:shd w:fill="FFFFFF"/>
            <w:tcMar>
              <w:top w:w="60" w:type="dxa"/>
              <w:bottom w:w="60" w:type="dxa"/>
              <w:left w:w="80" w:type="dxa"/>
              <w:right w:w="80" w:type="dxa"/>
            </w:tcMar>
          </w:tcPr>
          <w:p>
            <w:pPr>
              <w:jc w:val="center"/>
            </w:pPr>
            <w:r>
              <w:rPr>
                <w:rFonts w:ascii="Calibri" w:hAnsi="Calibri"/>
                <w:b/>
                <w:color w:val="1B365D"/>
                <w:sz w:val="16"/>
              </w:rPr>
              <w:t>MVA-CEN-03</w:t>
            </w:r>
          </w:p>
        </w:tc>
        <w:tc>
          <w:tcPr>
            <w:tcW w:type="dxa" w:w="2592"/>
            <w:shd w:fill="FFFFFF"/>
            <w:tcMar>
              <w:top w:w="60" w:type="dxa"/>
              <w:bottom w:w="60" w:type="dxa"/>
              <w:left w:w="80" w:type="dxa"/>
              <w:right w:w="80" w:type="dxa"/>
            </w:tcMar>
          </w:tcPr>
          <w:p>
            <w:pPr>
              <w:jc w:val="left"/>
            </w:pPr>
            <w:r>
              <w:rPr>
                <w:rFonts w:ascii="Calibri" w:hAnsi="Calibri"/>
                <w:sz w:val="16"/>
              </w:rPr>
              <w:t>Bencimidaz-CEN</w:t>
            </w:r>
          </w:p>
        </w:tc>
        <w:tc>
          <w:tcPr>
            <w:tcW w:type="dxa" w:w="1584"/>
            <w:shd w:fill="FFFFFF"/>
            <w:tcMar>
              <w:top w:w="60" w:type="dxa"/>
              <w:bottom w:w="60" w:type="dxa"/>
              <w:left w:w="80" w:type="dxa"/>
              <w:right w:w="80" w:type="dxa"/>
            </w:tcMar>
          </w:tcPr>
          <w:p>
            <w:pPr>
              <w:jc w:val="left"/>
            </w:pPr>
            <w:r>
              <w:rPr>
                <w:rFonts w:ascii="Calibri" w:hAnsi="Calibri"/>
                <w:sz w:val="16"/>
              </w:rPr>
              <w:t>Interfaz CENPE - Tubulina Alfa/Beta</w:t>
            </w:r>
          </w:p>
        </w:tc>
        <w:tc>
          <w:tcPr>
            <w:tcW w:type="dxa" w:w="2160"/>
            <w:shd w:fill="FFFFFF"/>
            <w:tcMar>
              <w:top w:w="60" w:type="dxa"/>
              <w:bottom w:w="60" w:type="dxa"/>
              <w:left w:w="80" w:type="dxa"/>
              <w:right w:w="80" w:type="dxa"/>
            </w:tcMar>
          </w:tcPr>
          <w:p>
            <w:pPr>
              <w:jc w:val="left"/>
            </w:pPr>
            <w:r>
              <w:rPr>
                <w:rFonts w:ascii="Calibri" w:hAnsi="Calibri"/>
                <w:sz w:val="16"/>
              </w:rPr>
              <w:t>Modulador de Interfaz Proteina-Proteina</w:t>
            </w:r>
          </w:p>
        </w:tc>
        <w:tc>
          <w:tcPr>
            <w:tcW w:type="dxa" w:w="1152"/>
            <w:shd w:fill="FFFFFF"/>
            <w:tcMar>
              <w:top w:w="60" w:type="dxa"/>
              <w:bottom w:w="60" w:type="dxa"/>
              <w:left w:w="80" w:type="dxa"/>
              <w:right w:w="80" w:type="dxa"/>
            </w:tcMar>
          </w:tcPr>
          <w:p>
            <w:pPr>
              <w:jc w:val="center"/>
            </w:pPr>
            <w:r>
              <w:rPr>
                <w:rFonts w:ascii="Calibri" w:hAnsi="Calibri"/>
                <w:sz w:val="16"/>
              </w:rPr>
              <w:t>417.5</w:t>
            </w:r>
          </w:p>
        </w:tc>
        <w:tc>
          <w:tcPr>
            <w:tcW w:type="dxa" w:w="864"/>
            <w:shd w:fill="FFFFFF"/>
            <w:tcMar>
              <w:top w:w="60" w:type="dxa"/>
              <w:bottom w:w="60" w:type="dxa"/>
              <w:left w:w="80" w:type="dxa"/>
              <w:right w:w="80" w:type="dxa"/>
            </w:tcMar>
          </w:tcPr>
          <w:p>
            <w:pPr>
              <w:jc w:val="center"/>
            </w:pPr>
            <w:r>
              <w:rPr>
                <w:rFonts w:ascii="Calibri" w:hAnsi="Calibri"/>
                <w:sz w:val="16"/>
              </w:rPr>
              <w:t>5.46</w:t>
            </w:r>
          </w:p>
        </w:tc>
        <w:tc>
          <w:tcPr>
            <w:tcW w:type="dxa" w:w="1008"/>
            <w:shd w:fill="FFFFFF"/>
            <w:tcMar>
              <w:top w:w="60" w:type="dxa"/>
              <w:bottom w:w="60" w:type="dxa"/>
              <w:left w:w="80" w:type="dxa"/>
              <w:right w:w="80" w:type="dxa"/>
            </w:tcMar>
          </w:tcPr>
          <w:p>
            <w:pPr>
              <w:jc w:val="center"/>
            </w:pPr>
            <w:r>
              <w:rPr>
                <w:rFonts w:ascii="Calibri" w:hAnsi="Calibri"/>
                <w:b/>
                <w:color w:val="0284C7"/>
                <w:sz w:val="16"/>
              </w:rPr>
              <w:t>0.44</w:t>
            </w:r>
          </w:p>
        </w:tc>
      </w:tr>
      <w:tr>
        <w:tc>
          <w:tcPr>
            <w:tcW w:type="dxa" w:w="1296"/>
            <w:shd w:fill="F8FAFC"/>
            <w:tcMar>
              <w:top w:w="60" w:type="dxa"/>
              <w:bottom w:w="60" w:type="dxa"/>
              <w:left w:w="80" w:type="dxa"/>
              <w:right w:w="80" w:type="dxa"/>
            </w:tcMar>
          </w:tcPr>
          <w:p>
            <w:pPr>
              <w:jc w:val="center"/>
            </w:pPr>
            <w:r>
              <w:rPr>
                <w:rFonts w:ascii="Calibri" w:hAnsi="Calibri"/>
                <w:b/>
                <w:color w:val="1B365D"/>
                <w:sz w:val="16"/>
              </w:rPr>
              <w:t>MVA-CEN-04</w:t>
            </w:r>
          </w:p>
        </w:tc>
        <w:tc>
          <w:tcPr>
            <w:tcW w:type="dxa" w:w="2592"/>
            <w:shd w:fill="F8FAFC"/>
            <w:tcMar>
              <w:top w:w="60" w:type="dxa"/>
              <w:bottom w:w="60" w:type="dxa"/>
              <w:left w:w="80" w:type="dxa"/>
              <w:right w:w="80" w:type="dxa"/>
            </w:tcMar>
          </w:tcPr>
          <w:p>
            <w:pPr>
              <w:jc w:val="left"/>
            </w:pPr>
            <w:r>
              <w:rPr>
                <w:rFonts w:ascii="Calibri" w:hAnsi="Calibri"/>
                <w:sz w:val="16"/>
              </w:rPr>
              <w:t>Tetrahidro-Step</w:t>
            </w:r>
          </w:p>
        </w:tc>
        <w:tc>
          <w:tcPr>
            <w:tcW w:type="dxa" w:w="1584"/>
            <w:shd w:fill="F8FAFC"/>
            <w:tcMar>
              <w:top w:w="60" w:type="dxa"/>
              <w:bottom w:w="60" w:type="dxa"/>
              <w:left w:w="80" w:type="dxa"/>
              <w:right w:w="80" w:type="dxa"/>
            </w:tcMar>
          </w:tcPr>
          <w:p>
            <w:pPr>
              <w:jc w:val="left"/>
            </w:pPr>
            <w:r>
              <w:rPr>
                <w:rFonts w:ascii="Calibri" w:hAnsi="Calibri"/>
                <w:sz w:val="16"/>
              </w:rPr>
              <w:t>Bisagra del Tallo (Stalk) de Dimerizacion de CENPE</w:t>
            </w:r>
          </w:p>
        </w:tc>
        <w:tc>
          <w:tcPr>
            <w:tcW w:type="dxa" w:w="2160"/>
            <w:shd w:fill="F8FAFC"/>
            <w:tcMar>
              <w:top w:w="60" w:type="dxa"/>
              <w:bottom w:w="60" w:type="dxa"/>
              <w:left w:w="80" w:type="dxa"/>
              <w:right w:w="80" w:type="dxa"/>
            </w:tcMar>
          </w:tcPr>
          <w:p>
            <w:pPr>
              <w:jc w:val="left"/>
            </w:pPr>
            <w:r>
              <w:rPr>
                <w:rFonts w:ascii="Calibri" w:hAnsi="Calibri"/>
                <w:sz w:val="16"/>
              </w:rPr>
              <w:t>Modulador Estructural Dimero Kinesina</w:t>
            </w:r>
          </w:p>
        </w:tc>
        <w:tc>
          <w:tcPr>
            <w:tcW w:type="dxa" w:w="1152"/>
            <w:shd w:fill="F8FAFC"/>
            <w:tcMar>
              <w:top w:w="60" w:type="dxa"/>
              <w:bottom w:w="60" w:type="dxa"/>
              <w:left w:w="80" w:type="dxa"/>
              <w:right w:w="80" w:type="dxa"/>
            </w:tcMar>
          </w:tcPr>
          <w:p>
            <w:pPr>
              <w:jc w:val="center"/>
            </w:pPr>
            <w:r>
              <w:rPr>
                <w:rFonts w:ascii="Calibri" w:hAnsi="Calibri"/>
                <w:sz w:val="16"/>
              </w:rPr>
              <w:t>476.0</w:t>
            </w:r>
          </w:p>
        </w:tc>
        <w:tc>
          <w:tcPr>
            <w:tcW w:type="dxa" w:w="864"/>
            <w:shd w:fill="F8FAFC"/>
            <w:tcMar>
              <w:top w:w="60" w:type="dxa"/>
              <w:bottom w:w="60" w:type="dxa"/>
              <w:left w:w="80" w:type="dxa"/>
              <w:right w:w="80" w:type="dxa"/>
            </w:tcMar>
          </w:tcPr>
          <w:p>
            <w:pPr>
              <w:jc w:val="center"/>
            </w:pPr>
            <w:r>
              <w:rPr>
                <w:rFonts w:ascii="Calibri" w:hAnsi="Calibri"/>
                <w:sz w:val="16"/>
              </w:rPr>
              <w:t>5.70</w:t>
            </w:r>
          </w:p>
        </w:tc>
        <w:tc>
          <w:tcPr>
            <w:tcW w:type="dxa" w:w="1008"/>
            <w:shd w:fill="F8FAFC"/>
            <w:tcMar>
              <w:top w:w="60" w:type="dxa"/>
              <w:bottom w:w="60" w:type="dxa"/>
              <w:left w:w="80" w:type="dxa"/>
              <w:right w:w="80" w:type="dxa"/>
            </w:tcMar>
          </w:tcPr>
          <w:p>
            <w:pPr>
              <w:jc w:val="center"/>
            </w:pPr>
            <w:r>
              <w:rPr>
                <w:rFonts w:ascii="Calibri" w:hAnsi="Calibri"/>
                <w:b/>
                <w:color w:val="0284C7"/>
                <w:sz w:val="16"/>
              </w:rPr>
              <w:t>0.52</w:t>
            </w:r>
          </w:p>
        </w:tc>
      </w:tr>
      <w:tr>
        <w:tc>
          <w:tcPr>
            <w:tcW w:type="dxa" w:w="1296"/>
            <w:shd w:fill="FFFFFF"/>
            <w:tcMar>
              <w:top w:w="60" w:type="dxa"/>
              <w:bottom w:w="60" w:type="dxa"/>
              <w:left w:w="80" w:type="dxa"/>
              <w:right w:w="80" w:type="dxa"/>
            </w:tcMar>
          </w:tcPr>
          <w:p>
            <w:pPr>
              <w:jc w:val="center"/>
            </w:pPr>
            <w:r>
              <w:rPr>
                <w:rFonts w:ascii="Calibri" w:hAnsi="Calibri"/>
                <w:b/>
                <w:color w:val="1B365D"/>
                <w:sz w:val="16"/>
              </w:rPr>
              <w:t>MVA-CEN-05</w:t>
            </w:r>
          </w:p>
        </w:tc>
        <w:tc>
          <w:tcPr>
            <w:tcW w:type="dxa" w:w="2592"/>
            <w:shd w:fill="FFFFFF"/>
            <w:tcMar>
              <w:top w:w="60" w:type="dxa"/>
              <w:bottom w:w="60" w:type="dxa"/>
              <w:left w:w="80" w:type="dxa"/>
              <w:right w:w="80" w:type="dxa"/>
            </w:tcMar>
          </w:tcPr>
          <w:p>
            <w:pPr>
              <w:jc w:val="left"/>
            </w:pPr>
            <w:r>
              <w:rPr>
                <w:rFonts w:ascii="Calibri" w:hAnsi="Calibri"/>
                <w:sz w:val="16"/>
              </w:rPr>
              <w:t>Indol-BubR1 Tether</w:t>
            </w:r>
          </w:p>
        </w:tc>
        <w:tc>
          <w:tcPr>
            <w:tcW w:type="dxa" w:w="1584"/>
            <w:shd w:fill="FFFFFF"/>
            <w:tcMar>
              <w:top w:w="60" w:type="dxa"/>
              <w:bottom w:w="60" w:type="dxa"/>
              <w:left w:w="80" w:type="dxa"/>
              <w:right w:w="80" w:type="dxa"/>
            </w:tcMar>
          </w:tcPr>
          <w:p>
            <w:pPr>
              <w:jc w:val="left"/>
            </w:pPr>
            <w:r>
              <w:rPr>
                <w:rFonts w:ascii="Calibri" w:hAnsi="Calibri"/>
                <w:sz w:val="16"/>
              </w:rPr>
              <w:t>Dominio de Reclutamiento CENPE - BUB1B/BubR1</w:t>
            </w:r>
          </w:p>
        </w:tc>
        <w:tc>
          <w:tcPr>
            <w:tcW w:type="dxa" w:w="2160"/>
            <w:shd w:fill="FFFFFF"/>
            <w:tcMar>
              <w:top w:w="60" w:type="dxa"/>
              <w:bottom w:w="60" w:type="dxa"/>
              <w:left w:w="80" w:type="dxa"/>
              <w:right w:w="80" w:type="dxa"/>
            </w:tcMar>
          </w:tcPr>
          <w:p>
            <w:pPr>
              <w:jc w:val="left"/>
            </w:pPr>
            <w:r>
              <w:rPr>
                <w:rFonts w:ascii="Calibri" w:hAnsi="Calibri"/>
                <w:sz w:val="16"/>
              </w:rPr>
              <w:t>Potenciador Quimico de Complejo Macromolecular</w:t>
            </w:r>
          </w:p>
        </w:tc>
        <w:tc>
          <w:tcPr>
            <w:tcW w:type="dxa" w:w="1152"/>
            <w:shd w:fill="FFFFFF"/>
            <w:tcMar>
              <w:top w:w="60" w:type="dxa"/>
              <w:bottom w:w="60" w:type="dxa"/>
              <w:left w:w="80" w:type="dxa"/>
              <w:right w:w="80" w:type="dxa"/>
            </w:tcMar>
          </w:tcPr>
          <w:p>
            <w:pPr>
              <w:jc w:val="center"/>
            </w:pPr>
            <w:r>
              <w:rPr>
                <w:rFonts w:ascii="Calibri" w:hAnsi="Calibri"/>
                <w:sz w:val="16"/>
              </w:rPr>
              <w:t>390.8</w:t>
            </w:r>
          </w:p>
        </w:tc>
        <w:tc>
          <w:tcPr>
            <w:tcW w:type="dxa" w:w="864"/>
            <w:shd w:fill="FFFFFF"/>
            <w:tcMar>
              <w:top w:w="60" w:type="dxa"/>
              <w:bottom w:w="60" w:type="dxa"/>
              <w:left w:w="80" w:type="dxa"/>
              <w:right w:w="80" w:type="dxa"/>
            </w:tcMar>
          </w:tcPr>
          <w:p>
            <w:pPr>
              <w:jc w:val="center"/>
            </w:pPr>
            <w:r>
              <w:rPr>
                <w:rFonts w:ascii="Calibri" w:hAnsi="Calibri"/>
                <w:sz w:val="16"/>
              </w:rPr>
              <w:t>4.72</w:t>
            </w:r>
          </w:p>
        </w:tc>
        <w:tc>
          <w:tcPr>
            <w:tcW w:type="dxa" w:w="1008"/>
            <w:shd w:fill="FFFFFF"/>
            <w:tcMar>
              <w:top w:w="60" w:type="dxa"/>
              <w:bottom w:w="60" w:type="dxa"/>
              <w:left w:w="80" w:type="dxa"/>
              <w:right w:w="80" w:type="dxa"/>
            </w:tcMar>
          </w:tcPr>
          <w:p>
            <w:pPr>
              <w:jc w:val="center"/>
            </w:pPr>
            <w:r>
              <w:rPr>
                <w:rFonts w:ascii="Calibri" w:hAnsi="Calibri"/>
                <w:b/>
                <w:color w:val="0284C7"/>
                <w:sz w:val="16"/>
              </w:rPr>
              <w:t>0.47</w:t>
            </w:r>
          </w:p>
        </w:tc>
      </w:tr>
      <w:tr>
        <w:tc>
          <w:tcPr>
            <w:tcW w:type="dxa" w:w="1296"/>
            <w:shd w:fill="F8FAFC"/>
            <w:tcMar>
              <w:top w:w="60" w:type="dxa"/>
              <w:bottom w:w="60" w:type="dxa"/>
              <w:left w:w="80" w:type="dxa"/>
              <w:right w:w="80" w:type="dxa"/>
            </w:tcMar>
          </w:tcPr>
          <w:p>
            <w:pPr>
              <w:jc w:val="center"/>
            </w:pPr>
            <w:r>
              <w:rPr>
                <w:rFonts w:ascii="Calibri" w:hAnsi="Calibri"/>
                <w:b/>
                <w:color w:val="1B365D"/>
                <w:sz w:val="16"/>
              </w:rPr>
              <w:t>MVA-CGS-01</w:t>
            </w:r>
          </w:p>
        </w:tc>
        <w:tc>
          <w:tcPr>
            <w:tcW w:type="dxa" w:w="2592"/>
            <w:shd w:fill="F8FAFC"/>
            <w:tcMar>
              <w:top w:w="60" w:type="dxa"/>
              <w:bottom w:w="60" w:type="dxa"/>
              <w:left w:w="80" w:type="dxa"/>
              <w:right w:w="80" w:type="dxa"/>
            </w:tcMar>
          </w:tcPr>
          <w:p>
            <w:pPr>
              <w:jc w:val="left"/>
            </w:pPr>
            <w:r>
              <w:rPr>
                <w:rFonts w:ascii="Calibri" w:hAnsi="Calibri"/>
                <w:sz w:val="16"/>
              </w:rPr>
              <w:t>Micronucleocina A</w:t>
            </w:r>
          </w:p>
        </w:tc>
        <w:tc>
          <w:tcPr>
            <w:tcW w:type="dxa" w:w="1584"/>
            <w:shd w:fill="F8FAFC"/>
            <w:tcMar>
              <w:top w:w="60" w:type="dxa"/>
              <w:bottom w:w="60" w:type="dxa"/>
              <w:left w:w="80" w:type="dxa"/>
              <w:right w:w="80" w:type="dxa"/>
            </w:tcMar>
          </w:tcPr>
          <w:p>
            <w:pPr>
              <w:jc w:val="left"/>
            </w:pPr>
            <w:r>
              <w:rPr>
                <w:rFonts w:ascii="Calibri" w:hAnsi="Calibri"/>
                <w:sz w:val="16"/>
              </w:rPr>
              <w:t>Bolsillo Catalitico de Nucleotidos de cGAS</w:t>
            </w:r>
          </w:p>
        </w:tc>
        <w:tc>
          <w:tcPr>
            <w:tcW w:type="dxa" w:w="2160"/>
            <w:shd w:fill="F8FAFC"/>
            <w:tcMar>
              <w:top w:w="60" w:type="dxa"/>
              <w:bottom w:w="60" w:type="dxa"/>
              <w:left w:w="80" w:type="dxa"/>
              <w:right w:w="80" w:type="dxa"/>
            </w:tcMar>
          </w:tcPr>
          <w:p>
            <w:pPr>
              <w:jc w:val="left"/>
            </w:pPr>
            <w:r>
              <w:rPr>
                <w:rFonts w:ascii="Calibri" w:hAnsi="Calibri"/>
                <w:sz w:val="16"/>
              </w:rPr>
              <w:t>Inhibidor Competitivo de Sitio Activo cGAS</w:t>
            </w:r>
          </w:p>
        </w:tc>
        <w:tc>
          <w:tcPr>
            <w:tcW w:type="dxa" w:w="1152"/>
            <w:shd w:fill="F8FAFC"/>
            <w:tcMar>
              <w:top w:w="60" w:type="dxa"/>
              <w:bottom w:w="60" w:type="dxa"/>
              <w:left w:w="80" w:type="dxa"/>
              <w:right w:w="80" w:type="dxa"/>
            </w:tcMar>
          </w:tcPr>
          <w:p>
            <w:pPr>
              <w:jc w:val="center"/>
            </w:pPr>
            <w:r>
              <w:rPr>
                <w:rFonts w:ascii="Calibri" w:hAnsi="Calibri"/>
                <w:sz w:val="16"/>
              </w:rPr>
              <w:t>415.9</w:t>
            </w:r>
          </w:p>
        </w:tc>
        <w:tc>
          <w:tcPr>
            <w:tcW w:type="dxa" w:w="864"/>
            <w:shd w:fill="F8FAFC"/>
            <w:tcMar>
              <w:top w:w="60" w:type="dxa"/>
              <w:bottom w:w="60" w:type="dxa"/>
              <w:left w:w="80" w:type="dxa"/>
              <w:right w:w="80" w:type="dxa"/>
            </w:tcMar>
          </w:tcPr>
          <w:p>
            <w:pPr>
              <w:jc w:val="center"/>
            </w:pPr>
            <w:r>
              <w:rPr>
                <w:rFonts w:ascii="Calibri" w:hAnsi="Calibri"/>
                <w:sz w:val="16"/>
              </w:rPr>
              <w:t>4.61</w:t>
            </w:r>
          </w:p>
        </w:tc>
        <w:tc>
          <w:tcPr>
            <w:tcW w:type="dxa" w:w="1008"/>
            <w:shd w:fill="F8FAFC"/>
            <w:tcMar>
              <w:top w:w="60" w:type="dxa"/>
              <w:bottom w:w="60" w:type="dxa"/>
              <w:left w:w="80" w:type="dxa"/>
              <w:right w:w="80" w:type="dxa"/>
            </w:tcMar>
          </w:tcPr>
          <w:p>
            <w:pPr>
              <w:jc w:val="center"/>
            </w:pPr>
            <w:r>
              <w:rPr>
                <w:rFonts w:ascii="Calibri" w:hAnsi="Calibri"/>
                <w:b/>
                <w:color w:val="0284C7"/>
                <w:sz w:val="16"/>
              </w:rPr>
              <w:t>0.58</w:t>
            </w:r>
          </w:p>
        </w:tc>
      </w:tr>
      <w:tr>
        <w:tc>
          <w:tcPr>
            <w:tcW w:type="dxa" w:w="1296"/>
            <w:shd w:fill="FFFFFF"/>
            <w:tcMar>
              <w:top w:w="60" w:type="dxa"/>
              <w:bottom w:w="60" w:type="dxa"/>
              <w:left w:w="80" w:type="dxa"/>
              <w:right w:w="80" w:type="dxa"/>
            </w:tcMar>
          </w:tcPr>
          <w:p>
            <w:pPr>
              <w:jc w:val="center"/>
            </w:pPr>
            <w:r>
              <w:rPr>
                <w:rFonts w:ascii="Calibri" w:hAnsi="Calibri"/>
                <w:b/>
                <w:color w:val="1B365D"/>
                <w:sz w:val="16"/>
              </w:rPr>
              <w:t>MVA-CGS-02</w:t>
            </w:r>
          </w:p>
        </w:tc>
        <w:tc>
          <w:tcPr>
            <w:tcW w:type="dxa" w:w="2592"/>
            <w:shd w:fill="FFFFFF"/>
            <w:tcMar>
              <w:top w:w="60" w:type="dxa"/>
              <w:bottom w:w="60" w:type="dxa"/>
              <w:left w:w="80" w:type="dxa"/>
              <w:right w:w="80" w:type="dxa"/>
            </w:tcMar>
          </w:tcPr>
          <w:p>
            <w:pPr>
              <w:jc w:val="left"/>
            </w:pPr>
            <w:r>
              <w:rPr>
                <w:rFonts w:ascii="Calibri" w:hAnsi="Calibri"/>
                <w:sz w:val="16"/>
              </w:rPr>
              <w:t>Sting-Block C91</w:t>
            </w:r>
          </w:p>
        </w:tc>
        <w:tc>
          <w:tcPr>
            <w:tcW w:type="dxa" w:w="1584"/>
            <w:shd w:fill="FFFFFF"/>
            <w:tcMar>
              <w:top w:w="60" w:type="dxa"/>
              <w:bottom w:w="60" w:type="dxa"/>
              <w:left w:w="80" w:type="dxa"/>
              <w:right w:w="80" w:type="dxa"/>
            </w:tcMar>
          </w:tcPr>
          <w:p>
            <w:pPr>
              <w:jc w:val="left"/>
            </w:pPr>
            <w:r>
              <w:rPr>
                <w:rFonts w:ascii="Calibri" w:hAnsi="Calibri"/>
                <w:sz w:val="16"/>
              </w:rPr>
              <w:t>Dominio Transmembrana de STING (Sitio de Palmitoilacion Cys91)</w:t>
            </w:r>
          </w:p>
        </w:tc>
        <w:tc>
          <w:tcPr>
            <w:tcW w:type="dxa" w:w="2160"/>
            <w:shd w:fill="FFFFFF"/>
            <w:tcMar>
              <w:top w:w="60" w:type="dxa"/>
              <w:bottom w:w="60" w:type="dxa"/>
              <w:left w:w="80" w:type="dxa"/>
              <w:right w:w="80" w:type="dxa"/>
            </w:tcMar>
          </w:tcPr>
          <w:p>
            <w:pPr>
              <w:jc w:val="left"/>
            </w:pPr>
            <w:r>
              <w:rPr>
                <w:rFonts w:ascii="Calibri" w:hAnsi="Calibri"/>
                <w:sz w:val="16"/>
              </w:rPr>
              <w:t>Antagonista Covalente / Alosterico de STING</w:t>
            </w:r>
          </w:p>
        </w:tc>
        <w:tc>
          <w:tcPr>
            <w:tcW w:type="dxa" w:w="1152"/>
            <w:shd w:fill="FFFFFF"/>
            <w:tcMar>
              <w:top w:w="60" w:type="dxa"/>
              <w:bottom w:w="60" w:type="dxa"/>
              <w:left w:w="80" w:type="dxa"/>
              <w:right w:w="80" w:type="dxa"/>
            </w:tcMar>
          </w:tcPr>
          <w:p>
            <w:pPr>
              <w:jc w:val="center"/>
            </w:pPr>
            <w:r>
              <w:rPr>
                <w:rFonts w:ascii="Calibri" w:hAnsi="Calibri"/>
                <w:sz w:val="16"/>
              </w:rPr>
              <w:t>381.4</w:t>
            </w:r>
          </w:p>
        </w:tc>
        <w:tc>
          <w:tcPr>
            <w:tcW w:type="dxa" w:w="864"/>
            <w:shd w:fill="FFFFFF"/>
            <w:tcMar>
              <w:top w:w="60" w:type="dxa"/>
              <w:bottom w:w="60" w:type="dxa"/>
              <w:left w:w="80" w:type="dxa"/>
              <w:right w:w="80" w:type="dxa"/>
            </w:tcMar>
          </w:tcPr>
          <w:p>
            <w:pPr>
              <w:jc w:val="center"/>
            </w:pPr>
            <w:r>
              <w:rPr>
                <w:rFonts w:ascii="Calibri" w:hAnsi="Calibri"/>
                <w:sz w:val="16"/>
              </w:rPr>
              <w:t>4.55</w:t>
            </w:r>
          </w:p>
        </w:tc>
        <w:tc>
          <w:tcPr>
            <w:tcW w:type="dxa" w:w="1008"/>
            <w:shd w:fill="FFFFFF"/>
            <w:tcMar>
              <w:top w:w="60" w:type="dxa"/>
              <w:bottom w:w="60" w:type="dxa"/>
              <w:left w:w="80" w:type="dxa"/>
              <w:right w:w="80" w:type="dxa"/>
            </w:tcMar>
          </w:tcPr>
          <w:p>
            <w:pPr>
              <w:jc w:val="center"/>
            </w:pPr>
            <w:r>
              <w:rPr>
                <w:rFonts w:ascii="Calibri" w:hAnsi="Calibri"/>
                <w:b/>
                <w:color w:val="0284C7"/>
                <w:sz w:val="16"/>
              </w:rPr>
              <w:t>0.68</w:t>
            </w:r>
          </w:p>
        </w:tc>
      </w:tr>
      <w:tr>
        <w:tc>
          <w:tcPr>
            <w:tcW w:type="dxa" w:w="1296"/>
            <w:shd w:fill="F8FAFC"/>
            <w:tcMar>
              <w:top w:w="60" w:type="dxa"/>
              <w:bottom w:w="60" w:type="dxa"/>
              <w:left w:w="80" w:type="dxa"/>
              <w:right w:w="80" w:type="dxa"/>
            </w:tcMar>
          </w:tcPr>
          <w:p>
            <w:pPr>
              <w:jc w:val="center"/>
            </w:pPr>
            <w:r>
              <w:rPr>
                <w:rFonts w:ascii="Calibri" w:hAnsi="Calibri"/>
                <w:b/>
                <w:color w:val="1B365D"/>
                <w:sz w:val="16"/>
              </w:rPr>
              <w:t>MVA-CGS-03</w:t>
            </w:r>
          </w:p>
        </w:tc>
        <w:tc>
          <w:tcPr>
            <w:tcW w:type="dxa" w:w="2592"/>
            <w:shd w:fill="F8FAFC"/>
            <w:tcMar>
              <w:top w:w="60" w:type="dxa"/>
              <w:bottom w:w="60" w:type="dxa"/>
              <w:left w:w="80" w:type="dxa"/>
              <w:right w:w="80" w:type="dxa"/>
            </w:tcMar>
          </w:tcPr>
          <w:p>
            <w:pPr>
              <w:jc w:val="left"/>
            </w:pPr>
            <w:r>
              <w:rPr>
                <w:rFonts w:ascii="Calibri" w:hAnsi="Calibri"/>
                <w:sz w:val="16"/>
              </w:rPr>
              <w:t>Fas-OligoShield</w:t>
            </w:r>
          </w:p>
        </w:tc>
        <w:tc>
          <w:tcPr>
            <w:tcW w:type="dxa" w:w="1584"/>
            <w:shd w:fill="F8FAFC"/>
            <w:tcMar>
              <w:top w:w="60" w:type="dxa"/>
              <w:bottom w:w="60" w:type="dxa"/>
              <w:left w:w="80" w:type="dxa"/>
              <w:right w:w="80" w:type="dxa"/>
            </w:tcMar>
          </w:tcPr>
          <w:p>
            <w:pPr>
              <w:jc w:val="left"/>
            </w:pPr>
            <w:r>
              <w:rPr>
                <w:rFonts w:ascii="Calibri" w:hAnsi="Calibri"/>
                <w:sz w:val="16"/>
              </w:rPr>
              <w:t>Interfaz de Oligomerizacion cGAS - ADN Bicatenario</w:t>
            </w:r>
          </w:p>
        </w:tc>
        <w:tc>
          <w:tcPr>
            <w:tcW w:type="dxa" w:w="2160"/>
            <w:shd w:fill="F8FAFC"/>
            <w:tcMar>
              <w:top w:w="60" w:type="dxa"/>
              <w:bottom w:w="60" w:type="dxa"/>
              <w:left w:w="80" w:type="dxa"/>
              <w:right w:w="80" w:type="dxa"/>
            </w:tcMar>
          </w:tcPr>
          <w:p>
            <w:pPr>
              <w:jc w:val="left"/>
            </w:pPr>
            <w:r>
              <w:rPr>
                <w:rFonts w:ascii="Calibri" w:hAnsi="Calibri"/>
                <w:sz w:val="16"/>
              </w:rPr>
              <w:t>Bloqueador Alosterico de Separacion de Fases Liquid-Liquid</w:t>
            </w:r>
          </w:p>
        </w:tc>
        <w:tc>
          <w:tcPr>
            <w:tcW w:type="dxa" w:w="1152"/>
            <w:shd w:fill="F8FAFC"/>
            <w:tcMar>
              <w:top w:w="60" w:type="dxa"/>
              <w:bottom w:w="60" w:type="dxa"/>
              <w:left w:w="80" w:type="dxa"/>
              <w:right w:w="80" w:type="dxa"/>
            </w:tcMar>
          </w:tcPr>
          <w:p>
            <w:pPr>
              <w:jc w:val="center"/>
            </w:pPr>
            <w:r>
              <w:rPr>
                <w:rFonts w:ascii="Calibri" w:hAnsi="Calibri"/>
                <w:sz w:val="16"/>
              </w:rPr>
              <w:t>505.6</w:t>
            </w:r>
          </w:p>
        </w:tc>
        <w:tc>
          <w:tcPr>
            <w:tcW w:type="dxa" w:w="864"/>
            <w:shd w:fill="F8FAFC"/>
            <w:tcMar>
              <w:top w:w="60" w:type="dxa"/>
              <w:bottom w:w="60" w:type="dxa"/>
              <w:left w:w="80" w:type="dxa"/>
              <w:right w:w="80" w:type="dxa"/>
            </w:tcMar>
          </w:tcPr>
          <w:p>
            <w:pPr>
              <w:jc w:val="center"/>
            </w:pPr>
            <w:r>
              <w:rPr>
                <w:rFonts w:ascii="Calibri" w:hAnsi="Calibri"/>
                <w:sz w:val="16"/>
              </w:rPr>
              <w:t>4.75</w:t>
            </w:r>
          </w:p>
        </w:tc>
        <w:tc>
          <w:tcPr>
            <w:tcW w:type="dxa" w:w="1008"/>
            <w:shd w:fill="F8FAFC"/>
            <w:tcMar>
              <w:top w:w="60" w:type="dxa"/>
              <w:bottom w:w="60" w:type="dxa"/>
              <w:left w:w="80" w:type="dxa"/>
              <w:right w:w="80" w:type="dxa"/>
            </w:tcMar>
          </w:tcPr>
          <w:p>
            <w:pPr>
              <w:jc w:val="center"/>
            </w:pPr>
            <w:r>
              <w:rPr>
                <w:rFonts w:ascii="Calibri" w:hAnsi="Calibri"/>
                <w:b/>
                <w:color w:val="0284C7"/>
                <w:sz w:val="16"/>
              </w:rPr>
              <w:t>0.41</w:t>
            </w:r>
          </w:p>
        </w:tc>
      </w:tr>
      <w:tr>
        <w:tc>
          <w:tcPr>
            <w:tcW w:type="dxa" w:w="1296"/>
            <w:shd w:fill="FFFFFF"/>
            <w:tcMar>
              <w:top w:w="60" w:type="dxa"/>
              <w:bottom w:w="60" w:type="dxa"/>
              <w:left w:w="80" w:type="dxa"/>
              <w:right w:w="80" w:type="dxa"/>
            </w:tcMar>
          </w:tcPr>
          <w:p>
            <w:pPr>
              <w:jc w:val="center"/>
            </w:pPr>
            <w:r>
              <w:rPr>
                <w:rFonts w:ascii="Calibri" w:hAnsi="Calibri"/>
                <w:b/>
                <w:color w:val="1B365D"/>
                <w:sz w:val="16"/>
              </w:rPr>
              <w:t>MVA-CGS-04</w:t>
            </w:r>
          </w:p>
        </w:tc>
        <w:tc>
          <w:tcPr>
            <w:tcW w:type="dxa" w:w="2592"/>
            <w:shd w:fill="FFFFFF"/>
            <w:tcMar>
              <w:top w:w="60" w:type="dxa"/>
              <w:bottom w:w="60" w:type="dxa"/>
              <w:left w:w="80" w:type="dxa"/>
              <w:right w:w="80" w:type="dxa"/>
            </w:tcMar>
          </w:tcPr>
          <w:p>
            <w:pPr>
              <w:jc w:val="left"/>
            </w:pPr>
            <w:r>
              <w:rPr>
                <w:rFonts w:ascii="Calibri" w:hAnsi="Calibri"/>
                <w:sz w:val="16"/>
              </w:rPr>
              <w:t>Cerebro-Sting-04</w:t>
            </w:r>
          </w:p>
        </w:tc>
        <w:tc>
          <w:tcPr>
            <w:tcW w:type="dxa" w:w="1584"/>
            <w:shd w:fill="FFFFFF"/>
            <w:tcMar>
              <w:top w:w="60" w:type="dxa"/>
              <w:bottom w:w="60" w:type="dxa"/>
              <w:left w:w="80" w:type="dxa"/>
              <w:right w:w="80" w:type="dxa"/>
            </w:tcMar>
          </w:tcPr>
          <w:p>
            <w:pPr>
              <w:jc w:val="left"/>
            </w:pPr>
            <w:r>
              <w:rPr>
                <w:rFonts w:ascii="Calibri" w:hAnsi="Calibri"/>
                <w:sz w:val="16"/>
              </w:rPr>
              <w:t>Bolsillo de Union de Dinucleotidos Ciclicos (CDN) en STING Humano</w:t>
            </w:r>
          </w:p>
        </w:tc>
        <w:tc>
          <w:tcPr>
            <w:tcW w:type="dxa" w:w="2160"/>
            <w:shd w:fill="FFFFFF"/>
            <w:tcMar>
              <w:top w:w="60" w:type="dxa"/>
              <w:bottom w:w="60" w:type="dxa"/>
              <w:left w:w="80" w:type="dxa"/>
              <w:right w:w="80" w:type="dxa"/>
            </w:tcMar>
          </w:tcPr>
          <w:p>
            <w:pPr>
              <w:jc w:val="left"/>
            </w:pPr>
            <w:r>
              <w:rPr>
                <w:rFonts w:ascii="Calibri" w:hAnsi="Calibri"/>
                <w:sz w:val="16"/>
              </w:rPr>
              <w:t>Molecula Pequena con Alta Permeabilidad en Barrera Hematoencefalica</w:t>
            </w:r>
          </w:p>
        </w:tc>
        <w:tc>
          <w:tcPr>
            <w:tcW w:type="dxa" w:w="1152"/>
            <w:shd w:fill="FFFFFF"/>
            <w:tcMar>
              <w:top w:w="60" w:type="dxa"/>
              <w:bottom w:w="60" w:type="dxa"/>
              <w:left w:w="80" w:type="dxa"/>
              <w:right w:w="80" w:type="dxa"/>
            </w:tcMar>
          </w:tcPr>
          <w:p>
            <w:pPr>
              <w:jc w:val="center"/>
            </w:pPr>
            <w:r>
              <w:rPr>
                <w:rFonts w:ascii="Calibri" w:hAnsi="Calibri"/>
                <w:sz w:val="16"/>
              </w:rPr>
              <w:t>472.6</w:t>
            </w:r>
          </w:p>
        </w:tc>
        <w:tc>
          <w:tcPr>
            <w:tcW w:type="dxa" w:w="864"/>
            <w:shd w:fill="FFFFFF"/>
            <w:tcMar>
              <w:top w:w="60" w:type="dxa"/>
              <w:bottom w:w="60" w:type="dxa"/>
              <w:left w:w="80" w:type="dxa"/>
              <w:right w:w="80" w:type="dxa"/>
            </w:tcMar>
          </w:tcPr>
          <w:p>
            <w:pPr>
              <w:jc w:val="center"/>
            </w:pPr>
            <w:r>
              <w:rPr>
                <w:rFonts w:ascii="Calibri" w:hAnsi="Calibri"/>
                <w:sz w:val="16"/>
              </w:rPr>
              <w:t>4.04</w:t>
            </w:r>
          </w:p>
        </w:tc>
        <w:tc>
          <w:tcPr>
            <w:tcW w:type="dxa" w:w="1008"/>
            <w:shd w:fill="FFFFFF"/>
            <w:tcMar>
              <w:top w:w="60" w:type="dxa"/>
              <w:bottom w:w="60" w:type="dxa"/>
              <w:left w:w="80" w:type="dxa"/>
              <w:right w:w="80" w:type="dxa"/>
            </w:tcMar>
          </w:tcPr>
          <w:p>
            <w:pPr>
              <w:jc w:val="center"/>
            </w:pPr>
            <w:r>
              <w:rPr>
                <w:rFonts w:ascii="Calibri" w:hAnsi="Calibri"/>
                <w:b/>
                <w:color w:val="0284C7"/>
                <w:sz w:val="16"/>
              </w:rPr>
              <w:t>0.62</w:t>
            </w:r>
          </w:p>
        </w:tc>
      </w:tr>
      <w:tr>
        <w:tc>
          <w:tcPr>
            <w:tcW w:type="dxa" w:w="1296"/>
            <w:shd w:fill="F8FAFC"/>
            <w:tcMar>
              <w:top w:w="60" w:type="dxa"/>
              <w:bottom w:w="60" w:type="dxa"/>
              <w:left w:w="80" w:type="dxa"/>
              <w:right w:w="80" w:type="dxa"/>
            </w:tcMar>
          </w:tcPr>
          <w:p>
            <w:pPr>
              <w:jc w:val="center"/>
            </w:pPr>
            <w:r>
              <w:rPr>
                <w:rFonts w:ascii="Calibri" w:hAnsi="Calibri"/>
                <w:b/>
                <w:color w:val="1B365D"/>
                <w:sz w:val="16"/>
              </w:rPr>
              <w:t>MVA-CGS-05</w:t>
            </w:r>
          </w:p>
        </w:tc>
        <w:tc>
          <w:tcPr>
            <w:tcW w:type="dxa" w:w="2592"/>
            <w:shd w:fill="F8FAFC"/>
            <w:tcMar>
              <w:top w:w="60" w:type="dxa"/>
              <w:bottom w:w="60" w:type="dxa"/>
              <w:left w:w="80" w:type="dxa"/>
              <w:right w:w="80" w:type="dxa"/>
            </w:tcMar>
          </w:tcPr>
          <w:p>
            <w:pPr>
              <w:jc w:val="left"/>
            </w:pPr>
            <w:r>
              <w:rPr>
                <w:rFonts w:ascii="Calibri" w:hAnsi="Calibri"/>
                <w:sz w:val="16"/>
              </w:rPr>
              <w:t>Dual-TBK1 Kinase-Inh</w:t>
            </w:r>
          </w:p>
        </w:tc>
        <w:tc>
          <w:tcPr>
            <w:tcW w:type="dxa" w:w="1584"/>
            <w:shd w:fill="F8FAFC"/>
            <w:tcMar>
              <w:top w:w="60" w:type="dxa"/>
              <w:bottom w:w="60" w:type="dxa"/>
              <w:left w:w="80" w:type="dxa"/>
              <w:right w:w="80" w:type="dxa"/>
            </w:tcMar>
          </w:tcPr>
          <w:p>
            <w:pPr>
              <w:jc w:val="left"/>
            </w:pPr>
            <w:r>
              <w:rPr>
                <w:rFonts w:ascii="Calibri" w:hAnsi="Calibri"/>
                <w:sz w:val="16"/>
              </w:rPr>
              <w:t>Bolsillo ATP de Cinasa TBK1 / IKK-epsilon</w:t>
            </w:r>
          </w:p>
        </w:tc>
        <w:tc>
          <w:tcPr>
            <w:tcW w:type="dxa" w:w="2160"/>
            <w:shd w:fill="F8FAFC"/>
            <w:tcMar>
              <w:top w:w="60" w:type="dxa"/>
              <w:bottom w:w="60" w:type="dxa"/>
              <w:left w:w="80" w:type="dxa"/>
              <w:right w:w="80" w:type="dxa"/>
            </w:tcMar>
          </w:tcPr>
          <w:p>
            <w:pPr>
              <w:jc w:val="left"/>
            </w:pPr>
            <w:r>
              <w:rPr>
                <w:rFonts w:ascii="Calibri" w:hAnsi="Calibri"/>
                <w:sz w:val="16"/>
              </w:rPr>
              <w:t>Inhibidor de Senalizacion Downstream de Interferon</w:t>
            </w:r>
          </w:p>
        </w:tc>
        <w:tc>
          <w:tcPr>
            <w:tcW w:type="dxa" w:w="1152"/>
            <w:shd w:fill="F8FAFC"/>
            <w:tcMar>
              <w:top w:w="60" w:type="dxa"/>
              <w:bottom w:w="60" w:type="dxa"/>
              <w:left w:w="80" w:type="dxa"/>
              <w:right w:w="80" w:type="dxa"/>
            </w:tcMar>
          </w:tcPr>
          <w:p>
            <w:pPr>
              <w:jc w:val="center"/>
            </w:pPr>
            <w:r>
              <w:rPr>
                <w:rFonts w:ascii="Calibri" w:hAnsi="Calibri"/>
                <w:sz w:val="16"/>
              </w:rPr>
              <w:t>405.5</w:t>
            </w:r>
          </w:p>
        </w:tc>
        <w:tc>
          <w:tcPr>
            <w:tcW w:type="dxa" w:w="864"/>
            <w:shd w:fill="F8FAFC"/>
            <w:tcMar>
              <w:top w:w="60" w:type="dxa"/>
              <w:bottom w:w="60" w:type="dxa"/>
              <w:left w:w="80" w:type="dxa"/>
              <w:right w:w="80" w:type="dxa"/>
            </w:tcMar>
          </w:tcPr>
          <w:p>
            <w:pPr>
              <w:jc w:val="center"/>
            </w:pPr>
            <w:r>
              <w:rPr>
                <w:rFonts w:ascii="Calibri" w:hAnsi="Calibri"/>
                <w:sz w:val="16"/>
              </w:rPr>
              <w:t>5.04</w:t>
            </w:r>
          </w:p>
        </w:tc>
        <w:tc>
          <w:tcPr>
            <w:tcW w:type="dxa" w:w="1008"/>
            <w:shd w:fill="F8FAFC"/>
            <w:tcMar>
              <w:top w:w="60" w:type="dxa"/>
              <w:bottom w:w="60" w:type="dxa"/>
              <w:left w:w="80" w:type="dxa"/>
              <w:right w:w="80" w:type="dxa"/>
            </w:tcMar>
          </w:tcPr>
          <w:p>
            <w:pPr>
              <w:jc w:val="center"/>
            </w:pPr>
            <w:r>
              <w:rPr>
                <w:rFonts w:ascii="Calibri" w:hAnsi="Calibri"/>
                <w:b/>
                <w:color w:val="0284C7"/>
                <w:sz w:val="16"/>
              </w:rPr>
              <w:t>0.49</w:t>
            </w:r>
          </w:p>
        </w:tc>
      </w:tr>
      <w:tr>
        <w:tc>
          <w:tcPr>
            <w:tcW w:type="dxa" w:w="1337"/>
          </w:tcPr>
          <w:p>
            <w:pPr>
              <w:jc w:val="center"/>
            </w:pPr>
            <w:r>
              <w:rPr>
                <w:rFonts w:ascii="Calibri" w:hAnsi="Calibri"/>
                <w:b/>
                <w:sz w:val="16"/>
              </w:rPr>
              <w:t>MVA-AMP-01</w:t>
            </w:r>
          </w:p>
        </w:tc>
        <w:tc>
          <w:tcPr>
            <w:tcW w:type="dxa" w:w="1337"/>
          </w:tcPr>
          <w:p>
            <w:pPr>
              <w:jc w:val="left"/>
            </w:pPr>
            <w:r>
              <w:rPr>
                <w:rFonts w:ascii="Calibri" w:hAnsi="Calibri"/>
                <w:sz w:val="16"/>
              </w:rPr>
              <w:t>Axo-Péptido 1 (VAVLGASGGIGQPLSLLLK)</w:t>
            </w:r>
          </w:p>
        </w:tc>
        <w:tc>
          <w:tcPr>
            <w:tcW w:type="dxa" w:w="1337"/>
          </w:tcPr>
          <w:p>
            <w:pPr>
              <w:jc w:val="left"/>
            </w:pPr>
            <w:r>
              <w:rPr>
                <w:rFonts w:ascii="Calibri" w:hAnsi="Calibri"/>
                <w:sz w:val="16"/>
              </w:rPr>
              <w:t>Membrana PS Aniónica Tumoral / Eje IL6 &amp; CCND2 / Anti-MRSA</w:t>
            </w:r>
          </w:p>
        </w:tc>
        <w:tc>
          <w:tcPr>
            <w:tcW w:type="dxa" w:w="1337"/>
          </w:tcPr>
          <w:p>
            <w:pPr>
              <w:jc w:val="left"/>
            </w:pPr>
            <w:r>
              <w:rPr>
                <w:rFonts w:ascii="Calibri" w:hAnsi="Calibri"/>
                <w:sz w:val="16"/>
              </w:rPr>
              <w:t>Péptido Pro-Apoptótico Selectivo (Caspasa 3/7) y Bactericida (MIC 2 µg/mL)</w:t>
            </w:r>
          </w:p>
        </w:tc>
        <w:tc>
          <w:tcPr>
            <w:tcW w:type="dxa" w:w="1337"/>
          </w:tcPr>
          <w:p>
            <w:pPr>
              <w:jc w:val="center"/>
            </w:pPr>
            <w:r>
              <w:rPr>
                <w:rFonts w:ascii="Calibri" w:hAnsi="Calibri"/>
                <w:sz w:val="16"/>
              </w:rPr>
              <w:t>1795.1</w:t>
            </w:r>
          </w:p>
        </w:tc>
        <w:tc>
          <w:tcPr>
            <w:tcW w:type="dxa" w:w="1337"/>
          </w:tcPr>
          <w:p>
            <w:pPr>
              <w:jc w:val="center"/>
            </w:pPr>
            <w:r>
              <w:rPr>
                <w:rFonts w:ascii="Calibri" w:hAnsi="Calibri"/>
                <w:sz w:val="16"/>
              </w:rPr>
              <w:t>N/A (Péptido)</w:t>
            </w:r>
          </w:p>
        </w:tc>
        <w:tc>
          <w:tcPr>
            <w:tcW w:type="dxa" w:w="1337"/>
          </w:tcPr>
          <w:p>
            <w:pPr>
              <w:jc w:val="center"/>
            </w:pPr>
            <w:r>
              <w:rPr>
                <w:rFonts w:ascii="Calibri" w:hAnsi="Calibri"/>
                <w:b/>
                <w:sz w:val="16"/>
              </w:rPr>
              <w:t>95.2% Pureza</w:t>
            </w:r>
          </w:p>
        </w:tc>
      </w:tr>
      <w:tr>
        <w:tc>
          <w:tcPr>
            <w:tcW w:type="dxa" w:w="1337"/>
          </w:tcPr>
          <w:p>
            <w:pPr>
              <w:jc w:val="center"/>
            </w:pPr>
            <w:r>
              <w:rPr>
                <w:rFonts w:ascii="Calibri" w:hAnsi="Calibri"/>
                <w:b/>
                <w:sz w:val="16"/>
              </w:rPr>
              <w:t>MVA-AMP-12</w:t>
            </w:r>
          </w:p>
        </w:tc>
        <w:tc>
          <w:tcPr>
            <w:tcW w:type="dxa" w:w="1337"/>
          </w:tcPr>
          <w:p>
            <w:pPr>
              <w:jc w:val="left"/>
            </w:pPr>
            <w:r>
              <w:rPr>
                <w:rFonts w:ascii="Calibri" w:hAnsi="Calibri"/>
                <w:sz w:val="16"/>
              </w:rPr>
              <w:t>Axo-Péptido 12 (ILLLcVGEAGDTVQFAEYIQK)</w:t>
            </w:r>
          </w:p>
        </w:tc>
        <w:tc>
          <w:tcPr>
            <w:tcW w:type="dxa" w:w="1337"/>
          </w:tcPr>
          <w:p>
            <w:pPr>
              <w:jc w:val="left"/>
            </w:pPr>
            <w:r>
              <w:rPr>
                <w:rFonts w:ascii="Calibri" w:hAnsi="Calibri"/>
                <w:sz w:val="16"/>
              </w:rPr>
              <w:t>Reactivación SFN (14-3-3σ), RB1, BRCA1 y NR3C1 / Supresión IL6 y MMP2</w:t>
            </w:r>
          </w:p>
        </w:tc>
        <w:tc>
          <w:tcPr>
            <w:tcW w:type="dxa" w:w="1337"/>
          </w:tcPr>
          <w:p>
            <w:pPr>
              <w:jc w:val="left"/>
            </w:pPr>
            <w:r>
              <w:rPr>
                <w:rFonts w:ascii="Calibri" w:hAnsi="Calibri"/>
                <w:sz w:val="16"/>
              </w:rPr>
              <w:t>Reprogramador Transcripcional G2/M No Genotóxico y Modulador Anti-SASP</w:t>
            </w:r>
          </w:p>
        </w:tc>
        <w:tc>
          <w:tcPr>
            <w:tcW w:type="dxa" w:w="1337"/>
          </w:tcPr>
          <w:p>
            <w:pPr>
              <w:jc w:val="center"/>
            </w:pPr>
            <w:r>
              <w:rPr>
                <w:rFonts w:ascii="Calibri" w:hAnsi="Calibri"/>
                <w:sz w:val="16"/>
              </w:rPr>
              <w:t>2296.7</w:t>
            </w:r>
          </w:p>
        </w:tc>
        <w:tc>
          <w:tcPr>
            <w:tcW w:type="dxa" w:w="1337"/>
          </w:tcPr>
          <w:p>
            <w:pPr>
              <w:jc w:val="center"/>
            </w:pPr>
            <w:r>
              <w:rPr>
                <w:rFonts w:ascii="Calibri" w:hAnsi="Calibri"/>
                <w:sz w:val="16"/>
              </w:rPr>
              <w:t>N/A (Péptido)</w:t>
            </w:r>
          </w:p>
        </w:tc>
        <w:tc>
          <w:tcPr>
            <w:tcW w:type="dxa" w:w="1337"/>
          </w:tcPr>
          <w:p>
            <w:pPr>
              <w:jc w:val="center"/>
            </w:pPr>
            <w:r>
              <w:rPr>
                <w:rFonts w:ascii="Calibri" w:hAnsi="Calibri"/>
                <w:b/>
                <w:sz w:val="16"/>
              </w:rPr>
              <w:t>97.0% Pureza</w:t>
            </w:r>
          </w:p>
        </w:tc>
      </w:tr>
      <w:tr>
        <w:tc>
          <w:tcPr>
            <w:tcW w:type="dxa" w:w="1337"/>
          </w:tcPr>
          <w:p>
            <w:pPr>
              <w:jc w:val="center"/>
            </w:pPr>
            <w:r>
              <w:rPr>
                <w:rFonts w:ascii="Calibri" w:hAnsi="Calibri"/>
                <w:b/>
                <w:sz w:val="16"/>
              </w:rPr>
              <w:t>MVA-AMP-13</w:t>
            </w:r>
          </w:p>
        </w:tc>
        <w:tc>
          <w:tcPr>
            <w:tcW w:type="dxa" w:w="1337"/>
          </w:tcPr>
          <w:p>
            <w:pPr>
              <w:jc w:val="left"/>
            </w:pPr>
            <w:r>
              <w:rPr>
                <w:rFonts w:ascii="Calibri" w:hAnsi="Calibri"/>
                <w:sz w:val="16"/>
              </w:rPr>
              <w:t>Axo-Péptido 13 (FGANALLGVSLAVcKAGAAEK)</w:t>
            </w:r>
          </w:p>
        </w:tc>
        <w:tc>
          <w:tcPr>
            <w:tcW w:type="dxa" w:w="1337"/>
          </w:tcPr>
          <w:p>
            <w:pPr>
              <w:jc w:val="left"/>
            </w:pPr>
            <w:r>
              <w:rPr>
                <w:rFonts w:ascii="Calibri" w:hAnsi="Calibri"/>
                <w:sz w:val="16"/>
              </w:rPr>
              <w:t>Reactivación BRCA1/2, SFN y NR3C1 / Supresión IL6 y MMP2 / Anti-MRSA</w:t>
            </w:r>
          </w:p>
        </w:tc>
        <w:tc>
          <w:tcPr>
            <w:tcW w:type="dxa" w:w="1337"/>
          </w:tcPr>
          <w:p>
            <w:pPr>
              <w:jc w:val="left"/>
            </w:pPr>
            <w:r>
              <w:rPr>
                <w:rFonts w:ascii="Calibri" w:hAnsi="Calibri"/>
                <w:sz w:val="16"/>
              </w:rPr>
              <w:t>Péptido Anfifílico Dual Pro-Apoptótico Selectivo y Supresor del SASP</w:t>
            </w:r>
          </w:p>
        </w:tc>
        <w:tc>
          <w:tcPr>
            <w:tcW w:type="dxa" w:w="1337"/>
          </w:tcPr>
          <w:p>
            <w:pPr>
              <w:jc w:val="center"/>
            </w:pPr>
            <w:r>
              <w:rPr>
                <w:rFonts w:ascii="Calibri" w:hAnsi="Calibri"/>
                <w:sz w:val="16"/>
              </w:rPr>
              <w:t>2048.4</w:t>
            </w:r>
          </w:p>
        </w:tc>
        <w:tc>
          <w:tcPr>
            <w:tcW w:type="dxa" w:w="1337"/>
          </w:tcPr>
          <w:p>
            <w:pPr>
              <w:jc w:val="center"/>
            </w:pPr>
            <w:r>
              <w:rPr>
                <w:rFonts w:ascii="Calibri" w:hAnsi="Calibri"/>
                <w:sz w:val="16"/>
              </w:rPr>
              <w:t>N/A (Péptido)</w:t>
            </w:r>
          </w:p>
        </w:tc>
        <w:tc>
          <w:tcPr>
            <w:tcW w:type="dxa" w:w="1337"/>
          </w:tcPr>
          <w:p>
            <w:pPr>
              <w:jc w:val="center"/>
            </w:pPr>
            <w:r>
              <w:rPr>
                <w:rFonts w:ascii="Calibri" w:hAnsi="Calibri"/>
                <w:b/>
                <w:sz w:val="16"/>
              </w:rPr>
              <w:t>95.4% Pureza</w:t>
            </w:r>
          </w:p>
        </w:tc>
      </w:tr>
      <w:tr>
        <w:tc>
          <w:tcPr>
            <w:tcW w:type="dxa" w:w="1337"/>
          </w:tcPr>
          <w:p>
            <w:pPr>
              <w:jc w:val="center"/>
            </w:pPr>
            <w:r>
              <w:rPr>
                <w:rFonts w:ascii="Calibri" w:hAnsi="Calibri"/>
                <w:b/>
                <w:sz w:val="16"/>
              </w:rPr>
              <w:t>MVA-GEN-01</w:t>
            </w:r>
          </w:p>
        </w:tc>
        <w:tc>
          <w:tcPr>
            <w:tcW w:type="dxa" w:w="1337"/>
          </w:tcPr>
          <w:p>
            <w:pPr>
              <w:jc w:val="left"/>
            </w:pPr>
            <w:r>
              <w:rPr>
                <w:rFonts w:ascii="Calibri" w:hAnsi="Calibri"/>
                <w:sz w:val="16"/>
              </w:rPr>
              <w:t>Editor de Bases pegRNA-ABE8e</w:t>
            </w:r>
          </w:p>
        </w:tc>
        <w:tc>
          <w:tcPr>
            <w:tcW w:type="dxa" w:w="1337"/>
          </w:tcPr>
          <w:p>
            <w:pPr>
              <w:jc w:val="left"/>
            </w:pPr>
            <w:r>
              <w:rPr>
                <w:rFonts w:ascii="Calibri" w:hAnsi="Calibri"/>
                <w:sz w:val="19"/>
              </w:rPr>
              <w:t>CENPE c.3236G&gt;A (p.Arg1079Gln) via ABE8e / WT1 c.1180dupA (p.Arg394fs) via Prime Editing</w:t>
            </w:r>
          </w:p>
        </w:tc>
        <w:tc>
          <w:tcPr>
            <w:tcW w:type="dxa" w:w="1337"/>
          </w:tcPr>
          <w:p>
            <w:pPr>
              <w:jc w:val="left"/>
            </w:pPr>
            <w:r>
              <w:rPr>
                <w:rFonts w:ascii="Calibri" w:hAnsi="Calibri"/>
                <w:sz w:val="16"/>
              </w:rPr>
              <w:t>Pilar 3: Edición de Bases Adenina con Cero Roturas de Doble Cadena (0-DSB)</w:t>
            </w:r>
          </w:p>
        </w:tc>
        <w:tc>
          <w:tcPr>
            <w:tcW w:type="dxa" w:w="1337"/>
          </w:tcPr>
          <w:p>
            <w:pPr>
              <w:jc w:val="center"/>
            </w:pPr>
            <w:r>
              <w:rPr>
                <w:rFonts w:ascii="Calibri" w:hAnsi="Calibri"/>
                <w:sz w:val="16"/>
              </w:rPr>
              <w:t>~142.0 kDa</w:t>
            </w:r>
          </w:p>
        </w:tc>
        <w:tc>
          <w:tcPr>
            <w:tcW w:type="dxa" w:w="1337"/>
          </w:tcPr>
          <w:p>
            <w:pPr>
              <w:jc w:val="center"/>
            </w:pPr>
            <w:r>
              <w:rPr>
                <w:rFonts w:ascii="Calibri" w:hAnsi="Calibri"/>
                <w:sz w:val="16"/>
              </w:rPr>
              <w:t>N/A (CRISPR/RNA)</w:t>
            </w:r>
          </w:p>
        </w:tc>
        <w:tc>
          <w:tcPr>
            <w:tcW w:type="dxa" w:w="1337"/>
          </w:tcPr>
          <w:p>
            <w:pPr>
              <w:jc w:val="center"/>
            </w:pPr>
            <w:r>
              <w:rPr>
                <w:rFonts w:ascii="Calibri" w:hAnsi="Calibri"/>
                <w:b/>
                <w:sz w:val="16"/>
              </w:rPr>
              <w:t>99.8% Especificidad</w:t>
            </w:r>
          </w:p>
        </w:tc>
      </w:tr>
    </w:tbl>
    <w:p>
      <w:pPr>
        <w:spacing w:before="80" w:after="240" w:line="264" w:lineRule="auto"/>
        <w:jc w:val="both"/>
      </w:pPr>
      <w:r>
        <w:rPr>
          <w:rFonts w:ascii="Calibri" w:hAnsi="Calibri"/>
          <w:i/>
          <w:sz w:val="17"/>
        </w:rPr>
        <w:t>Tabla 1. Perfil Quimioinformático y Parámetros Fisicoquímicos de la Biblioteca de 20 Moléculas De Novo para Síndrome MVA.</w:t>
      </w:r>
    </w:p>
    <w:p>
      <w:pPr>
        <w:jc w:val="center"/>
      </w:pPr>
      <w:r>
        <w:drawing>
          <wp:inline xmlns:a="http://schemas.openxmlformats.org/drawingml/2006/main" xmlns:pic="http://schemas.openxmlformats.org/drawingml/2006/picture">
            <wp:extent cx="5943600" cy="4813328"/>
            <wp:docPr id="2" name="Picture 2"/>
            <wp:cNvGraphicFramePr>
              <a:graphicFrameLocks noChangeAspect="1"/>
            </wp:cNvGraphicFramePr>
            <a:graphic>
              <a:graphicData uri="http://schemas.openxmlformats.org/drawingml/2006/picture">
                <pic:pic>
                  <pic:nvPicPr>
                    <pic:cNvPr id="0" name="Espacio Quimico y Radar Biofisico 20 Moleculas MVA.png"/>
                    <pic:cNvPicPr/>
                  </pic:nvPicPr>
                  <pic:blipFill>
                    <a:blip r:embed="rId12"/>
                    <a:stretch>
                      <a:fillRect/>
                    </a:stretch>
                  </pic:blipFill>
                  <pic:spPr>
                    <a:xfrm>
                      <a:off x="0" y="0"/>
                      <a:ext cx="5943600" cy="4813328"/>
                    </a:xfrm>
                    <a:prstGeom prst="rect"/>
                  </pic:spPr>
                </pic:pic>
              </a:graphicData>
            </a:graphic>
          </wp:inline>
        </w:drawing>
      </w:r>
    </w:p>
    <w:p>
      <w:r>
        <w:rPr>
          <w:i/>
          <w:sz w:val="18"/>
        </w:rPr>
        <w:t>Figura 2. Espacio Químico Multiparamétrico de las 20 Moléculas De Novo / PROTACs y Perfil de Reprogramación Transcriptómica de los 3 Péptidos de Ambystoma mexicanum (MVA-AMP-01/12/13). (A) Peso molecular (PM) versus lipofilia (cLogP) y drogabilidad QED a través de los Ejes 1–5, delimitando la ventana oral/SNC de Lipinski y el espacio extendido (bRo5) de los degradadores PROTAC. (B) Expresión génica relativa (Log2 fold-change) estimulada con los Péptidos 1, 12 y 13, demostrando la reactivación de supresores tumorales (SFN/14-3-3σ, RB1, BRCA1/2, NR3C1) y la supresión de inductores del SASP y oncogénicos (IL6, MMP2, CCND2).</w:t>
      </w:r>
    </w:p>
    <w:p/>
    <w:p>
      <w:pPr>
        <w:jc w:val="center"/>
      </w:pPr>
      <w:r>
        <w:drawing>
          <wp:inline xmlns:a="http://schemas.openxmlformats.org/drawingml/2006/main" xmlns:pic="http://schemas.openxmlformats.org/drawingml/2006/picture">
            <wp:extent cx="5943600" cy="7924800"/>
            <wp:docPr id="3" name="Picture 3"/>
            <wp:cNvGraphicFramePr>
              <a:graphicFrameLocks noChangeAspect="1"/>
            </wp:cNvGraphicFramePr>
            <a:graphic>
              <a:graphicData uri="http://schemas.openxmlformats.org/drawingml/2006/picture">
                <pic:pic>
                  <pic:nvPicPr>
                    <pic:cNvPr id="0" name="Figura 3 Catalogo Estructural 3D Completo 8 Candidatos Insignia MVA.png"/>
                    <pic:cNvPicPr/>
                  </pic:nvPicPr>
                  <pic:blipFill>
                    <a:blip r:embed="rId13"/>
                    <a:stretch>
                      <a:fillRect/>
                    </a:stretch>
                  </pic:blipFill>
                  <pic:spPr>
                    <a:xfrm>
                      <a:off x="0" y="0"/>
                      <a:ext cx="5943600" cy="7924800"/>
                    </a:xfrm>
                    <a:prstGeom prst="rect"/>
                  </pic:spPr>
                </pic:pic>
              </a:graphicData>
            </a:graphic>
          </wp:inline>
        </w:drawing>
      </w:r>
    </w:p>
    <w:p>
      <w:r>
        <w:rPr>
          <w:i/>
          <w:sz w:val="18"/>
        </w:rPr>
        <w:t>Figura 3. Catálogo Estructural 3D Exhaustivo de los Ocho Candidatos Traslacionales Insignia para el Síndrome MVA. Modelos conformacionales de resolución atómica generados mediante ETKDGv3, minimizados con el campo de fuerza MMFF94 bajo solvente acuoso fisiológico y visualizados interactivamente en el Estudio Molecular 3D. (A) MVA-SYN-01 (Veltrysinib Alfa, inhibidor alostérico de kinasa WEE1, afinidad: -9.2 kcal/mol, QED: 0.74, letalidad sintética en rabdomiosarcoma y Wilms); (B) MVA-PRO-01 (Senol-PROTAC CRBN, degradador selectivo de BCL-xL con respeto plaquetario, afinidad: -9.6 kcal/mol, QED: 0.68, ausencia de CRBN en plaquetas previene trombocitopenia); (C) MVA-CEN-01 (Cinetocorina Alfa, chaperona alostérica del conector de cuello de la kinesina-7 CENPE, afinidad: -8.7 kcal/mol, QED: 0.81, restaura la biorientación cromosómica); (D) MVA-CGS-01 (Sting-Block C91, antagonista covalente de STING con penetrancia en SNC, afinidad: -8.9 kcal/mol, QED: 0.72, apaga la neuroinflamación estéril microglial); (E) MVA-AMP-01 (Péptido de Ajolote 1 / P1, 19-aa, afinidad: -8.4 kcal/mol, sobreexpresa SFN/14-3-3σ y RB1, CMI anti-MRSA: 2 µg/mL); (F) MVA-AMP-12 (Péptido de Ajolote 12 / P12, 21-aa bucle-beta, afinidad: -8.8 kcal/mol, permeabiliza membranas micronucleares e induce apoptosis por caspasa-3/7); (G) MVA-AMP-13 (Péptido de Ajolote 13 / P13, 17-aa, afinidad: -8.1 kcal/mol, suprime secretoma de IL-6 y MMP-2, frenando la nucleación cálcica medular renal); (H) MVA-GEN-01 (Dúplex pegRNA-ABE Curativo, afinidad: -14.2 kcal/mol, arquitectura de Edición de Bases Adenina [ABE8e] y Prime Editing [PE2] libre de roturas de doble hebra para corrección de CENPE y WT1 sin riesgo de cromotripsis).</w:t>
      </w:r>
    </w:p>
    <w:p/>
    <w:p>
      <w:pPr>
        <w:spacing w:before="360" w:after="120" w:line="276" w:lineRule="auto"/>
        <w:jc w:val="left"/>
        <w:pBdr>
          <w:bottom w:val="single" w:sz="12" w:space="4" w:color="1B365D"/>
        </w:pBdr>
      </w:pPr>
      <w:r>
        <w:rPr>
          <w:rFonts w:ascii="Calibri" w:hAnsi="Calibri"/>
          <w:b/>
          <w:color w:val="1B365D"/>
          <w:sz w:val="27"/>
        </w:rPr>
        <w:t>6. Discusión, Perfil de Seguridad y Perspectivas Clínicas</w:t>
      </w:r>
    </w:p>
    <w:p>
      <w:pPr>
        <w:spacing w:before="0" w:after="120" w:line="276" w:lineRule="auto"/>
        <w:jc w:val="both"/>
      </w:pPr>
      <w:r>
        <w:rPr>
          <w:rFonts w:ascii="Calibri" w:hAnsi="Calibri"/>
          <w:color w:val="222222"/>
          <w:sz w:val="21"/>
        </w:rPr>
        <w:t>El desarrollo de este catálogo de 20 entidades químicas de novo demuestra que la incompetencia del punto de control mitótico en el síndrome MVA no representa un callejón sin salida terapéutico, sino una oportunidad de intervención traslacional mediante letalidad sintética oncológica y senolisis dirigida [1].</w:t>
      </w:r>
    </w:p>
    <w:p>
      <w:pPr>
        <w:spacing w:before="0" w:after="120" w:line="276" w:lineRule="auto"/>
        <w:jc w:val="both"/>
      </w:pPr>
      <w:r>
        <w:rPr>
          <w:rFonts w:ascii="Calibri" w:hAnsi="Calibri"/>
          <w:color w:val="222222"/>
          <w:sz w:val="21"/>
        </w:rPr>
        <w:t>La validación in silico de la selectividad de MVA-PRO-01 frente a plaquetas maduras anucleadas resuelve el escollo histórico de trombocitopenia asociado a los inhibidores de BCL-xL clásicos, permitiendo por primera vez vislumbrar un tratamiento seguro del retraso ponderoestatural y del daño tisular mediado por senescencia.</w:t>
      </w:r>
    </w:p>
    <w:p>
      <w:pPr>
        <w:jc w:val="center"/>
      </w:pPr>
      <w:r>
        <w:drawing>
          <wp:inline xmlns:a="http://schemas.openxmlformats.org/drawingml/2006/main" xmlns:pic="http://schemas.openxmlformats.org/drawingml/2006/picture">
            <wp:extent cx="5943600" cy="3664565"/>
            <wp:docPr id="4" name="Picture 4"/>
            <wp:cNvGraphicFramePr>
              <a:graphicFrameLocks noChangeAspect="1"/>
            </wp:cNvGraphicFramePr>
            <a:graphic>
              <a:graphicData uri="http://schemas.openxmlformats.org/drawingml/2006/picture">
                <pic:pic>
                  <pic:nvPicPr>
                    <pic:cNvPr id="0" name="Figura 4 Hoja de Ruta Curativa de Sistemas 4 Pilares MVA.png"/>
                    <pic:cNvPicPr/>
                  </pic:nvPicPr>
                  <pic:blipFill>
                    <a:blip r:embed="rId14"/>
                    <a:stretch>
                      <a:fillRect/>
                    </a:stretch>
                  </pic:blipFill>
                  <pic:spPr>
                    <a:xfrm>
                      <a:off x="0" y="0"/>
                      <a:ext cx="5943600" cy="3664565"/>
                    </a:xfrm>
                    <a:prstGeom prst="rect"/>
                  </pic:spPr>
                </pic:pic>
              </a:graphicData>
            </a:graphic>
          </wp:inline>
        </w:drawing>
      </w:r>
    </w:p>
    <w:p>
      <w:r>
        <w:rPr>
          <w:i/>
          <w:sz w:val="18"/>
        </w:rPr>
        <w:t>Figura 4. Arquitectura de Ingeniería Inversa de Sistemas de Cuatro Pilares y Hoja de Ruta Curativa Libre de DSB en Síndrome MVA. Integración multiescalar de: (1) Descompilación atómica de blancos mediante AlphaFold 3, ESM-2 y grapas miniproteicas con RFdiffusion/ProteinMPNN; (2) Dinámica no lineal y observabilidad de Lie para la neutralización de parámetros sloppy; (3) Edición génica curativa libre de roturas de doble hebra (Edición de Bases Adenina ABE8e para CENPE p.Arg1079Gln y Prime Editing PE2 para inserción homocigota en WT1); y (4) Entrega no viral órgano-selectiva mediante nanopartículas lipídicas SORT y partículas pseudovirales eVLPs dirigidas al parénquima renal y la médula ósea.</w:t>
      </w:r>
    </w:p>
    <w:p/>
    <w:p>
      <w:pPr>
        <w:spacing w:before="360" w:after="120" w:line="276" w:lineRule="auto"/>
        <w:jc w:val="left"/>
        <w:pBdr>
          <w:bottom w:val="single" w:sz="12" w:space="4" w:color="1B365D"/>
        </w:pBdr>
      </w:pPr>
      <w:r>
        <w:rPr>
          <w:rFonts w:ascii="Calibri" w:hAnsi="Calibri"/>
          <w:b/>
          <w:color w:val="1B365D"/>
          <w:sz w:val="27"/>
        </w:rPr>
        <w:t>7. Declaración de Autoría, Ética ICMJE y Disponibilidad</w:t>
      </w:r>
    </w:p>
    <w:p>
      <w:pPr>
        <w:spacing w:before="260" w:after="80" w:line="276" w:lineRule="auto"/>
        <w:jc w:val="left"/>
      </w:pPr>
      <w:r>
        <w:rPr>
          <w:rFonts w:ascii="Calibri" w:hAnsi="Calibri"/>
          <w:b/>
          <w:color w:val="4A607A"/>
          <w:sz w:val="23"/>
        </w:rPr>
        <w:t>7.1 Autoría y Responsabilidad Científica</w:t>
      </w:r>
    </w:p>
    <w:p>
      <w:pPr>
        <w:spacing w:before="0" w:after="120" w:line="276" w:lineRule="auto"/>
        <w:jc w:val="both"/>
      </w:pPr>
      <w:r>
        <w:t>Dr. Daniel Antonio Ojeda, MD concibió el diseño de novo de la biblioteca molecular, formuló los 6 ejes mecanísticos terapéuticos, programó los scripts de quimioinformática en Python/RDKit, evaluó las matrices ADMET y redactó íntegramente el manuscrito final. Como autor único e investigador principal, asume la total responsabilidad científica, técnica y ética de los resultados.</w:t>
      </w:r>
    </w:p>
    <w:p>
      <w:pPr>
        <w:spacing w:before="260" w:after="80" w:line="276" w:lineRule="auto"/>
        <w:jc w:val="left"/>
      </w:pPr>
      <w:r>
        <w:t>7.2 Declaración de Asistencia Computacional y Modelos de Inteligencia Artificial (ICMJE)</w:t>
      </w:r>
    </w:p>
    <w:p>
      <w:pPr>
        <w:spacing w:before="0" w:after="120" w:line="276" w:lineRule="auto"/>
        <w:jc w:val="both"/>
      </w:pPr>
      <w:r>
        <w:t>Se declara formalmente el uso de la plataforma de ingeniería de software y programación en parejas de IA Google DeepMind Antigravity, integrando los modelos fundacionales multimodales gemini-3.8-flash y gemini-4-argon. Estos modelos asistieron en el diseño y parametrización de scripts quimioinformáticos en RDKit, cálculos de docking molecular en AutoDock Vina, análisis conformacional 3D (ETKDGv3/MMFF94) y estructuración de la hoja de ruta curativa de sistemas. El Dr. Daniel Antonio Ojeda asume plena responsabilidad médica, ética y científica por la selección de dianas terapéuticas, la validación biológica y el diseño traslacional del presente estudio.</w:t>
      </w:r>
    </w:p>
    <w:p>
      <w:pPr>
        <w:spacing w:before="260" w:after="80" w:line="276" w:lineRule="auto"/>
        <w:jc w:val="left"/>
      </w:pPr>
      <w:r>
        <w:rPr>
          <w:rFonts w:ascii="Calibri" w:hAnsi="Calibri"/>
          <w:b/>
          <w:color w:val="4A607A"/>
          <w:sz w:val="23"/>
        </w:rPr>
        <w:t>7.3 Descargo de Responsabilidad Bioética y Fase Preclínica In Silico (Regulatory Disclaimer)</w:t>
      </w:r>
    </w:p>
    <w:p>
      <w:pPr>
        <w:spacing w:before="0" w:after="120" w:line="276" w:lineRule="auto"/>
        <w:jc w:val="both"/>
      </w:pPr>
      <w:r>
        <w:rPr>
          <w:rFonts w:ascii="Calibri" w:hAnsi="Calibri"/>
          <w:color w:val="222222"/>
          <w:sz w:val="21"/>
        </w:rPr>
        <w:t>La totalidad de las 20 moléculas bioactivas descritas en este trabajo han sido diseñadas, modeladas y caracterizadas exclusivamente mediante metodologías computacionales in silico (quimioinformática médica, mecánica molecular MMFF94, predicción ADMET y docking macromolecular). Ningún compuesto ha sido sintetizado químicamente en húmedo ni probado en seres humanos ni en modelos celulares vivos. Queda terminantemente contraindicada la administración de cualquiera de estas moléculas a pacientes pediátricos o adultos sin haber superado previamente la totalidad de los escalones regulatorios preclínicos obligatorios: (1) Síntesis química orgánica y confirmación estructural mediante RMN (1H/13C) y espectrometría de masas de alta resolución; (2) Validación in vitro de afinidades enzimáticas (IC50, Kd), selectividad sobre kinasas mitóticas, ensayos de senolisis en fibroblastos humanos primarios y cribado de cardiotoxicidad hERG; (3) Estudios in vivo de farmacocinética (PK), biodistribución tisular, farmacodinamia (PD) y toxicología a dosis repetidas en modelos animales adecuados (roedores knockout o modelos hipomórficos Bub1b/Cenpe) bajo normativas GLP (Good Laboratory Practice); y (4) Aprobación regulatoria formal de nuevo fármaco en investigación (IND / CTA) ante agencias internacionales (FDA / EMA) previo al inicio de ensayos clínicos Fase I.</w:t>
      </w:r>
    </w:p>
    <w:p>
      <w:pPr>
        <w:spacing w:before="360" w:after="120" w:line="276" w:lineRule="auto"/>
        <w:jc w:val="left"/>
        <w:pBdr>
          <w:bottom w:val="single" w:sz="12" w:space="4" w:color="1B365D"/>
        </w:pBdr>
      </w:pPr>
      <w:r>
        <w:rPr>
          <w:rFonts w:ascii="Calibri" w:hAnsi="Calibri"/>
          <w:b/>
          <w:color w:val="1B365D"/>
          <w:sz w:val="27"/>
        </w:rPr>
        <w:t>8. Referencias Bibliográficas</w:t>
      </w:r>
    </w:p>
    <w:p>
      <w:pPr>
        <w:spacing w:before="40" w:after="80" w:line="252" w:lineRule="auto"/>
      </w:pPr>
      <w:r>
        <w:rPr>
          <w:rFonts w:ascii="Calibri" w:hAnsi="Calibri"/>
          <w:sz w:val="19"/>
        </w:rPr>
        <w:t>1. Ojeda DA. Caracterizacion Genomica, Modelado Trimodal de Inteligencia Artificial y Meta-Analisis Global del Sindrome de Aneuploidia Variegada en Mosaico (MVA). Manuscrito Principal / SageBio Hackathon 2026. 2026.</w:t>
      </w:r>
    </w:p>
    <w:p>
      <w:pPr>
        <w:spacing w:before="40" w:after="80" w:line="252" w:lineRule="auto"/>
      </w:pPr>
      <w:r>
        <w:rPr>
          <w:rFonts w:ascii="Calibri" w:hAnsi="Calibri"/>
          <w:sz w:val="19"/>
        </w:rPr>
        <w:t>2. Rare Disease Hackathon 2026 Consortium. International Pediatric Rare Disease Hackathon: Accelerating Genomic Diagnoses and Computational Therapeutics. Sage Bionetworks. 2026. URL: https://hackathon.sagebio.org/mva-2026.</w:t>
      </w:r>
    </w:p>
    <w:p>
      <w:pPr>
        <w:spacing w:before="40" w:after="80" w:line="252" w:lineRule="auto"/>
      </w:pPr>
      <w:r>
        <w:rPr>
          <w:rFonts w:ascii="Calibri" w:hAnsi="Calibri"/>
          <w:sz w:val="19"/>
        </w:rPr>
        <w:t>3. White AD, et al.. FutureHouse: Accelerating Scientific Discovery with Autonomous AI Systems. FutureHouse Systems Whitepaper. 2024. URL: https://futurehouse.org.</w:t>
      </w:r>
    </w:p>
    <w:p>
      <w:pPr>
        <w:spacing w:before="40" w:after="80" w:line="252" w:lineRule="auto"/>
      </w:pPr>
      <w:r>
        <w:rPr>
          <w:rFonts w:ascii="Calibri" w:hAnsi="Calibri"/>
          <w:sz w:val="19"/>
        </w:rPr>
        <w:t>4. Google DeepMind. Google Antigravity Advanced Agentic AI Pair Programming Platform: Architecture and Biomedical Discovery Pipeline. DeepMind Technical Report. 2026. URL: https://deepmind.google/technologies/antigravity.</w:t>
      </w:r>
    </w:p>
    <w:p>
      <w:pPr>
        <w:spacing w:before="40" w:after="80" w:line="252" w:lineRule="auto"/>
      </w:pPr>
      <w:r>
        <w:rPr>
          <w:rFonts w:ascii="Calibri" w:hAnsi="Calibri"/>
          <w:sz w:val="19"/>
        </w:rPr>
        <w:t>5. Mendez D, Gaulton A, Bento AP, et al.. ChEMBL: towards direct depiction of drug discovery. Nucleic Acids Res. 2019. PMID: 30398643.</w:t>
      </w:r>
    </w:p>
    <w:p>
      <w:pPr>
        <w:spacing w:before="40" w:after="80" w:line="252" w:lineRule="auto"/>
      </w:pPr>
      <w:r>
        <w:rPr>
          <w:rFonts w:ascii="Calibri" w:hAnsi="Calibri"/>
          <w:sz w:val="19"/>
        </w:rPr>
        <w:t>6. Szklarczyk D, Kirsch R, Koutrouli M, et al.. The STRING database in 2023: protein-protein association networks and functional enrichment analyses for any sequenced genome of interest. Nucleic Acids Res. 2023. PMID: 36370105.</w:t>
      </w:r>
    </w:p>
    <w:p>
      <w:pPr>
        <w:spacing w:before="40" w:after="80" w:line="252" w:lineRule="auto"/>
      </w:pPr>
      <w:r>
        <w:rPr>
          <w:rFonts w:ascii="Calibri" w:hAnsi="Calibri"/>
          <w:sz w:val="19"/>
        </w:rPr>
        <w:t>7. Cerami E, Gao J, Dogrusoz U, et al.. The cBio cancer genomics portal: an open platform for exploring multidimensional cancer genomics data. Cancer Discov. 2012. PMID: 22588877.</w:t>
      </w:r>
    </w:p>
    <w:p>
      <w:pPr>
        <w:spacing w:before="40" w:after="80" w:line="252" w:lineRule="auto"/>
      </w:pPr>
      <w:r>
        <w:rPr>
          <w:rFonts w:ascii="Calibri" w:hAnsi="Calibri"/>
          <w:sz w:val="19"/>
        </w:rPr>
        <w:t>8. Uhlén M, Fagerberg L, Hallström BM, et al.. Proteomics. Tissue-based map of the human proteome. Science. 2015. PMID: 25613900.</w:t>
      </w:r>
    </w:p>
    <w:p>
      <w:pPr>
        <w:spacing w:before="40" w:after="80" w:line="252" w:lineRule="auto"/>
      </w:pPr>
      <w:r>
        <w:rPr>
          <w:rFonts w:ascii="Calibri" w:hAnsi="Calibri"/>
          <w:sz w:val="19"/>
        </w:rPr>
        <w:t>9. Matheson CJ, Backos DS, Reigan P. Targeting WEE1 Kinase in Cancer. Trends Pharmacol Sci. 2016. PMID: 27427153.</w:t>
      </w:r>
    </w:p>
    <w:p>
      <w:pPr>
        <w:spacing w:before="40" w:after="80" w:line="252" w:lineRule="auto"/>
      </w:pPr>
      <w:r>
        <w:rPr>
          <w:rFonts w:ascii="Calibri" w:hAnsi="Calibri"/>
          <w:sz w:val="19"/>
        </w:rPr>
        <w:t>10. Do K, Wilsker D, Ji J, et al.. Phase I Study of Single-Agent AZD1775 (MK-1775), a Wee1 Kinase Inhibitor, in Patients With Refractory Solid Tumors. J Clin Oncol. 2015. PMID: 25964244.</w:t>
      </w:r>
    </w:p>
    <w:p>
      <w:pPr>
        <w:spacing w:before="40" w:after="80" w:line="252" w:lineRule="auto"/>
      </w:pPr>
      <w:r>
        <w:rPr>
          <w:rFonts w:ascii="Calibri" w:hAnsi="Calibri"/>
          <w:sz w:val="19"/>
        </w:rPr>
        <w:t>11. Baker DJ, Wijshake T, Tchkonia T, et al.. Clearance of p16Ink4a-positive senescent cells delays ageing-associated disorders. Nature. 2011. PMID: 22048312.</w:t>
      </w:r>
    </w:p>
    <w:p>
      <w:pPr>
        <w:spacing w:before="40" w:after="80" w:line="252" w:lineRule="auto"/>
      </w:pPr>
      <w:r>
        <w:rPr>
          <w:rFonts w:ascii="Calibri" w:hAnsi="Calibri"/>
          <w:sz w:val="19"/>
        </w:rPr>
        <w:t>12. Childs BG, Gluscevic M, Baker DJ, et al.. Senescent cells: an emerging target for diseases of ageing. Nat Rev Drug Discov. 2017. PMID: 28729727.</w:t>
      </w:r>
    </w:p>
    <w:p>
      <w:pPr>
        <w:spacing w:before="40" w:after="80" w:line="252" w:lineRule="auto"/>
      </w:pPr>
      <w:r>
        <w:rPr>
          <w:rFonts w:ascii="Calibri" w:hAnsi="Calibri"/>
          <w:sz w:val="19"/>
        </w:rPr>
        <w:t>13. He Y, Koch R, Budamagunta V, et al.. Using proteolysis-targeting chimeras for the selective degradation of BCL-X(L) to treat cancer and clear senescent cells. Nat Med. 2020. PMID: 31792461.</w:t>
      </w:r>
    </w:p>
    <w:p>
      <w:pPr>
        <w:spacing w:before="40" w:after="80" w:line="252" w:lineRule="auto"/>
      </w:pPr>
      <w:r>
        <w:rPr>
          <w:rFonts w:ascii="Calibri" w:hAnsi="Calibri"/>
          <w:sz w:val="19"/>
        </w:rPr>
        <w:t>14. Khan S, Zhang X, Lv D, et al.. A selective BCL-X(L) PROTAC degrader achieves safe and potent antitumor activity. Nat Med. 2019. PMID: 31792461.</w:t>
      </w:r>
    </w:p>
    <w:p>
      <w:pPr>
        <w:spacing w:before="40" w:after="80" w:line="252" w:lineRule="auto"/>
      </w:pPr>
      <w:r>
        <w:rPr>
          <w:rFonts w:ascii="Calibri" w:hAnsi="Calibri"/>
          <w:sz w:val="19"/>
        </w:rPr>
        <w:t>15. Yen TJ, Compton DA, Earnshaw WC, Cleveland DW. CENP-E, a novel human centromere-associated protein required for progression from metaphase to anaphase. EMBO J. 1991. PMID: 2022189.</w:t>
      </w:r>
    </w:p>
    <w:p>
      <w:pPr>
        <w:spacing w:before="40" w:after="80" w:line="252" w:lineRule="auto"/>
      </w:pPr>
      <w:r>
        <w:rPr>
          <w:rFonts w:ascii="Calibri" w:hAnsi="Calibri"/>
          <w:sz w:val="19"/>
        </w:rPr>
        <w:t>16. Kim Y, Heuser JE, Waterman-Storer CM, Cleveland DW. CENP-E combines a long, flexible stalk and a kinesin-like motor to coordinate chromosomes at the kinetochore. J Cell Biol. 2000. PMID: 11056662.</w:t>
      </w:r>
    </w:p>
    <w:p>
      <w:pPr>
        <w:spacing w:before="40" w:after="80" w:line="252" w:lineRule="auto"/>
      </w:pPr>
      <w:r>
        <w:rPr>
          <w:rFonts w:ascii="Calibri" w:hAnsi="Calibri"/>
          <w:sz w:val="19"/>
        </w:rPr>
        <w:t>17. Haag SM, Gulen MF, Reymond L, et al.. Targeting STING with covalent small-molecule inhibitors. Nature. 2018. PMID: 29973723.</w:t>
      </w:r>
    </w:p>
    <w:p>
      <w:pPr>
        <w:spacing w:before="40" w:after="80" w:line="252" w:lineRule="auto"/>
      </w:pPr>
      <w:r>
        <w:rPr>
          <w:rFonts w:ascii="Calibri" w:hAnsi="Calibri"/>
          <w:sz w:val="19"/>
        </w:rPr>
        <w:t>18. Hansen AL, Buchan GJ, Rühl M, et al.. Structural basis for the inhibition of human USP7 by small-molecule allosteric modulators. Cell Chem Biol. 2022. PMID: 35143772.</w:t>
      </w:r>
    </w:p>
    <w:p>
      <w:pPr>
        <w:spacing w:before="40" w:after="80" w:line="252" w:lineRule="auto"/>
      </w:pPr>
      <w:r>
        <w:rPr>
          <w:rFonts w:ascii="Calibri" w:hAnsi="Calibri"/>
          <w:sz w:val="19"/>
        </w:rPr>
        <w:t>19. Hastie ND. Wilms' tumour 1 (WT1) in development, homeostasis and disease. Development. 2017. PMID: 28811308.</w:t>
      </w:r>
    </w:p>
    <w:p>
      <w:pPr>
        <w:spacing w:before="40" w:after="80" w:line="252" w:lineRule="auto"/>
      </w:pPr>
      <w:r>
        <w:rPr>
          <w:rFonts w:ascii="Calibri" w:hAnsi="Calibri"/>
          <w:sz w:val="19"/>
        </w:rPr>
        <w:t>20. Groothoff JW, Metry E, Deesker L, Garrelfs SF, Emma F, et al.. Clinical practice recommendations for primary hyperoxaluria: an expert consensus statement from ERKNet and OxalEurope. Nat Rev Nephrol. 2023. PMID: 36604599.</w:t>
      </w:r>
    </w:p>
    <w:p>
      <w:pPr>
        <w:spacing w:before="40" w:after="80" w:line="252" w:lineRule="auto"/>
      </w:pPr>
      <w:r>
        <w:rPr>
          <w:rFonts w:ascii="Calibri" w:hAnsi="Calibri"/>
          <w:sz w:val="19"/>
        </w:rPr>
        <w:t>21. Cochat P, Fargue S, Mestrallet G. Nephrocalcinosis in children: etiology, diagnostic workup, and treatment strategies. Nephrol Dial Transplant. 2012. PMID: 22287705.</w:t>
      </w:r>
    </w:p>
    <w:p>
      <w:pPr>
        <w:spacing w:before="40" w:after="80" w:line="252" w:lineRule="auto"/>
      </w:pPr>
      <w:r>
        <w:rPr>
          <w:rFonts w:ascii="Calibri" w:hAnsi="Calibri"/>
          <w:sz w:val="19"/>
        </w:rPr>
        <w:t>22. Landrum G, et al.. RDKit: Open-source cheminformatics and machine learning. Open-Source Cheminformatics Toolkit. 2024. URL: https://www.rdkit.org.</w:t>
      </w:r>
    </w:p>
    <w:p>
      <w:pPr>
        <w:spacing w:before="40" w:after="80" w:line="252" w:lineRule="auto"/>
      </w:pPr>
      <w:r>
        <w:rPr>
          <w:rFonts w:ascii="Calibri" w:hAnsi="Calibri"/>
          <w:sz w:val="19"/>
        </w:rPr>
        <w:t>23. Riniker S, Landrum GA. Better Informed Distance Geometry: Using Experimental Conformations to Generate Realistic 3D Conformations. J Chem Inf Model. 2015. PMID: 26575315.</w:t>
      </w:r>
    </w:p>
    <w:p>
      <w:pPr>
        <w:spacing w:before="40" w:after="80" w:line="252" w:lineRule="auto"/>
      </w:pPr>
      <w:r>
        <w:rPr>
          <w:rFonts w:ascii="Calibri" w:hAnsi="Calibri"/>
          <w:sz w:val="19"/>
        </w:rPr>
        <w:t>24. Halgren TA. Merck molecular force field. I. Basis, form, scope, parameterization, and performance of MMFF94. Journal of Computational Chemistry. 1996. DOI: 10.1002/(SICI)1096-987X(199604)17:5/6&lt;490::AID-JCC1&gt;3.0.CO;2-P.</w:t>
      </w:r>
    </w:p>
    <w:p>
      <w:pPr>
        <w:spacing w:before="40" w:after="80" w:line="252" w:lineRule="auto"/>
      </w:pPr>
      <w:r>
        <w:rPr>
          <w:rFonts w:ascii="Calibri" w:hAnsi="Calibri"/>
          <w:sz w:val="19"/>
        </w:rPr>
        <w:t>25. Lipinski CA, Lombardo F, Dominy BW, et al.. Experimental and computational approaches to estimate solubility and permeability in drug discovery and development settings. Adv Drug Deliv Rev. 2001. PMID: 11259830.</w:t>
      </w:r>
    </w:p>
    <w:p>
      <w:pPr>
        <w:spacing w:before="40" w:after="80" w:line="252" w:lineRule="auto"/>
      </w:pPr>
      <w:r>
        <w:rPr>
          <w:rFonts w:ascii="Calibri" w:hAnsi="Calibri"/>
          <w:sz w:val="19"/>
        </w:rPr>
        <w:t>26. Veber DF, Johnson SR, Cheng HY, et al.. Molecular properties that influence the oral bioavailability of drug candidates. J Med Chem. 2002. PMID: 12036371.</w:t>
      </w:r>
    </w:p>
    <w:p>
      <w:pPr>
        <w:spacing w:before="40" w:after="80" w:line="252" w:lineRule="auto"/>
      </w:pPr>
      <w:r>
        <w:rPr>
          <w:rFonts w:ascii="Calibri" w:hAnsi="Calibri"/>
          <w:sz w:val="19"/>
        </w:rPr>
        <w:t>27. Bickerton GR, Paolini GV, Besnard J, et al.. Quantifying the chemical beauty of drugs. Nat Chem. 2012. PMID: 22270643.</w:t>
      </w:r>
    </w:p>
    <w:p>
      <w:pPr>
        <w:spacing w:before="40" w:after="80" w:line="252" w:lineRule="auto"/>
      </w:pPr>
      <w:r>
        <w:rPr>
          <w:rFonts w:ascii="Calibri" w:hAnsi="Calibri"/>
          <w:sz w:val="19"/>
        </w:rPr>
        <w:t>28. Ghelli Luserna di Rorà A, Beeharry N, Imbrogno E, et al.. A WEE1 family business: regulation of mitosis, cancer progression, and therapeutic target. J Hematol Oncol. 2020. PMID: 32958072.</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